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400" w:hanging="328"/>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260"/>
        <w:spacing w:after="0"/>
        <w:tabs>
          <w:tab w:leader="none" w:pos="7260" w:val="left"/>
          <w:tab w:leader="none" w:pos="8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333-179121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Hughes Satellite Systems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220"/>
        </w:trPr>
        <w:tc>
          <w:tcPr>
            <w:tcW w:w="5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Colorado</w:t>
            </w:r>
          </w:p>
        </w:tc>
        <w:tc>
          <w:tcPr>
            <w:tcW w:w="378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45-0897865</w:t>
            </w:r>
          </w:p>
        </w:tc>
      </w:tr>
      <w:tr>
        <w:trPr>
          <w:trHeight w:val="230"/>
        </w:trPr>
        <w:tc>
          <w:tcPr>
            <w:tcW w:w="556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8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56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378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80112-5308</w:t>
            </w:r>
          </w:p>
        </w:tc>
      </w:tr>
      <w:tr>
        <w:trPr>
          <w:trHeight w:val="230"/>
        </w:trPr>
        <w:tc>
          <w:tcPr>
            <w:tcW w:w="556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69" w:lineRule="exact"/>
        <w:rPr>
          <w:sz w:val="24"/>
          <w:szCs w:val="24"/>
          <w:color w:val="auto"/>
        </w:rPr>
      </w:pPr>
    </w:p>
    <w:p>
      <w:pPr>
        <w:sectPr>
          <w:pgSz w:w="11900" w:h="16838" w:orient="portrait"/>
          <w:cols w:equalWidth="0" w:num="4">
            <w:col w:w="2160" w:space="720"/>
            <w:col w:w="2120" w:space="720"/>
            <w:col w:w="2140" w:space="720"/>
            <w:col w:w="2840"/>
          </w:cols>
          <w:pgMar w:left="240" w:top="233"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April 29, 2015, the Registrant’s outstanding common stock consisted of 1,000 shares of common stock, $0.01 par value per share.</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Registrant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4"/>
          <w:szCs w:val="24"/>
          <w:color w:val="auto"/>
        </w:rPr>
      </w:pPr>
    </w:p>
    <w:p>
      <w:pPr>
        <w:ind w:left="180" w:right="80" w:hanging="172"/>
        <w:spacing w:after="0" w:line="286" w:lineRule="auto"/>
        <w:tabs>
          <w:tab w:leader="none" w:pos="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the entirety of such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8"/>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0"/>
                <w:szCs w:val="20"/>
                <w:color w:val="auto"/>
              </w:rPr>
            </w:pPr>
          </w:p>
        </w:tc>
      </w:tr>
      <w:tr>
        <w:trPr>
          <w:trHeight w:val="392"/>
        </w:trPr>
        <w:tc>
          <w:tcPr>
            <w:tcW w:w="1092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Disclosure Regarding Forward-Looking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7180" w:type="dxa"/>
            <w:vAlign w:val="bottom"/>
            <w:gridSpan w:val="10"/>
          </w:tcPr>
          <w:p>
            <w:pPr>
              <w:jc w:val="center"/>
              <w:ind w:right="322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5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60" w:type="dxa"/>
            <w:vAlign w:val="bottom"/>
            <w:gridSpan w:val="2"/>
          </w:tcPr>
          <w:p>
            <w:pPr>
              <w:spacing w:after="0"/>
              <w:rPr>
                <w:sz w:val="24"/>
                <w:szCs w:val="24"/>
                <w:color w:val="auto"/>
              </w:rPr>
            </w:pP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560" w:type="dxa"/>
            <w:vAlign w:val="bottom"/>
            <w:gridSpan w:val="4"/>
          </w:tcPr>
          <w:p>
            <w:pPr>
              <w:spacing w:after="0"/>
              <w:rPr>
                <w:sz w:val="24"/>
                <w:szCs w:val="24"/>
                <w:color w:val="auto"/>
              </w:rPr>
            </w:pPr>
          </w:p>
        </w:tc>
        <w:tc>
          <w:tcPr>
            <w:tcW w:w="3120" w:type="dxa"/>
            <w:vAlign w:val="bottom"/>
            <w:tcBorders>
              <w:top w:val="single" w:sz="8" w:color="0000EE"/>
            </w:tcBorders>
            <w:gridSpan w:val="5"/>
          </w:tcPr>
          <w:p>
            <w:pPr>
              <w:spacing w:after="0"/>
              <w:rPr>
                <w:sz w:val="24"/>
                <w:szCs w:val="24"/>
                <w:color w:val="auto"/>
              </w:rPr>
            </w:pPr>
          </w:p>
        </w:tc>
        <w:tc>
          <w:tcPr>
            <w:tcW w:w="364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2015 (Unaudited) and December 31,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(Loss) for the Three Months Ended March 31, 2015</w:t>
              </w:r>
            </w:hyperlink>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2014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Three Months Ended March 31, 2015 and 2014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Condensed Consolidated Financial Statements (Unaudited)</w:t>
              </w:r>
            </w:hyperlink>
          </w:p>
        </w:tc>
        <w:tc>
          <w:tcPr>
            <w:tcW w:w="3700" w:type="dxa"/>
            <w:vAlign w:val="bottom"/>
            <w:tcBorders>
              <w:top w:val="single" w:sz="8" w:color="0000EE"/>
            </w:tcBorders>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560" w:type="dxa"/>
            <w:vAlign w:val="bottom"/>
            <w:gridSpan w:val="2"/>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Narrative Analysis of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0"/>
              </w:rPr>
              <w:t>Item 3.</w:t>
            </w:r>
          </w:p>
        </w:tc>
        <w:tc>
          <w:tcPr>
            <w:tcW w:w="560" w:type="dxa"/>
            <w:vAlign w:val="bottom"/>
            <w:gridSpan w:val="2"/>
          </w:tcPr>
          <w:p>
            <w:pPr>
              <w:spacing w:after="0"/>
              <w:rPr>
                <w:sz w:val="19"/>
                <w:szCs w:val="19"/>
                <w:color w:val="auto"/>
              </w:rPr>
            </w:pPr>
          </w:p>
        </w:tc>
        <w:tc>
          <w:tcPr>
            <w:tcW w:w="9840" w:type="dxa"/>
            <w:vAlign w:val="bottom"/>
            <w:gridSpan w:val="19"/>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1080" w:type="dxa"/>
            <w:vAlign w:val="bottom"/>
            <w:gridSpan w:val="3"/>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840" w:type="dxa"/>
            <w:vAlign w:val="bottom"/>
            <w:gridSpan w:val="19"/>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38</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20" w:type="dxa"/>
            <w:vAlign w:val="bottom"/>
            <w:gridSpan w:val="8"/>
          </w:tcPr>
          <w:p>
            <w:pPr>
              <w:jc w:val="center"/>
              <w:ind w:right="380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560" w:type="dxa"/>
            <w:vAlign w:val="bottom"/>
            <w:gridSpan w:val="2"/>
          </w:tcPr>
          <w:p>
            <w:pPr>
              <w:spacing w:after="0"/>
              <w:rPr>
                <w:sz w:val="24"/>
                <w:szCs w:val="24"/>
                <w:color w:val="auto"/>
              </w:rPr>
            </w:pPr>
          </w:p>
        </w:tc>
        <w:tc>
          <w:tcPr>
            <w:tcW w:w="322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820" w:type="dxa"/>
            <w:vAlign w:val="bottom"/>
            <w:tcBorders>
              <w:top w:val="single" w:sz="8" w:color="0000EE"/>
            </w:tcBorders>
            <w:gridSpan w:val="3"/>
          </w:tcPr>
          <w:p>
            <w:pPr>
              <w:spacing w:after="0"/>
              <w:rPr>
                <w:sz w:val="24"/>
                <w:szCs w:val="24"/>
                <w:color w:val="auto"/>
              </w:rPr>
            </w:pPr>
          </w:p>
        </w:tc>
        <w:tc>
          <w:tcPr>
            <w:tcW w:w="380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6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8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984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6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spacing w:after="0"/>
              <w:rPr>
                <w:sz w:val="19"/>
                <w:szCs w:val="19"/>
                <w:color w:val="auto"/>
              </w:rPr>
            </w:pPr>
          </w:p>
        </w:tc>
        <w:tc>
          <w:tcPr>
            <w:tcW w:w="9840" w:type="dxa"/>
            <w:vAlign w:val="bottom"/>
            <w:gridSpan w:val="19"/>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19"/>
          </w:tcPr>
          <w:p>
            <w:pPr>
              <w:spacing w:after="0"/>
              <w:rPr>
                <w:sz w:val="20"/>
                <w:szCs w:val="20"/>
                <w:color w:val="auto"/>
              </w:rPr>
            </w:pPr>
            <w:r>
              <w:rPr>
                <w:rFonts w:ascii="Arial" w:cs="Arial" w:eastAsia="Arial" w:hAnsi="Arial"/>
                <w:sz w:val="18"/>
                <w:szCs w:val="18"/>
                <w:color w:val="auto"/>
              </w:rPr>
              <w:t>Defaults upon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1080" w:type="dxa"/>
            <w:vAlign w:val="bottom"/>
            <w:tcBorders>
              <w:bottom w:val="single" w:sz="8" w:color="0000EE"/>
            </w:tcBorders>
            <w:gridSpan w:val="3"/>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1780" w:type="dxa"/>
            <w:vAlign w:val="bottom"/>
            <w:tcBorders>
              <w:bottom w:val="single" w:sz="8" w:color="0000EE"/>
            </w:tcBorders>
            <w:gridSpan w:val="8"/>
          </w:tcPr>
          <w:p>
            <w:pPr>
              <w:spacing w:after="0" w:line="190"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8060" w:type="dxa"/>
            <w:vAlign w:val="bottom"/>
            <w:gridSpan w:val="11"/>
          </w:tcPr>
          <w:p>
            <w:pPr>
              <w:spacing w:after="0"/>
              <w:rPr>
                <w:sz w:val="16"/>
                <w:szCs w:val="16"/>
                <w:color w:val="auto"/>
              </w:rPr>
            </w:pPr>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560" w:type="dxa"/>
            <w:vAlign w:val="bottom"/>
            <w:gridSpan w:val="2"/>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560" w:type="dxa"/>
            <w:vAlign w:val="bottom"/>
            <w:gridSpan w:val="2"/>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50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80" w:type="dxa"/>
            <w:vAlign w:val="bottom"/>
            <w:gridSpan w:val="1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our primary customer, DISH Network Corporation (“DISH Network”), for a significant portion of our revenue;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competitors;</w:t>
      </w:r>
    </w:p>
    <w:p>
      <w:pPr>
        <w:spacing w:after="0" w:line="225" w:lineRule="exact"/>
        <w:rPr>
          <w:rFonts w:ascii="Arial" w:cs="Arial" w:eastAsia="Arial" w:hAnsi="Arial"/>
          <w:sz w:val="18"/>
          <w:szCs w:val="18"/>
          <w:color w:val="auto"/>
        </w:rPr>
      </w:pPr>
    </w:p>
    <w:p>
      <w:pPr>
        <w:jc w:val="both"/>
        <w:ind w:left="660" w:right="420" w:hanging="328"/>
        <w:spacing w:after="0" w:line="264"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changes in the space weather environment that could interfere with the operation of our satellites, and our general lack of commercial insurance coverage on our satellites;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adequately anticipate the need for satellite capacity or the inability to obtain satellite capacity for our Hughes segment;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Narrative Analysis of Results of Operations” herein and in our Form 10-K and those discussed in other documents we file with the SEC.</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80" w:type="dxa"/>
            <w:vAlign w:val="bottom"/>
          </w:tcPr>
          <w:p>
            <w:pPr>
              <w:jc w:val="center"/>
              <w:ind w:right="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1"/>
              <w:spacing w:after="0" w:line="142" w:lineRule="exact"/>
              <w:rPr>
                <w:sz w:val="20"/>
                <w:szCs w:val="20"/>
                <w:color w:val="auto"/>
              </w:rPr>
            </w:pPr>
            <w:r>
              <w:rPr>
                <w:rFonts w:ascii="Arial" w:cs="Arial" w:eastAsia="Arial" w:hAnsi="Arial"/>
                <w:sz w:val="14"/>
                <w:szCs w:val="14"/>
                <w:b w:val="1"/>
                <w:bCs w:val="1"/>
                <w:color w:val="auto"/>
                <w:w w:val="97"/>
              </w:rPr>
              <w:t>(Audited)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Marketable investment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432,647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394,992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Trade accounts receivable, net of allowance for doubtful accounts of $11,627 and $11,950, respectively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Trade accounts receivable - DISH Network, net of allowance for doubtful accounts of zero</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18,470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62,656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Prepaids and deposits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34,793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Advances to affiliates,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1,073,456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18,698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Property and equipment, net of accumulated depreciation of $1,873,371 and $2,053,636, respectively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2,270,021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Regulatory authorizations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471,658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504,173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145,462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174,781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3,619,168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4,692,624</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4,664,584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40" w:type="dxa"/>
            <w:vAlign w:val="bottom"/>
            <w:shd w:val="clear" w:color="auto" w:fill="CCEEFF"/>
          </w:tcPr>
          <w:p>
            <w:pPr>
              <w:ind w:left="258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Trade accounts payable - DISH Network</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and capital lease obligations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Advances from affiliates,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7,740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and prepayments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43,756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70,314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328,339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and capital lease obligations, net of current portion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2,318,526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556,702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from affiliates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89,475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91,705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2,973,088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2,965,034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3,301,427</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3,294,987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Preferred Stock, $0.001 par value; 1,000,000 shares authorized: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Hughes Retail Preferred Tracking Stock, $0.001 par value; 300 shares authorized, 81.128 shares issued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at each of March 31, 2015 and December 31, 2014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1,000,000 shares authorized, 1,000 shares issued and outstanding at each</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of March 31, 2015 and December 31, 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1,362,500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(40,023)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earnings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HSS shareholders’ equity</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1,380,815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1,391,197</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1,369,597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4,692,624</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ectPr>
          <w:pgSz w:w="11900" w:h="16838"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For the Three Months</w:t>
      </w:r>
    </w:p>
    <w:p>
      <w:pPr>
        <w:ind w:left="93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Services and other revenue - other</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269,679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 revenue - DISH Network</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Equipment revenue - 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48,051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 - DISH Network</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450,234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129,918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70,545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108,014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(45,086)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unconsolidated affiliate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w w:val="93"/>
              </w:rPr>
              <w:t>Other, net (includes reclassification of realized (gains) losses on available- for-sale (“AFS”) securities out of</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accumulated other comprehensive loss of zero and $8, respectively)</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47,349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 attributable to HSS</w:t>
            </w:r>
          </w:p>
        </w:tc>
        <w:tc>
          <w:tcPr>
            <w:tcW w:w="1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Unrealized gains on AFS securities and 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previously unrealized gains on AFS securities included in net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HSS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29,376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11,621</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108,014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108,185</w:t>
            </w: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 of unconsolidated affiliate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1,521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gains on marketable investment securities and other investments, net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expense (benefit)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(2,956)</w:t>
            </w: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Changes in current assets and current liabilities, net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40,726</w:t>
            </w: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noncurrent assets and noncurrent liabilities, net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(5,739)</w:t>
            </w: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r>
      <w:tr>
        <w:trPr>
          <w:trHeight w:val="210"/>
        </w:trPr>
        <w:tc>
          <w:tcPr>
            <w:tcW w:w="71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from operating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146,881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1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Purchases of marketable investment securities</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(90,594)</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(52,678)</w:t>
            </w: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Sales and maturities of marketable investment securities</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52,683</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(92,310)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Changes in restricted cash and cash equivalents</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(1,046)</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flows from investing activities</w:t>
            </w:r>
          </w:p>
        </w:tc>
        <w:tc>
          <w:tcPr>
            <w:tcW w:w="5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(136,220)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Repayment of long-term debt and capital lease obligations</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(15,038)</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Hughes Retail Preferred Tracking Stock (Note 2)</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779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flows from financing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Effect of exchange rates on cash and cash equivalents</w:t>
            </w:r>
          </w:p>
        </w:tc>
        <w:tc>
          <w:tcPr>
            <w:tcW w:w="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225,557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Cash paid for interest (including capitalized interest)</w:t>
            </w: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10,820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Capitalized interest</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5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975</w:t>
            </w:r>
          </w:p>
        </w:tc>
        <w:tc>
          <w:tcPr>
            <w:tcW w:w="2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Satellites and other assets financed under capital lease obligations</w:t>
            </w: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rPr>
                <w:sz w:val="20"/>
                <w:szCs w:val="20"/>
                <w:color w:val="auto"/>
              </w:rPr>
            </w:pPr>
            <w:r>
              <w:rPr>
                <w:rFonts w:ascii="Arial" w:cs="Arial" w:eastAsia="Arial" w:hAnsi="Arial"/>
                <w:sz w:val="18"/>
                <w:szCs w:val="18"/>
                <w:color w:val="auto"/>
              </w:rPr>
              <w:t>Reduction of capital lease obligation for AMC-15 and AMC-16 satellites</w:t>
            </w:r>
          </w:p>
        </w:tc>
        <w:tc>
          <w:tcPr>
            <w:tcW w:w="5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4,500</w:t>
            </w:r>
          </w:p>
        </w:tc>
        <w:tc>
          <w:tcPr>
            <w:tcW w:w="2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Increase in capital expenditures included in accounts payable, net</w:t>
            </w: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4,414</w:t>
            </w: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rPr>
                <w:sz w:val="20"/>
                <w:szCs w:val="20"/>
                <w:color w:val="auto"/>
              </w:rPr>
            </w:pPr>
            <w:r>
              <w:rPr>
                <w:rFonts w:ascii="Arial" w:cs="Arial" w:eastAsia="Arial" w:hAnsi="Arial"/>
                <w:sz w:val="18"/>
                <w:szCs w:val="18"/>
                <w:color w:val="auto"/>
                <w:w w:val="97"/>
              </w:rPr>
              <w:t>Net noncash assets transferred from DISH Network in exchange for HSS Tracking Stock (Note 2)</w:t>
            </w:r>
          </w:p>
        </w:tc>
        <w:tc>
          <w:tcPr>
            <w:tcW w:w="5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71,048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Net assets transferred from EchoStar related to Tracking Stock Transaction (Note 2)</w:t>
            </w: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315,643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w:t>
      </w:r>
      <w:r>
        <w:rPr>
          <w:rFonts w:ascii="Arial" w:cs="Arial" w:eastAsia="Arial" w:hAnsi="Arial"/>
          <w:sz w:val="18"/>
          <w:szCs w:val="18"/>
          <w:color w:val="auto"/>
        </w:rPr>
        <w:t>(Unaudited)</w:t>
      </w:r>
    </w:p>
    <w:p>
      <w:pPr>
        <w:spacing w:after="0" w:line="1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direct subsidiary of EchoStar Corporation (“EchoStar”). We are a global provider of satellite operations, video delivery solutions, and broadband satellite technologies and services for home and office, delivering innovative network technologies, managed services, and solutions for enterprises and governments.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two business segments.</w:t>
      </w:r>
    </w:p>
    <w:p>
      <w:pPr>
        <w:spacing w:after="0" w:line="225" w:lineRule="exact"/>
        <w:rPr>
          <w:sz w:val="20"/>
          <w:szCs w:val="20"/>
          <w:color w:val="auto"/>
        </w:rPr>
      </w:pPr>
    </w:p>
    <w:p>
      <w:pPr>
        <w:ind w:left="660" w:right="14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66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 full-time and occasional-use basis primarily to DISH Network, Dish Mexico, S. de R.L. de C.V. (“Dish Mexico”), a joint venture that EchoStar entered into in 2008, United States (“U.S”) government service providers, internet service providers, broadcast news organizations, programmers, and private enterprise customers.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were formed as a Colorado corporation in March 2011 to facilitate the acquisition (the “Hughes Acquisition”) of Hughes Communications, Inc. and its subsidiaries (“Hughes Communications”) and related financing transactions. In connection with our formation, EchoStar contributed the assets and liabilities of its satellite services business, including its principal operating subsidiary of its satellite services business, EchoStar Satellite Services L.L.C., to us. In addition, as a result of the Satellite and Tracking Stock Transaction described in Note 2 below, DISH Network owns shares of our preferred tracking stock representing a 28.11% economic interest in the residential retail satellite broadband business of our Hughes segment.</w:t>
      </w:r>
    </w:p>
    <w:p>
      <w:pPr>
        <w:spacing w:after="0" w:line="1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Hughes Retail Preferred Tracking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20, 2014, HSS and EchoStar entered into agreements with certain subsidiaries of DISH Network pursuant to which, effective March 1, 2014,</w:t>
      </w:r>
    </w:p>
    <w:p>
      <w:pPr>
        <w:spacing w:after="0" w:line="46" w:lineRule="exact"/>
        <w:rPr>
          <w:sz w:val="20"/>
          <w:szCs w:val="20"/>
          <w:color w:val="auto"/>
        </w:rPr>
      </w:pPr>
    </w:p>
    <w:p>
      <w:pPr>
        <w:ind w:right="40" w:firstLine="8"/>
        <w:spacing w:after="0" w:line="288"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EchoStar issued shares of its newly authorized Hughes Retail Preferred Tracking Stock (the “EchoStar Tracking Stock”) and HSS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Immediately upon receipt of net assets (consisting of two of the five satellites and related in-orbit incentive obligations) from DISH Network in exchange for EchoStar Tracking Stock, EchoStar transferred such net assets to us. The Tracking Stock tracks the residential retail satellite broadband business of our Hughes segment, including certain operations, assets and liabilities attributed to such business</w:t>
      </w:r>
    </w:p>
    <w:p>
      <w:pPr>
        <w:sectPr>
          <w:pgSz w:w="11900" w:h="16863" w:orient="portrait"/>
          <w:cols w:equalWidth="0" w:num="1">
            <w:col w:w="11420"/>
          </w:cols>
          <w:pgMar w:left="240" w:top="125" w:right="239" w:bottom="0" w:gutter="0" w:footer="0" w:header="0"/>
        </w:sectPr>
      </w:pPr>
    </w:p>
    <w:bookmarkStart w:id="5" w:name="page6"/>
    <w:bookmarkEnd w:id="5"/>
    <w:p>
      <w:pPr>
        <w:spacing w:after="0" w:line="9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(collectively, the “Hughes Retail Group” or “HRG”) HSS has adopted a policy statement (the “Policy Statement”) setting forth management and allocation policies for purposes of attributing all of the business and operations of HSS to either the Hughes Retail Group or the “HSSC Group,” which is defined as all other operations of HSS, including all existing and future businesses, other than the Hughes Retail Group. Among other things, the Policy Statement governs how assets, liabilities, revenue and expenses are attributed or allocated between HRG and the HSSC Group. Such attributions and allocations generally do not affect the amounts reported in our consolidated financial statements, except for the attribution of shareholders’ equity and net income or loss between the holders of Tracking Stock and common stock. The Policy Statement also does not significantly affect the way that management assesses operating performance and allocates resources within our Hughes segment.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26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provide unaudited attributed financial information for HRG and the HSSC Group in an exhibit to our periodic reports on Form 10-Q and Form 10-K. See Note 2 to our consolidated financial statements included in our Form 10-K for the year ended December 31, 2014 for a description of the rights and obligations of EchoStar, HSS and DISH Network with respect to the Tracking Stock, the initial recording of the Satellite and Tracking Stock Transaction and the satellites received from DISH Network as part of the Satellite and Tracking Stock Transaction. Set forth below is information about certain terms of the Tracking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Tracking Stock</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Tracking stock is a type of capital stock that the issuing company intends to reflect or “track” the economic performance of a particular business component within the company, rather than reflect the economic performance of the company as a whole. The Tracking Stock is intended to track the economic performance of the Hughes Retail Group. The shares of the Tracking Stock issued to DISH Network represent an aggregate 80.0% economic interest in the Hughes Retail Group, of which a 28.11% interest was issued as HSS Tracking Stock and a 51.89% interest was issued as EchoStar Tracking Stock. In addition to the remaining 20.0% economic interest in the Hughes Retail Group, HSS retains all economic interest in the wholesale satellite broadband business and other businesses of HSS. The Hughes Retail Group is not a separate legal entity and therefore cannot own assets, issue securities or enter into legally binding agreements. Holders of the Tracking Stock have no direct claim to the assets of the Hughes Retail Group; rather, holders of the Tracking Stock are stockholders of its respective issuer (EchoStar or HSS) and are subject to all risks and liabilities of the issuer. Also, holders of EchoStar Tracking Stock do not have any direct equity interest in HSS, but have an indirect interest in HSS through EchoStar’s ownership of our outstanding common stock. Holders of shares of the Tracking Stock vote with holders of the outstanding shares of common stock of its respective issuer, as a single class, with respect to any and all matters presented to stockholders for their action or consideration. Each share of the Tracking Stock is entitled to one-tenth (1/10th) of one vote. The HSS Tracking Stock is a series of HSS preferred stock consisting of 300 authorized shares with a par value of $0.001 per share, of which 81.128 shares were issued to DISH Network on March 1, 2014. The EchoStar Tracking Stock is a series of EchoStar preferred stock consisting of 13,000,000 authorized shares with a par value of $0.001 per share, of which 6,290,499 shares were issued to DISH Network on March 1, 2014.</w:t>
      </w:r>
    </w:p>
    <w:p>
      <w:pPr>
        <w:spacing w:after="0" w:line="1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accordance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consolidate all majority owned subsidiaries, investments in entities in which we have controlling interest and variable interest entities where we are the primary beneficiary. For entities we control but do not wholly own, we record a noncontrolling interest within shareholders’ equity for the portion of the entity’s equity attributed to the noncontrolling ownership interests. We use the equity method to account for investments in entities that we do not control but have the ability to significantly influence the operating decisions of the investee. When we do not have the ability to significantly influence the operating decisions of the investee, the cost method is used. All significant intercompany balances and transactions have been eliminated in consolidation.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26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our notes to the condensed consolidated financial statements. Estimates are used in accounting for, among other things, amortization periods for deferred revenue and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awards granted under EchoStar’s stock-based compensation plans, fair value</w:t>
      </w:r>
    </w:p>
    <w:p>
      <w:pPr>
        <w:sectPr>
          <w:pgSz w:w="11900" w:h="16934" w:orient="portrait"/>
          <w:cols w:equalWidth="0" w:num="1">
            <w:col w:w="11400"/>
          </w:cols>
          <w:pgMar w:left="240" w:top="125" w:right="259" w:bottom="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t>of assets and liabilities acquired in business combinations, lease classifications, asset impairments, useful lives and methods for depreciation and amortization of property, equipment and intangible assets, goodwill impairment testing, royalty obligations, and allocations that affect the periodic determination of net income or loss attributable to the Tracking Stock.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Weakened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three months ended March 31, 2015 or 2014.</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March 31, 2015 and December 31, 2014,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our current marketable investment securities are based on a variety of observable market inputs. For our investments in publicly traded equity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Fair values for our publicly traded long-term debt are based on quoted market prices in less active markets and are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80" w:right="22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categorized as Level 2 measurements. The fair values of our privately held debt are Level 2 measurements and are estimated to approximate their carrying amounts based on the proximity of their interest rates to current market rates. As of March 31, 2015 and December 31, 2014, the fair values of our in-orbit incentive obligations, based on measurements categorized within Level 2 of the fair value hierarchy, approximated their carrying amounts of $85.1 million and $85.8 million, respectively. We use fair value measurements from time-to-time in connection with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portion of our cost of sales, consisting of research and development funded by customers was approximately $5.7 million for each of the three months ended March 31, 2015 and 2014. In addition, we incurred $5.6 million and $4.5 million for the three months ended March 31, 2015 and 2014, respectively, for research and development expenses not funded by customers, which has been reflected as such within our condensed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Development costs related to software for internal 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is generally included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March 31, 2015 and December 31, 2014, the net carrying amount of externally marketed software was $51.9 million and $48.9 million, respectively. We capitalized $5.0 million of costs related to development of externally marketed software for each of the three months ended March 31, 2015 and 2014. For the three months ended March 31, 2015 and 2014, we recorded $1.9 million and $0.8 million, respectively, of amortization expense relating to our externally marketed software.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ectPr>
          <w:pgSz w:w="11900" w:h="16838" w:orient="portrait"/>
          <w:cols w:equalWidth="0" w:num="1">
            <w:col w:w="11380"/>
          </w:cols>
          <w:pgMar w:left="240" w:top="125" w:right="279" w:bottom="0" w:gutter="0" w:footer="0" w:header="0"/>
        </w:sectPr>
      </w:pPr>
    </w:p>
    <w:bookmarkStart w:id="7" w:name="page8"/>
    <w:bookmarkEnd w:id="7"/>
    <w:p>
      <w:pPr>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ASU 2014-09 is effective for annual periods beginning after December 15, 2016 and interim periods within those annual periods, and may be applied either retrospectively to prior periods or as a cumulative-effect adjustment as of the date of adoption. Early adoption was not permitted. In April 2015, the FASB proposed Accounting Standards Update that would defer for one year the effective date of the new revenue standard and also proposed to permit entities to early adopt the standard. Management has not selected a transition method and is assessing the impact of adopting this new accounting standard on our consolidated financial statements and related disclosures.</w:t>
      </w:r>
    </w:p>
    <w:p>
      <w:pPr>
        <w:spacing w:after="0" w:line="16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February 2015, the FASB issued Accounting Standards Update No. 2015-02, Consolidation (Topic 810): Amendments to the Consolidation Analysis (“ASU 2015-02”). This standard amends the consolidation guidance for variable interest entities (“VIEs”) and general partners’ investments in limited partnerships and similar entities. ASU 2015-02 is effective for annual periods beginning after December 15, 2015 and interim periods within those annual periods, and requires either a retrospective or a modified retrospective approach as of the beginning of the fiscal year of adoption. Early adoption is permitted. We are assessing the impact of adopting this new accounting standard on our consolidated financial statements and related disclosures.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26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is effective for annual periods beginning after December 15, 2015 and interim periods within those annual periods, and requires a retrospective approach to adoption. Early adoption is permitted. Based on our preliminary assessment, upon adoption of this standard, we expect to present unamortized deferred costs in other noncurrent assets with a carrying amount of $37.5 million and $39.1 million as of March 31, 2015 and December 31, 2014, respectively, as a reduction of our long-term debt balances. We do not expect to adopt this standard prior to the effective date.</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$39.4 million and $29.2 million as of March 31, 2015 and December 31, 2014, respectively.</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and other investments consisted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gridSpan w:val="2"/>
          </w:tcPr>
          <w:p>
            <w:pPr>
              <w:spacing w:after="0"/>
              <w:rPr>
                <w:sz w:val="10"/>
                <w:szCs w:val="10"/>
                <w:color w:val="auto"/>
              </w:rPr>
            </w:pPr>
          </w:p>
        </w:tc>
      </w:t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80" w:type="dxa"/>
            <w:vAlign w:val="bottom"/>
            <w:gridSpan w:val="5"/>
          </w:tcPr>
          <w:p>
            <w:pPr>
              <w:jc w:val="right"/>
              <w:ind w:right="9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securities—current: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406,373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367,291</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Strategic equity securities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12,669</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12,459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15,032</w:t>
            </w:r>
          </w:p>
        </w:tc>
        <w:tc>
          <w:tcPr>
            <w:tcW w:w="80" w:type="dxa"/>
            <w:vAlign w:val="bottom"/>
          </w:tcPr>
          <w:p>
            <w:pPr>
              <w:spacing w:after="0"/>
              <w:rPr>
                <w:sz w:val="18"/>
                <w:szCs w:val="18"/>
                <w:color w:val="auto"/>
              </w:rPr>
            </w:pPr>
          </w:p>
        </w:tc>
      </w:tr>
      <w:tr>
        <w:trPr>
          <w:trHeight w:val="210"/>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432,647</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b w:val="1"/>
                <w:bCs w:val="1"/>
                <w:color w:val="auto"/>
              </w:rPr>
              <w:t>Other investments—noncurrent: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method</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15,438</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Equity method</w:t>
            </w: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17,531</w:t>
            </w:r>
          </w:p>
        </w:tc>
        <w:tc>
          <w:tcPr>
            <w:tcW w:w="80" w:type="dxa"/>
            <w:vAlign w:val="bottom"/>
          </w:tcPr>
          <w:p>
            <w:pPr>
              <w:spacing w:after="0"/>
              <w:rPr>
                <w:sz w:val="18"/>
                <w:szCs w:val="18"/>
                <w:color w:val="auto"/>
              </w:rPr>
            </w:pPr>
          </w:p>
        </w:tc>
      </w:tr>
      <w:tr>
        <w:trPr>
          <w:trHeight w:val="210"/>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investments—noncurrent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240" w:type="dxa"/>
            <w:vAlign w:val="bottom"/>
          </w:tcPr>
          <w:p>
            <w:pPr>
              <w:ind w:left="360"/>
              <w:spacing w:after="0"/>
              <w:rPr>
                <w:sz w:val="20"/>
                <w:szCs w:val="20"/>
                <w:color w:val="auto"/>
              </w:rPr>
            </w:pPr>
            <w:r>
              <w:rPr>
                <w:rFonts w:ascii="Arial" w:cs="Arial" w:eastAsia="Arial" w:hAnsi="Arial"/>
                <w:sz w:val="18"/>
                <w:szCs w:val="18"/>
                <w:color w:val="auto"/>
              </w:rPr>
              <w:t>Total marketable and other investments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467,022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various debt and equity instruments, all of which are classified as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strategic investment portfolio consists of investments in shares of common stock of public companies, which are highly speculative and have experienced and continue to experience volatility. The value of our investment portfolio depends on the value of such shares of common stock.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20" w:right="220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and variable rate demand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 - Noncurrent</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several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investments are summarized in the table below.</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Unrealized</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42"/>
        </w:trPr>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1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2"/>
                <w:szCs w:val="12"/>
                <w:color w:val="auto"/>
              </w:rPr>
            </w:pPr>
          </w:p>
        </w:tc>
        <w:tc>
          <w:tcPr>
            <w:tcW w:w="7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42"/>
        </w:trPr>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Debt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406,727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406,373</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12,458</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12,459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strategic</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13,815</w:t>
            </w:r>
          </w:p>
        </w:tc>
      </w:tr>
      <w:tr>
        <w:trPr>
          <w:trHeight w:val="250"/>
        </w:trPr>
        <w:tc>
          <w:tcPr>
            <w:tcW w:w="3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investment securities</w:t>
            </w:r>
          </w:p>
        </w:tc>
        <w:tc>
          <w:tcPr>
            <w:tcW w:w="4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433,361</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432,647</w:t>
            </w:r>
          </w:p>
        </w:tc>
        <w:tc>
          <w:tcPr>
            <w:tcW w:w="80" w:type="dxa"/>
            <w:vAlign w:val="bottom"/>
            <w:tcBorders>
              <w:bottom w:val="single" w:sz="8" w:color="CCEEFF"/>
            </w:tcBorders>
          </w:tcPr>
          <w:p>
            <w:pPr>
              <w:spacing w:after="0"/>
              <w:rPr>
                <w:sz w:val="21"/>
                <w:szCs w:val="21"/>
                <w:color w:val="auto"/>
              </w:rPr>
            </w:pPr>
          </w:p>
        </w:tc>
      </w:tr>
      <w:tr>
        <w:trPr>
          <w:trHeight w:val="170"/>
        </w:trPr>
        <w:tc>
          <w:tcPr>
            <w:tcW w:w="36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December 31, 2014</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Debt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367,949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367,291</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15,031</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15,032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security - strategic</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12,669</w:t>
            </w:r>
          </w:p>
        </w:tc>
      </w:tr>
      <w:tr>
        <w:trPr>
          <w:trHeight w:val="223"/>
        </w:trPr>
        <w:tc>
          <w:tcPr>
            <w:tcW w:w="3600" w:type="dxa"/>
            <w:vAlign w:val="bottom"/>
          </w:tcPr>
          <w:p>
            <w:pPr>
              <w:ind w:left="360"/>
              <w:spacing w:after="0"/>
              <w:rPr>
                <w:sz w:val="20"/>
                <w:szCs w:val="20"/>
                <w:color w:val="auto"/>
              </w:rPr>
            </w:pPr>
            <w:r>
              <w:rPr>
                <w:rFonts w:ascii="Arial" w:cs="Arial" w:eastAsia="Arial" w:hAnsi="Arial"/>
                <w:sz w:val="18"/>
                <w:szCs w:val="18"/>
                <w:color w:val="auto"/>
              </w:rPr>
              <w:t>Total marketable investment securities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397,156</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394,992</w:t>
            </w:r>
          </w:p>
        </w:tc>
        <w:tc>
          <w:tcPr>
            <w:tcW w:w="8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2015, restricted and non-restricted marketable investment securities included debt securities of $371.8 million with contractual maturities of one year or less and $47.0 million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 in a Loss Position</w:t>
      </w:r>
    </w:p>
    <w:p>
      <w:pPr>
        <w:spacing w:after="0" w:line="22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these changes in the estimated fair values of these securities are primarily related to temporary market conditions.</w:t>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March 31, 2015</w:t>
            </w:r>
          </w:p>
        </w:tc>
        <w:tc>
          <w:tcPr>
            <w:tcW w:w="10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838"/>
              <w:spacing w:after="0" w:line="142" w:lineRule="exact"/>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2"/>
                <w:szCs w:val="12"/>
                <w:color w:val="auto"/>
              </w:rPr>
            </w:pPr>
          </w:p>
        </w:tc>
      </w:tr>
      <w:tr>
        <w:trPr>
          <w:trHeight w:val="119"/>
        </w:trPr>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1040" w:type="dxa"/>
            <w:vAlign w:val="bottom"/>
          </w:tcPr>
          <w:p>
            <w:pPr>
              <w:jc w:val="right"/>
              <w:ind w:right="281"/>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140" w:type="dxa"/>
            <w:vAlign w:val="bottom"/>
          </w:tcPr>
          <w:p>
            <w:pPr>
              <w:jc w:val="right"/>
              <w:ind w:right="258"/>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w:t>
            </w:r>
          </w:p>
        </w:tc>
      </w:tr>
      <w:tr>
        <w:trPr>
          <w:trHeight w:val="142"/>
        </w:trPr>
        <w:tc>
          <w:tcPr>
            <w:tcW w:w="2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Less than 12 months</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327,266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(2,349)</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357,887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12 months or more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331,266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357,887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Marketable Investment Securities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recognized minimal gains from the sales of our available-for-sale marketable investment securities for each of the three months ended March 31, 2015 and 2014. We recognized minimal and zero losses from the sales of our available-for-sale marketable investment securities for the three months ended March 31, 2015 and 2014, respectively.</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20" w:right="220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Proceeds from sales of our available-for-sale marketable investment securities totaled $7.5 million and zero for the three months ended March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ectPr>
          <w:pgSz w:w="11900" w:h="16838" w:orient="portrait"/>
          <w:cols w:equalWidth="0" w:num="1">
            <w:col w:w="11340"/>
          </w:cols>
          <w:pgMar w:left="240" w:top="368" w:right="319" w:bottom="0" w:gutter="0" w:footer="0" w:header="0"/>
        </w:sectPr>
      </w:pPr>
    </w:p>
    <w:bookmarkStart w:id="9" w:name="page10"/>
    <w:bookmarkEnd w:id="9"/>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March 31, 2015 and December 31, 2014, we did not have investments that were categorized within Level 3 of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162,433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148,645</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Debt securities: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406,373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406,373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367,291</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367,291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15,032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15,032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 strategic</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12,669</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gridSpan w:val="2"/>
            <w:vMerge w:val="restart"/>
          </w:tcPr>
          <w:p>
            <w:pPr>
              <w:ind w:left="180"/>
              <w:spacing w:after="0" w:line="201" w:lineRule="exact"/>
              <w:rPr>
                <w:sz w:val="20"/>
                <w:szCs w:val="20"/>
                <w:color w:val="auto"/>
              </w:rPr>
            </w:pPr>
            <w:r>
              <w:rPr>
                <w:rFonts w:ascii="Arial" w:cs="Arial" w:eastAsia="Arial" w:hAnsi="Arial"/>
                <w:sz w:val="18"/>
                <w:szCs w:val="18"/>
                <w:color w:val="auto"/>
              </w:rPr>
              <w:t>Total marketable investment</w:t>
            </w: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300" w:type="dxa"/>
            <w:vAlign w:val="bottom"/>
            <w:vMerge w:val="restart"/>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2"/>
              </w:rPr>
              <w:t>432,647</w:t>
            </w:r>
          </w:p>
        </w:tc>
        <w:tc>
          <w:tcPr>
            <w:tcW w:w="2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13,815</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418,832</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394,992</w:t>
            </w:r>
          </w:p>
        </w:tc>
        <w:tc>
          <w:tcPr>
            <w:tcW w:w="60" w:type="dxa"/>
            <w:vAlign w:val="bottom"/>
          </w:tcPr>
          <w:p>
            <w:pPr>
              <w:spacing w:after="0"/>
              <w:rPr>
                <w:sz w:val="15"/>
                <w:szCs w:val="15"/>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12,669</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382,323</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160" w:type="dxa"/>
            <w:vAlign w:val="bottom"/>
            <w:gridSpan w:val="2"/>
          </w:tcPr>
          <w:p>
            <w:pPr>
              <w:ind w:left="360"/>
              <w:spacing w:after="0"/>
              <w:rPr>
                <w:sz w:val="20"/>
                <w:szCs w:val="20"/>
                <w:color w:val="auto"/>
              </w:rPr>
            </w:pPr>
            <w:r>
              <w:rPr>
                <w:rFonts w:ascii="Arial" w:cs="Arial" w:eastAsia="Arial" w:hAnsi="Arial"/>
                <w:sz w:val="18"/>
                <w:szCs w:val="18"/>
                <w:color w:val="auto"/>
              </w:rPr>
              <w:t>securities</w:t>
            </w:r>
          </w:p>
        </w:tc>
        <w:tc>
          <w:tcPr>
            <w:tcW w:w="3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Trade Accounts Receivable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gridSpan w:val="4"/>
          </w:tcPr>
          <w:p>
            <w:pPr>
              <w:spacing w:after="0"/>
              <w:rPr>
                <w:sz w:val="20"/>
                <w:szCs w:val="20"/>
                <w:color w:val="auto"/>
              </w:rPr>
            </w:pPr>
            <w:r>
              <w:rPr>
                <w:rFonts w:ascii="Arial" w:cs="Arial" w:eastAsia="Arial" w:hAnsi="Arial"/>
                <w:sz w:val="18"/>
                <w:szCs w:val="18"/>
                <w:color w:val="auto"/>
                <w:w w:val="90"/>
              </w:rPr>
              <w:t>Our trade accounts receivable consisted of the following:</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5"/>
          </w:tcPr>
          <w:p>
            <w:pPr>
              <w:jc w:val="right"/>
              <w:ind w:right="68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126,302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135,609</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Contracts in process, net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24,500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16,534</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Total trade accounts receivable</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150,802</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152,143</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8"/>
              </w:rPr>
              <w:t>Allowance for doubtful accounts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(11,627)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(11,950)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accounts receivable - DISH Network</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18,470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w w:val="91"/>
              </w:rPr>
              <w:t>Total trade accounts receivable,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157,645</w:t>
            </w:r>
          </w:p>
        </w:tc>
        <w:tc>
          <w:tcPr>
            <w:tcW w:w="3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159,442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2015 and December 31, 2014, progress billings offset against contracts in process amounted to $2.9 million and $2.5 million, respectively.</w:t>
      </w:r>
    </w:p>
    <w:p>
      <w:pPr>
        <w:spacing w:after="0" w:line="2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inventory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80" w:type="dxa"/>
            <w:vAlign w:val="bottom"/>
            <w:gridSpan w:val="5"/>
          </w:tcPr>
          <w:p>
            <w:pPr>
              <w:jc w:val="right"/>
              <w:ind w:right="977"/>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48,127</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Raw materials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Work-in process</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24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51,597</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4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Depreciable</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Life</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9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12,086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jc w:val="center"/>
              <w:ind w:left="56"/>
              <w:spacing w:after="0"/>
              <w:rPr>
                <w:sz w:val="20"/>
                <w:szCs w:val="20"/>
                <w:color w:val="auto"/>
              </w:rPr>
            </w:pPr>
            <w:r>
              <w:rPr>
                <w:rFonts w:ascii="Arial" w:cs="Arial" w:eastAsia="Arial" w:hAnsi="Arial"/>
                <w:sz w:val="18"/>
                <w:szCs w:val="18"/>
                <w:color w:val="auto"/>
                <w:w w:val="91"/>
              </w:rPr>
              <w:t>1 - 30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73,594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73,191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9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1"/>
              </w:rPr>
              <w:t>1 - 12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339,330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Customer rental equipment</w:t>
            </w:r>
          </w:p>
        </w:tc>
        <w:tc>
          <w:tcPr>
            <w:tcW w:w="960" w:type="dxa"/>
            <w:vAlign w:val="bottom"/>
          </w:tcPr>
          <w:p>
            <w:pPr>
              <w:jc w:val="center"/>
              <w:ind w:left="76"/>
              <w:spacing w:after="0"/>
              <w:rPr>
                <w:sz w:val="20"/>
                <w:szCs w:val="20"/>
                <w:color w:val="auto"/>
              </w:rPr>
            </w:pPr>
            <w:r>
              <w:rPr>
                <w:rFonts w:ascii="Arial" w:cs="Arial" w:eastAsia="Arial" w:hAnsi="Arial"/>
                <w:sz w:val="18"/>
                <w:szCs w:val="18"/>
                <w:color w:val="auto"/>
                <w:w w:val="88"/>
              </w:rPr>
              <w:t>2 - 4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527,043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498,181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Satellites - owned</w:t>
            </w:r>
          </w:p>
        </w:tc>
        <w:tc>
          <w:tcPr>
            <w:tcW w:w="9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2"/>
              </w:rPr>
              <w:t>10 - 15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Satellites acquired under capital leases</w:t>
            </w:r>
          </w:p>
        </w:tc>
        <w:tc>
          <w:tcPr>
            <w:tcW w:w="960" w:type="dxa"/>
            <w:vAlign w:val="bottom"/>
          </w:tcPr>
          <w:p>
            <w:pPr>
              <w:jc w:val="center"/>
              <w:ind w:left="76"/>
              <w:spacing w:after="0"/>
              <w:rPr>
                <w:sz w:val="20"/>
                <w:szCs w:val="20"/>
                <w:color w:val="auto"/>
              </w:rPr>
            </w:pPr>
            <w:r>
              <w:rPr>
                <w:rFonts w:ascii="Arial" w:cs="Arial" w:eastAsia="Arial" w:hAnsi="Arial"/>
                <w:sz w:val="18"/>
                <w:szCs w:val="18"/>
                <w:color w:val="auto"/>
                <w:w w:val="92"/>
              </w:rPr>
              <w:t>10 - 15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665,518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935,104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89,203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4,143,392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4,328,204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(1,873,371)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(2,053,636)</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Construction in progress consisted of the following:</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left="537"/>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4"/>
          </w:tcPr>
          <w:p>
            <w:pPr>
              <w:jc w:val="right"/>
              <w:ind w:right="76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1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tcPr>
          <w:p>
            <w:pPr>
              <w:jc w:val="center"/>
              <w:ind w:left="31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41" w:right="199" w:bottom="0" w:gutter="0" w:footer="0" w:header="0"/>
        </w:sectPr>
      </w:pPr>
    </w:p>
    <w:bookmarkStart w:id="10" w:name="page11"/>
    <w:bookmarkEnd w:id="10"/>
    <w:p>
      <w:pPr>
        <w:spacing w:after="0" w:line="109"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Progress amounts for satellite construction, including prepayments under</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leases and launch costs:</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EUTELSAT 65 West A</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30,600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26,049</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EchoStar 105/SES-11</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62,124</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28,470</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Uplinking equipment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26,216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22,980</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13,459</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217"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For the Three Months</w:t>
      </w:r>
    </w:p>
    <w:p>
      <w:pPr>
        <w:ind w:left="754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Satellites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49,087</w:t>
            </w:r>
          </w:p>
        </w:tc>
        <w:tc>
          <w:tcPr>
            <w:tcW w:w="5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Furniture, fixtures, equipment and other</w:t>
            </w:r>
          </w:p>
        </w:tc>
        <w:tc>
          <w:tcPr>
            <w:tcW w:w="8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12,217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14,243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Customer rental equipment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30,187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r>
      <w:tr>
        <w:trPr>
          <w:trHeight w:val="210"/>
        </w:trPr>
        <w:tc>
          <w:tcPr>
            <w:tcW w:w="5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92,783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of March 31, 2015, we utilized 18 of our owned and leased satellites in geosynchronous orbit, approximately 22,300 miles above the equator. We depreciate our owned satellites on a straight-line basis over the estimated useful life of each satellite. Two of our satellites are accounted for as capital leases and are depreciated on a straight-line basis over the terms of the satellite service agreements. Three of our satellites are accounted for as operating leases.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AMC-15 and AMC-16. </w:t>
      </w:r>
      <w:r>
        <w:rPr>
          <w:rFonts w:ascii="Arial" w:cs="Arial" w:eastAsia="Arial" w:hAnsi="Arial"/>
          <w:sz w:val="17"/>
          <w:szCs w:val="17"/>
          <w:color w:val="auto"/>
        </w:rPr>
        <w:t>In August 2014, in connection with the execution of agreements related to EchoStar 105/SES-11, we entered into amendments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extend the terms of our existing agreements with SES for satellite services on AMC-15 and AMC-16. As amended, the term of our agreement for satellite services on certain transponders on AMC-15 was extended from December 2014 through the in-service date of EchoStar 105/SES-11. The amended agreement for the AMC-16 satellite services extends the term for the satellite’s entire communications capacity, subject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available power, for one year following expiration of the initial term in February 2015. The extended terms of these agreements are being accounted for as 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of our satellites have experienced anomalies, some of which have had a significant adverse impact on their remaining useful lives and/or the commercial operation of the satellites. There can be no assurance that existing and future anomalies will not further impact the remaining useful life and/or the commercial operation of any of the satellites in our fleet. In addition, there can be no assurance that we can recover critical transmission capacity in the event one or more of our in-orbit satellites were to fail. We generally do not carry in-orbit insurance on our satellites; therefore, we generally bear the risk of any uninsured in-orbit failures. Pursuant to the terms of the agreements governing certain portions of our indebtedness, we are required, subject to certain limitations on coverage, to maintain launch and in-orbit insurance for SPACEWAY 3, EchoStar XVI, and EchoStar XVII.</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previously disclosed in our financial statements as of and for the year ended December 31, 2014 anomalies in prior years that affect our in-service owned and leased satellites, including EchoStar III, EchoStar VI, EchoStar VIII, EchoStar XII, and AMC-16. We are not aware of any additional anomalies that have occurred with respect to any of our owned or leased satellites in 2015 as of the date of this report that affected the commercial operation of these satellites. EchoStar III and EchoStar VI are fully depreciated and EchoStar III is being used as an in-orbit spare; accordingly, the prior anomalies affecting these satellites have not had a significant effect on our operating results and cash flows. EchoStar XII has experienced several anomalies, which have resulted in a loss of electrical power. Those anomalies have not had a significant adverse impact on service under the related satellite services agreement with DISH Network for EchoStar XII; however, the anomalies have increased the risk of future transponder failures that could result in reductions in our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Impairments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our reporting units of our operating segments and is subject to impairment testing annually, or more frequently when events or changes in circumstances indicate the fair value of a reporting unit is more likely than not less than its carrying amount.</w:t>
      </w:r>
    </w:p>
    <w:p>
      <w:pPr>
        <w:sectPr>
          <w:pgSz w:w="11900" w:h="16947" w:orient="portrait"/>
          <w:cols w:equalWidth="0" w:num="1">
            <w:col w:w="11420"/>
          </w:cols>
          <w:pgMar w:left="240" w:top="134" w:right="239" w:bottom="0" w:gutter="0" w:footer="0" w:header="0"/>
        </w:sectPr>
      </w:pPr>
    </w:p>
    <w:bookmarkStart w:id="11" w:name="page12"/>
    <w:bookmarkEnd w:id="11"/>
    <w:p>
      <w:pPr>
        <w:ind w:right="640"/>
        <w:spacing w:after="0" w:line="277" w:lineRule="auto"/>
        <w:rPr>
          <w:sz w:val="20"/>
          <w:szCs w:val="20"/>
          <w:color w:val="auto"/>
        </w:rPr>
      </w:pPr>
      <w:r>
        <w:rPr>
          <w:rFonts w:ascii="Arial" w:cs="Arial" w:eastAsia="Arial" w:hAnsi="Arial"/>
          <w:sz w:val="18"/>
          <w:szCs w:val="18"/>
          <w:color w:val="auto"/>
        </w:rPr>
        <w:t>As of March 31, 2015 and December 31, 2014, all of our goodwill was assigned to reporting units of our Hughes segment. We test this goodwill for impairment annually in the second quarter.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20" w:right="220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w w:val="96"/>
              </w:rPr>
              <w:t>March 31, 2015</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Useful life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228"/>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359"/>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8</w:t>
            </w:r>
          </w:p>
        </w:tc>
        <w:tc>
          <w:tcPr>
            <w:tcW w:w="4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270,300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(168,798)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101,502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270,300</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(161,762)</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108,538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Contract-based</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76"/>
              </w:rPr>
              <w:t>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(63,604)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1,196</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64,800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(61,810)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Technology-based</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(32,856)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18,561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(30,714)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20,703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Trademark portfolio</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(5,693)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24,007</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(5,321)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24,379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Favorable leases</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(4,217)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60" w:type="dxa"/>
            <w:vAlign w:val="bottom"/>
          </w:tcPr>
          <w:p>
            <w:pPr>
              <w:ind w:left="180"/>
              <w:spacing w:after="0" w:line="155" w:lineRule="exact"/>
              <w:rPr>
                <w:sz w:val="20"/>
                <w:szCs w:val="20"/>
                <w:color w:val="auto"/>
              </w:rPr>
            </w:pPr>
            <w:r>
              <w:rPr>
                <w:rFonts w:ascii="Arial" w:cs="Arial" w:eastAsia="Arial" w:hAnsi="Arial"/>
                <w:sz w:val="14"/>
                <w:szCs w:val="14"/>
                <w:color w:val="auto"/>
              </w:rPr>
              <w:t>Total other intangible assets.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420,924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(275,462</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145,462</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420,924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(263,824</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157,100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including amortization of externally marketed capitalized software, was $15.2 million and $17.0 million for the three months ended March 31, 2015 and 2014, respectively.</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March 31, 2015</w:t>
            </w: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jc w:val="right"/>
              <w:ind w:right="617"/>
              <w:spacing w:after="0" w:line="142" w:lineRule="exact"/>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Carrying</w:t>
            </w:r>
          </w:p>
        </w:tc>
        <w:tc>
          <w:tcPr>
            <w:tcW w:w="360" w:type="dxa"/>
            <w:vAlign w:val="bottom"/>
          </w:tcPr>
          <w:p>
            <w:pPr>
              <w:spacing w:after="0"/>
              <w:rPr>
                <w:sz w:val="10"/>
                <w:szCs w:val="10"/>
                <w:color w:val="auto"/>
              </w:rPr>
            </w:pPr>
          </w:p>
        </w:tc>
        <w:tc>
          <w:tcPr>
            <w:tcW w:w="800" w:type="dxa"/>
            <w:vAlign w:val="bottom"/>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57"/>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6 1/2% Senior Secured Notes due 2019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1,203,422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7 5/8% Senior Notes due 2021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994,500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994,500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2,001,777</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2,199,699</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2,001,197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2,172,697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Capital lease obligations</w:t>
            </w:r>
          </w:p>
        </w:tc>
        <w:tc>
          <w:tcPr>
            <w:tcW w:w="5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345,644</w:t>
            </w: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363,966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2,347,421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2,365,163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(28,895)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Long-term portion of debt and capital lease</w:t>
            </w: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20" w:type="dxa"/>
            <w:vAlign w:val="bottom"/>
            <w:vMerge w:val="continue"/>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2,318,526</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2,325,417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360"/>
              <w:spacing w:after="0"/>
              <w:rPr>
                <w:sz w:val="20"/>
                <w:szCs w:val="20"/>
                <w:color w:val="auto"/>
              </w:rPr>
            </w:pPr>
            <w:r>
              <w:rPr>
                <w:rFonts w:ascii="Arial" w:cs="Arial" w:eastAsia="Arial" w:hAnsi="Arial"/>
                <w:sz w:val="18"/>
                <w:szCs w:val="18"/>
                <w:color w:val="auto"/>
              </w:rPr>
              <w:t>obligations</w:t>
            </w:r>
          </w:p>
        </w:tc>
        <w:tc>
          <w:tcPr>
            <w:tcW w:w="7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quarterly tax provision, and our quarterly estimate of our annual effective tax rate, is subject to significant volatility due to several factors, including variability in accurately predicting our pre-tax and taxable income and loss and the mix of jurisdictions to which they relate, income and losses from investments, changes in tax laws and relative changes of expenses or losses for which tax benefits are not recognized. Additionally, our effective tax rate can be more or less volatile based on the amount of pre-tax income. For example, the impact of discrete items and non-deductible expenses on our effective tax rate is greater when our pre-tax income is lower.</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Income tax expense was approximately $18.0 million for the three months ended March 31, 2015 compared to $0.2 million for the three months ended March 31, 2014. Our effective income tax rate was 38.0% for the three months ended March 31, 2015 compared to 1.7% for the same period in 2014. The variation in our effective tax rate from the U.S. federal statutory rate for the same period in 2014 was primarily due to lower state effective tax rate.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20" w:right="220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ectPr>
          <w:pgSz w:w="11900" w:h="16838" w:orient="portrait"/>
          <w:cols w:equalWidth="0" w:num="1">
            <w:col w:w="11340"/>
          </w:cols>
          <w:pgMar w:left="240" w:top="341" w:right="319" w:bottom="0" w:gutter="0" w:footer="0" w:header="0"/>
        </w:sectPr>
      </w:pPr>
    </w:p>
    <w:bookmarkStart w:id="12" w:name="page13"/>
    <w:bookmarkEnd w:id="12"/>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2015, our satellite-related obligations were approximately $922.8 million. Our satellite-related obligations primarily include payments pursuant to agreements for the construction of the EUTELSAT 65 West A and EchoStar 105/SES-11 satellites, payments pursuant to launch services contracts, executory costs for our capital lease satellites, costs under satellite service agreements and in-orbit incentives relating to certain satellites, as well as commitments for long term satellite operating leases and satellite service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2008, DISH Network Corporation contributed its digital set-top box business and certain infrastructure and other assets, including certain of its satellites, uplink and satellite transmission assets, real estate, and other assets and related liabilities to EchoStar (the “Spin-off”). In connection with the Spin-off, EchoStar entered into a separation agreement with DISH Network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 We record an accrual for litigation and other loss contingencies when we determine that a loss is probable and the amount of the loss can be reasonably estimated. Legal fees and other costs of defending litigation are charged to expense as incurred.</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certain cases described below, management is unable to provide a meaningful estimate of the possible loss or range of possible loss because, among other reasons, (i) the proceedings are in various stages; (ii) damages have not been sought; (iii) damages are unsupported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Institute of Technology</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October 1, 2013, the California Institute of Technology (“Caltech”) filed suit against two of our subsidiaries, Hughes Communications, Inc. and Hughes Network Systems, LLC,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claims that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Hopper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set-top box that we design and sell to DISH Network, as well as certain of our Hughes segment’s satellite broadband products and services, infringe the asserted patents by implementing the DVB-S2 standard. On September 26, 2014, Caltech requested leave to amend its Amended Complaint to add us and EchoStar Technologies L.L.C. as defendants, as well as to allege that a number of additional set-top boxes infringe the asserted patents. On November 7, 2014, the Court rejected that request. Additionally, on November 4, 2014, the Court ruled that the patent claims at issue in the suit are directed to patentable subject matter. On February 17, 2015, Caltech filed a second complaint in the same district against the same defendants alleging that Hughes’ Gen4 HT1000 and HT1100 products infringe the same patents asserted in the first case. We answered that complaint on March 24, 2015. The trial for the first case which was scheduled to commence on April 20, 2015, was vacated by the Court on March 16, 2015 and a new trial date has yet to be set. On May 5, 2015, the Court granted summary judgment for us on a number of issues, finding that Caltech’s damages theory improperly apportioned alleged damages, that allegations of infringement against DISH Network, DISH Network L.L.C., and dishNET Satellite Broadband L.L.C. should be dismissed from the case, and affirming that Caltech could not assert infringement under the doctrine of equivalents. The Court also granted motions by Caltech seeking findings that certain of its patents were not indefinite or subject to equitable estoppel. The Court otherwise denied motions for summary judgment, including a motion by Caltech seeking summary judgment of infringement.</w:t>
      </w:r>
    </w:p>
    <w:p>
      <w:pPr>
        <w:spacing w:after="0" w:line="18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our consumers. We cannot predict with any degree of certainty the outcome of the suits or determine the extent of any potential liability or damages.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Elbit</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Hughes Network Systems LLC, as well as against Black Elk Energy Offshore Operations, LLC, Bluetide Communications, Inc. and Helm Hotels</w:t>
      </w:r>
    </w:p>
    <w:p>
      <w:pPr>
        <w:sectPr>
          <w:pgSz w:w="11900" w:h="16908" w:orient="portrait"/>
          <w:cols w:equalWidth="0" w:num="1">
            <w:col w:w="11420"/>
          </w:cols>
          <w:pgMar w:left="240" w:top="121" w:right="239" w:bottom="0" w:gutter="0" w:footer="0" w:header="0"/>
        </w:sectPr>
      </w:pPr>
    </w:p>
    <w:bookmarkStart w:id="13" w:name="page14"/>
    <w:bookmarkEnd w:id="13"/>
    <w:p>
      <w:pPr>
        <w:ind w:right="40"/>
        <w:spacing w:after="0" w:line="254" w:lineRule="auto"/>
        <w:rPr>
          <w:sz w:val="20"/>
          <w:szCs w:val="20"/>
          <w:color w:val="auto"/>
        </w:rPr>
      </w:pPr>
      <w:r>
        <w:rPr>
          <w:rFonts w:ascii="Arial" w:cs="Arial" w:eastAsia="Arial" w:hAnsi="Arial"/>
          <w:sz w:val="18"/>
          <w:szCs w:val="18"/>
          <w:color w:val="auto"/>
        </w:rPr>
        <w:t>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March 16, 2015, the defendants filed motions to dismiss portions of Elbit’s complaint. On April 2, 2015, Elbit responded to those motions to dismiss and further filed an amended complaint removing Helm Hotels Group as a defendant, but making similar allegations against a new defendant Country Home Investments, Inc. On April 20, 2015, defendants filed motions to dismiss portions of Elbit’s amended complaint.</w:t>
      </w:r>
    </w:p>
    <w:p>
      <w:pPr>
        <w:spacing w:after="0" w:line="1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TQ Beta LLC</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30, 2014, TQ Beta LLC (“TQ Beta”) filed suit against DISH Network, DISH DBS Corporation, DISH Network L.L.C., as well as us, EchoStar Technologies, L.L.C, and Sling Media, Inc., a subsidiary of EchoStar,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Trial is set for January 12, 2016.</w:t>
      </w:r>
    </w:p>
    <w:p>
      <w:pPr>
        <w:spacing w:after="0" w:line="17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26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our business. In our opinion, the amount of ultimate liability with respect to any of these actions is unlikely to materially affect our financial position, results of operations or liquidity, though the outcomes could be material to our operating results for any particular period, depending, in part, upon the operating results for such period.</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the chief operating decision maker (“CODM”), who for HSS, is the Company’s Chief Executive Officer. Under this definition, we operate two primary business segments.</w:t>
      </w:r>
    </w:p>
    <w:p>
      <w:pPr>
        <w:spacing w:after="0" w:line="181" w:lineRule="exact"/>
        <w:rPr>
          <w:sz w:val="20"/>
          <w:szCs w:val="20"/>
          <w:color w:val="auto"/>
        </w:rPr>
      </w:pPr>
    </w:p>
    <w:p>
      <w:pPr>
        <w:ind w:left="660" w:right="12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 </w:t>
      </w:r>
      <w:r>
        <w:rPr>
          <w:rFonts w:ascii="Arial" w:cs="Arial" w:eastAsia="Arial" w:hAnsi="Arial"/>
          <w:sz w:val="18"/>
          <w:szCs w:val="18"/>
          <w:color w:val="auto"/>
        </w:rPr>
        <w:t>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660" w:right="30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 </w:t>
      </w:r>
      <w:r>
        <w:rPr>
          <w:rFonts w:ascii="Arial" w:cs="Arial" w:eastAsia="Arial" w:hAnsi="Arial"/>
          <w:sz w:val="18"/>
          <w:szCs w:val="18"/>
          <w:color w:val="auto"/>
        </w:rPr>
        <w:t>which uses certain of our owned and leased in-orbit satellites and related licenses to provide satellite services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full-time and occasional-use basis primarily to DISH Network, Dish Mexico, U.S. government service providers, internet service providers, broadcast news organizations, programmers, and private enterprise customers.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were not significant for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EchoStar</w:t>
            </w:r>
          </w:p>
        </w:tc>
        <w:tc>
          <w:tcPr>
            <w:tcW w:w="240" w:type="dxa"/>
            <w:vAlign w:val="bottom"/>
          </w:tcPr>
          <w:p>
            <w:pPr>
              <w:spacing w:after="0"/>
              <w:rPr>
                <w:sz w:val="14"/>
                <w:szCs w:val="14"/>
                <w:color w:val="auto"/>
              </w:rPr>
            </w:pPr>
          </w:p>
        </w:tc>
        <w:tc>
          <w:tcPr>
            <w:tcW w:w="1080" w:type="dxa"/>
            <w:vAlign w:val="bottom"/>
          </w:tcPr>
          <w:p>
            <w:pPr>
              <w:jc w:val="center"/>
              <w:ind w:right="178"/>
              <w:spacing w:after="0"/>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Hughes</w:t>
            </w:r>
          </w:p>
        </w:tc>
        <w:tc>
          <w:tcPr>
            <w:tcW w:w="300" w:type="dxa"/>
            <w:vAlign w:val="bottom"/>
          </w:tcPr>
          <w:p>
            <w:pPr>
              <w:spacing w:after="0"/>
              <w:rPr>
                <w:sz w:val="12"/>
                <w:szCs w:val="12"/>
                <w:color w:val="auto"/>
              </w:rPr>
            </w:pPr>
          </w:p>
        </w:tc>
        <w:tc>
          <w:tcPr>
            <w:tcW w:w="1000" w:type="dxa"/>
            <w:vAlign w:val="bottom"/>
          </w:tcPr>
          <w:p>
            <w:pPr>
              <w:jc w:val="right"/>
              <w:ind w:right="319"/>
              <w:spacing w:after="0" w:line="149" w:lineRule="exact"/>
              <w:rPr>
                <w:sz w:val="20"/>
                <w:szCs w:val="20"/>
                <w:color w:val="auto"/>
              </w:rPr>
            </w:pPr>
            <w:r>
              <w:rPr>
                <w:rFonts w:ascii="Arial" w:cs="Arial" w:eastAsia="Arial" w:hAnsi="Arial"/>
                <w:sz w:val="14"/>
                <w:szCs w:val="14"/>
                <w:b w:val="1"/>
                <w:bCs w:val="1"/>
                <w:color w:val="auto"/>
              </w:rPr>
              <w:t>Satellite</w:t>
            </w:r>
          </w:p>
        </w:tc>
        <w:tc>
          <w:tcPr>
            <w:tcW w:w="24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Other and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9"/>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08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Eliminations</w:t>
            </w:r>
          </w:p>
        </w:tc>
        <w:tc>
          <w:tcPr>
            <w:tcW w:w="2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3"/>
          </w:tcPr>
          <w:p>
            <w:pPr>
              <w:jc w:val="right"/>
              <w:ind w:right="818"/>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For the Three Months Ended March, 31, 2015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External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324,950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125,198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450,234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325,280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125,398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450,234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64,527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27,783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92,310</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ind w:left="660"/>
              <w:spacing w:after="0"/>
              <w:rPr>
                <w:sz w:val="20"/>
                <w:szCs w:val="20"/>
                <w:color w:val="auto"/>
              </w:rPr>
            </w:pPr>
            <w:r>
              <w:rPr>
                <w:rFonts w:ascii="Arial" w:cs="Arial" w:eastAsia="Arial" w:hAnsi="Arial"/>
                <w:sz w:val="18"/>
                <w:szCs w:val="18"/>
                <w:color w:val="auto"/>
              </w:rPr>
              <w:t>EBITDA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91,273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106,419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1,289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198,981</w:t>
            </w:r>
          </w:p>
        </w:tc>
        <w:tc>
          <w:tcPr>
            <w:tcW w:w="9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For the Three Months Ended March, 31, 2014</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External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314,371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99,872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414,243</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949</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314,771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100,821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414,313</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45,972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46,001</w:t>
            </w:r>
          </w:p>
        </w:tc>
        <w:tc>
          <w:tcPr>
            <w:tcW w:w="9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81,939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84,782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779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167,500</w:t>
            </w:r>
          </w:p>
        </w:tc>
        <w:tc>
          <w:tcPr>
            <w:tcW w:w="92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790"/>
              <w:spacing w:after="0"/>
              <w:rPr>
                <w:sz w:val="20"/>
                <w:szCs w:val="20"/>
                <w:color w:val="auto"/>
              </w:rPr>
            </w:pPr>
            <w:r>
              <w:rPr>
                <w:rFonts w:ascii="Arial" w:cs="Arial" w:eastAsia="Arial" w:hAnsi="Arial"/>
                <w:sz w:val="18"/>
                <w:szCs w:val="18"/>
                <w:color w:val="auto"/>
                <w:w w:val="89"/>
              </w:rPr>
              <w:t>16</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reconciles total consolidated EBITDA to reported “Net income attributable to HSS” in our condensed consolidated statements of operations and comprehensive income (loss):</w:t>
      </w:r>
    </w:p>
    <w:p>
      <w:pPr>
        <w:spacing w:after="0" w:line="162"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For the Three Months Ended</w:t>
      </w:r>
    </w:p>
    <w:p>
      <w:pPr>
        <w:jc w:val="center"/>
        <w:ind w:left="3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198,981</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167,500</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(43,987)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(47,792)</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(108,185)</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Income tax provision, net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1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HSS</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and EchoStar have agreed that we shall have the right, but not the obligation, to receive from EchoStar certain corporate services, including among other things: treasury, tax, accounting and reporting, risk management, legal, internal audit, human resources, and information technology. In addition, we occupy certain office space in buildings owned by EchoStar and pay a portion of the taxes, insurance, utilities and maintenance of the premises in accordance with the percentage of the space we occupy. These services are provided at cost. We may terminate a particular service we receive from EchoStar for any reason upon at least 30 days’ notice. We recorded expenses for services received from EchoStar of $3.4 million and $2.8 million for the three months ended March 31, 2015 and 2014,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Following the Spin-off, EchoStar and DISH Network have operated as separate publicly-traded companies. However, pursuant to the Satellite and Tracking Stock Transaction, described in Note 2 and below, DISH Network owns Hughes Retail Preferred Tracking Stock representing an aggregate 80.0% economic interest in the residential retail satellite broadband business of our Hughes segment, including certain operations, assets and liabilities attributed to such business. In addition, a substantial majority of the voting power of the shares of EchoStar and DISH Network is owned beneficially by Charles W. Ergen, our Chairman, and by certain trusts established by Mr. Ergen for the benefit of his family.</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connection with and following the Spin-off, EchoStar and DISH Network have entered into certain agreements pursuant to which we and EchoStar obtain certain products, services and rights from DISH Network; DISH Network obtains certain products, services and rights from us and EchoStar; and we and DISH Network have indemnified each other against certain liabilities arising from our respective businesses. EchoStar also may enter into additional agreements with DISH Network in the future. Generally, the amounts DISH Network pays for products and services provided under the agreements are based on our cost plus a fixed margin (unless noted differently below), which varies depending on the nature of the products and services provided.</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summary of the terms of the principal agreements that we or EchoStar have entered into with DISH Network that may have an impact on our financial position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Satellite Services Provided to DISH Network. </w:t>
      </w:r>
      <w:r>
        <w:rPr>
          <w:rFonts w:ascii="Arial" w:cs="Arial" w:eastAsia="Arial" w:hAnsi="Arial"/>
          <w:sz w:val="17"/>
          <w:szCs w:val="17"/>
          <w:color w:val="auto"/>
        </w:rPr>
        <w:t>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jc w:val="both"/>
        <w:ind w:left="340" w:right="200"/>
        <w:spacing w:after="0" w:line="264" w:lineRule="auto"/>
        <w:rPr>
          <w:sz w:val="20"/>
          <w:szCs w:val="20"/>
          <w:color w:val="auto"/>
        </w:rPr>
      </w:pPr>
      <w:r>
        <w:rPr>
          <w:rFonts w:ascii="Arial" w:cs="Arial" w:eastAsia="Arial" w:hAnsi="Arial"/>
          <w:sz w:val="18"/>
          <w:szCs w:val="18"/>
          <w:i w:val="1"/>
          <w:iCs w:val="1"/>
          <w:color w:val="auto"/>
        </w:rPr>
        <w:t xml:space="preserve">EchoStar I, EchoStar VII, EchoStar X, EchoStar XI and EchoStar XIV. </w:t>
      </w:r>
      <w:r>
        <w:rPr>
          <w:rFonts w:ascii="Arial" w:cs="Arial" w:eastAsia="Arial" w:hAnsi="Arial"/>
          <w:sz w:val="18"/>
          <w:szCs w:val="18"/>
          <w:color w:val="auto"/>
        </w:rPr>
        <w:t>As part of the Satellite and Tracking Stock Transaction discussed in Note 2,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2014, we began providing certain satellite services to DISH Network on the EchoStar I, EchoStar VII, EchoStar X, EchoStar XI and EchoStar XIV satellites. The term of</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ectPr>
          <w:pgSz w:w="11900" w:h="16838" w:orient="portrait"/>
          <w:cols w:equalWidth="0" w:num="1">
            <w:col w:w="11460"/>
          </w:cols>
          <w:pgMar w:left="240" w:top="125" w:right="19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w:t>
      </w:r>
    </w:p>
    <w:p>
      <w:pPr>
        <w:spacing w:after="0" w:line="187"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i w:val="1"/>
          <w:iCs w:val="1"/>
          <w:color w:val="auto"/>
        </w:rPr>
        <w:t xml:space="preserve">EchoStar VIII. </w:t>
      </w:r>
      <w:r>
        <w:rPr>
          <w:rFonts w:ascii="Arial" w:cs="Arial" w:eastAsia="Arial" w:hAnsi="Arial"/>
          <w:sz w:val="18"/>
          <w:szCs w:val="18"/>
          <w:color w:val="auto"/>
        </w:rPr>
        <w:t>In May 2013, DISH Network began receiving satellite services from us on EchoStar VIII as an in-orbit spare. Effective March 1, 2014,</w:t>
      </w:r>
      <w:r>
        <w:rPr>
          <w:rFonts w:ascii="Arial" w:cs="Arial" w:eastAsia="Arial" w:hAnsi="Arial"/>
          <w:sz w:val="18"/>
          <w:szCs w:val="18"/>
          <w:i w:val="1"/>
          <w:iCs w:val="1"/>
          <w:color w:val="auto"/>
        </w:rPr>
        <w:t xml:space="preserve"> </w:t>
      </w:r>
      <w:r>
        <w:rPr>
          <w:rFonts w:ascii="Arial" w:cs="Arial" w:eastAsia="Arial" w:hAnsi="Arial"/>
          <w:sz w:val="18"/>
          <w:szCs w:val="18"/>
          <w:color w:val="auto"/>
        </w:rPr>
        <w:t>this satellite services arrangement converted to a month-to-month service agreement. Both parties have the right to terminate this agreement upon 30 days’ notice.</w:t>
      </w:r>
    </w:p>
    <w:p>
      <w:pPr>
        <w:spacing w:after="0" w:line="18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Effective January 2008, DISH Network began receiving satellite services from us on EchoStar IX. Subject to availability, DISH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has the right to continue to receive satellite services from us on EchoStar IX on a month-to-month basis.</w:t>
      </w:r>
    </w:p>
    <w:p>
      <w:pPr>
        <w:spacing w:after="0" w:line="170"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receives satellite services from us on EchoStar XII. The term of the satellite services agreement terminates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(i) the end of life of the satellite; (ii) the date the satellite fails or the date the transponder(s) on which the service was being provided under the agreement fails; or (iii) a certain date, which depends upon, among other things, the estimated useful life of the satellite. DISH Network generally has the option to renew the agreement on a year-to-year basis through the end of the satellite’s life. There can be no assurance that any options to renew this agreement will be exercised.</w:t>
      </w:r>
    </w:p>
    <w:p>
      <w:pPr>
        <w:spacing w:after="0" w:line="188"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During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receives satellite services from us on EchoStar XVI. Effective December 21,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Prior to expiration of the initial term, we, upon certain conditions, and DISH Network have the option to renew for an additional six-year period. If either we or DISH Network exercise our respective six-year renewal options, DISH Network has the option to renew for an additional five-year period prior to expiration of the then-current term. There can be no assurance that any option to renew this agreement will be exercised. We began to provide satellite services on EchoStar XVI to DISH Network in January 2013.</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Nimiq 5 Agreement. </w:t>
      </w:r>
      <w:r>
        <w:rPr>
          <w:rFonts w:ascii="Arial" w:cs="Arial" w:eastAsia="Arial" w:hAnsi="Arial"/>
          <w:sz w:val="16"/>
          <w:szCs w:val="16"/>
          <w:color w:val="auto"/>
        </w:rPr>
        <w:t>During 2009, we entered into a fifteen-year satellite service agreement with Telesat Canada (“Telesat”) to receive service on all</w:t>
      </w:r>
    </w:p>
    <w:p>
      <w:pPr>
        <w:spacing w:after="0" w:line="4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32 DBS transponders on the Nimiq 5 satellite at the 72.7 degree west longitude orbital location (the “Telesat Transponder Agreement”). During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90"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it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89"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During 2008, we entered into a ten-year satellite service agreement with SES Latin America, which provides, among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QuetzSat-1. QuetzSat-1 was launched on September 29, 2011 and was placed into service during the fourth quarter of 2011 at the 67.1 degree west longitude orbital location. In the interim, we provided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DISH Network with alternate capacity at the 77 degree west longitude orbital location. During the third quarter of 2012, we and DISH Network entered into an agreement pursuant to which we receive certain satellite services from DISH Network on five DBS transponders on the QuetzSat-1 satellite. In January 2013, QuetzSat-1 was moved to the 77 degree west longitude orbital location and DISH Network commenced commercial operations at such location in February 2013.</w:t>
      </w:r>
    </w:p>
    <w:p>
      <w:pPr>
        <w:spacing w:after="0" w:line="18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During May 2012, we entered into a spectrum development agreement (the “103 Spectrum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Ciel Satellite Holdings Inc. (“Ciel”) to develop certain spectrum rights at the 103 degree west longitude orbital location (the “103 Spectrum Rights”). During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 Agreement.</w:t>
      </w:r>
    </w:p>
    <w:p>
      <w:pPr>
        <w:sectPr>
          <w:pgSz w:w="11900" w:h="16838" w:orient="portrait"/>
          <w:cols w:equalWidth="0" w:num="1">
            <w:col w:w="11420"/>
          </w:cols>
          <w:pgMar w:left="240" w:top="125" w:right="239" w:bottom="0" w:gutter="0" w:footer="0" w:header="0"/>
        </w:sectPr>
      </w:pPr>
    </w:p>
    <w:bookmarkStart w:id="16" w:name="page17"/>
    <w:bookmarkEnd w:id="16"/>
    <w:p>
      <w:pPr>
        <w:spacing w:after="0" w:line="69"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In connection with the 103 Spectrum Development Agreement, during May 2012, we also entered into a ten-year service agreement with Ciel pursuant to which we receive certain satellite services from Ciel on the SES-3 satellite at the 103 degree orbital location (the “103 Service Agreement”). During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ten years following the actual service commencement date.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82"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 xml:space="preserve">Satellite and Tracking Stock Transaction. </w:t>
      </w:r>
      <w:r>
        <w:rPr>
          <w:rFonts w:ascii="Arial" w:cs="Arial" w:eastAsia="Arial" w:hAnsi="Arial"/>
          <w:sz w:val="17"/>
          <w:szCs w:val="17"/>
          <w:color w:val="auto"/>
        </w:rPr>
        <w:t>On February 20, 2014, we entered into agreements with DISH Network to implement a transaction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among other things: (i) on March 1, 2014, EchoStar and HSS issued shares of the Tracking Stock to DISH Network in exchange for five satellites owned by DISH Network (EchoStar I, EchoStar VII, EchoStar X, EchoStar XI and EchoStar XIV) (including related in-orbit incentive obligations and interest payments of approximately $58.9 million) and approximately $11.4 million in cash; and (ii) on March 1, 2014, DISH Network began receiving certain satellite services on these five satellites from us. See Note 2 for further information.</w:t>
      </w:r>
    </w:p>
    <w:p>
      <w:pPr>
        <w:spacing w:after="0" w:line="1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 xml:space="preserve">TT&amp;C Agreement. </w:t>
      </w:r>
      <w:r>
        <w:rPr>
          <w:rFonts w:ascii="Arial" w:cs="Arial" w:eastAsia="Arial" w:hAnsi="Arial"/>
          <w:sz w:val="17"/>
          <w:szCs w:val="17"/>
          <w:color w:val="auto"/>
        </w:rPr>
        <w:t>Effective January 1, 2012, we entered into a telemetry, tracking and control (“TT&amp;C”) agreement pursuant to which we provide TT&amp;C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to DISH Network and its subsidiaries for a period ending on December 31, 2016 (the “2012 TT&amp;C Agreement”).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the Satellite and Tracking Stock Transaction, on February 20, 2014, we amended the TT&amp;C Agreement to cease the provision of TT&amp;C services to DISH Network for the EchoStar I, EchoStar VII, EchoStar 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EchoStar XI and EchoStar XIV satellites. Effective March 1, 2014, we provide TT&amp;C services for DISH Network’s D-1 satellite.</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Blockbuster Agreements. </w:t>
      </w:r>
      <w:r>
        <w:rPr>
          <w:rFonts w:ascii="Arial" w:cs="Arial" w:eastAsia="Arial" w:hAnsi="Arial"/>
          <w:sz w:val="17"/>
          <w:szCs w:val="17"/>
          <w:color w:val="auto"/>
        </w:rPr>
        <w:t>On April 26, 2011, DISH Network acquired substantially all of the assets of Blockbuster, Inc. (the “Blockbuster Acquisition”).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8, 2011, we completed the Hughes Acquisition. Hughes Network Systems, LLC (“HNS”) provided certain broadband products and services to Blockbuster, Inc. (“Blockbuster”) pursuant to an agreement that was entered into prior to the Blockbuster Acquisition and the Hughes Acquisition. Subsequent to both the Blockbuster Acquisition and the Hughes Acquisition, Blockbuster entered into a new agreement with HNS pursuant to which Blockbuster could continue to purchase broadband products and services from our Hughes segment (the “Blockbuster VSAT Agreement”).</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Effective February 1, 2014, all services to all Blockbuster locations, including Blockbuster franchisee locations, terminated in connection with the closing of all of the Blockbuster retail locations.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 xml:space="preserve">Radio Access Network Agreement. </w:t>
      </w:r>
      <w:r>
        <w:rPr>
          <w:rFonts w:ascii="Arial" w:cs="Arial" w:eastAsia="Arial" w:hAnsi="Arial"/>
          <w:sz w:val="18"/>
          <w:szCs w:val="18"/>
          <w:color w:val="auto"/>
        </w:rPr>
        <w:t>On November 29, 2012, HNS entered into an agreement with DISH Network L.L.C. pursuant to which HNS constructed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DISH Network a ground-based satellite radio access network for a fixed fee. The parties mutually agreed to terminate this agreement in the fourth quarter of 2014.</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On March 9, 2012, DISH Network completed its acquisition of substantially all the assets of TerreStar Networks Inc. (“TerreStar”).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DISH Network’s acquisition of substantially all the assets of TerreStar and our completion of the Hughes Acquisition, TerreStar and HNS entered into various agreements pursuant to which our Hughes segment provides, among other things, hosting, operations and maintenance services for TerreStar’s satellite gateway and associated ground infrastructure. These agreements generally may be terminated by DISH Network at any time for convenience.</w:t>
      </w:r>
    </w:p>
    <w:p>
      <w:pPr>
        <w:spacing w:after="0" w:line="1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Hughes Broadband Distribution Agreement. </w:t>
      </w:r>
      <w:r>
        <w:rPr>
          <w:rFonts w:ascii="Arial" w:cs="Arial" w:eastAsia="Arial" w:hAnsi="Arial"/>
          <w:sz w:val="17"/>
          <w:szCs w:val="17"/>
          <w:color w:val="auto"/>
        </w:rPr>
        <w:t>Effective October 1,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beginning January 1, 2014, based upon certain volume subscription thresholds. The Distribution Agreement also provides that dishNET has the right, but not the obligation, to purchase certain broadband equipment from us to support the sale of the Hughes service. The Distribution Agreement has an initial term of five years with automatic renewal for successive one year terms unless terminated by either party with a written notice at least 180 days before the expiration of the then-current term. On February 20, 2014, HNS and dishNET entered into an amendment to the Distribution Agreement which, among other things, extended the initial term of the Distribution Agreement through March 1,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On March 9, 2012, DISH Network completed its acquisition of 100%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an agreement pursuant to which our Hughes segment provides, among other things, hosting, operations and maintenance services of DBSD North America’s satellite gateway and associated ground infrastructure. This agreement automatically renewed for a one-year period ending on February 15, 2016, and will renew for one additional one-year period unless terminated by DBSD North America upon at least 30 days’ notice prior to the expiration of any renewal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services and other — DISH Network”</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Satellite Services Received from DISH Network. </w:t>
      </w:r>
      <w:r>
        <w:rPr>
          <w:rFonts w:ascii="Arial" w:cs="Arial" w:eastAsia="Arial" w:hAnsi="Arial"/>
          <w:sz w:val="16"/>
          <w:szCs w:val="16"/>
          <w:color w:val="auto"/>
        </w:rPr>
        <w:t>Since the Spin-off, EchoStar entered into certain satellite services agreements pursuant to which, it receives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satellite services from DISH Network on certain satellites owned or leased by DISH Network. The fees for the services provided under these satellite</w:t>
      </w:r>
    </w:p>
    <w:p>
      <w:pPr>
        <w:sectPr>
          <w:pgSz w:w="11900" w:h="16908" w:orient="portrait"/>
          <w:cols w:equalWidth="0" w:num="1">
            <w:col w:w="11420"/>
          </w:cols>
          <w:pgMar w:left="240" w:top="125" w:right="239" w:bottom="0" w:gutter="0" w:footer="0" w:header="0"/>
        </w:sectPr>
      </w:pPr>
    </w:p>
    <w:bookmarkStart w:id="17" w:name="page18"/>
    <w:bookmarkEnd w:id="17"/>
    <w:p>
      <w:pPr>
        <w:spacing w:after="0" w:line="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services agreements depend, among other things, upon the orbital location of the applicable satellite, the number of transponders that are providing services on the applicable satellite and the length of the service term. In November 2012, HNS entered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into a satellite service agreement pursuant to which HNS received satellite services from DISH Network on the D-1 satellite for 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terminated on 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Professional Services Agreement. </w:t>
      </w:r>
      <w:r>
        <w:rPr>
          <w:rFonts w:ascii="Arial" w:cs="Arial" w:eastAsia="Arial" w:hAnsi="Arial"/>
          <w:sz w:val="16"/>
          <w:szCs w:val="16"/>
          <w:color w:val="auto"/>
        </w:rPr>
        <w:t>In connection with the Spin-off, EchoStar entered into various agreements with DISH Network including the Transition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Agreement, Satellite Procurement Agreement and Services Agreement, which all expired on January 1, 2010 and were replaced by a Professional Services Agreement. During 2009, EchoStar and DISH Network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EchoStar (previously provided under the Services Agreement) and other support services. A portion of these costs and expenses have been allocated to us in the manner described above under the caption “EchoStar.” The Professional Services Agreement automatically renewed on January 1, 2015 for an additional one-year period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Real Estate Lease Agreements</w:t>
      </w:r>
      <w:r>
        <w:rPr>
          <w:rFonts w:ascii="Arial" w:cs="Arial" w:eastAsia="Arial" w:hAnsi="Arial"/>
          <w:sz w:val="17"/>
          <w:szCs w:val="17"/>
          <w:color w:val="auto"/>
        </w:rPr>
        <w:t>. Since the Spin-off, we have entered into lease agreements pursuant to which we lease certain real estate from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The rent on a per square foot basis for each of the leases is comparable to per square foot rental rates of similar commercial property in the same geographic area at the time of the lease, and we are responsible for our portion of the taxes, insurance, utilities and maintenance of the premises. The license for certain space at 796 East Utah Valley Drive in American Fork, Utah is for a period ending on July 31, 2017, subject to the terms of the underlying lease agreement. This license was terminated during the fourth quarter of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As a subsidiary of EchoStar, we are an indirect party to EchoStar’s tax sharing agreement with DISH Network that was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Spin-off. This agreement governs EchoStar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EchoStar’s stock, stock options or assets; (ii) any action that EchoStar takes or fails to take; or (iii) any action that EchoStar takes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light of the tax sharing agreement, among other things, and in connection with EchoStar’s consolidated federal income tax returns for certain tax years prior to and for the year of the Spin-off, during the third quarter of 2013, EchoStar and DISH Network agreed upon a supplemental allocation of the tax benefits arising from certain tax items resolved in the course of the IRS’s examination of EchoStar’s consolidated tax returns. As a result, DISH Network agreed to pay EchoStar an amount that includes $93.1 million of the federal tax benefit they received as a result of our operations, which has been classified as other noncurrent assets in our consolidated balance sheets as of March 31, 2015 and December 31,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contract with Hughes Systique for software development services. In February 2008, Hughes agreed to make available to Hughes Systique a term loan facility of up to $1.5 million. Also in 2008, Hughes funded an initial $0.5 million to Hughes Systique pursuant to the term loan facility. In 2009, HNS funded the remaining $1.0 million of its $1.5 million commitment under the term loan facility. The loans bear interest at 6%, payable annually, and are convertible into shares of Hughes Systique upon non-payment or an event of default. In May 2014, Hughes and Hughes Systique entered into an amendment to the term loan facility to increase the interest rate from 6% to 8%, payable annually, to reflect current market conditions. The loans, as amended, matured on May 1, 2015. In April 2015, Hughes Systique repaid $0.7 million of the outstanding principal of the loan and we extended the maturity date of the loan to May 1,</w:t>
      </w:r>
    </w:p>
    <w:p>
      <w:pPr>
        <w:sectPr>
          <w:pgSz w:w="11900" w:h="16934" w:orient="portrait"/>
          <w:cols w:equalWidth="0" w:num="1">
            <w:col w:w="11420"/>
          </w:cols>
          <w:pgMar w:left="240" w:top="125" w:right="239" w:bottom="0" w:gutter="0" w:footer="0" w:header="0"/>
        </w:sectPr>
      </w:pPr>
    </w:p>
    <w:bookmarkStart w:id="18" w:name="page19"/>
    <w:bookmarkEnd w:id="18"/>
    <w:p>
      <w:pPr>
        <w:spacing w:after="0" w:line="4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2016 on the same terms. In addition to our 44.1% ownership in Hughes Systique, Mr. Pradman Kaul, the President of Hughes Communications, Inc. and a member of EchoStar’s Board of Directors and his brother, who is the CEO and President of Hughes Systique, in the aggregate, owned approximately 25.9%, on an undiluted basis, of Hughes Systique’s outstanding shares as of March 31, 2015. Furthermore, Mr. Pradman Kaul serves on the board of directors of Hughes Systique. We are considered the “primary beneficiary” of Hughes Systique due to, among other factors, our ability to significantly influence and direct the operating and financial decisions of Hughes Systique and our obligation to provide financial support in the form of term loans. As a result, we are required to consolidate Hughes Systique’s financial statements in our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EchoStar owns 49% of an entity that provides direct-to-home satellite service in Mexico known as Dish Mexico, and we provide certain satellite services to Dish Mexico. We recognized satellite services revenue from Dish Mexico of approximately $5.8 million for each of the three months ended March 31, 2015 and 2014. As of March 31, 2015 and December 31, 2014, we had trade accounts receivable from Dish Mexico of approximately $3.9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$0.7 million and $0.9 million for the three months ended March 31, 2015 and 2014, respectively. As of March 31, 2015 and December 31, 2014, we had trade accounts receivable from Deluxe of approximately $0.1 million and $0.2 million, respectively.</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Supplemental Guarantor and Non-Guarantor Financial Information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Certain of our wholly-owned subsidiaries (together, the “Guarantor Subsidiaries”) have fully and unconditionally guaranteed, on a joint and several basis, the obligations of our 6 1/2% senior secured notes due 2019 and 7 5/8 % senior notes due 2021 (collectively, the “Notes”), which were issued on June 1, 2011. See Note 10 for further information on the Notes.</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lieu of separate financial statements of the Guarantor Subsidiaries, condensed consolidating financial information prepared in accordance with Rule 3-10(f) of Regulation S-X is presented below, including the condensed balance sheet information, the condensed statement of operations and comprehensive income (loss) information and the condensed statement of cash flows information of HSS, the Guarantor Subsidiaries on a combined basis and the non-guarantor subsidiaries of HSS on a combined basis and the eliminations necessary to arrive at the corresponding information of HSS on a consolidated basis.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indentures governing the Notes contain restrictive covenants that, among other things, impose limitations on our ability and the ability of our restricted subsidiaries to pay dividends or make distributions, incur additional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make certain investments, create liens or enter into sale and leaseback transactions, merge or consolidate with another company, transfer and sell assets, or enter into transactions with affiliates.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condensed consolidating financial information presented below should be read in conjunction with our condensed consolidated financial statements and notes thereto included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March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157,464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30,188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31,741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219,393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Marketable investment securities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101,934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37,241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139,175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DISH Network, net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52,084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62,656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Advances to affiliates, net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270,431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(269,729)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180,378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24,494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200,403</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583,725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659,776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10,559</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18,698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2,217,402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Regulatory authorizations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471,658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504,173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145,462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145,462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3,094,800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85,538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(3,180,338)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51,829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163,600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209,156</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3,741,613</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4,256,825</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165,438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(3,471,252</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4,692,624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Shareholders’ Equity (Deficit)</w:t>
            </w: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92,156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11,133</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103,289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 DISH Network</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19" w:name="page20"/>
    <w:bookmarkEnd w:id="19"/>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Current portion of long-term debt and capital lease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26,533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ind w:right="4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28,895</w:t>
            </w:r>
          </w:p>
        </w:tc>
        <w:tc>
          <w:tcPr>
            <w:tcW w:w="40" w:type="dxa"/>
            <w:vAlign w:val="bottom"/>
          </w:tcPr>
          <w:p>
            <w:pPr>
              <w:spacing w:after="0"/>
              <w:rPr>
                <w:sz w:val="18"/>
                <w:szCs w:val="18"/>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affiliates,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(269,729)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7,740</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64,113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24,119</w:t>
            </w:r>
          </w:p>
        </w:tc>
        <w:tc>
          <w:tcPr>
            <w:tcW w:w="14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188,396</w:t>
            </w:r>
          </w:p>
        </w:tc>
        <w:tc>
          <w:tcPr>
            <w:tcW w:w="40" w:type="dxa"/>
            <w:vAlign w:val="bottom"/>
          </w:tcPr>
          <w:p>
            <w:pPr>
              <w:spacing w:after="0"/>
              <w:rPr>
                <w:sz w:val="18"/>
                <w:szCs w:val="18"/>
                <w:color w:val="auto"/>
              </w:rPr>
            </w:pP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360,798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Long-term debt and capital lease obligations, net of</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316,977</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4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2,318,526</w:t>
            </w:r>
          </w:p>
        </w:tc>
        <w:tc>
          <w:tcPr>
            <w:tcW w:w="4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8,385</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660,403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(14,289)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646,177</w:t>
            </w:r>
          </w:p>
        </w:tc>
        <w:tc>
          <w:tcPr>
            <w:tcW w:w="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HSS shareholders’ equity (deficit)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3,094,800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85,538</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(3,180,338)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1,380,815</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10,382</w:t>
            </w:r>
          </w:p>
        </w:tc>
        <w:tc>
          <w:tcPr>
            <w:tcW w:w="140" w:type="dxa"/>
            <w:vAlign w:val="bottom"/>
          </w:tcPr>
          <w:p>
            <w:pPr>
              <w:spacing w:after="0"/>
              <w:rPr>
                <w:sz w:val="18"/>
                <w:szCs w:val="18"/>
                <w:color w:val="auto"/>
              </w:rPr>
            </w:pPr>
          </w:p>
        </w:tc>
        <w:tc>
          <w:tcPr>
            <w:tcW w:w="1660" w:type="dxa"/>
            <w:vAlign w:val="bottom"/>
            <w:gridSpan w:val="3"/>
          </w:tcPr>
          <w:p>
            <w:pPr>
              <w:jc w:val="right"/>
              <w:ind w:right="4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10,382</w:t>
            </w:r>
          </w:p>
        </w:tc>
        <w:tc>
          <w:tcPr>
            <w:tcW w:w="40" w:type="dxa"/>
            <w:vAlign w:val="bottom"/>
          </w:tcPr>
          <w:p>
            <w:pPr>
              <w:spacing w:after="0"/>
              <w:rPr>
                <w:sz w:val="18"/>
                <w:szCs w:val="18"/>
                <w:color w:val="auto"/>
              </w:rPr>
            </w:pPr>
          </w:p>
        </w:tc>
      </w:tr>
      <w:tr>
        <w:trPr>
          <w:trHeight w:val="223"/>
        </w:trPr>
        <w:tc>
          <w:tcPr>
            <w:tcW w:w="4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 (deficit)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3,741,613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4,256,825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(3,471,252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Balance Sheet as of December 31, 2014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142,762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51,592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31,203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Marketable investment securities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96,881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DISH Network,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19,118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Advances to affiliates,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191,384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(190,658)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42,996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176,657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531,251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585,180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107,543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1,028,836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Regulatory authorizations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471,658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504,173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157,100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83,644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(3,122,628)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Advances to affiliates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39,062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161,763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3,619,550</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4,197,819</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167,397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(3,320,182</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4,664,584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Shareholders’ Equity (Deficit)</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82,928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 DISH Network</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Current portion of long-term debt and capital lease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37,979</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39,746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affiliates,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(190,658)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66,000</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81,337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29,757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203,756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Long-term debt and capital lease obligations, net of</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323,889</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2,325,417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631,190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631,265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HSS shareholders’ equity (deficit)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(3,122,628)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 (deficit)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3,619,550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4,197,819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(3,320,182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jc w:val="center"/>
        <w:ind w:right="6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March 31, 2015. </w:t>
      </w:r>
      <w:r>
        <w:rPr>
          <w:rFonts w:ascii="Arial" w:cs="Arial" w:eastAsia="Arial" w:hAnsi="Arial"/>
          <w:sz w:val="18"/>
          <w:szCs w:val="18"/>
          <w:color w:val="auto"/>
        </w:rPr>
        <w:t>(In thousands)</w:t>
      </w:r>
    </w:p>
    <w:p>
      <w:pPr>
        <w:sectPr>
          <w:pgSz w:w="11900" w:h="16847"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4920"/>
        <w:spacing w:after="0"/>
        <w:tabs>
          <w:tab w:leader="none" w:pos="6120" w:val="left"/>
          <w:tab w:leader="none" w:pos="7760" w:val="left"/>
          <w:tab w:leader="none" w:pos="8940" w:val="left"/>
          <w:tab w:leader="none" w:pos="10580" w:val="left"/>
        </w:tabs>
        <w:rPr>
          <w:sz w:val="20"/>
          <w:szCs w:val="20"/>
          <w:color w:val="auto"/>
        </w:rPr>
      </w:pPr>
      <w:r>
        <w:rPr>
          <w:rFonts w:ascii="Arial" w:cs="Arial" w:eastAsia="Arial" w:hAnsi="Arial"/>
          <w:sz w:val="14"/>
          <w:szCs w:val="14"/>
          <w:b w:val="1"/>
          <w:bCs w:val="1"/>
          <w:color w:val="auto"/>
        </w:rPr>
        <w:t>HSS</w:t>
      </w:r>
      <w:r>
        <w:rPr>
          <w:sz w:val="20"/>
          <w:szCs w:val="20"/>
          <w:color w:val="auto"/>
        </w:rPr>
        <w:tab/>
      </w:r>
      <w:r>
        <w:rPr>
          <w:rFonts w:ascii="Arial" w:cs="Arial" w:eastAsia="Arial" w:hAnsi="Arial"/>
          <w:sz w:val="14"/>
          <w:szCs w:val="14"/>
          <w:b w:val="1"/>
          <w:bCs w:val="1"/>
          <w:color w:val="auto"/>
        </w:rPr>
        <w:t>Guarantor</w:t>
      </w:r>
      <w:r>
        <w:rPr>
          <w:sz w:val="20"/>
          <w:szCs w:val="20"/>
          <w:color w:val="auto"/>
        </w:rPr>
        <w:tab/>
      </w:r>
      <w:r>
        <w:rPr>
          <w:rFonts w:ascii="Arial" w:cs="Arial" w:eastAsia="Arial" w:hAnsi="Arial"/>
          <w:sz w:val="14"/>
          <w:szCs w:val="14"/>
          <w:b w:val="1"/>
          <w:bCs w:val="1"/>
          <w:color w:val="auto"/>
        </w:rPr>
        <w:t>Non-</w:t>
      </w:r>
      <w:r>
        <w:rPr>
          <w:sz w:val="20"/>
          <w:szCs w:val="20"/>
          <w:color w:val="auto"/>
        </w:rPr>
        <w:tab/>
      </w:r>
      <w:r>
        <w:rPr>
          <w:rFonts w:ascii="Arial" w:cs="Arial" w:eastAsia="Arial" w:hAnsi="Arial"/>
          <w:sz w:val="14"/>
          <w:szCs w:val="14"/>
          <w:b w:val="1"/>
          <w:bCs w:val="1"/>
          <w:color w:val="auto"/>
        </w:rPr>
        <w:t>Eliminations</w:t>
      </w:r>
      <w:r>
        <w:rPr>
          <w:sz w:val="20"/>
          <w:szCs w:val="20"/>
          <w:color w:val="auto"/>
        </w:rPr>
        <w:tab/>
      </w:r>
      <w:r>
        <w:rPr>
          <w:rFonts w:ascii="Arial" w:cs="Arial" w:eastAsia="Arial" w:hAnsi="Arial"/>
          <w:sz w:val="12"/>
          <w:szCs w:val="12"/>
          <w:b w:val="1"/>
          <w:bCs w:val="1"/>
          <w:color w:val="auto"/>
        </w:rPr>
        <w:t>Total</w:t>
      </w:r>
    </w:p>
    <w:p>
      <w:pPr>
        <w:sectPr>
          <w:pgSz w:w="11900" w:h="16847" w:orient="portrait"/>
          <w:cols w:equalWidth="0" w:num="1">
            <w:col w:w="11460"/>
          </w:cols>
          <w:pgMar w:left="240" w:top="125" w:right="19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Subsidiaries</w:t>
            </w:r>
          </w:p>
        </w:tc>
        <w:tc>
          <w:tcPr>
            <w:tcW w:w="1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Services and other revenue - other</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246,411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36,531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(13,263)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131,262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Equipment revenue - other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44,854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423,590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450,234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80"/>
              <w:spacing w:after="0" w:line="201" w:lineRule="exact"/>
              <w:rPr>
                <w:sz w:val="20"/>
                <w:szCs w:val="20"/>
                <w:color w:val="auto"/>
              </w:rPr>
            </w:pPr>
            <w:r>
              <w:rPr>
                <w:rFonts w:ascii="Arial" w:cs="Arial" w:eastAsia="Arial" w:hAnsi="Arial"/>
                <w:sz w:val="18"/>
                <w:szCs w:val="18"/>
                <w:color w:val="auto"/>
              </w:rPr>
              <w:t>Costs of sales - services and other (exclusive of</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118,087</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(13,263)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129,918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Cost of sales - equipment (exclusive of depreciation</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amortization)</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43,056</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62,894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106,392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(36,553)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54,186</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(55,219)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14,716</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(55,219)</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14,289</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(31,444)</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w w:val="96"/>
              </w:rPr>
              <w:t>Less: Net income attributable to noncontrolling interests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HSS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(55,219)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w w:val="95"/>
              </w:rPr>
              <w:t>Unrealized gains (losses) on AFS securities and other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Equity in other comprehensive loss of subsidiaries, net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(10,232)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(10,234)</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80"/>
              <w:spacing w:after="0" w:line="201" w:lineRule="exact"/>
              <w:rPr>
                <w:sz w:val="20"/>
                <w:szCs w:val="20"/>
                <w:color w:val="auto"/>
              </w:rPr>
            </w:pPr>
            <w:r>
              <w:rPr>
                <w:rFonts w:ascii="Arial" w:cs="Arial" w:eastAsia="Arial" w:hAnsi="Arial"/>
                <w:sz w:val="18"/>
                <w:szCs w:val="18"/>
                <w:color w:val="auto"/>
              </w:rPr>
              <w:t>Less: Comprehensive income attributable to</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HSS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March 31, 2014 </w:t>
      </w: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Subsidiaries</w:t>
            </w: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227,607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40,260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261,667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99,079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99,244</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37,642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(3,735)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41,832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375,898</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(9,935)</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Costs of sales - services and other</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109,821</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132,346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45,151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47,406</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55,749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63,271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105,771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108,185</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54,914</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52,634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(52,420)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(36,445)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(48,747)</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2,075</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04" w:right="19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17,187</w:t>
            </w: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(61,171)</w:t>
            </w:r>
          </w:p>
        </w:tc>
        <w:tc>
          <w:tcPr>
            <w:tcW w:w="3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(3,064)</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(46,791)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17,187</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(5,865)</w:t>
            </w: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7,337</w:t>
            </w: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6"/>
              </w:rPr>
              <w:t>Less: Net income attributable to noncontrolling interests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HSS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Unrealized gains on AFS securities and other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Recognition of previously unrealized gains on AFS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included in net income</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80" w:type="dxa"/>
            <w:vAlign w:val="bottom"/>
          </w:tcPr>
          <w:p>
            <w:pPr>
              <w:ind w:left="180"/>
              <w:spacing w:after="0" w:line="201" w:lineRule="exact"/>
              <w:rPr>
                <w:sz w:val="20"/>
                <w:szCs w:val="20"/>
                <w:color w:val="auto"/>
              </w:rPr>
            </w:pPr>
            <w:r>
              <w:rPr>
                <w:rFonts w:ascii="Arial" w:cs="Arial" w:eastAsia="Arial" w:hAnsi="Arial"/>
                <w:sz w:val="18"/>
                <w:szCs w:val="18"/>
                <w:color w:val="auto"/>
              </w:rPr>
              <w:t>Equity in other comprehensive income (loss) of</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subsidiaries, net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1,963</w:t>
            </w:r>
          </w:p>
        </w:tc>
        <w:tc>
          <w:tcPr>
            <w:tcW w:w="3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(3,926)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Comprehensive income attributable to</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Comprehensive income (loss) attributable to HSS</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Subsidiaries</w:t>
            </w: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54,276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(55,219)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Adjustments to reconcile net income (loss) to net cash</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flows from operating activities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35,615</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23,830</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55,219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64,620</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78,106</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146,881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(90,594)</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Sales and maturities of marketable investment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52,683</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(79,881)</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(49,917)</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(84,834)</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(136,220)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Proceeds from capital contribution from parent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Repayment of long-term debt and capital lease</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(14,676)</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360"/>
              <w:spacing w:after="0" w:line="182" w:lineRule="exact"/>
              <w:rPr>
                <w:sz w:val="20"/>
                <w:szCs w:val="20"/>
                <w:color w:val="auto"/>
              </w:rPr>
            </w:pPr>
            <w:r>
              <w:rPr>
                <w:rFonts w:ascii="Arial" w:cs="Arial" w:eastAsia="Arial" w:hAnsi="Arial"/>
                <w:sz w:val="18"/>
                <w:szCs w:val="18"/>
                <w:color w:val="auto"/>
              </w:rPr>
              <w:t>Effect of exchange rates on cash and cash</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51,592</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60"/>
          </w:cols>
          <w:pgMar w:left="240" w:top="125"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Subsidiaries</w:t>
            </w: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11,322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Adjustments to reconcile net income (loss) to net cash</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flows from operating activities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77,836</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67,640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89,158</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(52,678)</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Sales and maturities of marketable investment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36,271</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(44,336)</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(11,404)</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11,404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(30,883)</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Pr>
          <w:p>
            <w:pPr>
              <w:ind w:left="180"/>
              <w:spacing w:after="0" w:line="201" w:lineRule="exact"/>
              <w:rPr>
                <w:sz w:val="20"/>
                <w:szCs w:val="20"/>
                <w:color w:val="auto"/>
              </w:rPr>
            </w:pPr>
            <w:r>
              <w:rPr>
                <w:rFonts w:ascii="Arial" w:cs="Arial" w:eastAsia="Arial" w:hAnsi="Arial"/>
                <w:sz w:val="18"/>
                <w:szCs w:val="18"/>
                <w:color w:val="auto"/>
                <w:w w:val="99"/>
              </w:rPr>
              <w:t>Proceeds from issuance of Hughes Retail preferred</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tracking stock (Note 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11,404</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(11,404)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Repayment of long-term debt and capital lease</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360"/>
              <w:spacing w:after="0" w:line="182" w:lineRule="exact"/>
              <w:rPr>
                <w:sz w:val="20"/>
                <w:szCs w:val="20"/>
                <w:color w:val="auto"/>
              </w:rPr>
            </w:pPr>
            <w:r>
              <w:rPr>
                <w:rFonts w:ascii="Arial" w:cs="Arial" w:eastAsia="Arial" w:hAnsi="Arial"/>
                <w:sz w:val="18"/>
                <w:szCs w:val="18"/>
                <w:color w:val="auto"/>
              </w:rPr>
              <w:t>Effect of exchange rates on cash and cash</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97,674</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34,340</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the context indicates otherwise, as used herein, the terms “we,” “us,” “HSS,” the “Company” and “our” refer to Hughes Satellite Systems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Corporation and its subsidiaries. References to “$” are to United States dollars. The following management’s narrative analysis of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should be read in conjunction with the condensed consolidated financial statements and notes to our financial statements included elsewhere in this Quarterly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Report on Form 10-Q. This management’s narrative analysis is intended to help provide an understanding of our financial condition, changes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condition and our results of operations. Many of the statements in this management’s narrative analysis are forward-looking statements that involve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assumptions and are subject to risks and uncertainties that are often difficult to predict and beyond our control. Actual results could differ materially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those expressed or implied by such forward-looking statements. See “Disclosure Regarding Forward Looking Statements” in this Quarterly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10-Q for further discussion. For a discussion of additional risks, uncertainties and other factors that could impact our results of operations or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condition, see the caption “Risk Factors” in Part II, Item 1A of this Quarterly Report on Form 10-Q and in Part I, Item 1A of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 for the year ended December 31, 2014. Further, such forward-looking statements speak only as of the date of this Quarterly Report on Form 10-Q and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undertake no obligation to update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 holding company and a subsidiary of EchoStar Corporation (“EchoStar”). We were formed as a Colorado corporation in March 2011. We are a global provider of satellite operations, video delivery solutions, and broadband satellite technologies and services for the home and office, delivering innovative network technologies, managed services, and solutions for enterprises and governments. We currently operate in two business segments, which are differentiated primarily by their operational focus: Hughes and EchoStar Satellite Services. These segments are consistent with the way decisions regarding the allocation of resources are made, as well as how operating results are reviewed by our chief operating decision maker (“CODM”), who for HSS is the Company’s Chief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March 31, 2015</w:t>
      </w:r>
    </w:p>
    <w:p>
      <w:pPr>
        <w:spacing w:after="0" w:line="229"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of $450.2 million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of $91.0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attributable to HSS of $29.0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of $199.0 million (see non-GAAP reconciliation in Note 13 in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2015</w:t>
      </w:r>
    </w:p>
    <w:p>
      <w:pPr>
        <w:spacing w:after="0" w:line="229"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assets of $4.69 billion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liabilities of $3.30 billion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shareholders’ equity of $1.39 billion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$652.0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ectPr>
          <w:pgSz w:w="11900" w:h="16838" w:orient="portrait"/>
          <w:cols w:equalWidth="0" w:num="1">
            <w:col w:w="11460"/>
          </w:cols>
          <w:pgMar w:left="240" w:top="320" w:right="199" w:bottom="0" w:gutter="0" w:footer="0" w:header="0"/>
        </w:sectPr>
      </w:pPr>
    </w:p>
    <w:bookmarkStart w:id="23" w:name="page24"/>
    <w:bookmarkEnd w:id="23"/>
    <w:p>
      <w:pPr>
        <w:spacing w:after="0" w:line="9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Our Hughes segment is a global provider of broadband satellite technologies and services for the home and office, delivering innovative network technologies, managed services, and solutions for consumers, enterprises and governments.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continue our efforts in growing our consumer revenue, which depends on our success in adding new subscribers on our Hughes segment’s satellite networks. The addition of new subscribers and the performance of our consumer service offering, primarily drive the revenue growth in our consumer business. Service costs related to ongoing support of our direct and indirect customers and partners are typically impacted most significantly by our growth. Long term trends continue to be influenced primarily by the subscriber growth in our consumer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Additional capacity provided in this business by new satellite launches provides impetus for initial subscriber growth while we manage subscriber growth across our satellite platform. In March 2013, we entered into a contract for the design and construction of the EchoStar XIX satellite, which is expected to be launched in the second half of 2016. EchoStar XIX is a next-generation, high throughput geostationary satellite that will employ a multi-spot beam, bent pipe Ka-band architecture and will provide additional capacity for the Hughes broadband services to the consumer market in North America. The costs associated with the construction and launch of EchoStar XIX are included in “All Other and Eliminations” in our segment reporting.</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Hughes segment also provides managed services, hardware, and satellite services to large enterprises. In addition, we provide gateway and terminal equipment to customers for mobile satellite systems. The fixed pricing nature of our long term enterprise contracts minimizes significant quarter to quarter fluctuations. We continue to monitor the competitive landscape for pricing in relation to our competitors and alternative technologies. However, the growth of our enterprise businesses relies heavily on global economic conditions.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April 2014, we entered into a satellite services agreement pursuant to which Eutelsat do Brasil will provide to Hughes Telecomunica</w:t>
      </w:r>
      <w:r>
        <w:rPr>
          <w:rFonts w:ascii="Arial" w:cs="Arial" w:eastAsia="Arial" w:hAnsi="Arial"/>
          <w:sz w:val="18"/>
          <w:szCs w:val="18"/>
          <w:color w:val="auto"/>
        </w:rPr>
        <w:t>ҫ</w:t>
      </w:r>
      <w:r>
        <w:rPr>
          <w:rFonts w:ascii="Arial" w:cs="Arial" w:eastAsia="Arial" w:hAnsi="Arial"/>
          <w:sz w:val="18"/>
          <w:szCs w:val="18"/>
          <w:color w:val="auto"/>
        </w:rPr>
        <w:t>ões do Brasil Ltda., our subsidiary, fixed broadband service using the Ka-band capacity into Brazil on the EUTELSAT 65 West A satellite for a 15-year term. The satellite service agreement requires us to make prepayments during the satellite construction period. The satellite is scheduled to be placed into service in the second quarter of 2016 and will deliver consumer satellite broadband services in Brazil and create a platform to potentially allow for further development of our spectrum in Brazil.</w:t>
      </w:r>
    </w:p>
    <w:p>
      <w:pPr>
        <w:spacing w:after="0" w:line="18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of March 31, 2015 and December 31, 2014, our Hughes segment had approximately 998,000 and 977,000 broadband subscribers, respectively. These subscribers include subscriptions with HughesNet services, through retail, wholesale and small/medium enterprise service channels. Gross subscriber additions decreased in the first quarter of 2015 compared to the same period in 2014 due primarily to satellite beams servicing certain areas reaching capacity. Our average monthly subscriber churn for the first quarter of 2015 decreased as compared to the same period in 2014, however, total disconnects increased due to the increased number of subscribers. As a result, for the quarter ended March 31, 2015, net subscriber additions of 22,000 were lower than the same period last year primarily reflecting the decrease in gross subscriber additions and churn on the increasing base of subscribers.</w:t>
      </w:r>
    </w:p>
    <w:p>
      <w:pPr>
        <w:spacing w:after="0" w:line="16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of March 31, 2015 and December 31, 2014, our Hughes segment had approximately $1.19 billion and $1.26 billion, respectively, of contracted revenue backlog. We define Hughes revenue backlog as our expected future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EchoStar Satellite Services segment operates its business using its 16 owned and leased in-orbit satellites. We provide satellite services on a full-time and occasional-use basis primarily to DISH Network, Dish Mexico, U.S. government service providers, internet service providers, broadcast news organizations, programmers and private enterprise customers.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depend on DISH Network for a significant portion of the revenue for our EchoStar Satellite Services segment and we expect that DISH Network will continue to be the primary source of revenue for our EchoStar Satellite Services segment. Therefore, the results of operations of our EchoStar Satellite Services segment are linked to long-term changes in DISH Network’s satellite capacity requirements. We continue to pursue expanding our business offerings by providing value added services such as telemetry, tracking and control services to third parties. Revenue growth in our EchoStar Satellite Services segment is a function of available satellite capacity to sell. The satellite we currently have under construction is expected to ultimately produce revenue once launched and placed into operation, and therefore, factors that interfere with our construction and launch schedules will impact our expected revenue growth. In addition, any disruption in planned renewals of our service arrangements could impact customer commitments and have an impact on our revenue and financial performance. Technical issues, regulatory and licensing issues, manufacturer performance/stability and availability of capital to continue to fund our programs also are factors in achieving our business plans for this segment.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jc w:val="both"/>
        <w:ind w:right="80" w:firstLine="8"/>
        <w:spacing w:after="0" w:line="25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Additionally, SES will provide to us satellite service on the entire Ku-band payload on EchoStar 105/SES-11 for an initial ten-year term, with an option for us to renew the agreement on a year-to-year basis.</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2015 and December 31, 2014, our EchoStar Satellite Services segment had contracted revenue backlog attributable to satellites currently in orbit of approximately $1.61 billion and $1.71 billion, respectively.</w:t>
      </w:r>
    </w:p>
    <w:p>
      <w:pPr>
        <w:sectPr>
          <w:pgSz w:w="11900" w:h="16929" w:orient="portrait"/>
          <w:cols w:equalWidth="0" w:num="1">
            <w:col w:w="11420"/>
          </w:cols>
          <w:pgMar w:left="240" w:top="341"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the Three Months Ended March 31, 2014</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 (1)</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right"/>
              <w:ind w:right="90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6"/>
          </w:tcPr>
          <w:p>
            <w:pPr>
              <w:jc w:val="right"/>
              <w:ind w:right="1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other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269,679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261,667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8,012</w:t>
            </w: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131,441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99,244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32,197</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Equipment revenue - other</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48,051</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41,832</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6,219</w:t>
            </w: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11,570</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(10,507)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450,234</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414,313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35,921</w:t>
            </w: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129,918</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132,346</w:t>
            </w:r>
          </w:p>
        </w:tc>
        <w:tc>
          <w:tcPr>
            <w:tcW w:w="2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(2,428)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 of Total services and other revenue</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45,211</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47,406</w:t>
            </w:r>
          </w:p>
        </w:tc>
        <w:tc>
          <w:tcPr>
            <w:tcW w:w="2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(2,195)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 of Total equipment revenue</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Selling, general and administrative expenses (including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DISH Network)</w:t>
            </w:r>
          </w:p>
        </w:tc>
        <w:tc>
          <w:tcPr>
            <w:tcW w:w="2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70,545</w:t>
            </w:r>
          </w:p>
        </w:tc>
        <w:tc>
          <w:tcPr>
            <w:tcW w:w="28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63,271</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7,274</w:t>
            </w:r>
          </w:p>
        </w:tc>
        <w:tc>
          <w:tcPr>
            <w:tcW w:w="5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 of Total revenue</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5,554</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4,492</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1,062</w:t>
            </w: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 of Total revenue</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108,014</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108,185</w:t>
            </w:r>
          </w:p>
        </w:tc>
        <w:tc>
          <w:tcPr>
            <w:tcW w:w="2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359,242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58,613</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32,379</w:t>
            </w: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196"/>
        </w:trPr>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(45,086)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(657)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35,527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 net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(17,973)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(17,772)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29,376</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income attributable to HSS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29,007</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w:t>
            </w: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198,981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167,500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Subscribers, end of period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97"/>
        </w:trPr>
        <w:tc>
          <w:tcPr>
            <w:tcW w:w="468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998,000</w:t>
            </w:r>
          </w:p>
        </w:tc>
        <w:tc>
          <w:tcPr>
            <w:tcW w:w="3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914,000</w:t>
            </w:r>
          </w:p>
        </w:tc>
        <w:tc>
          <w:tcPr>
            <w:tcW w:w="2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84,000</w:t>
            </w:r>
          </w:p>
        </w:tc>
        <w:tc>
          <w:tcPr>
            <w:tcW w:w="20" w:type="dxa"/>
            <w:vAlign w:val="bottom"/>
            <w:tcBorders>
              <w:bottom w:val="single" w:sz="8" w:color="auto"/>
            </w:tcBorders>
            <w:vMerge w:val="continue"/>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Percentage is not meaningful.</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An explanation of our key metrics is included on pages 36 and 37.</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$269.7 million for the three months ended March 31, 2015,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$8.0 million or 3.1%, compared to the same period in 2014.</w:t>
      </w:r>
    </w:p>
    <w:p>
      <w:pPr>
        <w:spacing w:after="0" w:line="170"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Services and other revenue — other from our Hughes segment for the three months ended March 31, 2015 increased by $10.1 million, or 4.2%, to $253.5 million compared to the same period in 2014. The increase was primarily attributable to an increase of $13.3 million in sales of broadband services to our domestic consumer and enterprise markets, partially offset by a decrease of $3.0 million in sales of broadband services to our international customers.</w:t>
      </w:r>
    </w:p>
    <w:p>
      <w:pPr>
        <w:spacing w:after="0" w:line="187" w:lineRule="exact"/>
        <w:rPr>
          <w:sz w:val="20"/>
          <w:szCs w:val="20"/>
          <w:color w:val="auto"/>
        </w:rPr>
      </w:pPr>
    </w:p>
    <w:p>
      <w:pPr>
        <w:jc w:val="both"/>
        <w:ind w:left="660" w:right="600"/>
        <w:spacing w:after="0" w:line="264" w:lineRule="auto"/>
        <w:rPr>
          <w:sz w:val="20"/>
          <w:szCs w:val="20"/>
          <w:color w:val="auto"/>
        </w:rPr>
      </w:pPr>
      <w:r>
        <w:rPr>
          <w:rFonts w:ascii="Arial" w:cs="Arial" w:eastAsia="Arial" w:hAnsi="Arial"/>
          <w:sz w:val="18"/>
          <w:szCs w:val="18"/>
          <w:color w:val="auto"/>
        </w:rPr>
        <w:t>Services and other revenue — other from our EchoStar Satellite Services segment for the three months ended March 31, 2015 decreased by $2.9 million, or 14.7%, to $16.7 million compared to the same period in 2014. The decrease was primarily attributable a decrease in sales of transponder services in the first quarter of 2015 compared to the same period in 2014.</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$131.4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an increase of $32.2 million or 32.4 % compared to the same period in 2014.</w:t>
      </w:r>
    </w:p>
    <w:p>
      <w:pPr>
        <w:sectPr>
          <w:pgSz w:w="11900" w:h="16838" w:orient="portrait"/>
          <w:cols w:equalWidth="0" w:num="1">
            <w:col w:w="11400"/>
          </w:cols>
          <w:pgMar w:left="240" w:top="337" w:right="259" w:bottom="58" w:gutter="0" w:footer="0" w:header="0"/>
        </w:sectPr>
      </w:pPr>
    </w:p>
    <w:bookmarkStart w:id="25" w:name="page26"/>
    <w:bookmarkEnd w:id="25"/>
    <w:p>
      <w:pPr>
        <w:spacing w:after="0" w:line="62"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Services and other revenue — DISH Network from our Hughes segment for the three months ended March 31, 2015 increased by $4.7 million, or 26.1%, to $22.8 million compared to the same period in 2014.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increase was primarily attributable to an increase in wholesale subscribers receiving services pursuant to our Distribution Agreement with dishNET Satellite Broadband L.L.C. (“dishNET”).</w:t>
      </w:r>
    </w:p>
    <w:p>
      <w:pPr>
        <w:spacing w:after="0" w:line="170"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Services and other revenue — DISH Network from our EchoStar Satellite Services segment for the three months ended March 31, 2015 increased by $27.5 million, or 33.9%, to $108.7 million compared to the same period in 2014. The increase was mainly due to an increase of $29.6 million in revenue recognized from certain satellite services provided to DISH Network for the five satellites transferred to us from DISH Network as part of the Satellite and Tracking Stock Transaction, partially offset by a decrease of $1.3 million in services provided to DISH Network on the EchoStar XII satellite.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$48.1 million for the three months ended March 31, 2015, an increase of $6.2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14.9% compared to the same period in 2014. The increase was mainly due to a $7.0 million increase in domestic sales of telecom systems equipment and an increase of $2.2 million in sales of broadband equipment to our international customers, partially offset by a decrease of $3.0 million in sales of broadband equipment to our consumer and domestic enterprise markets.</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 xml:space="preserve">Equipment revenue — DISH Network. </w:t>
      </w:r>
      <w:r>
        <w:rPr>
          <w:rFonts w:ascii="Arial" w:cs="Arial" w:eastAsia="Arial" w:hAnsi="Arial"/>
          <w:sz w:val="16"/>
          <w:szCs w:val="16"/>
          <w:color w:val="auto"/>
        </w:rPr>
        <w:t>“Equipment revenue — DISH Network” totaled $1.1 million for the three months ended March 31, 2015, a decrease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$10.5 million, or 90.8%, compared to the same period in 2014. The decrease was primarily due to the decrease in unit sales of broadband equipment to dishNET. Sales of broadband equipment to dishNET have been steadily decreasing and we expect this trend to continue in the first half of 2015.</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Cost of sales — services and other</w:t>
      </w:r>
      <w:r>
        <w:rPr>
          <w:rFonts w:ascii="Arial" w:cs="Arial" w:eastAsia="Arial" w:hAnsi="Arial"/>
          <w:sz w:val="17"/>
          <w:szCs w:val="17"/>
          <w:color w:val="auto"/>
        </w:rPr>
        <w:t>. “Cost of sales — services and other” totaled $129.9 million for the three months ended March 31, 2015, an decrease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 million, or 1.8%,compared to the same period in 2014. The decrease was primarily attributable to a $3.6 million decrease in service costs directly related to the decrease in sales of our broadband services to our international customers, as well as reductions in the costs of our maintenance and service contracts. Additionally, the cost of sales related to our domestic broadband services decreased $2.1 million due to a decrease in the cost of repairs for consumer hardware and the decrease of Ku-band space segment costs as customers either terminated services or migrated to the Ka-band platform. These increases were partially offset by an increase of $3.3 million in cost of sales of our EchoStar Satellite Services segment related to the commencement of AMC-15 and AMC-16 operating leases in the fourth quarter of 2014 and the first quarter of 2015, respectively.</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$45.2 million for the three months ended March 31, 2015, a decrease of $2.2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4.6%, compared to the same period in 2014. The decrease was primarily attributable to lower sales of broadband equipment to DISH Network, primarily related to our Distribution Agreement with dishNET. The decrease was partially offset by the increase in cost of sales of telecom system equipment and broadband equipment to international markets.</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$70.5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an increase of $7.3 million or 11.5%, compared to the same period in 2014. The increase was mainly due to a $4.2 million increase in marketing and promotional expenses primarily in our Hughes segment and a $3.6 million increase in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expenses” totaled $5.6 million for the three months ended March 31, 2015, an increase of</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$1.1 million or 23.6%, compared to the same period in 2014. The Company’s research and development activities vary based on the activity level and scope of other engineering and customer related development contracts.</w:t>
      </w:r>
    </w:p>
    <w:p>
      <w:pPr>
        <w:spacing w:after="0" w:line="18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$45.1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 decrease of $3.7 million or 7.5%, compared to the same period in 2014, primarily related to the decrease in interest expense of our capital leased satellites.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$0.3 million for the three months ended March 31, 2015, a decrease of $0.7 million, or 65.6%, compared to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2014. The decrease was primarily related to a loss of $3.8 million attributable to Federal Communications Commission (“FCC”) regulatory fees and an increase of $1.9 million in foreign exchange losses. The decrease was partially offset by a $4.5 million reduction of the capital lease obligation for the AMC-15 and AMC-16 satellites.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before interest, taxes, depreciation and amortization</w:t>
      </w:r>
      <w:r>
        <w:rPr>
          <w:rFonts w:ascii="Arial" w:cs="Arial" w:eastAsia="Arial" w:hAnsi="Arial"/>
          <w:sz w:val="16"/>
          <w:szCs w:val="16"/>
          <w:color w:val="auto"/>
        </w:rPr>
        <w:t>. EBITDA was $199.0 million for the three months ended March 31, 2015, an increase of</w:t>
      </w:r>
    </w:p>
    <w:p>
      <w:pPr>
        <w:spacing w:after="0" w:line="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$31.5 million or 18.8%, compared to the same period in 2014. The increase was primarily due to an increase in operating income, excluding depreciation and amortization of $32.2 million for the three months ended March 31, 2015. EBITDA is a non-GAAP financial measure and is described under Explanation of Key Metrics and Other Items below. The following table reconciles EBITDA to Net income attributable to HSS, the most directly comparable GAAP measure in the accompanying financial statements.</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For the Three Months Ended</w:t>
            </w:r>
          </w:p>
        </w:tc>
        <w:tc>
          <w:tcPr>
            <w:tcW w:w="200" w:type="dxa"/>
            <w:vAlign w:val="bottom"/>
          </w:tcPr>
          <w:p>
            <w:pPr>
              <w:spacing w:after="0"/>
              <w:rPr>
                <w:sz w:val="13"/>
                <w:szCs w:val="13"/>
                <w:color w:val="auto"/>
              </w:rPr>
            </w:pPr>
          </w:p>
        </w:tc>
        <w:tc>
          <w:tcPr>
            <w:tcW w:w="15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19"/>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40" w:type="dxa"/>
            <w:vAlign w:val="bottom"/>
            <w:gridSpan w:val="4"/>
          </w:tcPr>
          <w:p>
            <w:pPr>
              <w:jc w:val="right"/>
              <w:ind w:right="1119"/>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198,981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167,500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31,481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6"/>
        </w:trPr>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 and expense, net</w:t>
            </w: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(43,987)</w:t>
            </w:r>
          </w:p>
        </w:tc>
        <w:tc>
          <w:tcPr>
            <w:tcW w:w="4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(47,792)</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ind w:right="519"/>
              <w:spacing w:after="0"/>
              <w:rPr>
                <w:sz w:val="20"/>
                <w:szCs w:val="20"/>
                <w:color w:val="auto"/>
              </w:rPr>
            </w:pPr>
            <w:r>
              <w:rPr>
                <w:rFonts w:ascii="Arial" w:cs="Arial" w:eastAsia="Arial" w:hAnsi="Arial"/>
                <w:sz w:val="18"/>
                <w:szCs w:val="18"/>
                <w:color w:val="auto"/>
              </w:rPr>
              <w:t>3,805</w:t>
            </w:r>
          </w:p>
        </w:tc>
        <w:tc>
          <w:tcPr>
            <w:tcW w:w="9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6" w:name="page27"/>
    <w:bookmarkEnd w:id="26"/>
    <w:p>
      <w:pPr>
        <w:spacing w:after="0" w:line="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(108,014)</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(108,185)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Income tax provision, net</w:t>
            </w:r>
          </w:p>
        </w:tc>
        <w:tc>
          <w:tcPr>
            <w:tcW w:w="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(17,973)</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(17,772)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HSS</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Percentage is not meaningful.</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Income tax provision, net</w:t>
      </w:r>
      <w:r>
        <w:rPr>
          <w:rFonts w:ascii="Arial" w:cs="Arial" w:eastAsia="Arial" w:hAnsi="Arial"/>
          <w:sz w:val="17"/>
          <w:szCs w:val="17"/>
          <w:color w:val="auto"/>
        </w:rPr>
        <w:t>. Income tax expense was $18.0 million for the three months ended March 31, 2015, compared to $0.2 million for the same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2014. Our effective income tax rate was 38.0% for the three months ended March 31, 2015, compared to 1.7% for the same period in 2014. The variation in our effective tax rate from the U.S. federal statutory rate for the same period in 2014 was primarily due to lower state effective tax rate.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Net income attributable to HSS</w:t>
      </w:r>
      <w:r>
        <w:rPr>
          <w:rFonts w:ascii="Arial" w:cs="Arial" w:eastAsia="Arial" w:hAnsi="Arial"/>
          <w:sz w:val="17"/>
          <w:szCs w:val="17"/>
          <w:color w:val="auto"/>
        </w:rPr>
        <w:t>. Net income attributable to HSS was $29.0 million for the three months ended March 31, 2015, an increase of $17.7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2014. The increase was primarily attributable to an increase in operating income, including depreciation and amortization of $32.4 million and an increase in capitalization of interest expense of $2.4 million associated with the construction of the EUTELSAT 65 West A and EchoStar 105/SES-11 satellites partially offset by an increase in income tax expense of $17.8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the Three Months Ended March 31, 2014</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EchoStar</w:t>
            </w:r>
          </w:p>
        </w:tc>
        <w:tc>
          <w:tcPr>
            <w:tcW w:w="240" w:type="dxa"/>
            <w:vAlign w:val="bottom"/>
          </w:tcPr>
          <w:p>
            <w:pPr>
              <w:spacing w:after="0"/>
              <w:rPr>
                <w:sz w:val="14"/>
                <w:szCs w:val="14"/>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Hughes</w:t>
            </w:r>
          </w:p>
        </w:tc>
        <w:tc>
          <w:tcPr>
            <w:tcW w:w="300" w:type="dxa"/>
            <w:vAlign w:val="bottom"/>
          </w:tcPr>
          <w:p>
            <w:pPr>
              <w:spacing w:after="0"/>
              <w:rPr>
                <w:sz w:val="12"/>
                <w:szCs w:val="12"/>
                <w:color w:val="auto"/>
              </w:rPr>
            </w:pPr>
          </w:p>
        </w:tc>
        <w:tc>
          <w:tcPr>
            <w:tcW w:w="102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Satellite</w:t>
            </w:r>
          </w:p>
        </w:tc>
        <w:tc>
          <w:tcPr>
            <w:tcW w:w="240" w:type="dxa"/>
            <w:vAlign w:val="bottom"/>
          </w:tcPr>
          <w:p>
            <w:pPr>
              <w:spacing w:after="0"/>
              <w:rPr>
                <w:sz w:val="12"/>
                <w:szCs w:val="12"/>
                <w:color w:val="auto"/>
              </w:rPr>
            </w:pPr>
          </w:p>
        </w:tc>
        <w:tc>
          <w:tcPr>
            <w:tcW w:w="110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3"/>
              </w:rPr>
              <w:t>Other and</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right"/>
              <w:ind w:right="836"/>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For the Three Months Ended March 31, 2015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revenue</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325,280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125,398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64,527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27,783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EBITDA</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91,273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106,419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1,289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w w:val="99"/>
              </w:rPr>
              <w:t>For the Three Months Ended March 31, 2014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314,771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100,821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45,972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81,939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84,782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08"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Variance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40" w:type="dxa"/>
            <w:vAlign w:val="bottom"/>
            <w:gridSpan w:val="5"/>
          </w:tcPr>
          <w:p>
            <w:pPr>
              <w:jc w:val="right"/>
              <w:ind w:right="9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325,280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314,771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10,509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64,527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45,972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97"/>
              <w:spacing w:after="0"/>
              <w:rPr>
                <w:sz w:val="20"/>
                <w:szCs w:val="20"/>
                <w:color w:val="auto"/>
              </w:rPr>
            </w:pPr>
            <w:r>
              <w:rPr>
                <w:rFonts w:ascii="Arial" w:cs="Arial" w:eastAsia="Arial" w:hAnsi="Arial"/>
                <w:sz w:val="18"/>
                <w:szCs w:val="18"/>
                <w:color w:val="auto"/>
              </w:rPr>
              <w:t>18,555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91,273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81,939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9,334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Hughes segment total revenue for the three months ended March 31, 2015 increased by $10.5 million, or 3.3%, compared to the same period in 2014. The increase was primarily due to increases in sales of broadband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equipment and services to our consumer markets of $9.4 million and telecom systems equipment and service of $4.7 million. The increase was partially offset by a decrease in sales of broadband equipment and services to DISH Network pursuant to our Distribution Agreement with dishNET of $3.2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Hughes segment capital expenditures for the three months ended March 31, 2015 increased by $18.6 million, or 40.4%, compared to the same period in 2014, primarily the result of an increase in expenditures on EUTELSAT 65 West A and EchoStar XIX ground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Hughes segment EBITDA for the three months ended March 31, 2015 was $91.3 million, an increase of $9.3 million, or 11.4%, compared to the same period in 2014. The increase was primarily the result of an increase in gross margin of $19.3 million, primarily the result of an increase in service revenue of $14.9 million and a decrease in cost of sales — services of $6.5 million, related to a $3.6 million decrease in service costs related to our international customers as well as reductions in the costs of our maintenance and service contracts and a $2.1 million decrease in the costs of repairs for consumer hardware and the decrease in Ku-band space segment costs, partially offset by a $6.8 million increase in selling, general and administrative expenses and a $1.9 million increase in foreign exchange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08"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82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8"/>
              </w:rPr>
              <w:t>March 31</w:t>
            </w:r>
          </w:p>
        </w:tc>
        <w:tc>
          <w:tcPr>
            <w:tcW w:w="8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15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Amount</w:t>
            </w:r>
          </w:p>
        </w:tc>
        <w:tc>
          <w:tcPr>
            <w:tcW w:w="15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gridSpan w:val="3"/>
          </w:tcPr>
          <w:p>
            <w:pPr>
              <w:ind w:left="10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5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40" w:right="259" w:bottom="0" w:gutter="0" w:footer="0" w:header="0"/>
        </w:sectPr>
      </w:pPr>
    </w:p>
    <w:bookmarkStart w:id="27" w:name="page28"/>
    <w:bookmarkEnd w:id="27"/>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125,398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100,821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24,577</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Capital expenditures</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27,783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27,754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106,419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84,782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21,637</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EchoStar Satellite Services segment total revenue for the three months ended March 31, 2015 increased by $24.6 million, or 24.4%, compared to the same period in 2014, primarily due to a $27.5 million increase in service revenue primarily related to satellite services provided to DISH Network on the five satellites we received as part of the Satellite and Tracking Stock Transaction, partially offset by a decrease of $2.9 million in other service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EchoStar Satellite Services segment capital expenditures for the three months ended March 31, 2015 increased by $27.8 million, compared to the same period in 2014, primarily related to the increase in satellite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EchoStar Satellite Services segment EBITDA for the three months ended March 31, 2015 was $106.4 million, an increase of $21.6 million, or 25.5%, compared to the same period in 2014. The increase in EBITDA for our EchoStar Satellite Services segment was primarily due to an increase of $21.3 million in gross margin.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Services and other revenue— other</w:t>
      </w:r>
      <w:r>
        <w:rPr>
          <w:rFonts w:ascii="Arial" w:cs="Arial" w:eastAsia="Arial" w:hAnsi="Arial"/>
          <w:sz w:val="17"/>
          <w:szCs w:val="17"/>
          <w:color w:val="auto"/>
        </w:rPr>
        <w:t>. “Services and other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primarily includes the sales of enterprise and consumer broadband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maintenance and other contracted services. “Services and other revenue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professional services, facilities rental costs, and other services provided to our customers, including DISH Network.</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EchoStar, DISH Network and other third parties.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long-term debt and capital lease obligations (net of capitalized interest), and amortization of debt issuance costs.</w:t>
      </w:r>
    </w:p>
    <w:p>
      <w:pPr>
        <w:spacing w:after="0" w:line="17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equity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of unconsolidated affiliate, and other non-operating income or expense items that are not appropriately classified elsewhere in our Condensed Consolidated Statements of Operations and Comprehensive Income (Loss).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(“EBITDA”). </w:t>
      </w:r>
      <w:r>
        <w:rPr>
          <w:rFonts w:ascii="Arial" w:cs="Arial" w:eastAsia="Arial" w:hAnsi="Arial"/>
          <w:sz w:val="18"/>
          <w:szCs w:val="18"/>
          <w:color w:val="auto"/>
        </w:rPr>
        <w:t>EBITDA is defined as “Net income (loss) attributable to HSS”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net of amounts capitalized,” “Interest income,” “Income tax benefit (provision), net” and “Depreciation and amortization.” EBITDA is not a measure determined in accordance with GAAP. This non-GAAP measure is reconciled to “Income (loss) before income taxes” in our discussion of “Results of Operations” above. EBITDA should not be considered in isolation or as a substitute for operating</w:t>
      </w:r>
    </w:p>
    <w:p>
      <w:pPr>
        <w:sectPr>
          <w:pgSz w:w="11900" w:h="16838" w:orient="portrait"/>
          <w:cols w:equalWidth="0" w:num="1">
            <w:col w:w="11420"/>
          </w:cols>
          <w:pgMar w:left="240" w:top="140" w:right="239" w:bottom="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income, net income or any other measure determined in accordance with GAAP. Conceptually, EBITDA measures the amount of income generated each period that could be used to service debt, pay taxes and fund capital expenditures. EBITDA is used by our management as a measure of operating efficiency and overall financial performance for benchmarking against our peers and competitors. Management believes EBITDA provides meaningful supplemental information regarding liquidity and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5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Securities Exchange Act of 1934) that occurred during the first quarter of 2015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12 “Commitments and Contingencies — Litigation” in this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Item 1A, “Risk Factors,” of our Form 10-K for the year ended December 31, 2014 includes a detailed discussion of our risk factors. For the three months ended March 31, 2015, there were no material changes in our risk factors as previously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960" w:type="dxa"/>
            <w:vAlign w:val="bottom"/>
            <w:tcBorders>
              <w:bottom w:val="single" w:sz="8" w:color="auto"/>
            </w:tcBorders>
          </w:tcPr>
          <w:p>
            <w:pPr>
              <w:ind w:left="36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340" w:type="dxa"/>
            <w:vAlign w:val="bottom"/>
          </w:tcPr>
          <w:p>
            <w:pPr>
              <w:ind w:left="380"/>
              <w:spacing w:after="0"/>
              <w:rPr>
                <w:sz w:val="20"/>
                <w:szCs w:val="20"/>
                <w:color w:val="auto"/>
              </w:rPr>
            </w:pPr>
            <w:r>
              <w:rPr>
                <w:rFonts w:ascii="Arial" w:cs="Arial" w:eastAsia="Arial" w:hAnsi="Arial"/>
                <w:sz w:val="18"/>
                <w:szCs w:val="18"/>
                <w:color w:val="auto"/>
              </w:rPr>
              <w:t>31.1(H)</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0"/>
              </w:rPr>
              <w:t>Section 302</w:t>
            </w:r>
          </w:p>
        </w:tc>
        <w:tc>
          <w:tcPr>
            <w:tcW w:w="89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432"/>
        </w:trPr>
        <w:tc>
          <w:tcPr>
            <w:tcW w:w="1340" w:type="dxa"/>
            <w:vAlign w:val="bottom"/>
          </w:tcPr>
          <w:p>
            <w:pPr>
              <w:ind w:left="380"/>
              <w:spacing w:after="0"/>
              <w:rPr>
                <w:sz w:val="20"/>
                <w:szCs w:val="20"/>
                <w:color w:val="auto"/>
              </w:rPr>
            </w:pPr>
            <w:r>
              <w:rPr>
                <w:rFonts w:ascii="Arial" w:cs="Arial" w:eastAsia="Arial" w:hAnsi="Arial"/>
                <w:sz w:val="18"/>
                <w:szCs w:val="18"/>
                <w:color w:val="auto"/>
              </w:rPr>
              <w:t>31.2(H)</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0"/>
              </w:rPr>
              <w:t>Section 302</w:t>
            </w:r>
          </w:p>
        </w:tc>
        <w:tc>
          <w:tcPr>
            <w:tcW w:w="89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bl>
    <w:p>
      <w:pPr>
        <w:sectPr>
          <w:pgSz w:w="11900" w:h="16838" w:orient="portrait"/>
          <w:cols w:equalWidth="0" w:num="1">
            <w:col w:w="11420"/>
          </w:cols>
          <w:pgMar w:left="240" w:top="125" w:right="239" w:bottom="0" w:gutter="0" w:footer="0" w:header="0"/>
        </w:sectPr>
      </w:pPr>
    </w:p>
    <w:bookmarkStart w:id="29" w:name="page30"/>
    <w:bookmarkEnd w:id="2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6"/>
              </w:rPr>
              <w:t>32.1(I)</w:t>
            </w:r>
          </w:p>
        </w:tc>
        <w:tc>
          <w:tcPr>
            <w:tcW w:w="6940" w:type="dxa"/>
            <w:vAlign w:val="bottom"/>
          </w:tcPr>
          <w:p>
            <w:pPr>
              <w:ind w:left="300"/>
              <w:spacing w:after="0"/>
              <w:rPr>
                <w:sz w:val="20"/>
                <w:szCs w:val="20"/>
                <w:color w:val="auto"/>
              </w:rPr>
            </w:pPr>
            <w:r>
              <w:rPr>
                <w:rFonts w:ascii="Arial" w:cs="Arial" w:eastAsia="Arial" w:hAnsi="Arial"/>
                <w:sz w:val="18"/>
                <w:szCs w:val="18"/>
                <w:color w:val="auto"/>
              </w:rPr>
              <w:t>Section 906 Certifications of Chief Executive Officer and Chief Financial Officer.</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6"/>
              </w:rPr>
              <w:t>99.1(H)</w:t>
            </w:r>
          </w:p>
        </w:tc>
        <w:tc>
          <w:tcPr>
            <w:tcW w:w="6940" w:type="dxa"/>
            <w:vAlign w:val="bottom"/>
          </w:tcPr>
          <w:p>
            <w:pPr>
              <w:ind w:left="300"/>
              <w:spacing w:after="0"/>
              <w:rPr>
                <w:sz w:val="20"/>
                <w:szCs w:val="20"/>
                <w:color w:val="auto"/>
              </w:rPr>
            </w:pPr>
            <w:r>
              <w:rPr>
                <w:rFonts w:ascii="Arial" w:cs="Arial" w:eastAsia="Arial" w:hAnsi="Arial"/>
                <w:sz w:val="18"/>
                <w:szCs w:val="18"/>
                <w:color w:val="auto"/>
                <w:w w:val="91"/>
              </w:rPr>
              <w:t>Unaudited Condensed Attributed Financial Information and Notes for Hughes Retail Group.</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5"/>
              </w:rPr>
              <w:t>101.INS</w:t>
            </w:r>
          </w:p>
        </w:tc>
        <w:tc>
          <w:tcPr>
            <w:tcW w:w="69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69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4"/>
              </w:rPr>
              <w:t>101.CAL</w:t>
            </w:r>
          </w:p>
        </w:tc>
        <w:tc>
          <w:tcPr>
            <w:tcW w:w="69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69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5"/>
              </w:rPr>
              <w:t>101.LAB</w:t>
            </w:r>
          </w:p>
        </w:tc>
        <w:tc>
          <w:tcPr>
            <w:tcW w:w="69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1"/>
              </w:rPr>
              <w:t>101.PRE</w:t>
            </w:r>
          </w:p>
        </w:tc>
        <w:tc>
          <w:tcPr>
            <w:tcW w:w="694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205740</wp:posOffset>
            </wp:positionV>
            <wp:extent cx="16205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hanging="34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420" w:hanging="34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HUGHES SATELLITE SYSTEMS CORPORATION</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7, 2015</w:t>
            </w:r>
          </w:p>
        </w:tc>
        <w:tc>
          <w:tcPr>
            <w:tcW w:w="2620" w:type="dxa"/>
            <w:vAlign w:val="bottom"/>
          </w:tcPr>
          <w:p>
            <w:pPr>
              <w:ind w:left="222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President and Director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7, 2015</w:t>
            </w:r>
          </w:p>
        </w:tc>
        <w:tc>
          <w:tcPr>
            <w:tcW w:w="2620" w:type="dxa"/>
            <w:vAlign w:val="bottom"/>
          </w:tcPr>
          <w:p>
            <w:pPr>
              <w:ind w:left="222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 Officer and Treasurer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25" w:lineRule="exact"/>
        <w:rPr>
          <w:rFonts w:ascii="Arial" w:cs="Arial" w:eastAsia="Arial" w:hAnsi="Arial"/>
          <w:sz w:val="18"/>
          <w:szCs w:val="18"/>
          <w:color w:val="auto"/>
        </w:rPr>
      </w:pPr>
    </w:p>
    <w:p>
      <w:pPr>
        <w:ind w:left="260" w:right="240" w:hanging="252"/>
        <w:spacing w:after="0" w:line="342"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70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60" w:hanging="252"/>
        <w:spacing w:after="0" w:line="264"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44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10640" w:type="dxa"/>
            <w:vAlign w:val="bottom"/>
            <w:tcBorders>
              <w:bottom w:val="single" w:sz="8" w:color="auto"/>
            </w:tcBorders>
          </w:tcPr>
          <w:p>
            <w:pPr>
              <w:ind w:left="720"/>
              <w:spacing w:after="0"/>
              <w:rPr>
                <w:sz w:val="20"/>
                <w:szCs w:val="20"/>
                <w:color w:val="auto"/>
              </w:rPr>
            </w:pPr>
            <w:r>
              <w:rPr>
                <w:rFonts w:ascii="Arial" w:cs="Arial" w:eastAsia="Arial" w:hAnsi="Arial"/>
                <w:sz w:val="18"/>
                <w:szCs w:val="18"/>
                <w:i w:val="1"/>
                <w:iCs w:val="1"/>
                <w:color w:val="auto"/>
              </w:rPr>
              <w:t>/s/ Michael T. Dugan</w:t>
            </w:r>
          </w:p>
        </w:tc>
        <w:tc>
          <w:tcPr>
            <w:tcW w:w="40" w:type="dxa"/>
            <w:vAlign w:val="bottom"/>
          </w:tcPr>
          <w:p>
            <w:pPr>
              <w:spacing w:after="0"/>
              <w:rPr>
                <w:sz w:val="20"/>
                <w:szCs w:val="20"/>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1064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President and Director</w:t>
            </w:r>
          </w:p>
        </w:tc>
        <w:tc>
          <w:tcPr>
            <w:tcW w:w="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25" w:lineRule="exact"/>
        <w:rPr>
          <w:rFonts w:ascii="Arial" w:cs="Arial" w:eastAsia="Arial" w:hAnsi="Arial"/>
          <w:sz w:val="18"/>
          <w:szCs w:val="18"/>
          <w:color w:val="auto"/>
        </w:rPr>
      </w:pPr>
    </w:p>
    <w:p>
      <w:pPr>
        <w:ind w:left="300" w:right="180" w:hanging="292"/>
        <w:spacing w:after="0" w:line="342" w:lineRule="auto"/>
        <w:tabs>
          <w:tab w:leader="none" w:pos="2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00" w:right="640" w:hanging="292"/>
        <w:spacing w:after="0" w:line="308" w:lineRule="auto"/>
        <w:tabs>
          <w:tab w:leader="none" w:pos="2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00" w:right="260" w:hanging="292"/>
        <w:spacing w:after="0" w:line="264" w:lineRule="auto"/>
        <w:tabs>
          <w:tab w:leader="none" w:pos="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5"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00" w:right="380" w:hanging="292"/>
        <w:spacing w:after="0" w:line="308" w:lineRule="auto"/>
        <w:tabs>
          <w:tab w:leader="none" w:pos="2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74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c>
          <w:tcPr>
            <w:tcW w:w="4940" w:type="dxa"/>
            <w:vAlign w:val="bottom"/>
          </w:tcPr>
          <w:p>
            <w:pPr>
              <w:spacing w:after="0"/>
              <w:rPr>
                <w:sz w:val="20"/>
                <w:szCs w:val="20"/>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74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c>
          <w:tcPr>
            <w:tcW w:w="494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49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Financial and Accounting Officer)</w:t>
            </w:r>
          </w:p>
        </w:tc>
        <w:tc>
          <w:tcPr>
            <w:tcW w:w="49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for the quarter ended March 31, 2015 on Form 10-Q (the “Quarterly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880" w:right="380" w:hanging="432"/>
        <w:spacing w:after="0" w:line="258"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 w:lineRule="exact"/>
        <w:rPr>
          <w:rFonts w:ascii="Arial" w:cs="Arial" w:eastAsia="Arial" w:hAnsi="Arial"/>
          <w:sz w:val="18"/>
          <w:szCs w:val="18"/>
          <w:color w:val="auto"/>
        </w:rPr>
      </w:pPr>
    </w:p>
    <w:p>
      <w:pPr>
        <w:ind w:left="880" w:right="160" w:hanging="432"/>
        <w:spacing w:after="0" w:line="261" w:lineRule="auto"/>
        <w:tabs>
          <w:tab w:leader="none" w:pos="9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740" w:type="dxa"/>
            <w:vAlign w:val="bottom"/>
            <w:tcBorders>
              <w:bottom w:val="single" w:sz="8" w:color="auto"/>
            </w:tcBorders>
          </w:tcPr>
          <w:p>
            <w:pPr>
              <w:ind w:left="720"/>
              <w:spacing w:after="0"/>
              <w:rPr>
                <w:sz w:val="20"/>
                <w:szCs w:val="20"/>
                <w:color w:val="auto"/>
              </w:rPr>
            </w:pPr>
            <w:r>
              <w:rPr>
                <w:rFonts w:ascii="Arial" w:cs="Arial" w:eastAsia="Arial" w:hAnsi="Arial"/>
                <w:sz w:val="18"/>
                <w:szCs w:val="18"/>
                <w:i w:val="1"/>
                <w:iCs w:val="1"/>
                <w:color w:val="auto"/>
              </w:rPr>
              <w:t>/s/ Michael T. Dugan</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74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620" w:type="dxa"/>
            <w:vAlign w:val="bottom"/>
          </w:tcPr>
          <w:p>
            <w:pPr>
              <w:spacing w:after="0"/>
              <w:rPr>
                <w:sz w:val="20"/>
                <w:szCs w:val="20"/>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740" w:type="dxa"/>
            <w:vAlign w:val="bottom"/>
            <w:tcBorders>
              <w:bottom w:val="single" w:sz="8" w:color="auto"/>
            </w:tcBorders>
          </w:tcPr>
          <w:p>
            <w:pPr>
              <w:ind w:left="720"/>
              <w:spacing w:after="0"/>
              <w:rPr>
                <w:sz w:val="20"/>
                <w:szCs w:val="20"/>
                <w:color w:val="auto"/>
              </w:rPr>
            </w:pPr>
            <w:r>
              <w:rPr>
                <w:rFonts w:ascii="Arial" w:cs="Arial" w:eastAsia="Arial" w:hAnsi="Arial"/>
                <w:sz w:val="18"/>
                <w:szCs w:val="18"/>
                <w:i w:val="1"/>
                <w:iCs w:val="1"/>
                <w:color w:val="auto"/>
              </w:rPr>
              <w:t>/s/ David J. Rayner</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74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620" w:type="dxa"/>
            <w:vAlign w:val="bottom"/>
          </w:tcPr>
          <w:p>
            <w:pPr>
              <w:spacing w:after="0"/>
              <w:rPr>
                <w:sz w:val="20"/>
                <w:szCs w:val="20"/>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 2014, EchoStar Corporation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is comprised of all existing and future businesses of Hughes Satellite Systems Corporation and its subsidiaries, excluding the Hughes Retail Group.</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Holders of the Tracking Stock and our common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 Notwithstanding the following attribution of assets, liabilities, revenue, expenses and cash flows to the Hughes Retail Group and the HSSC Group, our tracking stock structure does not affect the ownership or the legal title to our assets or responsibility for our liabilities.</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accompanying condensed attributed financial information as of, and for, the three months ended March 31, 2015 and 2014 and the year ended December 31, 2014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tables present our consolidated assets and liabilities as of March 31, 2015 and December 31, 2014 and our consolidated revenue, expenses and cash flows for the three months ended March 31, 2015 and 2014. The tables further present our assets, liabilities, revenue, expenses and cash flows that are attributed to the Hughes Retail Group as if that business and its assets had been attributed to that group at the beginning of each period. As a result of our Policy Statement adopted as of March 1, 2014, we used different attribution methods for certain items in periods prior to March 1, 2014. Therefore, the attributed financial position, results of operations and cash flows of the Hughes Retail Group and all other operations are not directly comparable to the corresponding attributed financial information for periods after March 1, 2014. The financial information in this Exhibit should be read in conjunction with our unaudited condensed consolidated financial statements for the period ended March 31, 2015 included in our Quarterly Report on Form 10-Q.</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Attributed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Attributed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Attributed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As of March 31, 2015</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As of December 31, 2014</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Hughes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HSSC</w:t>
            </w:r>
          </w:p>
        </w:tc>
        <w:tc>
          <w:tcPr>
            <w:tcW w:w="60" w:type="dxa"/>
            <w:vAlign w:val="bottom"/>
          </w:tcPr>
          <w:p>
            <w:pPr>
              <w:spacing w:after="0"/>
              <w:rPr>
                <w:sz w:val="10"/>
                <w:szCs w:val="10"/>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Inter-Group</w:t>
            </w:r>
          </w:p>
        </w:tc>
        <w:tc>
          <w:tcPr>
            <w:tcW w:w="12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HSS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Hughes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HSSC</w:t>
            </w:r>
          </w:p>
        </w:tc>
        <w:tc>
          <w:tcPr>
            <w:tcW w:w="60" w:type="dxa"/>
            <w:vAlign w:val="bottom"/>
          </w:tcPr>
          <w:p>
            <w:pPr>
              <w:spacing w:after="0"/>
              <w:rPr>
                <w:sz w:val="10"/>
                <w:szCs w:val="10"/>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Inter-Group</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HSS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Retail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Retail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Group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Group</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Consolidated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Group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Group</w:t>
            </w: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16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Cash, cash equivalents and marketable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652,040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652,040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620,549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Trade accounts receivable, net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27,994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111,181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139,175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29,086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Trade accounts receivable - DISH Network,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19,249</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9,073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55,682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45,214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51,597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Prepaids and deposits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34,151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34,793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30,346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30,938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Inter-group advances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1,072,544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1,073,456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1,015,242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1,028,836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17,652</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168,217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2,112,964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(11,160)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2,270,021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166,145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2,116,777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authorizations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471,658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471,658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471,658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244,173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504,173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244,173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145,462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Economic interest in Hughes Retail Group</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329,195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5"/>
              </w:rPr>
              <w:t>(329,195)</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334,742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(334,742)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38,588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136,967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174,781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40,997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137,278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512,993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3,447,304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(341,129)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3,619,168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518,230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3,461,261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(343,743)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3,635,748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555,684</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4,519,848</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(382,908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4,692,624</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561,172</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4,476,503</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(373,091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4,664,584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460"/>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91,205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81,170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93,783</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Trade accounts payable - DISH Network</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Current portion of long-term debt and capital</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obligations</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39,746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Deferred revenue and prepayments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24,139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29,302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53,441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26,504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34,559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61,063</w:t>
            </w:r>
          </w:p>
        </w:tc>
        <w:tc>
          <w:tcPr>
            <w:tcW w:w="0" w:type="dxa"/>
            <w:vAlign w:val="bottom"/>
          </w:tcPr>
          <w:p>
            <w:pPr>
              <w:spacing w:after="0"/>
              <w:rPr>
                <w:sz w:val="1"/>
                <w:szCs w:val="1"/>
                <w:color w:val="auto"/>
              </w:rPr>
            </w:pPr>
          </w:p>
        </w:tc>
      </w:tr>
      <w:tr>
        <w:trPr>
          <w:trHeight w:val="124"/>
        </w:trPr>
        <w:tc>
          <w:tcPr>
            <w:tcW w:w="3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4" w:name="page35"/>
    <w:bookmarkEnd w:id="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20,885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20,885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20,128</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Advances from affiliates, net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7,740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7,740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23,792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23,792</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Inter-group advances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39,680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27,449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(27,449)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14,368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99,702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114,070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15,167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76,256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91,423</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277,748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328,339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275,669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382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Long-term debt and capital lease obligations,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of current portion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2,318,526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2,318,526</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2,325,417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2,325,417</w:t>
            </w:r>
          </w:p>
        </w:tc>
        <w:tc>
          <w:tcPr>
            <w:tcW w:w="100" w:type="dxa"/>
            <w:vAlign w:val="bottom"/>
            <w:shd w:val="clear" w:color="auto" w:fill="CCEEFF"/>
          </w:tcPr>
          <w:p>
            <w:pPr>
              <w:spacing w:after="0"/>
              <w:rPr>
                <w:sz w:val="20"/>
                <w:szCs w:val="20"/>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4,404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552,298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556,702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9,457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530,103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539,560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affiliates, net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3,094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86,381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89,475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4,351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87,354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91,705</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2,965,590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2,973,088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2,951,226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2,965,034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97,769</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3,243,338</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(39,680)</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3,301,427</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95,541</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3,226,895</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(27,449)</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3,294,987</w:t>
            </w:r>
          </w:p>
        </w:tc>
        <w:tc>
          <w:tcPr>
            <w:tcW w:w="100" w:type="dxa"/>
            <w:vAlign w:val="bottom"/>
            <w:tcBorders>
              <w:bottom w:val="single" w:sz="8" w:color="CCEEFF"/>
            </w:tcBorders>
          </w:tcPr>
          <w:p>
            <w:pPr>
              <w:spacing w:after="0"/>
              <w:rPr>
                <w:sz w:val="18"/>
                <w:szCs w:val="18"/>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Equity/ Attributed net assets (liabilities)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457,915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1,266,128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(343,228)</w:t>
            </w:r>
          </w:p>
        </w:tc>
        <w:tc>
          <w:tcPr>
            <w:tcW w:w="860" w:type="dxa"/>
            <w:vAlign w:val="bottom"/>
          </w:tcPr>
          <w:p>
            <w:pPr>
              <w:jc w:val="right"/>
              <w:spacing w:after="0"/>
              <w:rPr>
                <w:sz w:val="20"/>
                <w:szCs w:val="20"/>
                <w:color w:val="auto"/>
              </w:rPr>
            </w:pPr>
            <w:r>
              <w:rPr>
                <w:rFonts w:ascii="Arial" w:cs="Arial" w:eastAsia="Arial" w:hAnsi="Arial"/>
                <w:sz w:val="18"/>
                <w:szCs w:val="18"/>
                <w:color w:val="auto"/>
              </w:rPr>
              <w:t>1,380,815</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465,631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1,239,595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(345,642)</w:t>
            </w:r>
          </w:p>
        </w:tc>
        <w:tc>
          <w:tcPr>
            <w:tcW w:w="860" w:type="dxa"/>
            <w:vAlign w:val="bottom"/>
          </w:tcPr>
          <w:p>
            <w:pPr>
              <w:jc w:val="right"/>
              <w:spacing w:after="0"/>
              <w:rPr>
                <w:sz w:val="20"/>
                <w:szCs w:val="20"/>
                <w:color w:val="auto"/>
              </w:rPr>
            </w:pPr>
            <w:r>
              <w:rPr>
                <w:rFonts w:ascii="Arial" w:cs="Arial" w:eastAsia="Arial" w:hAnsi="Arial"/>
                <w:sz w:val="18"/>
                <w:szCs w:val="18"/>
                <w:color w:val="auto"/>
              </w:rPr>
              <w:t>1,359,584</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w:t>
            </w:r>
          </w:p>
        </w:tc>
      </w:tr>
      <w:tr>
        <w:trPr>
          <w:trHeight w:val="210"/>
        </w:trPr>
        <w:tc>
          <w:tcPr>
            <w:tcW w:w="382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457,915</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1,276,510</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(343,228)</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1,391,197</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465,631</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1,249,608</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(345,642)</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1,369,597</w:t>
            </w:r>
          </w:p>
        </w:tc>
        <w:tc>
          <w:tcPr>
            <w:tcW w:w="10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800" w:type="dxa"/>
            <w:vAlign w:val="bottom"/>
            <w:vMerge w:val="restart"/>
            <w:shd w:val="clear" w:color="auto" w:fill="CCEEFF"/>
          </w:tcPr>
          <w:p>
            <w:pPr>
              <w:ind w:left="520"/>
              <w:spacing w:after="0" w:line="201" w:lineRule="exact"/>
              <w:rPr>
                <w:sz w:val="20"/>
                <w:szCs w:val="20"/>
                <w:color w:val="auto"/>
              </w:rPr>
            </w:pPr>
            <w:r>
              <w:rPr>
                <w:rFonts w:ascii="Arial" w:cs="Arial" w:eastAsia="Arial" w:hAnsi="Arial"/>
                <w:sz w:val="18"/>
                <w:szCs w:val="18"/>
                <w:color w:val="auto"/>
              </w:rPr>
              <w:t>Total liabilities and equity/ attributed net</w:t>
            </w:r>
          </w:p>
        </w:tc>
        <w:tc>
          <w:tcPr>
            <w:tcW w:w="3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8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tcBorders>
              <w:right w:val="single" w:sz="8" w:color="CCEEFF"/>
            </w:tcBorders>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80" w:type="dxa"/>
            <w:vAlign w:val="bottom"/>
            <w:tcBorders>
              <w:right w:val="single" w:sz="8" w:color="auto"/>
            </w:tcBorders>
            <w:shd w:val="clear" w:color="auto" w:fill="CCEEFF"/>
          </w:tcPr>
          <w:p>
            <w:pPr>
              <w:spacing w:after="0"/>
              <w:rPr>
                <w:sz w:val="3"/>
                <w:szCs w:val="3"/>
                <w:color w:val="auto"/>
              </w:rPr>
            </w:pPr>
          </w:p>
        </w:tc>
        <w:tc>
          <w:tcPr>
            <w:tcW w:w="160" w:type="dxa"/>
            <w:vAlign w:val="bottom"/>
            <w:tcBorders>
              <w:left w:val="single" w:sz="8" w:color="auto"/>
            </w:tcBorders>
            <w:shd w:val="clear" w:color="auto" w:fill="000000"/>
          </w:tcPr>
          <w:p>
            <w:pPr>
              <w:spacing w:after="0"/>
              <w:rPr>
                <w:sz w:val="3"/>
                <w:szCs w:val="3"/>
                <w:color w:val="auto"/>
              </w:rPr>
            </w:pPr>
          </w:p>
        </w:tc>
        <w:tc>
          <w:tcPr>
            <w:tcW w:w="480" w:type="dxa"/>
            <w:vAlign w:val="bottom"/>
            <w:tcBorders>
              <w:right w:val="single" w:sz="8" w:color="CCEEFF"/>
            </w:tcBorders>
            <w:shd w:val="clear" w:color="auto" w:fill="000000"/>
          </w:tcPr>
          <w:p>
            <w:pPr>
              <w:spacing w:after="0"/>
              <w:rPr>
                <w:sz w:val="3"/>
                <w:szCs w:val="3"/>
                <w:color w:val="auto"/>
              </w:rPr>
            </w:pPr>
          </w:p>
        </w:tc>
        <w:tc>
          <w:tcPr>
            <w:tcW w:w="100" w:type="dxa"/>
            <w:vAlign w:val="bottom"/>
            <w:tcBorders>
              <w:right w:val="single" w:sz="8" w:color="auto"/>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20" w:type="dxa"/>
            <w:vAlign w:val="bottom"/>
            <w:tcBorders>
              <w:right w:val="single" w:sz="8" w:color="CCEEFF"/>
            </w:tcBorders>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20" w:type="dxa"/>
            <w:vAlign w:val="bottom"/>
            <w:tcBorders>
              <w:right w:val="single" w:sz="8" w:color="CCEEFF"/>
            </w:tcBorders>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8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vMerge w:val="continue"/>
            <w:shd w:val="clear" w:color="auto" w:fill="CCEEFF"/>
          </w:tcPr>
          <w:p>
            <w:pPr>
              <w:spacing w:after="0"/>
              <w:rPr>
                <w:sz w:val="14"/>
                <w:szCs w:val="14"/>
                <w:color w:val="auto"/>
              </w:rPr>
            </w:pPr>
          </w:p>
        </w:tc>
        <w:tc>
          <w:tcPr>
            <w:tcW w:w="76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$ 555,684</w:t>
            </w:r>
          </w:p>
        </w:tc>
        <w:tc>
          <w:tcPr>
            <w:tcW w:w="1020" w:type="dxa"/>
            <w:vAlign w:val="bottom"/>
            <w:tcBorders>
              <w:right w:val="single" w:sz="8" w:color="CCEEFF"/>
            </w:tcBorders>
            <w:gridSpan w:val="7"/>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$ 4,519,848</w:t>
            </w:r>
          </w:p>
        </w:tc>
        <w:tc>
          <w:tcPr>
            <w:tcW w:w="1900" w:type="dxa"/>
            <w:vAlign w:val="bottom"/>
            <w:gridSpan w:val="10"/>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(382,908) $ 4,692,624</w:t>
            </w:r>
          </w:p>
        </w:tc>
        <w:tc>
          <w:tcPr>
            <w:tcW w:w="28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73"/>
              </w:rPr>
              <w:t>$ 561,172</w:t>
            </w:r>
          </w:p>
        </w:tc>
        <w:tc>
          <w:tcPr>
            <w:tcW w:w="980" w:type="dxa"/>
            <w:vAlign w:val="bottom"/>
            <w:tcBorders>
              <w:right w:val="single" w:sz="8" w:color="CCEEFF"/>
            </w:tcBorders>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$ 4,476,503</w:t>
            </w:r>
          </w:p>
        </w:tc>
        <w:tc>
          <w:tcPr>
            <w:tcW w:w="1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86"/>
              </w:rPr>
              <w:t>$ (373,091)</w:t>
            </w:r>
          </w:p>
        </w:tc>
        <w:tc>
          <w:tcPr>
            <w:tcW w:w="8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$ 4,664,584</w:t>
            </w: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assets (liabilities)</w:t>
            </w:r>
          </w:p>
        </w:tc>
        <w:tc>
          <w:tcPr>
            <w:tcW w:w="760" w:type="dxa"/>
            <w:vAlign w:val="bottom"/>
            <w:tcBorders>
              <w:right w:val="single" w:sz="8" w:color="CCEEFF"/>
            </w:tcBorders>
            <w:gridSpan w:val="4"/>
            <w:vMerge w:val="continue"/>
            <w:shd w:val="clear" w:color="auto" w:fill="CCEEFF"/>
          </w:tcPr>
          <w:p>
            <w:pPr>
              <w:spacing w:after="0"/>
              <w:rPr>
                <w:sz w:val="18"/>
                <w:szCs w:val="18"/>
                <w:color w:val="auto"/>
              </w:rPr>
            </w:pPr>
          </w:p>
        </w:tc>
        <w:tc>
          <w:tcPr>
            <w:tcW w:w="1020" w:type="dxa"/>
            <w:vAlign w:val="bottom"/>
            <w:tcBorders>
              <w:right w:val="single" w:sz="8" w:color="CCEEFF"/>
            </w:tcBorders>
            <w:gridSpan w:val="7"/>
            <w:vMerge w:val="continue"/>
            <w:shd w:val="clear" w:color="auto" w:fill="CCEEFF"/>
          </w:tcPr>
          <w:p>
            <w:pPr>
              <w:spacing w:after="0"/>
              <w:rPr>
                <w:sz w:val="18"/>
                <w:szCs w:val="18"/>
                <w:color w:val="auto"/>
              </w:rPr>
            </w:pPr>
          </w:p>
        </w:tc>
        <w:tc>
          <w:tcPr>
            <w:tcW w:w="1900" w:type="dxa"/>
            <w:vAlign w:val="bottom"/>
            <w:gridSpan w:val="10"/>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980" w:type="dxa"/>
            <w:vAlign w:val="bottom"/>
            <w:tcBorders>
              <w:right w:val="single" w:sz="8" w:color="CCEEFF"/>
            </w:tcBorders>
            <w:gridSpan w:val="5"/>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vMerge w:val="continue"/>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gridSpan w:val="4"/>
          </w:tcPr>
          <w:p>
            <w:pPr>
              <w:spacing w:after="0"/>
              <w:rPr>
                <w:sz w:val="11"/>
                <w:szCs w:val="11"/>
                <w:color w:val="auto"/>
              </w:rPr>
            </w:pPr>
          </w:p>
        </w:tc>
        <w:tc>
          <w:tcPr>
            <w:tcW w:w="16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gridSpan w:val="3"/>
          </w:tcPr>
          <w:p>
            <w:pPr>
              <w:spacing w:after="0"/>
              <w:rPr>
                <w:sz w:val="11"/>
                <w:szCs w:val="11"/>
                <w:color w:val="auto"/>
              </w:rPr>
            </w:pPr>
          </w:p>
        </w:tc>
        <w:tc>
          <w:tcPr>
            <w:tcW w:w="160" w:type="dxa"/>
            <w:vAlign w:val="bottom"/>
            <w:tcBorders>
              <w:bottom w:val="single" w:sz="8" w:color="010101"/>
            </w:tcBorders>
            <w:gridSpan w:val="2"/>
          </w:tcPr>
          <w:p>
            <w:pPr>
              <w:spacing w:after="0"/>
              <w:rPr>
                <w:sz w:val="11"/>
                <w:szCs w:val="11"/>
                <w:color w:val="auto"/>
              </w:rPr>
            </w:pPr>
          </w:p>
        </w:tc>
        <w:tc>
          <w:tcPr>
            <w:tcW w:w="780" w:type="dxa"/>
            <w:vAlign w:val="bottom"/>
            <w:tcBorders>
              <w:bottom w:val="single" w:sz="8" w:color="010101"/>
            </w:tcBorders>
            <w:gridSpan w:val="3"/>
          </w:tcPr>
          <w:p>
            <w:pPr>
              <w:spacing w:after="0"/>
              <w:rPr>
                <w:sz w:val="11"/>
                <w:szCs w:val="11"/>
                <w:color w:val="auto"/>
              </w:rPr>
            </w:pPr>
          </w:p>
        </w:tc>
        <w:tc>
          <w:tcPr>
            <w:tcW w:w="160" w:type="dxa"/>
            <w:vAlign w:val="bottom"/>
            <w:tcBorders>
              <w:bottom w:val="single" w:sz="8" w:color="010101"/>
            </w:tcBorders>
            <w:gridSpan w:val="2"/>
          </w:tcPr>
          <w:p>
            <w:pPr>
              <w:spacing w:after="0"/>
              <w:rPr>
                <w:sz w:val="11"/>
                <w:szCs w:val="11"/>
                <w:color w:val="auto"/>
              </w:rPr>
            </w:pPr>
          </w:p>
        </w:tc>
        <w:tc>
          <w:tcPr>
            <w:tcW w:w="920" w:type="dxa"/>
            <w:vAlign w:val="bottom"/>
            <w:tcBorders>
              <w:bottom w:val="single" w:sz="8" w:color="010101"/>
            </w:tcBorders>
            <w:gridSpan w:val="3"/>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960" w:type="dxa"/>
            <w:vAlign w:val="bottom"/>
            <w:gridSpan w:val="22"/>
          </w:tcPr>
          <w:p>
            <w:pPr>
              <w:jc w:val="center"/>
              <w:ind w:right="180"/>
              <w:spacing w:after="0"/>
              <w:rPr>
                <w:sz w:val="20"/>
                <w:szCs w:val="20"/>
                <w:color w:val="auto"/>
              </w:rPr>
            </w:pPr>
            <w:r>
              <w:rPr>
                <w:rFonts w:ascii="Arial" w:cs="Arial" w:eastAsia="Arial" w:hAnsi="Arial"/>
                <w:sz w:val="18"/>
                <w:szCs w:val="18"/>
                <w:b w:val="1"/>
                <w:bCs w:val="1"/>
                <w:color w:val="auto"/>
                <w:w w:val="89"/>
              </w:rPr>
              <w:t>Condensed Attributed Statements of Operations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8"/>
          </w:tcPr>
          <w:p>
            <w:pPr>
              <w:ind w:left="6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8"/>
          </w:tcPr>
          <w:p>
            <w:pPr>
              <w:jc w:val="center"/>
              <w:ind w:right="540"/>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92"/>
              </w:rPr>
              <w:t>Attributed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Attributed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11"/>
          </w:tcPr>
          <w:p>
            <w:pPr>
              <w:jc w:val="center"/>
              <w:spacing w:after="0" w:line="149" w:lineRule="exact"/>
              <w:rPr>
                <w:sz w:val="20"/>
                <w:szCs w:val="20"/>
                <w:color w:val="auto"/>
              </w:rPr>
            </w:pPr>
            <w:r>
              <w:rPr>
                <w:rFonts w:ascii="Arial" w:cs="Arial" w:eastAsia="Arial" w:hAnsi="Arial"/>
                <w:sz w:val="14"/>
                <w:szCs w:val="14"/>
                <w:b w:val="1"/>
                <w:bCs w:val="1"/>
                <w:color w:val="auto"/>
                <w:w w:val="93"/>
              </w:rPr>
              <w:t>For the Three Months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7"/>
          </w:tcPr>
          <w:p>
            <w:pPr>
              <w:ind w:left="4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4"/>
              </w:rPr>
              <w:t>March 31, 2015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tcPr>
          <w:p>
            <w:pPr>
              <w:jc w:val="right"/>
              <w:ind w:right="140"/>
              <w:spacing w:after="0" w:line="119" w:lineRule="exact"/>
              <w:rPr>
                <w:sz w:val="20"/>
                <w:szCs w:val="20"/>
                <w:color w:val="auto"/>
              </w:rPr>
            </w:pPr>
            <w:r>
              <w:rPr>
                <w:rFonts w:ascii="Arial" w:cs="Arial" w:eastAsia="Arial" w:hAnsi="Arial"/>
                <w:sz w:val="13"/>
                <w:szCs w:val="13"/>
                <w:b w:val="1"/>
                <w:bCs w:val="1"/>
                <w:color w:val="auto"/>
              </w:rPr>
              <w:t>Hughes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2"/>
              </w:rPr>
              <w:t>HSSC</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Inter-Group</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HSS</w:t>
            </w:r>
          </w:p>
        </w:tc>
        <w:tc>
          <w:tcPr>
            <w:tcW w:w="640" w:type="dxa"/>
            <w:vAlign w:val="bottom"/>
            <w:gridSpan w:val="2"/>
          </w:tcPr>
          <w:p>
            <w:pPr>
              <w:jc w:val="center"/>
              <w:ind w:left="16"/>
              <w:spacing w:after="0" w:line="119" w:lineRule="exact"/>
              <w:rPr>
                <w:sz w:val="20"/>
                <w:szCs w:val="20"/>
                <w:color w:val="auto"/>
              </w:rPr>
            </w:pPr>
            <w:r>
              <w:rPr>
                <w:rFonts w:ascii="Arial" w:cs="Arial" w:eastAsia="Arial" w:hAnsi="Arial"/>
                <w:sz w:val="13"/>
                <w:szCs w:val="13"/>
                <w:b w:val="1"/>
                <w:bCs w:val="1"/>
                <w:color w:val="auto"/>
                <w:w w:val="96"/>
              </w:rPr>
              <w:t>Hughes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HSSC</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Inter-Group</w:t>
            </w:r>
          </w:p>
        </w:tc>
        <w:tc>
          <w:tcPr>
            <w:tcW w:w="16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HSS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Retail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Group</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w w:val="90"/>
              </w:rPr>
              <w:t>Group</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Eliminations</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Group</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Services and equipment revenue - other</w:t>
            </w:r>
          </w:p>
        </w:tc>
        <w:tc>
          <w:tcPr>
            <w:tcW w:w="1140" w:type="dxa"/>
            <w:vAlign w:val="bottom"/>
            <w:gridSpan w:val="7"/>
          </w:tcPr>
          <w:p>
            <w:pPr>
              <w:jc w:val="right"/>
              <w:spacing w:after="0"/>
              <w:rPr>
                <w:sz w:val="20"/>
                <w:szCs w:val="20"/>
                <w:color w:val="auto"/>
              </w:rPr>
            </w:pPr>
            <w:r>
              <w:rPr>
                <w:rFonts w:ascii="Arial" w:cs="Arial" w:eastAsia="Arial" w:hAnsi="Arial"/>
                <w:sz w:val="18"/>
                <w:szCs w:val="18"/>
                <w:color w:val="auto"/>
              </w:rPr>
              <w:t>$ 146,161</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4"/>
              </w:rPr>
              <w:t>$ 253,700</w:t>
            </w: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(82,131)</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317,730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136,731</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w w:val="94"/>
              </w:rPr>
              <w:t>$ 194,002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(27,234)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303,499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Services and equipment revenue - DISH Network</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132,504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132,504</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110,814</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110,814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146,161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386,204</w:t>
            </w: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(82,131)</w:t>
            </w: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5"/>
              </w:rPr>
              <w:t>450,234</w:t>
            </w: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136,731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304,816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(27,234)</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414,313</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ind w:left="160"/>
              <w:spacing w:after="0" w:line="201" w:lineRule="exact"/>
              <w:rPr>
                <w:sz w:val="20"/>
                <w:szCs w:val="20"/>
                <w:color w:val="auto"/>
              </w:rPr>
            </w:pPr>
            <w:r>
              <w:rPr>
                <w:rFonts w:ascii="Arial" w:cs="Arial" w:eastAsia="Arial" w:hAnsi="Arial"/>
                <w:sz w:val="18"/>
                <w:szCs w:val="18"/>
                <w:color w:val="auto"/>
              </w:rPr>
              <w:t>Cost of sales (exclusive of depreciation and</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86,008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167,120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(77,999)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175,129</w:t>
            </w:r>
          </w:p>
        </w:tc>
        <w:tc>
          <w:tcPr>
            <w:tcW w:w="16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68,224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137,138</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(25,610)</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179,752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38,634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70,545</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27,721</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5,554</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3,614</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34,251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74,763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108,014</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76,229</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108,185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158,893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279,348</w:t>
            </w: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(78,999)</w:t>
            </w: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5"/>
              </w:rPr>
              <w:t>359,242</w:t>
            </w: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136,608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244,702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(25,610)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355,700</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0"/>
              </w:rPr>
              <w:t>(12,732)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106,856</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90,992</w:t>
            </w: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60,114</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(45,086)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(45,086)</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(48,748)</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Equity in earnings of unconsolidated affiliate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w w:val="70"/>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Retained interest in earnings (loss) of Hughes Retail</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Group</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(5,547)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(38)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(49,152)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(43,643)</w:t>
            </w:r>
          </w:p>
        </w:tc>
        <w:tc>
          <w:tcPr>
            <w:tcW w:w="16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(46,392)</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(46,791)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0"/>
              </w:rPr>
              <w:t>(12,770)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57,704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47,349</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(provision), net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(23,027)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(17,973)</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(7,716)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34,677</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29,376</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16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Net income (loss) attributable to HSS</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34,308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29,007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gridSpan w:val="2"/>
          </w:tcPr>
          <w:p>
            <w:pPr>
              <w:spacing w:after="0"/>
              <w:rPr>
                <w:sz w:val="11"/>
                <w:szCs w:val="11"/>
                <w:color w:val="auto"/>
              </w:rPr>
            </w:pPr>
          </w:p>
        </w:tc>
        <w:tc>
          <w:tcPr>
            <w:tcW w:w="840" w:type="dxa"/>
            <w:vAlign w:val="bottom"/>
            <w:tcBorders>
              <w:bottom w:val="single" w:sz="8" w:color="010101"/>
            </w:tcBorders>
            <w:gridSpan w:val="7"/>
          </w:tcPr>
          <w:p>
            <w:pPr>
              <w:spacing w:after="0"/>
              <w:rPr>
                <w:sz w:val="11"/>
                <w:szCs w:val="11"/>
                <w:color w:val="auto"/>
              </w:rPr>
            </w:pPr>
          </w:p>
        </w:tc>
        <w:tc>
          <w:tcPr>
            <w:tcW w:w="720" w:type="dxa"/>
            <w:vAlign w:val="bottom"/>
            <w:tcBorders>
              <w:bottom w:val="single" w:sz="8" w:color="010101"/>
            </w:tcBorders>
            <w:gridSpan w:val="3"/>
          </w:tcPr>
          <w:p>
            <w:pPr>
              <w:spacing w:after="0"/>
              <w:rPr>
                <w:sz w:val="11"/>
                <w:szCs w:val="11"/>
                <w:color w:val="auto"/>
              </w:rPr>
            </w:pPr>
          </w:p>
        </w:tc>
        <w:tc>
          <w:tcPr>
            <w:tcW w:w="160" w:type="dxa"/>
            <w:vAlign w:val="bottom"/>
            <w:tcBorders>
              <w:bottom w:val="single" w:sz="8" w:color="010101"/>
            </w:tcBorders>
            <w:gridSpan w:val="2"/>
          </w:tcPr>
          <w:p>
            <w:pPr>
              <w:spacing w:after="0"/>
              <w:rPr>
                <w:sz w:val="11"/>
                <w:szCs w:val="11"/>
                <w:color w:val="auto"/>
              </w:rPr>
            </w:pPr>
          </w:p>
        </w:tc>
        <w:tc>
          <w:tcPr>
            <w:tcW w:w="780" w:type="dxa"/>
            <w:vAlign w:val="bottom"/>
            <w:tcBorders>
              <w:bottom w:val="single" w:sz="8" w:color="010101"/>
            </w:tcBorders>
            <w:gridSpan w:val="3"/>
          </w:tcPr>
          <w:p>
            <w:pPr>
              <w:spacing w:after="0"/>
              <w:rPr>
                <w:sz w:val="11"/>
                <w:szCs w:val="11"/>
                <w:color w:val="auto"/>
              </w:rPr>
            </w:pPr>
          </w:p>
        </w:tc>
        <w:tc>
          <w:tcPr>
            <w:tcW w:w="160" w:type="dxa"/>
            <w:vAlign w:val="bottom"/>
            <w:tcBorders>
              <w:bottom w:val="single" w:sz="8" w:color="010101"/>
            </w:tcBorders>
            <w:gridSpan w:val="2"/>
          </w:tcPr>
          <w:p>
            <w:pPr>
              <w:spacing w:after="0"/>
              <w:rPr>
                <w:sz w:val="11"/>
                <w:szCs w:val="11"/>
                <w:color w:val="auto"/>
              </w:rPr>
            </w:pPr>
          </w:p>
        </w:tc>
        <w:tc>
          <w:tcPr>
            <w:tcW w:w="920" w:type="dxa"/>
            <w:vAlign w:val="bottom"/>
            <w:tcBorders>
              <w:bottom w:val="single" w:sz="8" w:color="010101"/>
            </w:tcBorders>
            <w:gridSpan w:val="3"/>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960" w:type="dxa"/>
            <w:vAlign w:val="bottom"/>
            <w:gridSpan w:val="22"/>
          </w:tcPr>
          <w:p>
            <w:pPr>
              <w:jc w:val="center"/>
              <w:ind w:right="180"/>
              <w:spacing w:after="0"/>
              <w:rPr>
                <w:sz w:val="20"/>
                <w:szCs w:val="20"/>
                <w:color w:val="auto"/>
              </w:rPr>
            </w:pPr>
            <w:r>
              <w:rPr>
                <w:rFonts w:ascii="Arial" w:cs="Arial" w:eastAsia="Arial" w:hAnsi="Arial"/>
                <w:sz w:val="18"/>
                <w:szCs w:val="18"/>
                <w:b w:val="1"/>
                <w:bCs w:val="1"/>
                <w:color w:val="auto"/>
                <w:w w:val="89"/>
              </w:rPr>
              <w:t>Condensed Attributed Statements of Cash Flows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8"/>
          </w:tcPr>
          <w:p>
            <w:pPr>
              <w:ind w:left="6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8"/>
          </w:tcPr>
          <w:p>
            <w:pPr>
              <w:jc w:val="center"/>
              <w:ind w:right="540"/>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8"/>
              </w:rPr>
              <w:t>Attributed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8"/>
              </w:rPr>
              <w:t>Attributed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11"/>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7"/>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6"/>
              </w:rPr>
              <w:t>March 31, 2015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6"/>
              </w:rPr>
              <w:t>March 31, 2014</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Hughes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2"/>
              </w:rPr>
              <w:t>HSSC</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8"/>
              </w:rPr>
              <w:t>Inter-Group</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HSS</w:t>
            </w:r>
          </w:p>
        </w:tc>
        <w:tc>
          <w:tcPr>
            <w:tcW w:w="1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Hughes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HSSC</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Inter-Group</w:t>
            </w:r>
          </w:p>
        </w:tc>
        <w:tc>
          <w:tcPr>
            <w:tcW w:w="16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HSS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Retail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rPr>
              <w:t>Group</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85"/>
              </w:rPr>
              <w:t>Group</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4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Group</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(7,716)</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34,677</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13,569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8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160" w:type="dxa"/>
            <w:vAlign w:val="bottom"/>
            <w:tcBorders>
              <w:lef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-7515225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-7515225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-1855470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-1855470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34,251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74,763</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108,014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31,956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76,229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108,185</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 of unconsolidated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40" w:type="dxa"/>
            <w:vAlign w:val="bottom"/>
          </w:tcPr>
          <w:p>
            <w:pPr>
              <w:spacing w:after="0"/>
              <w:rPr>
                <w:sz w:val="18"/>
                <w:szCs w:val="18"/>
                <w:color w:val="auto"/>
              </w:rPr>
            </w:pPr>
          </w:p>
        </w:tc>
      </w:tr>
      <w:tr>
        <w:trPr>
          <w:trHeight w:val="202"/>
        </w:trPr>
        <w:tc>
          <w:tcPr>
            <w:tcW w:w="4200" w:type="dxa"/>
            <w:vAlign w:val="bottom"/>
          </w:tcPr>
          <w:p>
            <w:pPr>
              <w:ind w:left="360"/>
              <w:spacing w:after="0" w:line="201" w:lineRule="exact"/>
              <w:rPr>
                <w:sz w:val="20"/>
                <w:szCs w:val="20"/>
                <w:color w:val="auto"/>
              </w:rPr>
            </w:pPr>
            <w:r>
              <w:rPr>
                <w:rFonts w:ascii="Arial" w:cs="Arial" w:eastAsia="Arial" w:hAnsi="Arial"/>
                <w:sz w:val="18"/>
                <w:szCs w:val="18"/>
                <w:color w:val="auto"/>
              </w:rPr>
              <w:t>Retained interest in loss (earnings) of Hughes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tcPr>
          <w:p>
            <w:pPr>
              <w:ind w:left="540"/>
              <w:spacing w:after="0"/>
              <w:rPr>
                <w:sz w:val="20"/>
                <w:szCs w:val="20"/>
                <w:color w:val="auto"/>
              </w:rPr>
            </w:pPr>
            <w:r>
              <w:rPr>
                <w:rFonts w:ascii="Arial" w:cs="Arial" w:eastAsia="Arial" w:hAnsi="Arial"/>
                <w:sz w:val="18"/>
                <w:szCs w:val="18"/>
                <w:color w:val="auto"/>
              </w:rPr>
              <w:t>Retail Group</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5,547</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(5,547)</w:t>
            </w: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40" w:type="dxa"/>
            <w:vAlign w:val="bottom"/>
          </w:tcPr>
          <w:p>
            <w:pPr>
              <w:spacing w:after="0"/>
              <w:rPr>
                <w:sz w:val="18"/>
                <w:szCs w:val="18"/>
                <w:color w:val="auto"/>
              </w:rPr>
            </w:pPr>
          </w:p>
        </w:tc>
      </w:tr>
      <w:tr>
        <w:trPr>
          <w:trHeight w:val="202"/>
        </w:trPr>
        <w:tc>
          <w:tcPr>
            <w:tcW w:w="4200" w:type="dxa"/>
            <w:vAlign w:val="bottom"/>
          </w:tcPr>
          <w:p>
            <w:pPr>
              <w:ind w:left="360"/>
              <w:spacing w:after="0" w:line="201" w:lineRule="exact"/>
              <w:rPr>
                <w:sz w:val="20"/>
                <w:szCs w:val="20"/>
                <w:color w:val="auto"/>
              </w:rPr>
            </w:pPr>
            <w:r>
              <w:rPr>
                <w:rFonts w:ascii="Arial" w:cs="Arial" w:eastAsia="Arial" w:hAnsi="Arial"/>
                <w:sz w:val="18"/>
                <w:szCs w:val="18"/>
                <w:color w:val="auto"/>
                <w:w w:val="96"/>
              </w:rPr>
              <w:t>Realized (gains) losses on marketable investment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tcPr>
          <w:p>
            <w:pPr>
              <w:ind w:left="540"/>
              <w:spacing w:after="0"/>
              <w:rPr>
                <w:sz w:val="20"/>
                <w:szCs w:val="20"/>
                <w:color w:val="auto"/>
              </w:rPr>
            </w:pPr>
            <w:r>
              <w:rPr>
                <w:rFonts w:ascii="Arial" w:cs="Arial" w:eastAsia="Arial" w:hAnsi="Arial"/>
                <w:sz w:val="18"/>
                <w:szCs w:val="18"/>
                <w:color w:val="auto"/>
              </w:rPr>
              <w:t>securities and other investments, net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40" w:type="dxa"/>
            <w:vAlign w:val="bottom"/>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Deferred tax benefit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(5,054)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22,089</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17,035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(2,956)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(2,956)</w:t>
            </w:r>
          </w:p>
        </w:tc>
        <w:tc>
          <w:tcPr>
            <w:tcW w:w="40" w:type="dxa"/>
            <w:vAlign w:val="bottom"/>
          </w:tcPr>
          <w:p>
            <w:pPr>
              <w:spacing w:after="0"/>
              <w:rPr>
                <w:sz w:val="18"/>
                <w:szCs w:val="18"/>
                <w:color w:val="auto"/>
              </w:rPr>
            </w:pPr>
          </w:p>
        </w:tc>
      </w:tr>
      <w:tr>
        <w:trPr>
          <w:trHeight w:val="202"/>
        </w:trPr>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Changes in current assets and current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(8,691)</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33,002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40,726</w:t>
            </w:r>
          </w:p>
        </w:tc>
        <w:tc>
          <w:tcPr>
            <w:tcW w:w="40" w:type="dxa"/>
            <w:vAlign w:val="bottom"/>
          </w:tcPr>
          <w:p>
            <w:pPr>
              <w:spacing w:after="0"/>
              <w:rPr>
                <w:sz w:val="20"/>
                <w:szCs w:val="20"/>
                <w:color w:val="auto"/>
              </w:rPr>
            </w:pPr>
          </w:p>
        </w:tc>
      </w:tr>
      <w:tr>
        <w:trPr>
          <w:trHeight w:val="202"/>
        </w:trPr>
        <w:tc>
          <w:tcPr>
            <w:tcW w:w="4200" w:type="dxa"/>
            <w:vAlign w:val="bottom"/>
          </w:tcPr>
          <w:p>
            <w:pPr>
              <w:ind w:left="360"/>
              <w:spacing w:after="0" w:line="201" w:lineRule="exact"/>
              <w:rPr>
                <w:sz w:val="20"/>
                <w:szCs w:val="20"/>
                <w:color w:val="auto"/>
              </w:rPr>
            </w:pPr>
            <w:r>
              <w:rPr>
                <w:rFonts w:ascii="Arial" w:cs="Arial" w:eastAsia="Arial" w:hAnsi="Arial"/>
                <w:sz w:val="18"/>
                <w:szCs w:val="18"/>
                <w:color w:val="auto"/>
              </w:rPr>
              <w:t>Changes in noncurrent assets and noncurrent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tcPr>
          <w:p>
            <w:pPr>
              <w:ind w:left="540"/>
              <w:spacing w:after="0"/>
              <w:rPr>
                <w:sz w:val="20"/>
                <w:szCs w:val="20"/>
                <w:color w:val="auto"/>
              </w:rPr>
            </w:pPr>
            <w:r>
              <w:rPr>
                <w:rFonts w:ascii="Arial" w:cs="Arial" w:eastAsia="Arial" w:hAnsi="Arial"/>
                <w:sz w:val="18"/>
                <w:szCs w:val="18"/>
                <w:color w:val="auto"/>
              </w:rPr>
              <w:t>liabilities, net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(1,213)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3,590</w:t>
            </w: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(5,182)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(5,739)</w:t>
            </w:r>
          </w:p>
        </w:tc>
        <w:tc>
          <w:tcPr>
            <w:tcW w:w="40" w:type="dxa"/>
            <w:vAlign w:val="bottom"/>
          </w:tcPr>
          <w:p>
            <w:pPr>
              <w:spacing w:after="0"/>
              <w:rPr>
                <w:sz w:val="20"/>
                <w:szCs w:val="20"/>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c>
          <w:tcPr>
            <w:tcW w:w="40" w:type="dxa"/>
            <w:vAlign w:val="bottom"/>
          </w:tcPr>
          <w:p>
            <w:pPr>
              <w:spacing w:after="0"/>
              <w:rPr>
                <w:sz w:val="18"/>
                <w:szCs w:val="18"/>
                <w:color w:val="auto"/>
              </w:rPr>
            </w:pPr>
          </w:p>
        </w:tc>
      </w:tr>
      <w:tr>
        <w:trPr>
          <w:trHeight w:val="210"/>
        </w:trPr>
        <w:tc>
          <w:tcPr>
            <w:tcW w:w="4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flows from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19,192</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131,495</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146,881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32,950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123,071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(90,594)</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(90,594)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(52,678)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(52,678)</w:t>
            </w:r>
          </w:p>
        </w:tc>
        <w:tc>
          <w:tcPr>
            <w:tcW w:w="40" w:type="dxa"/>
            <w:vAlign w:val="bottom"/>
          </w:tcPr>
          <w:p>
            <w:pPr>
              <w:spacing w:after="0"/>
              <w:rPr>
                <w:sz w:val="18"/>
                <w:szCs w:val="18"/>
                <w:color w:val="auto"/>
              </w:rPr>
            </w:pPr>
          </w:p>
        </w:tc>
      </w:tr>
      <w:tr>
        <w:trPr>
          <w:trHeight w:val="202"/>
        </w:trPr>
        <w:tc>
          <w:tcPr>
            <w:tcW w:w="4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Sales and maturities of marketable investment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52,683</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52,683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36,271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36,271</w:t>
            </w:r>
          </w:p>
        </w:tc>
        <w:tc>
          <w:tcPr>
            <w:tcW w:w="40" w:type="dxa"/>
            <w:vAlign w:val="bottom"/>
          </w:tcPr>
          <w:p>
            <w:pPr>
              <w:spacing w:after="0"/>
              <w:rPr>
                <w:sz w:val="20"/>
                <w:szCs w:val="20"/>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(31,423)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(64,693)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(92,310)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(30,060)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(15,941)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(46,001)</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restricted cash and cash equivalents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40" w:type="dxa"/>
            <w:vAlign w:val="bottom"/>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Inter-group advances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(12,231)</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12,231</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2,326</w:t>
            </w:r>
          </w:p>
        </w:tc>
        <w:tc>
          <w:tcPr>
            <w:tcW w:w="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(4,723)</w:t>
            </w:r>
          </w:p>
        </w:tc>
        <w:tc>
          <w:tcPr>
            <w:tcW w:w="40" w:type="dxa"/>
            <w:vAlign w:val="bottom"/>
          </w:tcPr>
          <w:p>
            <w:pPr>
              <w:spacing w:after="0"/>
              <w:rPr>
                <w:sz w:val="18"/>
                <w:szCs w:val="18"/>
                <w:color w:val="auto"/>
              </w:rPr>
            </w:pPr>
          </w:p>
        </w:tc>
      </w:tr>
      <w:tr>
        <w:trPr>
          <w:trHeight w:val="210"/>
        </w:trPr>
        <w:tc>
          <w:tcPr>
            <w:tcW w:w="4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flows from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(31,423)</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(120,834</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(136,220)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(32,386)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4200" w:type="dxa"/>
            <w:vAlign w:val="bottom"/>
          </w:tcPr>
          <w:p>
            <w:pPr>
              <w:ind w:left="180"/>
              <w:spacing w:after="0" w:line="201" w:lineRule="exact"/>
              <w:rPr>
                <w:sz w:val="20"/>
                <w:szCs w:val="20"/>
                <w:color w:val="auto"/>
              </w:rPr>
            </w:pPr>
            <w:r>
              <w:rPr>
                <w:rFonts w:ascii="Arial" w:cs="Arial" w:eastAsia="Arial" w:hAnsi="Arial"/>
                <w:sz w:val="18"/>
                <w:szCs w:val="18"/>
                <w:color w:val="auto"/>
              </w:rPr>
              <w:t>Net Proceeds from issuance of Hughes Retail</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Preferred Tracking Stock</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11,404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11,404</w:t>
            </w:r>
          </w:p>
        </w:tc>
        <w:tc>
          <w:tcPr>
            <w:tcW w:w="40" w:type="dxa"/>
            <w:vAlign w:val="bottom"/>
          </w:tcPr>
          <w:p>
            <w:pPr>
              <w:spacing w:after="0"/>
              <w:rPr>
                <w:sz w:val="20"/>
                <w:szCs w:val="20"/>
                <w:color w:val="auto"/>
              </w:rPr>
            </w:pPr>
          </w:p>
        </w:tc>
      </w:tr>
      <w:tr>
        <w:trPr>
          <w:trHeight w:val="202"/>
        </w:trPr>
        <w:tc>
          <w:tcPr>
            <w:tcW w:w="4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Repayment of long-term debt and capital lease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(15,038)</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(15,038)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(17,193)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(17,193)</w:t>
            </w:r>
          </w:p>
        </w:tc>
        <w:tc>
          <w:tcPr>
            <w:tcW w:w="40" w:type="dxa"/>
            <w:vAlign w:val="bottom"/>
          </w:tcPr>
          <w:p>
            <w:pPr>
              <w:spacing w:after="0"/>
              <w:rPr>
                <w:sz w:val="20"/>
                <w:szCs w:val="20"/>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Inter-group advances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12,231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(12,231)</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c>
          <w:tcPr>
            <w:tcW w:w="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Inter-group equity contributions (distributions),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0"/>
        </w:trPr>
        <w:tc>
          <w:tcPr>
            <w:tcW w:w="42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from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12,231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(12,231)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82"/>
        </w:trPr>
        <w:tc>
          <w:tcPr>
            <w:tcW w:w="4200" w:type="dxa"/>
            <w:vAlign w:val="bottom"/>
          </w:tcPr>
          <w:p>
            <w:pPr>
              <w:ind w:left="540"/>
              <w:spacing w:after="0" w:line="182" w:lineRule="exact"/>
              <w:rPr>
                <w:sz w:val="20"/>
                <w:szCs w:val="20"/>
                <w:color w:val="auto"/>
              </w:rPr>
            </w:pPr>
            <w:r>
              <w:rPr>
                <w:rFonts w:ascii="Arial" w:cs="Arial" w:eastAsia="Arial" w:hAnsi="Arial"/>
                <w:sz w:val="18"/>
                <w:szCs w:val="18"/>
                <w:color w:val="auto"/>
              </w:rPr>
              <w:t>Effect of exchange rates on cash and cash</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4200" w:type="dxa"/>
            <w:vAlign w:val="bottom"/>
          </w:tcPr>
          <w:p>
            <w:pPr>
              <w:ind w:left="72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(2,566)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increase (decrease)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225,557</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225,557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163,709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163,709</w:t>
            </w:r>
          </w:p>
        </w:tc>
        <w:tc>
          <w:tcPr>
            <w:tcW w:w="40" w:type="dxa"/>
            <w:vAlign w:val="bottom"/>
          </w:tcPr>
          <w:p>
            <w:pPr>
              <w:spacing w:after="0"/>
              <w:rPr>
                <w:sz w:val="18"/>
                <w:szCs w:val="18"/>
                <w:color w:val="auto"/>
              </w:rPr>
            </w:pPr>
          </w:p>
        </w:tc>
      </w:tr>
      <w:tr>
        <w:trPr>
          <w:trHeight w:val="210"/>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$ 219,393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219,393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$ 244,808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244,808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Hughes Retail Group is generally comprised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consists of all other operations of HSS, including all existing and future businesses other than the Hughes Retail Group. HSS has adopted a policy statement (the “Policy Statement”) as described in Note 2 below, which sets forth management and allocation policies for purposes of attributing all of the business and operations of HSS to either the Hughes Retail Group or the HSSC Group (each as fully defined in the Policy Statement and collectively, the “Groups”).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overall objective of the attributed financial information is to present HSS’ attributed amounts reported in its condensed consolidated financial statements to the Hughes Retail Group and the HSSC Group. The Policy Statement contains specific provisions that determine how certain assets, liabilities, revenue and expenses are attributed to the Groups, effective March 1, 2014. The Policy Statement does not explicitly address the attribution of all amounts reported in our condensed consolidated financial statements; accordingly, management applies judgment in attributing certain amounts based on its assessment of the activities of the Groups and the guiding principles set forth in the Policy Statement. In addition, because the Policy Statement was not effective in periods prior to March 1, 2014, it has limited applicability to the attributed financial information for such periods.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condensed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accordance with the Policy Statement, all existing and future retail subscribers, including related customer contracts, are attributed to the Hughes Retail Group. Assets and liabilities that are directly related to the Hughes Retail Group are attributed to the Hughes Retail Group, including certain accounts</w:t>
      </w:r>
    </w:p>
    <w:p>
      <w:pPr>
        <w:sectPr>
          <w:pgSz w:w="11900" w:h="16838" w:orient="portrait"/>
          <w:cols w:equalWidth="0" w:num="1">
            <w:col w:w="11460"/>
          </w:cols>
          <w:pgMar w:left="240" w:top="134" w:right="199" w:bottom="0" w:gutter="0" w:footer="0" w:header="0"/>
        </w:sectPr>
      </w:pPr>
    </w:p>
    <w:bookmarkStart w:id="36" w:name="page37"/>
    <w:bookmarkEnd w:id="36"/>
    <w:p>
      <w:pPr>
        <w:ind w:right="40"/>
        <w:spacing w:after="0" w:line="253" w:lineRule="auto"/>
        <w:rPr>
          <w:sz w:val="20"/>
          <w:szCs w:val="20"/>
          <w:color w:val="auto"/>
        </w:rPr>
      </w:pPr>
      <w:r>
        <w:rPr>
          <w:rFonts w:ascii="Arial" w:cs="Arial" w:eastAsia="Arial" w:hAnsi="Arial"/>
          <w:sz w:val="18"/>
          <w:szCs w:val="18"/>
          <w:color w:val="auto"/>
        </w:rPr>
        <w:t>receivable, inventory, property and equipment, deferred subscriber acquisition costs, intangible assets and tax related assets and liabilities. To the extent practicable, costs and expenses are attributed without markup to the Hughes Retail Group or the HSSC Group based on specific identification. Common or shared costs, including corporate overhead, are allocated between the Hughes Retail Group and the HSSC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shareholders.</w:t>
      </w:r>
    </w:p>
    <w:p>
      <w:pPr>
        <w:spacing w:after="0" w:line="19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HSSC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HSSC Group based on cost plus a fixed margin percentage. Income taxes incurred by HSS and its subsidiaries that include operations of the Hughes Retail Group are allocated between the HSSC Group and the Hughes Retail Group based primarily on the relative amounts of earnings or loss attributable to each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various attributions, allocations and inter-group charges provided for in the Policy Statement generally do not affect the amounts reported in HSS’ condensed consolidated financial statements, except for effects on the attribution of equity and net income or loss between the holders of Tracking Stock and HSS’ common shareholders.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HSSC Group, including regulatory authorizations and property and equipment (such as satellites and related terrestrial facilities), because those assets are operated and maintained by the HSSC Group and it is not practicable to allocate the asset carrying amounts between the Groups. However, the Hughes Retail Group has the right to use such assets and is charged for its use of such assets in accordance with the Policy Statement.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HSSC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HSS.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HSS’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HSS on its cash and marketable investment securities portfolio. There is no allocation of HSS’ long-term debt or related interest costs to the Hughes Retail Group.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5" w:right="239" w:bottom="0" w:gutter="0" w:footer="0" w:header="0"/>
        </w:sectPr>
      </w:pPr>
    </w:p>
    <w:bookmarkStart w:id="37" w:name="page38"/>
    <w:bookmarkEnd w:id="37"/>
    <w:p>
      <w:pPr>
        <w:ind w:right="260"/>
        <w:spacing w:after="0" w:line="272" w:lineRule="auto"/>
        <w:rPr>
          <w:sz w:val="20"/>
          <w:szCs w:val="20"/>
          <w:color w:val="auto"/>
        </w:rPr>
      </w:pPr>
      <w:r>
        <w:rPr>
          <w:rFonts w:ascii="Arial" w:cs="Arial" w:eastAsia="Arial" w:hAnsi="Arial"/>
          <w:sz w:val="17"/>
          <w:szCs w:val="17"/>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HSSC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Attributions for Periods Prior to Adoption of the Policy Statement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Except as discussed below, attributions of assets, liabilities, revenue, expenses and cash flows to the Hughes Retail Group in periods prior to the adoption of the Policy Statement effective March 1, 2014 are substantially as described above. However, because the Policy Statement was not effective, the attributed financial information for periods prior to March 1, 2014 do not reflect retrospective application of specific pricing terms in the Policy Statement, such as the monthly charge per subscriber or the cost-plus-fixed-margin pricing for equipment transfers. In lieu of charges based on such specific terms, the attributed financial information for periods prior to March 1, 2014 reflect actual costs incurred for specifically identified items or are based on allocations of actual costs incurred for shared resources. In addition, because no arrangement for interest-bearing inter-group receivables or payables existed prior to March 1, 2014, no such accounts or related interest are reflected in the attributed financial information for periods prior to March 1, 2014. In such periods, HSS’ equity in the net assets of the Hughes Retail Group is presented as “Equity/ Attributed net assets” and periodic changes in such equity are presented as “Inter-group equity contributions (distributions), net” within financing activities in the attributed statements of cash flows. As a result of our use of different attribution methods for certain items in periods prior to March 1, 2014, the attributed financial position, results of operations and cash flows of the Groups are not directly comparable to the corresponding attributed financial information for periods after March 1, 2014. Accordingly, the attributed financial information for periods prior to March 1, 2014 does not purport to present the attributed financial information that would have resulted if the Policy Statement had been adopted in such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Depreciable</w:t>
            </w: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340" w:type="dxa"/>
            <w:vAlign w:val="bottom"/>
          </w:tcPr>
          <w:p>
            <w:pPr>
              <w:spacing w:after="0"/>
              <w:rPr>
                <w:sz w:val="10"/>
                <w:szCs w:val="10"/>
                <w:color w:val="auto"/>
              </w:rPr>
            </w:pPr>
          </w:p>
        </w:tc>
        <w:tc>
          <w:tcPr>
            <w:tcW w:w="1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Life</w:t>
            </w:r>
          </w:p>
        </w:tc>
        <w:tc>
          <w:tcPr>
            <w:tcW w:w="220" w:type="dxa"/>
            <w:vAlign w:val="bottom"/>
          </w:tcPr>
          <w:p>
            <w:pPr>
              <w:spacing w:after="0"/>
              <w:rPr>
                <w:sz w:val="10"/>
                <w:szCs w:val="10"/>
                <w:color w:val="auto"/>
              </w:rPr>
            </w:pPr>
          </w:p>
        </w:tc>
        <w:tc>
          <w:tcPr>
            <w:tcW w:w="13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278"/>
              <w:spacing w:after="0" w:line="119" w:lineRule="exact"/>
              <w:rPr>
                <w:sz w:val="20"/>
                <w:szCs w:val="20"/>
                <w:color w:val="auto"/>
              </w:rPr>
            </w:pPr>
            <w:r>
              <w:rPr>
                <w:rFonts w:ascii="Arial" w:cs="Arial" w:eastAsia="Arial" w:hAnsi="Arial"/>
                <w:sz w:val="13"/>
                <w:szCs w:val="13"/>
                <w:b w:val="1"/>
                <w:bCs w:val="1"/>
                <w:color w:val="auto"/>
              </w:rPr>
              <w:t>December</w:t>
            </w:r>
          </w:p>
        </w:tc>
        <w:tc>
          <w:tcPr>
            <w:tcW w:w="100" w:type="dxa"/>
            <w:vAlign w:val="bottom"/>
          </w:tcPr>
          <w:p>
            <w:pPr>
              <w:spacing w:after="0"/>
              <w:rPr>
                <w:sz w:val="10"/>
                <w:szCs w:val="10"/>
                <w:color w:val="auto"/>
              </w:rPr>
            </w:pPr>
          </w:p>
        </w:tc>
      </w:tr>
      <w:tr>
        <w:trPr>
          <w:trHeight w:val="171"/>
        </w:trPr>
        <w:tc>
          <w:tcPr>
            <w:tcW w:w="434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1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Customer rental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514,357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482,934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(346,140)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(316,789)</w:t>
            </w:r>
          </w:p>
        </w:tc>
      </w:tr>
      <w:tr>
        <w:trPr>
          <w:trHeight w:val="210"/>
        </w:trPr>
        <w:tc>
          <w:tcPr>
            <w:tcW w:w="4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expense associated with the Hughes Retail Group property and equipment, net of retirements, was $29.4 million and $25.9 million for the three months ended March 31, 2015 and 2014,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March 31, 2015</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December 31, 2014</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12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9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Technology-based</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8,486</w:t>
            </w:r>
          </w:p>
        </w:tc>
        <w:tc>
          <w:tcPr>
            <w:tcW w:w="3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(14,035)</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Trademark portfolio</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11,009</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(136,032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46,188</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(131,132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was $4.9 million and $6.0 million for the three months ended March 31,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w:t>
      </w:r>
    </w:p>
    <w:p>
      <w:pPr>
        <w:sectPr>
          <w:pgSz w:w="11900" w:h="16838" w:orient="portrait"/>
          <w:cols w:equalWidth="0" w:num="1">
            <w:col w:w="11420"/>
          </w:cols>
          <w:pgMar w:left="240" w:top="125" w:right="239" w:bottom="0" w:gutter="0" w:footer="0" w:header="0"/>
        </w:sectPr>
      </w:pPr>
    </w:p>
    <w:bookmarkStart w:id="38" w:name="page39"/>
    <w:bookmarkEnd w:id="38"/>
    <w:p>
      <w:pPr>
        <w:ind w:right="240"/>
        <w:spacing w:after="0" w:line="277" w:lineRule="auto"/>
        <w:rPr>
          <w:sz w:val="20"/>
          <w:szCs w:val="20"/>
          <w:color w:val="auto"/>
        </w:rPr>
      </w:pPr>
      <w:r>
        <w:rPr>
          <w:rFonts w:ascii="Arial" w:cs="Arial" w:eastAsia="Arial" w:hAnsi="Arial"/>
          <w:sz w:val="18"/>
          <w:szCs w:val="18"/>
          <w:color w:val="auto"/>
        </w:rPr>
        <w:t>tax bases of assets and liabilities. Deferred tax assets are offset by valuation allowances when we determine it is more likely than not that such deferred tax assets will not be realized in the foreseeable future.</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accordance with the Policy Statement, all income tax obligations and benefits that arose prior to March 1, 2014, except for deferred income taxes related to differences between the financial reporting carrying amounts and tax bases of the Hughes Retail Group assets and liabilities, are attributable to the HSSC Group. Because no arrangements for inter-group settlement of income taxes existed prior to March 1, 2014, no inter-group receivables or payables were recognized for attributed income tax expenses or benefits related to operations for periods prior to March 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Attributed Net Assets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reported amounts of equity/attributed net assets for the Hughes Retail Group and the HSSC Group represent the excess of attributed assets over attributed liabilities for the respective Groups. The HSSC Group equity reflects EchoStar’s aggregate 71.89% economic interest in the net assets of the Hughes Retail Group, which comprises DISH Network’s 51.89% economic interest in the Hughes Retail Group represented by EchoStar Tracking Stock and EchoStar’s 20.0% retained interest in the Hughes Retail Group.</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Hughes Retail Group equity/attributed net assets consisted of attributed paid-in capital and accumulated earnings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gridSpan w:val="5"/>
          </w:tcPr>
          <w:p>
            <w:pPr>
              <w:jc w:val="right"/>
              <w:ind w:right="976"/>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Attributed paid-in-capital</w:t>
            </w:r>
          </w:p>
        </w:tc>
        <w:tc>
          <w:tcPr>
            <w:tcW w:w="11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456,122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456,122</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Attributed accumulated earnings (deficit):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Periods prior to March 1, 2014</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33,395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Periods beginning March 1, 2014</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(31,602)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(23,886)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1620"/>
              <w:spacing w:after="0"/>
              <w:rPr>
                <w:sz w:val="20"/>
                <w:szCs w:val="20"/>
                <w:color w:val="auto"/>
              </w:rPr>
            </w:pPr>
            <w:r>
              <w:rPr>
                <w:rFonts w:ascii="Arial" w:cs="Arial" w:eastAsia="Arial" w:hAnsi="Arial"/>
                <w:sz w:val="18"/>
                <w:szCs w:val="18"/>
                <w:color w:val="auto"/>
              </w:rPr>
              <w:t>Total equity/ attributed net assets</w:t>
            </w:r>
          </w:p>
        </w:tc>
        <w:tc>
          <w:tcPr>
            <w:tcW w:w="9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465,631</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3"/>
    </w:lvl>
  </w:abstractNum>
  <w:abstractNum w:abstractNumId="12">
    <w:nsid w:val="7FDCC233"/>
    <w:multiLevelType w:val="hybridMultilevel"/>
    <w:lvl w:ilvl="0">
      <w:lvlJc w:val="left"/>
      <w:lvlText w:val="(%1)"/>
      <w:numFmt w:val="upperLetter"/>
      <w:start w:val="8"/>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2019-12-29T17:28:18Z</dcterms:created>
  <dcterms:modified xsi:type="dcterms:W3CDTF">2019-12-29T17:28:18Z</dcterms:modified>
</cp:coreProperties>
</file>