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440055</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August 25, 2025</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ECHOSTAR CORPORATION</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001-33807</w:t>
            </w: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26-1232727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Pr>
          <w:p>
            <w:pPr>
              <w:spacing w:after="0"/>
              <w:rPr>
                <w:sz w:val="12"/>
                <w:szCs w:val="12"/>
                <w:color w:val="auto"/>
              </w:rPr>
            </w:pPr>
          </w:p>
        </w:tc>
        <w:tc>
          <w:tcPr>
            <w:tcW w:w="2280" w:type="dxa"/>
            <w:vAlign w:val="bottom"/>
            <w:gridSpan w:val="3"/>
          </w:tcPr>
          <w:p>
            <w:pPr>
              <w:jc w:val="center"/>
              <w:ind w:right="1420"/>
              <w:spacing w:after="0" w:line="146"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100" w:type="dxa"/>
            <w:vAlign w:val="bottom"/>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2"/>
        </w:trPr>
        <w:tc>
          <w:tcPr>
            <w:tcW w:w="40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2280" w:type="dxa"/>
            <w:vAlign w:val="bottom"/>
            <w:gridSpan w:val="3"/>
            <w:vMerge w:val="restart"/>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3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SATS</w:t>
            </w:r>
          </w:p>
        </w:tc>
        <w:tc>
          <w:tcPr>
            <w:tcW w:w="10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tcPr>
          <w:p>
            <w:pPr>
              <w:jc w:val="center"/>
              <w:ind w:right="34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447"/>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22"/>
                <w:szCs w:val="22"/>
                <w:b w:val="1"/>
                <w:bCs w:val="1"/>
                <w:color w:val="auto"/>
              </w:rPr>
              <w:t>DISH NETWORK CORPORATION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001-39144</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88-0336997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0"/>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9920" w:type="dxa"/>
            <w:vAlign w:val="bottom"/>
            <w:gridSpan w:val="7"/>
          </w:tcPr>
          <w:p>
            <w:pPr>
              <w:jc w:val="center"/>
              <w:spacing w:after="0"/>
              <w:rPr>
                <w:sz w:val="20"/>
                <w:szCs w:val="20"/>
                <w:color w:val="auto"/>
              </w:rPr>
            </w:pPr>
            <w:r>
              <w:rPr>
                <w:rFonts w:ascii="Times New Roman" w:cs="Times New Roman" w:eastAsia="Times New Roman" w:hAnsi="Times New Roman"/>
                <w:sz w:val="22"/>
                <w:szCs w:val="22"/>
                <w:b w:val="1"/>
                <w:bCs w:val="1"/>
                <w:color w:val="auto"/>
              </w:rPr>
              <w:t>HUGHES SATELLITE SYSTEMS CORPORATION</w:t>
            </w:r>
          </w:p>
        </w:tc>
        <w:tc>
          <w:tcPr>
            <w:tcW w:w="0" w:type="dxa"/>
            <w:vAlign w:val="bottom"/>
          </w:tcPr>
          <w:p>
            <w:pPr>
              <w:spacing w:after="0"/>
              <w:rPr>
                <w:sz w:val="1"/>
                <w:szCs w:val="1"/>
                <w:color w:val="auto"/>
              </w:rPr>
            </w:pPr>
          </w:p>
        </w:tc>
      </w:tr>
      <w:tr>
        <w:trPr>
          <w:trHeight w:val="206"/>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333-179121</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45-0897865</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60" w:type="dxa"/>
            <w:vAlign w:val="bottom"/>
            <w:gridSpan w:val="3"/>
            <w:vMerge w:val="restart"/>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598170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DISH DBS CORPORATION</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333-31929</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40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84-1328967</w:t>
            </w:r>
          </w:p>
        </w:tc>
        <w:tc>
          <w:tcPr>
            <w:tcW w:w="0" w:type="dxa"/>
            <w:vAlign w:val="bottom"/>
          </w:tcPr>
          <w:p>
            <w:pPr>
              <w:spacing w:after="0"/>
              <w:rPr>
                <w:sz w:val="1"/>
                <w:szCs w:val="1"/>
                <w:color w:val="auto"/>
              </w:rPr>
            </w:pPr>
          </w:p>
        </w:tc>
      </w:tr>
      <w:tr>
        <w:trPr>
          <w:trHeight w:val="188"/>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6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406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3740" w:type="dxa"/>
            <w:vAlign w:val="bottom"/>
          </w:tcPr>
          <w:p>
            <w:pPr>
              <w:jc w:val="center"/>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4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4060" w:type="dxa"/>
            <w:vAlign w:val="bottom"/>
          </w:tcPr>
          <w:p>
            <w:pPr>
              <w:jc w:val="center"/>
              <w:ind w:left="1908"/>
              <w:spacing w:after="0" w:line="149"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4060" w:type="dxa"/>
            <w:vAlign w:val="bottom"/>
          </w:tcPr>
          <w:p>
            <w:pPr>
              <w:jc w:val="right"/>
              <w:ind w:right="2768"/>
              <w:spacing w:after="0"/>
              <w:rPr>
                <w:sz w:val="20"/>
                <w:szCs w:val="20"/>
                <w:color w:val="auto"/>
              </w:rPr>
            </w:pPr>
            <w:r>
              <w:rPr>
                <w:rFonts w:ascii="Times New Roman" w:cs="Times New Roman" w:eastAsia="Times New Roman" w:hAnsi="Times New Roman"/>
                <w:sz w:val="14"/>
                <w:szCs w:val="14"/>
                <w:color w:val="auto"/>
              </w:rPr>
              <w:t>(303) 723-1000</w:t>
            </w:r>
          </w:p>
        </w:tc>
        <w:tc>
          <w:tcPr>
            <w:tcW w:w="0" w:type="dxa"/>
            <w:vAlign w:val="bottom"/>
          </w:tcPr>
          <w:p>
            <w:pPr>
              <w:spacing w:after="0"/>
              <w:rPr>
                <w:sz w:val="1"/>
                <w:szCs w:val="1"/>
                <w:color w:val="auto"/>
              </w:rPr>
            </w:pPr>
          </w:p>
        </w:tc>
      </w:tr>
    </w:tbl>
    <w:p>
      <w:pPr>
        <w:jc w:val="center"/>
        <w:ind w:right="-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9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50" w:lineRule="exact"/>
        <w:rPr>
          <w:sz w:val="20"/>
          <w:szCs w:val="20"/>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7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60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9" w:lineRule="exact"/>
        <w:rPr>
          <w:sz w:val="20"/>
          <w:szCs w:val="20"/>
          <w:color w:val="auto"/>
        </w:rPr>
      </w:pPr>
    </w:p>
    <w:p>
      <w:pPr>
        <w:ind w:right="38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738505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104140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121285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12" w:right="10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Purchase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25, 2025, EchoStar Corporation, a Nevada corporation (“EchoStar” or “Seller”), and the other Seller Parties named therein, (together with Seller, the “Seller Parties” and each a “Seller Party”) and AT&amp;T Mobility II LLC, a Delaware limited liability company (“Buyer”), a subsidiary of AT&amp;T Inc. (“AT&amp;T or “Buyer”) entered into a License Purchase Agreement (the “License Purchase Agreement,” and the transactions contemplated thereby, the “Transactions”).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Pursuant to the terms and subject to the conditions set forth in the License Purchase Agreement, </w:t>
      </w:r>
      <w:r>
        <w:rPr>
          <w:rFonts w:ascii="Times New Roman" w:cs="Times New Roman" w:eastAsia="Times New Roman" w:hAnsi="Times New Roman"/>
          <w:sz w:val="18"/>
          <w:szCs w:val="18"/>
          <w:color w:val="000000"/>
        </w:rPr>
        <w:t>the Seller Parties have agreed to sell all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3.45 GHz and 600 MHz spectrum licenses that are either licensed to or pending assignment to the Seller Parties as of the date of the License Purchase Agreement (collectively, the “Licenses”), together with a 99-year extension of existing leases for Buyer’s exclusive use of certain wireless spectrum licenses in Hawaii (the “Extended Hawaii Lease Agreements”), for an aggregate purchase price of $22,650,000,000.00 in cash, subject to certain potential adjustments (the “Closing Purchase Price”).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Closing Purchase Price is subject to downward adjustment in the event certain Licenses are ultimately excluded by either the Seller Parties or the Buyer under specified customary circumstances. The Seller Parties are not obligated to consummate the Transactions if the Closing Purchase Price, after giving effect to the aggregate amount of any such adjustments, is less than $18.6 billion (the “Minimum Purchase Price”). However, if the aggregate amount of such reductions would otherwise reduce the Closing Purchase Price below the Minimum Purchase Price, the Buyer may elect to pay the Minimum Purchase Price at Closing, in which case this condition will be deemed satisfied.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License Purchase Agreement provides that, at the closing of the Transactions, any amounts outstanding under that certain Loan and Security Agreement, dated November 26, 2021, between DISH DBS Corporation as lender and DISH Network Corporation will be repaid in full using proceeds from the Transactions to the respective holders of the Tranche A and Tranche B receivables under such agreement (the “Debt Payoff”). In addition, all outstanding secured notes issued pursuant to that certain Secured Indenture, dated November 15, 2022 (“DISH Secured Indenture”), by and among DISH Network Corporation, the Guarantors identified therein, and U.S. Bank Trust Company, National Association, as trustee and collateral agent, will be redeemed concurrently with the Closing in accordance with the terms of the DISH Secured Indenture (the “Redemption”).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License Purchase Agreement provides that completion of the Transactions is subject to the satisfaction or waiver of certain mutual closing conditions, including: (a) no judgment or injunction restraining, enjoining or otherwise prohibiting the Transactions; (b) filings and clearances under the Hart-Scott-Rodino Antitrust Improvements Act of 1976, as amended; (c) the receipt of certain consents and approvals from the Federal Communications Commission; and (d) the termination or modification of the Final Judgment and Stipulation and Order entered in United States v. Deutsche Telekom AG, et al, Case No. 1:19-cv-02232, ECF Nos. 85 and 2-1 (D.D.C.) to allow the consummation of the Transactions.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mutual closing conditions described above, the consummation of the Transactions is also subject to the satisfaction or waiver of certain conditions that are solely for the benefit of the Buyer, including: (a) receipt of all required regulatory approvals, without the imposition of any condition that would result in a Buyer Regulatory Adverse Effect; (b) grant of all requests included in the Federal Communications Commission applications and notices; (c) completion of the Redemption and the Debt Payoff; (c) delivery of a legal opinion confirming the absence of conflicts; (d) the aggregate amount of downward purchase price adjustments not exceeding an agreed upon materiality threshold; and (e) absence of any Material Adverse Change (as defined therein).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is expected to occur in the first half of 2026.</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License Purchase Agreement provides for specified termination rights. Among other customary termination rights, </w:t>
      </w:r>
      <w:r>
        <w:rPr>
          <w:rFonts w:ascii="Times New Roman" w:cs="Times New Roman" w:eastAsia="Times New Roman" w:hAnsi="Times New Roman"/>
          <w:sz w:val="18"/>
          <w:szCs w:val="18"/>
          <w:color w:val="212529"/>
        </w:rPr>
        <w:t>the Buyer or</w:t>
      </w:r>
      <w:r>
        <w:rPr>
          <w:rFonts w:ascii="Times New Roman" w:cs="Times New Roman" w:eastAsia="Times New Roman" w:hAnsi="Times New Roman"/>
          <w:sz w:val="18"/>
          <w:szCs w:val="18"/>
          <w:color w:val="auto"/>
        </w:rPr>
        <w:t xml:space="preserve"> the Seller Parties </w:t>
      </w:r>
      <w:r>
        <w:rPr>
          <w:rFonts w:ascii="Times New Roman" w:cs="Times New Roman" w:eastAsia="Times New Roman" w:hAnsi="Times New Roman"/>
          <w:sz w:val="18"/>
          <w:szCs w:val="18"/>
          <w:color w:val="212529"/>
        </w:rPr>
        <w:t>have the right to terminate the Purchase Agreement if the Transactions are not consummated within 12 months of the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of the License Purchase Agreement, subject to up to two six-month extensions if necessary to allow the completion of obtaining the required regulatory approvals. The initial six-month extension may be exercised at the election of either the Buyer or the Seller Parties, while any second six-month extension would require the mutual agreement of both parties.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The License Purchase Agreement contains customary representations, warranties and covenants related to the Licenses. The License Purchase Agreement also provides that the Buyer and the Seller Parties will indemnify one another under certain circumstances, subject to the terms and conditions set forth in the License Purchase Agreement. These provisions include, among others: (i) indemnification by the Buyer in favor of the Seller Parties for losses arising from or relating to the ownership, operation, or use of the Licenses following the Closing; and (ii) indemnification by the Seller Parties in favor of the Buyer for losses arising from or relating to the ownership, operation, or use of the Licenses during the period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584835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212529"/>
        </w:rPr>
        <w:t>The foregoing description of the License Purchase Agreement is not complete and is qualified in its entirety by reference to the License Purchase Agreement, which will be filed as an exhibit to EchoStar’s next Quarterly Report on Form 10-Q. A copy of the press release announcing the Transaction is attached to this Current Report on Form 8-K as Exhibit 99.1 and is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26, 2025, the Company issued a press release announcing the execution of the License Purchase Agreement. A copy of the press release is furnished herewith as Exhibit 99.1 and is incorporated in this Item 7.01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212529"/>
        </w:rPr>
        <w:t>Item 8.01.</w:t>
      </w:r>
      <w:r>
        <w:rPr>
          <w:sz w:val="20"/>
          <w:szCs w:val="20"/>
          <w:color w:val="auto"/>
        </w:rPr>
        <w:tab/>
      </w:r>
      <w:r>
        <w:rPr>
          <w:rFonts w:ascii="Times New Roman" w:cs="Times New Roman" w:eastAsia="Times New Roman" w:hAnsi="Times New Roman"/>
          <w:sz w:val="18"/>
          <w:szCs w:val="18"/>
          <w:b w:val="1"/>
          <w:bCs w:val="1"/>
          <w:color w:val="212529"/>
        </w:rPr>
        <w:t>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Amendments to the Network Services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Simultaneously with the execution of the License Purchase Agreement, DISH Wireless L.L.C., a subsidiary of EchoStar, and AT&amp;T Mobility LLC, a subsidiary of AT&amp;T, entered into the Fifth Amendment and the Sixth Amendment to the Network Services Agreement (the “NSA”) (the “Fifth Amendment”) and (the “Sixth Amendment”), respectively. The term of the Fifth Amendment is scheduled to begin on January 1, 2026 and extends certain terms and conditions under the NSA that were previously available only through the end of 2025.</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Sixth Amendment sets forth new terms including reduced rates if DISH meets certain minimum data thresholds while transitioning to a hybrid MNO. A hybrid MNO is where DISH operates those portions of the network infrastructure such as the network core and billing and provisioning software, while DISH's network partner, AT&amp;T, provides elements including base stations, radios, radio access network (RAN) software and spectrum frequencies. DISH may elect to transition to a hybrid MNO and trigger the Sixth Amendment rates as early as the fourth quarter of 2025 and AT&amp;T has agreed to provide these services to DISH through December 31, 2031. The pricing under Sixth Amendment takes effect on the first day of the month in which DISH hits specific data traffic thresholds. DISH is not obligated to transition to a hybrid MNO or meet the specified data thresholds, but will not be entitled to the terms of the Sixth Amendment unless it has met such thresholds and is transitioning to a hybrid MNO.</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term, DISH has the option to extend the Sixth Amendment up to two times for additional extension terms of 2-years each, until either December 31, 2033 or December 31, 2035 (each an “Extension Term”). Any Extension Term exercised by DISH also contains certain minimum purchase commitments.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160" w:type="dxa"/>
            <w:vAlign w:val="bottom"/>
            <w:tcBorders>
              <w:bottom w:val="single" w:sz="8" w:color="auto"/>
            </w:tcBorders>
            <w:gridSpan w:val="2"/>
          </w:tcPr>
          <w:p>
            <w:pPr>
              <w:ind w:left="3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3"/>
                <w:szCs w:val="23"/>
                <w:color w:val="auto"/>
              </w:rPr>
            </w:pPr>
          </w:p>
        </w:tc>
      </w:tr>
      <w:tr>
        <w:trPr>
          <w:trHeight w:val="203"/>
        </w:trPr>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EE"/>
              </w:rPr>
              <w:t>Exhibit 99.1</w:t>
            </w:r>
          </w:p>
        </w:tc>
        <w:tc>
          <w:tcPr>
            <w:tcW w:w="83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EE"/>
              </w:rPr>
              <w:t>Press Release of EchoStar Corporation, dated August 26, 2025.</w:t>
            </w: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Exhibit 104</w:t>
            </w:r>
          </w:p>
        </w:tc>
        <w:tc>
          <w:tcPr>
            <w:tcW w:w="620" w:type="dxa"/>
            <w:vAlign w:val="bottom"/>
          </w:tcPr>
          <w:p>
            <w:pPr>
              <w:spacing w:after="0"/>
              <w:rPr>
                <w:sz w:val="24"/>
                <w:szCs w:val="24"/>
                <w:color w:val="auto"/>
              </w:rPr>
            </w:pPr>
          </w:p>
        </w:tc>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910"/>
        </w:trPr>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636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ECHOSTAR CORPORATION</w:t>
            </w:r>
          </w:p>
        </w:tc>
      </w:tr>
      <w:tr>
        <w:trPr>
          <w:trHeight w:val="216"/>
        </w:trPr>
        <w:tc>
          <w:tcPr>
            <w:tcW w:w="3560" w:type="dxa"/>
            <w:vAlign w:val="bottom"/>
          </w:tcPr>
          <w:p>
            <w:pPr>
              <w:spacing w:after="0"/>
              <w:rPr>
                <w:sz w:val="18"/>
                <w:szCs w:val="18"/>
                <w:color w:val="auto"/>
              </w:rPr>
            </w:pPr>
          </w:p>
        </w:tc>
        <w:tc>
          <w:tcPr>
            <w:tcW w:w="636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DISH NETWORK CORPORATION</w:t>
            </w:r>
          </w:p>
        </w:tc>
      </w:tr>
      <w:tr>
        <w:trPr>
          <w:trHeight w:val="216"/>
        </w:trPr>
        <w:tc>
          <w:tcPr>
            <w:tcW w:w="3560" w:type="dxa"/>
            <w:vAlign w:val="bottom"/>
          </w:tcPr>
          <w:p>
            <w:pPr>
              <w:spacing w:after="0"/>
              <w:rPr>
                <w:sz w:val="18"/>
                <w:szCs w:val="18"/>
                <w:color w:val="auto"/>
              </w:rPr>
            </w:pPr>
          </w:p>
        </w:tc>
        <w:tc>
          <w:tcPr>
            <w:tcW w:w="636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HUGHES SATELLITE SYSTEMS CORPORATION</w:t>
            </w:r>
          </w:p>
        </w:tc>
      </w:tr>
      <w:tr>
        <w:trPr>
          <w:trHeight w:val="238"/>
        </w:trPr>
        <w:tc>
          <w:tcPr>
            <w:tcW w:w="3560" w:type="dxa"/>
            <w:vAlign w:val="bottom"/>
          </w:tcPr>
          <w:p>
            <w:pPr>
              <w:spacing w:after="0"/>
              <w:rPr>
                <w:sz w:val="20"/>
                <w:szCs w:val="20"/>
                <w:color w:val="auto"/>
              </w:rPr>
            </w:pPr>
          </w:p>
        </w:tc>
        <w:tc>
          <w:tcPr>
            <w:tcW w:w="636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DISH DBS CORPORATION</w:t>
            </w:r>
          </w:p>
        </w:tc>
      </w:tr>
      <w:tr>
        <w:trPr>
          <w:trHeight w:val="432"/>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26, 2025</w:t>
            </w:r>
          </w:p>
        </w:tc>
        <w:tc>
          <w:tcPr>
            <w:tcW w:w="63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Dean A. Manson</w:t>
            </w:r>
          </w:p>
        </w:tc>
      </w:tr>
      <w:tr>
        <w:trPr>
          <w:trHeight w:val="191"/>
        </w:trPr>
        <w:tc>
          <w:tcPr>
            <w:tcW w:w="35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0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Dean A. Manson</w:t>
            </w:r>
          </w:p>
        </w:tc>
      </w:tr>
      <w:tr>
        <w:trPr>
          <w:trHeight w:val="234"/>
        </w:trPr>
        <w:tc>
          <w:tcPr>
            <w:tcW w:w="35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302"/>
        </w:trPr>
        <w:tc>
          <w:tcPr>
            <w:tcW w:w="35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 w:name="page6"/>
    <w:bookmarkEnd w:id="5"/>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33" w:lineRule="exact"/>
        <w:rPr>
          <w:sz w:val="20"/>
          <w:szCs w:val="20"/>
          <w:color w:val="auto"/>
        </w:rPr>
      </w:pPr>
    </w:p>
    <w:p>
      <w:pPr>
        <w:jc w:val="center"/>
        <w:ind w:left="1660" w:right="280"/>
        <w:spacing w:after="0" w:line="299" w:lineRule="auto"/>
        <w:rPr>
          <w:sz w:val="20"/>
          <w:szCs w:val="20"/>
          <w:color w:val="auto"/>
        </w:rPr>
      </w:pPr>
      <w:r>
        <w:rPr>
          <w:rFonts w:ascii="Times New Roman" w:cs="Times New Roman" w:eastAsia="Times New Roman" w:hAnsi="Times New Roman"/>
          <w:sz w:val="29"/>
          <w:szCs w:val="29"/>
          <w:b w:val="1"/>
          <w:bCs w:val="1"/>
          <w:color w:val="auto"/>
        </w:rPr>
        <w:t>EchoStar Announces Spectrum Sale and Hybrid Mobile Network Operator (MNO) Agreement, Steps Toward Resolving Federal Communications Commission's (FCC) Inquiries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EchoStar to sell 3.45 GHz and 600 MHz spectrum licenses to AT&amp;T for approximately $23 billion.</w:t>
      </w:r>
    </w:p>
    <w:p>
      <w:pPr>
        <w:spacing w:after="0" w:line="353" w:lineRule="exact"/>
        <w:rPr>
          <w:sz w:val="20"/>
          <w:szCs w:val="20"/>
          <w:color w:val="auto"/>
        </w:rPr>
      </w:pPr>
    </w:p>
    <w:p>
      <w:pPr>
        <w:jc w:val="both"/>
        <w:ind w:left="500" w:right="479" w:hanging="29"/>
        <w:spacing w:after="0" w:line="326" w:lineRule="auto"/>
        <w:rPr>
          <w:sz w:val="20"/>
          <w:szCs w:val="20"/>
          <w:color w:val="auto"/>
        </w:rPr>
      </w:pPr>
      <w:r>
        <w:rPr>
          <w:rFonts w:ascii="Times New Roman" w:cs="Times New Roman" w:eastAsia="Times New Roman" w:hAnsi="Times New Roman"/>
          <w:sz w:val="21"/>
          <w:szCs w:val="21"/>
          <w:i w:val="1"/>
          <w:iCs w:val="1"/>
          <w:color w:val="auto"/>
        </w:rPr>
        <w:t>Boost Mobile will continue to compete in the U.S. wireless market as a hybrid MNO, offering subscribers connectivity through Boost Mobile’s cloud-native 5G core and AT&amp;T’s cell sites.</w:t>
      </w:r>
    </w:p>
    <w:p>
      <w:pPr>
        <w:spacing w:after="0" w:line="199" w:lineRule="exact"/>
        <w:rPr>
          <w:sz w:val="20"/>
          <w:szCs w:val="20"/>
          <w:color w:val="auto"/>
        </w:rPr>
      </w:pPr>
    </w:p>
    <w:p>
      <w:pPr>
        <w:ind w:left="200" w:right="259"/>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Englewood, Colo., Aug. 26, 2025 – </w:t>
      </w:r>
      <w:r>
        <w:rPr>
          <w:rFonts w:ascii="Times New Roman" w:cs="Times New Roman" w:eastAsia="Times New Roman" w:hAnsi="Times New Roman"/>
          <w:sz w:val="20"/>
          <w:szCs w:val="20"/>
          <w:color w:val="auto"/>
        </w:rPr>
        <w:t>EchoStar has entered into a definitive agreement with AT&amp;T to sell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3.45 GHz and 600 MHz spectrum licenses – a total of 50 MHz of nationwide spectrum – for approximately $23 billion, subject to regulatory approval. In addition, the companies have amended their network services agreement to create a hybrid mobile network operator (MNO) relationship. This transaction is part of EchoStar’s ongoing efforts to resolve the Federal Communications Commission’s (FCC) inquiries.</w:t>
      </w:r>
    </w:p>
    <w:p>
      <w:pPr>
        <w:spacing w:after="0" w:line="234" w:lineRule="exact"/>
        <w:rPr>
          <w:sz w:val="20"/>
          <w:szCs w:val="20"/>
          <w:color w:val="auto"/>
        </w:rPr>
      </w:pPr>
    </w:p>
    <w:p>
      <w:pPr>
        <w:ind w:left="200" w:right="239"/>
        <w:spacing w:after="0" w:line="296" w:lineRule="auto"/>
        <w:rPr>
          <w:sz w:val="20"/>
          <w:szCs w:val="20"/>
          <w:color w:val="auto"/>
        </w:rPr>
      </w:pPr>
      <w:r>
        <w:rPr>
          <w:rFonts w:ascii="Times New Roman" w:cs="Times New Roman" w:eastAsia="Times New Roman" w:hAnsi="Times New Roman"/>
          <w:sz w:val="20"/>
          <w:szCs w:val="20"/>
          <w:color w:val="auto"/>
        </w:rPr>
        <w:t>The license sale to AT&amp;T will enable rapid deployment of the purchased spectrum to U.S. consumers across the country, as AT&amp;T has the option to lease the spectrum, pending the closing of the spectrum sale. This arrangement benefits both AT&amp;T and Boost Mobile subscribers.</w:t>
      </w:r>
    </w:p>
    <w:p>
      <w:pPr>
        <w:spacing w:after="0" w:line="229" w:lineRule="exact"/>
        <w:rPr>
          <w:sz w:val="20"/>
          <w:szCs w:val="20"/>
          <w:color w:val="auto"/>
        </w:rPr>
      </w:pPr>
    </w:p>
    <w:p>
      <w:pPr>
        <w:ind w:left="200" w:right="339"/>
        <w:spacing w:after="0" w:line="292" w:lineRule="auto"/>
        <w:rPr>
          <w:sz w:val="20"/>
          <w:szCs w:val="20"/>
          <w:color w:val="auto"/>
        </w:rPr>
      </w:pPr>
      <w:r>
        <w:rPr>
          <w:rFonts w:ascii="Times New Roman" w:cs="Times New Roman" w:eastAsia="Times New Roman" w:hAnsi="Times New Roman"/>
          <w:sz w:val="20"/>
          <w:szCs w:val="20"/>
          <w:color w:val="auto"/>
        </w:rPr>
        <w:t>“I’m enormously proud of the EchoStar team for deploying the world’s first Open RAN network in record time, despite industry skepticism and in the face of the many challenges raised by the COVID-19 pandemic,” said Charlie Ergen, co-founder and chairman, EchoStar. “EchoStar and Boost Mobile have met all of the FCC’s network buildout milestones. However, this spectrum sale to AT&amp;T and hybrid MNO agreement are critical steps toward resolving the FCC’s spectrum utilization concerns.”</w:t>
      </w:r>
    </w:p>
    <w:p>
      <w:pPr>
        <w:spacing w:after="0" w:line="234" w:lineRule="exact"/>
        <w:rPr>
          <w:sz w:val="20"/>
          <w:szCs w:val="20"/>
          <w:color w:val="auto"/>
        </w:rPr>
      </w:pPr>
    </w:p>
    <w:p>
      <w:pPr>
        <w:ind w:left="200" w:right="299"/>
        <w:spacing w:after="0" w:line="289" w:lineRule="auto"/>
        <w:rPr>
          <w:sz w:val="20"/>
          <w:szCs w:val="20"/>
          <w:color w:val="auto"/>
        </w:rPr>
      </w:pPr>
      <w:r>
        <w:rPr>
          <w:rFonts w:ascii="Times New Roman" w:cs="Times New Roman" w:eastAsia="Times New Roman" w:hAnsi="Times New Roman"/>
          <w:sz w:val="20"/>
          <w:szCs w:val="20"/>
          <w:color w:val="auto"/>
        </w:rPr>
        <w:t>Through Boost Mobile’s hybrid MNO infrastructure, subscribers will continue to receive service from Boost Mobile’s cloud-native 5G core connected to AT&amp;T’s leading nationwide network. While primary connectivity will be provided by AT&amp;T’s towers, Boost Mobile subscribers will continue to have access to the T-Mobile network. Customers will experience no interruptions to service. As a result of this transaction, elements of Boost Mobile’s radio access network (RAN) will be decommissioned over time.</w:t>
      </w:r>
    </w:p>
    <w:p>
      <w:pPr>
        <w:spacing w:after="0" w:line="235" w:lineRule="exact"/>
        <w:rPr>
          <w:sz w:val="20"/>
          <w:szCs w:val="20"/>
          <w:color w:val="auto"/>
        </w:rPr>
      </w:pPr>
    </w:p>
    <w:p>
      <w:pPr>
        <w:ind w:left="200" w:right="799"/>
        <w:spacing w:after="0" w:line="311" w:lineRule="auto"/>
        <w:rPr>
          <w:sz w:val="20"/>
          <w:szCs w:val="20"/>
          <w:color w:val="auto"/>
        </w:rPr>
      </w:pPr>
      <w:r>
        <w:rPr>
          <w:rFonts w:ascii="Times New Roman" w:cs="Times New Roman" w:eastAsia="Times New Roman" w:hAnsi="Times New Roman"/>
          <w:sz w:val="20"/>
          <w:szCs w:val="20"/>
          <w:color w:val="auto"/>
        </w:rPr>
        <w:t>“This transaction puts our business on a solid financial path, further facilitating EchoStar’s long-term success, and enhancing our ability to innovate and compete as a hybrid network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459105</wp:posOffset>
            </wp:positionV>
            <wp:extent cx="54521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200" w:right="299"/>
        <w:spacing w:after="0" w:line="296" w:lineRule="auto"/>
        <w:rPr>
          <w:sz w:val="20"/>
          <w:szCs w:val="20"/>
          <w:color w:val="auto"/>
        </w:rPr>
      </w:pPr>
      <w:r>
        <w:rPr>
          <w:rFonts w:ascii="Times New Roman" w:cs="Times New Roman" w:eastAsia="Times New Roman" w:hAnsi="Times New Roman"/>
          <w:sz w:val="20"/>
          <w:szCs w:val="20"/>
          <w:color w:val="auto"/>
        </w:rPr>
        <w:t>The proceeds of this transaction will be used for, among other things, retiring certain debt obligations and funding EchoStar’s continued operations and growth initiatives,” said Hamid Akhavan, CEO and president, EchoStar. “We continue to evaluate strategic opportunities for our remaining spectrum portfolio in partnership with the U.S. government and wireless industry participants.”</w:t>
      </w:r>
    </w:p>
    <w:p>
      <w:pPr>
        <w:spacing w:after="0" w:line="229" w:lineRule="exact"/>
        <w:rPr>
          <w:sz w:val="20"/>
          <w:szCs w:val="20"/>
          <w:color w:val="auto"/>
        </w:rPr>
      </w:pPr>
    </w:p>
    <w:p>
      <w:pPr>
        <w:ind w:left="200" w:right="299"/>
        <w:spacing w:after="0" w:line="311" w:lineRule="auto"/>
        <w:rPr>
          <w:sz w:val="20"/>
          <w:szCs w:val="20"/>
          <w:color w:val="auto"/>
        </w:rPr>
      </w:pPr>
      <w:r>
        <w:rPr>
          <w:rFonts w:ascii="Times New Roman" w:cs="Times New Roman" w:eastAsia="Times New Roman" w:hAnsi="Times New Roman"/>
          <w:sz w:val="20"/>
          <w:szCs w:val="20"/>
          <w:color w:val="auto"/>
        </w:rPr>
        <w:t>Closing of the proposed transaction will occur after all required regulatory approvals are received and other closing conditions are satisfied.</w:t>
      </w:r>
    </w:p>
    <w:p>
      <w:pPr>
        <w:spacing w:after="0" w:line="214" w:lineRule="exact"/>
        <w:rPr>
          <w:sz w:val="20"/>
          <w:szCs w:val="20"/>
          <w:color w:val="auto"/>
        </w:rPr>
      </w:pPr>
    </w:p>
    <w:p>
      <w:pPr>
        <w:ind w:left="200" w:right="279"/>
        <w:spacing w:after="0" w:line="311" w:lineRule="auto"/>
        <w:rPr>
          <w:sz w:val="20"/>
          <w:szCs w:val="20"/>
          <w:color w:val="auto"/>
        </w:rPr>
      </w:pPr>
      <w:r>
        <w:rPr>
          <w:rFonts w:ascii="Times New Roman" w:cs="Times New Roman" w:eastAsia="Times New Roman" w:hAnsi="Times New Roman"/>
          <w:sz w:val="20"/>
          <w:szCs w:val="20"/>
          <w:color w:val="auto"/>
        </w:rPr>
        <w:t>The operations of EchoStar’s other businesses, including DISH TV, Sling and Hughes, will not be impacted by this transaction.</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About EchoStar Corporation</w:t>
      </w:r>
    </w:p>
    <w:p>
      <w:pPr>
        <w:spacing w:after="0" w:line="44" w:lineRule="exact"/>
        <w:rPr>
          <w:sz w:val="20"/>
          <w:szCs w:val="20"/>
          <w:color w:val="auto"/>
        </w:rPr>
      </w:pPr>
    </w:p>
    <w:p>
      <w:pPr>
        <w:ind w:left="200" w:right="259"/>
        <w:spacing w:after="0" w:line="290" w:lineRule="auto"/>
        <w:rPr>
          <w:sz w:val="20"/>
          <w:szCs w:val="20"/>
          <w:color w:val="auto"/>
        </w:rPr>
      </w:pPr>
      <w:r>
        <w:rPr>
          <w:rFonts w:ascii="Times New Roman" w:cs="Times New Roman" w:eastAsia="Times New Roman" w:hAnsi="Times New Roman"/>
          <w:sz w:val="20"/>
          <w:szCs w:val="20"/>
          <w:color w:val="auto"/>
        </w:rPr>
        <w:t>EchoStar Corporation (Nasdaq: SATS) is a premier provider of technology, networking services, television entertainment and connectivity, offering consumer, enterprise, operator and government solutions worldwide under its EchoStar®, Boost Mobile®, Sling TV, DISH TV, Hughes®, HughesNet®, HughesON™, and JUPITER™ brands. In Europe, EchoStar operates under its EchoStar Mobile Limited subsidiary and in Australia, the company operates as EchoStar Global Australia. For more information, visit www.echostar.com and follow EchoStar on X (Twitter) and LinkedIn.</w:t>
      </w:r>
    </w:p>
    <w:p>
      <w:pPr>
        <w:spacing w:after="0" w:line="223" w:lineRule="exact"/>
        <w:rPr>
          <w:sz w:val="20"/>
          <w:szCs w:val="20"/>
          <w:color w:val="auto"/>
        </w:rPr>
      </w:pPr>
    </w:p>
    <w:p>
      <w:pPr>
        <w:ind w:left="200" w:right="499"/>
        <w:spacing w:after="0" w:line="283" w:lineRule="auto"/>
        <w:rPr>
          <w:sz w:val="20"/>
          <w:szCs w:val="20"/>
          <w:color w:val="auto"/>
        </w:rPr>
      </w:pPr>
      <w:r>
        <w:rPr>
          <w:rFonts w:ascii="Times New Roman" w:cs="Times New Roman" w:eastAsia="Times New Roman" w:hAnsi="Times New Roman"/>
          <w:sz w:val="20"/>
          <w:szCs w:val="20"/>
          <w:color w:val="auto"/>
        </w:rPr>
        <w:t>©2025 EchoStar, Hughes, HughesNet, DISH and Boost Mobile are registered trademarks of one or more affiliate companies of EchoStar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458470</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9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2025-08-26T05:36:55Z</dcterms:created>
  <dcterms:modified xsi:type="dcterms:W3CDTF">2025-08-26T05:36:55Z</dcterms:modified>
</cp:coreProperties>
</file>