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631190</wp:posOffset>
            </wp:positionV>
            <wp:extent cx="567118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71185" cy="3048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7118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Washington, D.C. 20549</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 10-K</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(Mark One)</w:t>
      </w:r>
    </w:p>
    <w:p>
      <w:pPr>
        <w:spacing w:after="0" w:line="81" w:lineRule="exact"/>
        <w:rPr>
          <w:sz w:val="24"/>
          <w:szCs w:val="24"/>
          <w:color w:val="auto"/>
        </w:rPr>
      </w:pPr>
    </w:p>
    <w:p>
      <w:pPr>
        <w:ind w:left="480" w:hanging="281"/>
        <w:spacing w:after="0"/>
        <w:tabs>
          <w:tab w:leader="none" w:pos="48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ANNUAL REPORT PURSUANT TO SECTION 13 OR 15(d) OF THE SECURITIES EXCHANGE ACT OF 1934</w:t>
      </w:r>
    </w:p>
    <w:p>
      <w:pPr>
        <w:spacing w:after="0" w:line="395" w:lineRule="exact"/>
        <w:rPr>
          <w:sz w:val="24"/>
          <w:szCs w:val="24"/>
          <w:color w:val="auto"/>
        </w:rPr>
      </w:pPr>
    </w:p>
    <w:p>
      <w:pPr>
        <w:ind w:left="480" w:hanging="281"/>
        <w:spacing w:after="0"/>
        <w:tabs>
          <w:tab w:leader="none" w:pos="480" w:val="left"/>
        </w:tabs>
        <w:numPr>
          <w:ilvl w:val="0"/>
          <w:numId w:val="2"/>
        </w:numPr>
        <w:rPr>
          <w:rFonts w:ascii="MS PGothic" w:cs="MS PGothic" w:eastAsia="MS PGothic" w:hAnsi="MS PGothic"/>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177"/>
        </w:trPr>
        <w:tc>
          <w:tcPr>
            <w:tcW w:w="5500" w:type="dxa"/>
            <w:vAlign w:val="bottom"/>
            <w:gridSpan w:val="6"/>
          </w:tcPr>
          <w:p>
            <w:pPr>
              <w:ind w:left="2600"/>
              <w:spacing w:after="0"/>
              <w:rPr>
                <w:sz w:val="20"/>
                <w:szCs w:val="20"/>
                <w:color w:val="auto"/>
              </w:rPr>
            </w:pPr>
            <w:r>
              <w:rPr>
                <w:rFonts w:ascii="Arial" w:cs="Arial" w:eastAsia="Arial" w:hAnsi="Arial"/>
                <w:sz w:val="13"/>
                <w:szCs w:val="13"/>
                <w:b w:val="1"/>
                <w:bCs w:val="1"/>
                <w:color w:val="auto"/>
              </w:rPr>
              <w:t>FOR THE TRANSITION PERIOD FROM</w:t>
            </w:r>
          </w:p>
        </w:tc>
        <w:tc>
          <w:tcPr>
            <w:tcW w:w="260" w:type="dxa"/>
            <w:vAlign w:val="bottom"/>
          </w:tcPr>
          <w:p>
            <w:pPr>
              <w:ind w:left="40"/>
              <w:spacing w:after="0"/>
              <w:rPr>
                <w:sz w:val="20"/>
                <w:szCs w:val="20"/>
                <w:color w:val="auto"/>
              </w:rPr>
            </w:pPr>
            <w:r>
              <w:rPr>
                <w:rFonts w:ascii="Arial" w:cs="Arial" w:eastAsia="Arial" w:hAnsi="Arial"/>
                <w:sz w:val="13"/>
                <w:szCs w:val="13"/>
                <w:b w:val="1"/>
                <w:bCs w:val="1"/>
                <w:color w:val="auto"/>
              </w:rPr>
              <w:t>TO</w:t>
            </w:r>
          </w:p>
        </w:tc>
        <w:tc>
          <w:tcPr>
            <w:tcW w:w="3160" w:type="dxa"/>
            <w:vAlign w:val="bottom"/>
          </w:tcPr>
          <w:p>
            <w:pPr>
              <w:jc w:val="right"/>
              <w:ind w:right="254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2520" w:type="dxa"/>
            <w:vAlign w:val="bottom"/>
            <w:gridSpan w:val="5"/>
          </w:tcPr>
          <w:p>
            <w:pPr>
              <w:jc w:val="center"/>
              <w:ind w:left="371"/>
              <w:spacing w:after="0"/>
              <w:rPr>
                <w:sz w:val="20"/>
                <w:szCs w:val="20"/>
                <w:color w:val="auto"/>
              </w:rPr>
            </w:pPr>
            <w:r>
              <w:rPr>
                <w:rFonts w:ascii="Arial" w:cs="Arial" w:eastAsia="Arial" w:hAnsi="Arial"/>
                <w:sz w:val="11"/>
                <w:szCs w:val="11"/>
                <w:b w:val="1"/>
                <w:bCs w:val="1"/>
                <w:color w:val="auto"/>
              </w:rPr>
              <w:t>Commission File Number: 001-33807</w:t>
            </w:r>
          </w:p>
        </w:tc>
        <w:tc>
          <w:tcPr>
            <w:tcW w:w="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980" w:type="dxa"/>
            <w:vAlign w:val="bottom"/>
          </w:tcPr>
          <w:p>
            <w:pPr>
              <w:spacing w:after="0"/>
              <w:rPr>
                <w:sz w:val="20"/>
                <w:szCs w:val="20"/>
                <w:color w:val="auto"/>
              </w:rPr>
            </w:pPr>
          </w:p>
        </w:tc>
        <w:tc>
          <w:tcPr>
            <w:tcW w:w="2520" w:type="dxa"/>
            <w:vAlign w:val="bottom"/>
            <w:gridSpan w:val="5"/>
          </w:tcPr>
          <w:p>
            <w:pPr>
              <w:jc w:val="center"/>
              <w:ind w:left="371"/>
              <w:spacing w:after="0"/>
              <w:rPr>
                <w:sz w:val="20"/>
                <w:szCs w:val="20"/>
                <w:color w:val="auto"/>
              </w:rPr>
            </w:pPr>
            <w:r>
              <w:rPr>
                <w:rFonts w:ascii="Arial" w:cs="Arial" w:eastAsia="Arial" w:hAnsi="Arial"/>
                <w:sz w:val="19"/>
                <w:szCs w:val="19"/>
                <w:b w:val="1"/>
                <w:bCs w:val="1"/>
                <w:color w:val="auto"/>
              </w:rPr>
              <w:t>EchoStar Corporation</w:t>
            </w:r>
          </w:p>
        </w:tc>
        <w:tc>
          <w:tcPr>
            <w:tcW w:w="2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5940" w:type="dxa"/>
            <w:vAlign w:val="bottom"/>
            <w:gridSpan w:val="7"/>
          </w:tcPr>
          <w:p>
            <w:pPr>
              <w:jc w:val="center"/>
              <w:ind w:right="2902"/>
              <w:spacing w:after="0"/>
              <w:rPr>
                <w:sz w:val="20"/>
                <w:szCs w:val="20"/>
                <w:color w:val="auto"/>
              </w:rPr>
            </w:pPr>
            <w:r>
              <w:rPr>
                <w:rFonts w:ascii="Arial" w:cs="Arial" w:eastAsia="Arial" w:hAnsi="Arial"/>
                <w:sz w:val="13"/>
                <w:szCs w:val="13"/>
                <w:color w:val="auto"/>
                <w:w w:val="99"/>
              </w:rPr>
              <w:t>(Exact name of registrant as specified in its charter)</w:t>
            </w:r>
          </w:p>
        </w:tc>
        <w:tc>
          <w:tcPr>
            <w:tcW w:w="0" w:type="dxa"/>
            <w:vAlign w:val="bottom"/>
          </w:tcPr>
          <w:p>
            <w:pPr>
              <w:spacing w:after="0"/>
              <w:rPr>
                <w:sz w:val="1"/>
                <w:szCs w:val="1"/>
                <w:color w:val="auto"/>
              </w:rPr>
            </w:pPr>
          </w:p>
        </w:tc>
      </w:tr>
      <w:tr>
        <w:trPr>
          <w:trHeight w:val="187"/>
        </w:trPr>
        <w:tc>
          <w:tcPr>
            <w:tcW w:w="2980" w:type="dxa"/>
            <w:vAlign w:val="bottom"/>
          </w:tcPr>
          <w:p>
            <w:pPr>
              <w:jc w:val="center"/>
              <w:ind w:left="1363"/>
              <w:spacing w:after="0"/>
              <w:rPr>
                <w:sz w:val="20"/>
                <w:szCs w:val="20"/>
                <w:color w:val="auto"/>
              </w:rPr>
            </w:pPr>
            <w:r>
              <w:rPr>
                <w:rFonts w:ascii="Arial" w:cs="Arial" w:eastAsia="Arial" w:hAnsi="Arial"/>
                <w:sz w:val="11"/>
                <w:szCs w:val="11"/>
                <w:b w:val="1"/>
                <w:bCs w:val="1"/>
                <w:color w:val="auto"/>
              </w:rPr>
              <w:t>Nevada</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60" w:type="dxa"/>
            <w:vAlign w:val="bottom"/>
          </w:tcPr>
          <w:p>
            <w:pPr>
              <w:jc w:val="right"/>
              <w:ind w:right="1822"/>
              <w:spacing w:after="0"/>
              <w:rPr>
                <w:sz w:val="20"/>
                <w:szCs w:val="20"/>
                <w:color w:val="auto"/>
              </w:rPr>
            </w:pPr>
            <w:r>
              <w:rPr>
                <w:rFonts w:ascii="Arial" w:cs="Arial" w:eastAsia="Arial" w:hAnsi="Arial"/>
                <w:sz w:val="11"/>
                <w:szCs w:val="11"/>
                <w:b w:val="1"/>
                <w:bCs w:val="1"/>
                <w:color w:val="auto"/>
              </w:rPr>
              <w:t>26-1232727</w:t>
            </w:r>
          </w:p>
        </w:tc>
        <w:tc>
          <w:tcPr>
            <w:tcW w:w="0" w:type="dxa"/>
            <w:vAlign w:val="bottom"/>
          </w:tcPr>
          <w:p>
            <w:pPr>
              <w:spacing w:after="0"/>
              <w:rPr>
                <w:sz w:val="1"/>
                <w:szCs w:val="1"/>
                <w:color w:val="auto"/>
              </w:rPr>
            </w:pPr>
          </w:p>
        </w:tc>
      </w:tr>
      <w:tr>
        <w:trPr>
          <w:trHeight w:val="148"/>
        </w:trPr>
        <w:tc>
          <w:tcPr>
            <w:tcW w:w="5500" w:type="dxa"/>
            <w:vAlign w:val="bottom"/>
            <w:gridSpan w:val="6"/>
          </w:tcPr>
          <w:p>
            <w:pPr>
              <w:jc w:val="center"/>
              <w:ind w:right="1120"/>
              <w:spacing w:after="0"/>
              <w:rPr>
                <w:sz w:val="20"/>
                <w:szCs w:val="20"/>
                <w:color w:val="auto"/>
              </w:rPr>
            </w:pPr>
            <w:r>
              <w:rPr>
                <w:rFonts w:ascii="Arial" w:cs="Arial" w:eastAsia="Arial" w:hAnsi="Arial"/>
                <w:sz w:val="11"/>
                <w:szCs w:val="11"/>
                <w:color w:val="auto"/>
              </w:rPr>
              <w:t>(State or other jurisdiction of incorporation or organization)</w:t>
            </w:r>
          </w:p>
        </w:tc>
        <w:tc>
          <w:tcPr>
            <w:tcW w:w="260" w:type="dxa"/>
            <w:vAlign w:val="bottom"/>
          </w:tcPr>
          <w:p>
            <w:pPr>
              <w:spacing w:after="0"/>
              <w:rPr>
                <w:sz w:val="12"/>
                <w:szCs w:val="12"/>
                <w:color w:val="auto"/>
              </w:rPr>
            </w:pPr>
          </w:p>
        </w:tc>
        <w:tc>
          <w:tcPr>
            <w:tcW w:w="3160" w:type="dxa"/>
            <w:vAlign w:val="bottom"/>
          </w:tcPr>
          <w:p>
            <w:pPr>
              <w:jc w:val="center"/>
              <w:ind w:right="1162"/>
              <w:spacing w:after="0"/>
              <w:rPr>
                <w:sz w:val="20"/>
                <w:szCs w:val="20"/>
                <w:color w:val="auto"/>
              </w:rPr>
            </w:pPr>
            <w:r>
              <w:rPr>
                <w:rFonts w:ascii="Arial" w:cs="Arial" w:eastAsia="Arial" w:hAnsi="Arial"/>
                <w:sz w:val="11"/>
                <w:szCs w:val="11"/>
                <w:color w:val="auto"/>
              </w:rPr>
              <w:t>(I.R.S. Employer Identification No.)</w:t>
            </w:r>
          </w:p>
        </w:tc>
        <w:tc>
          <w:tcPr>
            <w:tcW w:w="0" w:type="dxa"/>
            <w:vAlign w:val="bottom"/>
          </w:tcPr>
          <w:p>
            <w:pPr>
              <w:spacing w:after="0"/>
              <w:rPr>
                <w:sz w:val="1"/>
                <w:szCs w:val="1"/>
                <w:color w:val="auto"/>
              </w:rPr>
            </w:pPr>
          </w:p>
        </w:tc>
      </w:tr>
      <w:tr>
        <w:trPr>
          <w:trHeight w:val="179"/>
        </w:trPr>
        <w:tc>
          <w:tcPr>
            <w:tcW w:w="5500" w:type="dxa"/>
            <w:vAlign w:val="bottom"/>
            <w:gridSpan w:val="6"/>
          </w:tcPr>
          <w:p>
            <w:pPr>
              <w:jc w:val="center"/>
              <w:ind w:right="1100"/>
              <w:spacing w:after="0"/>
              <w:rPr>
                <w:sz w:val="20"/>
                <w:szCs w:val="20"/>
                <w:color w:val="auto"/>
              </w:rPr>
            </w:pPr>
            <w:r>
              <w:rPr>
                <w:rFonts w:ascii="Arial" w:cs="Arial" w:eastAsia="Arial" w:hAnsi="Arial"/>
                <w:sz w:val="11"/>
                <w:szCs w:val="11"/>
                <w:b w:val="1"/>
                <w:bCs w:val="1"/>
                <w:color w:val="auto"/>
              </w:rPr>
              <w:t>9601 South Meridian Boulevard</w:t>
            </w:r>
          </w:p>
        </w:tc>
        <w:tc>
          <w:tcPr>
            <w:tcW w:w="260" w:type="dxa"/>
            <w:vAlign w:val="bottom"/>
          </w:tcPr>
          <w:p>
            <w:pPr>
              <w:spacing w:after="0"/>
              <w:rPr>
                <w:sz w:val="15"/>
                <w:szCs w:val="15"/>
                <w:color w:val="auto"/>
              </w:rPr>
            </w:pPr>
          </w:p>
        </w:tc>
        <w:tc>
          <w:tcPr>
            <w:tcW w:w="3160" w:type="dxa"/>
            <w:vAlign w:val="bottom"/>
            <w:vMerge w:val="restart"/>
          </w:tcPr>
          <w:p>
            <w:pPr>
              <w:jc w:val="right"/>
              <w:ind w:right="1982"/>
              <w:spacing w:after="0"/>
              <w:rPr>
                <w:sz w:val="20"/>
                <w:szCs w:val="20"/>
                <w:color w:val="auto"/>
              </w:rPr>
            </w:pPr>
            <w:r>
              <w:rPr>
                <w:rFonts w:ascii="Arial" w:cs="Arial" w:eastAsia="Arial" w:hAnsi="Arial"/>
                <w:sz w:val="11"/>
                <w:szCs w:val="11"/>
                <w:b w:val="1"/>
                <w:bCs w:val="1"/>
                <w:color w:val="auto"/>
              </w:rPr>
              <w:t>80112</w:t>
            </w:r>
          </w:p>
        </w:tc>
        <w:tc>
          <w:tcPr>
            <w:tcW w:w="0" w:type="dxa"/>
            <w:vAlign w:val="bottom"/>
          </w:tcPr>
          <w:p>
            <w:pPr>
              <w:spacing w:after="0"/>
              <w:rPr>
                <w:sz w:val="1"/>
                <w:szCs w:val="1"/>
                <w:color w:val="auto"/>
              </w:rPr>
            </w:pPr>
          </w:p>
        </w:tc>
      </w:tr>
      <w:tr>
        <w:trPr>
          <w:trHeight w:val="121"/>
        </w:trPr>
        <w:tc>
          <w:tcPr>
            <w:tcW w:w="2980" w:type="dxa"/>
            <w:vAlign w:val="bottom"/>
          </w:tcPr>
          <w:p>
            <w:pPr>
              <w:jc w:val="center"/>
              <w:ind w:left="1363"/>
              <w:spacing w:after="0" w:line="121" w:lineRule="exact"/>
              <w:rPr>
                <w:sz w:val="20"/>
                <w:szCs w:val="20"/>
                <w:color w:val="auto"/>
              </w:rPr>
            </w:pPr>
            <w:r>
              <w:rPr>
                <w:rFonts w:ascii="Arial" w:cs="Arial" w:eastAsia="Arial" w:hAnsi="Arial"/>
                <w:sz w:val="11"/>
                <w:szCs w:val="11"/>
                <w:b w:val="1"/>
                <w:bCs w:val="1"/>
                <w:color w:val="auto"/>
              </w:rPr>
              <w:t>Englewood, Colorado</w:t>
            </w: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00" w:type="dxa"/>
            <w:vAlign w:val="bottom"/>
            <w:gridSpan w:val="6"/>
          </w:tcPr>
          <w:p>
            <w:pPr>
              <w:jc w:val="center"/>
              <w:ind w:right="1120"/>
              <w:spacing w:after="0"/>
              <w:rPr>
                <w:sz w:val="20"/>
                <w:szCs w:val="20"/>
                <w:color w:val="auto"/>
              </w:rPr>
            </w:pPr>
            <w:r>
              <w:rPr>
                <w:rFonts w:ascii="Arial" w:cs="Arial" w:eastAsia="Arial" w:hAnsi="Arial"/>
                <w:sz w:val="11"/>
                <w:szCs w:val="11"/>
                <w:color w:val="auto"/>
              </w:rPr>
              <w:t>(Address of principal executive offices)</w:t>
            </w:r>
          </w:p>
        </w:tc>
        <w:tc>
          <w:tcPr>
            <w:tcW w:w="260" w:type="dxa"/>
            <w:vAlign w:val="bottom"/>
          </w:tcPr>
          <w:p>
            <w:pPr>
              <w:spacing w:after="0"/>
              <w:rPr>
                <w:sz w:val="12"/>
                <w:szCs w:val="12"/>
                <w:color w:val="auto"/>
              </w:rPr>
            </w:pPr>
          </w:p>
        </w:tc>
        <w:tc>
          <w:tcPr>
            <w:tcW w:w="3160" w:type="dxa"/>
            <w:vAlign w:val="bottom"/>
          </w:tcPr>
          <w:p>
            <w:pPr>
              <w:jc w:val="center"/>
              <w:ind w:right="1162"/>
              <w:spacing w:after="0"/>
              <w:rPr>
                <w:sz w:val="20"/>
                <w:szCs w:val="20"/>
                <w:color w:val="auto"/>
              </w:rPr>
            </w:pPr>
            <w:r>
              <w:rPr>
                <w:rFonts w:ascii="Arial" w:cs="Arial" w:eastAsia="Arial" w:hAnsi="Arial"/>
                <w:sz w:val="11"/>
                <w:szCs w:val="11"/>
                <w:color w:val="auto"/>
              </w:rPr>
              <w:t>(Zip Code)</w:t>
            </w:r>
          </w:p>
        </w:tc>
        <w:tc>
          <w:tcPr>
            <w:tcW w:w="0" w:type="dxa"/>
            <w:vAlign w:val="bottom"/>
          </w:tcPr>
          <w:p>
            <w:pPr>
              <w:spacing w:after="0"/>
              <w:rPr>
                <w:sz w:val="1"/>
                <w:szCs w:val="1"/>
                <w:color w:val="auto"/>
              </w:rPr>
            </w:pPr>
          </w:p>
        </w:tc>
      </w:tr>
      <w:tr>
        <w:trPr>
          <w:trHeight w:val="212"/>
        </w:trPr>
        <w:tc>
          <w:tcPr>
            <w:tcW w:w="8920" w:type="dxa"/>
            <w:vAlign w:val="bottom"/>
            <w:gridSpan w:val="8"/>
          </w:tcPr>
          <w:p>
            <w:pPr>
              <w:jc w:val="right"/>
              <w:ind w:right="2722"/>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(303) 723-1000</w:t>
            </w:r>
          </w:p>
        </w:tc>
        <w:tc>
          <w:tcPr>
            <w:tcW w:w="0" w:type="dxa"/>
            <w:vAlign w:val="bottom"/>
          </w:tcPr>
          <w:p>
            <w:pPr>
              <w:spacing w:after="0"/>
              <w:rPr>
                <w:sz w:val="1"/>
                <w:szCs w:val="1"/>
                <w:color w:val="auto"/>
              </w:rPr>
            </w:pPr>
          </w:p>
        </w:tc>
      </w:tr>
      <w:tr>
        <w:trPr>
          <w:trHeight w:val="200"/>
        </w:trPr>
        <w:tc>
          <w:tcPr>
            <w:tcW w:w="2980" w:type="dxa"/>
            <w:vAlign w:val="bottom"/>
          </w:tcPr>
          <w:p>
            <w:pPr>
              <w:spacing w:after="0"/>
              <w:rPr>
                <w:sz w:val="17"/>
                <w:szCs w:val="17"/>
                <w:color w:val="auto"/>
              </w:rPr>
            </w:pPr>
          </w:p>
        </w:tc>
        <w:tc>
          <w:tcPr>
            <w:tcW w:w="5940" w:type="dxa"/>
            <w:vAlign w:val="bottom"/>
            <w:gridSpan w:val="7"/>
          </w:tcPr>
          <w:p>
            <w:pPr>
              <w:jc w:val="center"/>
              <w:ind w:right="2902"/>
              <w:spacing w:after="0"/>
              <w:rPr>
                <w:sz w:val="20"/>
                <w:szCs w:val="20"/>
                <w:color w:val="auto"/>
              </w:rPr>
            </w:pPr>
            <w:r>
              <w:rPr>
                <w:rFonts w:ascii="Arial" w:cs="Arial" w:eastAsia="Arial" w:hAnsi="Arial"/>
                <w:sz w:val="11"/>
                <w:szCs w:val="11"/>
                <w:color w:val="auto"/>
              </w:rPr>
              <w:t>Securities registered pursuant to Section 12(b) of the Act:</w:t>
            </w:r>
          </w:p>
        </w:tc>
        <w:tc>
          <w:tcPr>
            <w:tcW w:w="0" w:type="dxa"/>
            <w:vAlign w:val="bottom"/>
          </w:tcPr>
          <w:p>
            <w:pPr>
              <w:spacing w:after="0"/>
              <w:rPr>
                <w:sz w:val="1"/>
                <w:szCs w:val="1"/>
                <w:color w:val="auto"/>
              </w:rPr>
            </w:pPr>
          </w:p>
        </w:tc>
      </w:tr>
      <w:tr>
        <w:trPr>
          <w:trHeight w:val="191"/>
        </w:trPr>
        <w:tc>
          <w:tcPr>
            <w:tcW w:w="2980" w:type="dxa"/>
            <w:vAlign w:val="bottom"/>
          </w:tcPr>
          <w:p>
            <w:pPr>
              <w:jc w:val="center"/>
              <w:ind w:left="843"/>
              <w:spacing w:after="0"/>
              <w:rPr>
                <w:sz w:val="20"/>
                <w:szCs w:val="20"/>
                <w:color w:val="auto"/>
              </w:rPr>
            </w:pPr>
            <w:r>
              <w:rPr>
                <w:rFonts w:ascii="Arial" w:cs="Arial" w:eastAsia="Arial" w:hAnsi="Arial"/>
                <w:sz w:val="11"/>
                <w:szCs w:val="11"/>
                <w:b w:val="1"/>
                <w:bCs w:val="1"/>
                <w:color w:val="auto"/>
              </w:rPr>
              <w:t>Title of each class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1"/>
                <w:szCs w:val="11"/>
                <w:b w:val="1"/>
                <w:bCs w:val="1"/>
                <w:color w:val="auto"/>
              </w:rPr>
              <w:t>Trading</w:t>
            </w:r>
          </w:p>
        </w:tc>
        <w:tc>
          <w:tcPr>
            <w:tcW w:w="260" w:type="dxa"/>
            <w:vAlign w:val="bottom"/>
          </w:tcPr>
          <w:p>
            <w:pPr>
              <w:spacing w:after="0"/>
              <w:rPr>
                <w:sz w:val="16"/>
                <w:szCs w:val="16"/>
                <w:color w:val="auto"/>
              </w:rPr>
            </w:pPr>
          </w:p>
        </w:tc>
        <w:tc>
          <w:tcPr>
            <w:tcW w:w="3160" w:type="dxa"/>
            <w:vAlign w:val="bottom"/>
          </w:tcPr>
          <w:p>
            <w:pPr>
              <w:jc w:val="center"/>
              <w:ind w:right="642"/>
              <w:spacing w:after="0"/>
              <w:rPr>
                <w:sz w:val="20"/>
                <w:szCs w:val="20"/>
                <w:color w:val="auto"/>
              </w:rPr>
            </w:pPr>
            <w:r>
              <w:rPr>
                <w:rFonts w:ascii="Arial" w:cs="Arial" w:eastAsia="Arial" w:hAnsi="Arial"/>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1"/>
                <w:szCs w:val="11"/>
                <w:b w:val="1"/>
                <w:bCs w:val="1"/>
                <w:color w:val="auto"/>
              </w:rPr>
              <w:t>Symbol(s)</w:t>
            </w:r>
          </w:p>
        </w:tc>
        <w:tc>
          <w:tcPr>
            <w:tcW w:w="2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980" w:type="dxa"/>
            <w:vAlign w:val="bottom"/>
            <w:tcBorders>
              <w:top w:val="single" w:sz="8" w:color="auto"/>
            </w:tcBorders>
          </w:tcPr>
          <w:p>
            <w:pPr>
              <w:jc w:val="center"/>
              <w:ind w:left="843"/>
              <w:spacing w:after="0"/>
              <w:rPr>
                <w:sz w:val="20"/>
                <w:szCs w:val="20"/>
                <w:color w:val="auto"/>
              </w:rPr>
            </w:pPr>
            <w:r>
              <w:rPr>
                <w:rFonts w:ascii="Arial" w:cs="Arial" w:eastAsia="Arial" w:hAnsi="Arial"/>
                <w:sz w:val="11"/>
                <w:szCs w:val="11"/>
                <w:color w:val="auto"/>
              </w:rPr>
              <w:t>Class A common stock, $0.001 par value</w:t>
            </w: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rPr>
              <w:t>SATS</w:t>
            </w: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160" w:type="dxa"/>
            <w:vAlign w:val="bottom"/>
            <w:tcBorders>
              <w:top w:val="single" w:sz="8" w:color="auto"/>
            </w:tcBorders>
          </w:tcPr>
          <w:p>
            <w:pPr>
              <w:jc w:val="center"/>
              <w:ind w:right="622"/>
              <w:spacing w:after="0"/>
              <w:rPr>
                <w:sz w:val="20"/>
                <w:szCs w:val="20"/>
                <w:color w:val="auto"/>
              </w:rPr>
            </w:pPr>
            <w:r>
              <w:rPr>
                <w:rFonts w:ascii="Arial" w:cs="Arial" w:eastAsia="Arial" w:hAnsi="Arial"/>
                <w:sz w:val="11"/>
                <w:szCs w:val="11"/>
                <w:color w:val="auto"/>
              </w:rPr>
              <w:t>The Nasdaq Stock Market L.L.C.</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91" w:lineRule="exact"/>
        <w:rPr>
          <w:sz w:val="24"/>
          <w:szCs w:val="24"/>
          <w:color w:val="auto"/>
        </w:rPr>
      </w:pPr>
    </w:p>
    <w:p>
      <w:pPr>
        <w:ind w:left="40"/>
        <w:spacing w:after="0" w:line="127" w:lineRule="exact"/>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w:t>
      </w:r>
    </w:p>
    <w:p>
      <w:pPr>
        <w:spacing w:after="0" w:line="14" w:lineRule="exact"/>
        <w:rPr>
          <w:sz w:val="24"/>
          <w:szCs w:val="24"/>
          <w:color w:val="auto"/>
        </w:rPr>
      </w:pPr>
    </w:p>
    <w:p>
      <w:pPr>
        <w:ind w:left="40"/>
        <w:spacing w:after="0" w:line="127" w:lineRule="exact"/>
        <w:rPr>
          <w:sz w:val="20"/>
          <w:szCs w:val="20"/>
          <w:color w:val="auto"/>
        </w:rPr>
      </w:pPr>
      <w:r>
        <w:rPr>
          <w:rFonts w:ascii="Arial" w:cs="Arial" w:eastAsia="Arial" w:hAnsi="Arial"/>
          <w:sz w:val="11"/>
          <w:szCs w:val="11"/>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72" w:lineRule="exact"/>
        <w:rPr>
          <w:sz w:val="24"/>
          <w:szCs w:val="24"/>
          <w:color w:val="auto"/>
        </w:rPr>
      </w:pPr>
    </w:p>
    <w:p>
      <w:pPr>
        <w:ind w:left="40" w:right="159"/>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2" w:lineRule="exact"/>
        <w:rPr>
          <w:sz w:val="24"/>
          <w:szCs w:val="24"/>
          <w:color w:val="auto"/>
        </w:rPr>
      </w:pPr>
    </w:p>
    <w:p>
      <w:pPr>
        <w:ind w:left="40" w:right="379"/>
        <w:spacing w:after="0" w:line="270"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07" w:right="1440" w:bottom="1440" w:gutter="0" w:footer="0" w:header="0"/>
        </w:sectPr>
      </w:pPr>
    </w:p>
    <w:p>
      <w:pPr>
        <w:spacing w:after="0" w:line="28" w:lineRule="exact"/>
        <w:rPr>
          <w:sz w:val="24"/>
          <w:szCs w:val="24"/>
          <w:color w:val="auto"/>
        </w:rPr>
      </w:pPr>
    </w:p>
    <w:p>
      <w:pPr>
        <w:ind w:left="160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79" w:lineRule="exact"/>
        <w:rPr>
          <w:sz w:val="24"/>
          <w:szCs w:val="24"/>
          <w:color w:val="auto"/>
        </w:rPr>
      </w:pPr>
    </w:p>
    <w:p>
      <w:pPr>
        <w:sectPr>
          <w:pgSz w:w="11900" w:h="16838" w:orient="portrait"/>
          <w:cols w:equalWidth="0" w:num="2">
            <w:col w:w="5580" w:space="720"/>
            <w:col w:w="2719"/>
          </w:cols>
          <w:pgMar w:left="1440" w:top="607" w:right="1440" w:bottom="1440" w:gutter="0" w:footer="0" w:header="0"/>
          <w:type w:val="continuous"/>
        </w:sectPr>
      </w:pPr>
    </w:p>
    <w:p>
      <w:pPr>
        <w:ind w:left="164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43"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06" w:lineRule="exact"/>
        <w:rPr>
          <w:sz w:val="24"/>
          <w:szCs w:val="24"/>
          <w:color w:val="auto"/>
        </w:rPr>
      </w:pPr>
    </w:p>
    <w:p>
      <w:pPr>
        <w:sectPr>
          <w:pgSz w:w="11900" w:h="16838" w:orient="portrait"/>
          <w:cols w:equalWidth="0" w:num="2">
            <w:col w:w="5320" w:space="720"/>
            <w:col w:w="2979"/>
          </w:cols>
          <w:pgMar w:left="1440" w:top="607" w:right="1440" w:bottom="1440" w:gutter="0" w:footer="0" w:header="0"/>
          <w:type w:val="continuous"/>
        </w:sectPr>
      </w:pPr>
    </w:p>
    <w:p>
      <w:pPr>
        <w:ind w:left="40" w:right="399"/>
        <w:spacing w:after="0" w:line="149"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30" w:lineRule="exact"/>
        <w:rPr>
          <w:sz w:val="24"/>
          <w:szCs w:val="24"/>
          <w:color w:val="auto"/>
        </w:rPr>
      </w:pPr>
    </w:p>
    <w:p>
      <w:pPr>
        <w:ind w:left="40" w:right="479"/>
        <w:spacing w:after="0" w:line="149"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42" w:lineRule="exact"/>
        <w:rPr>
          <w:sz w:val="24"/>
          <w:szCs w:val="24"/>
          <w:color w:val="auto"/>
        </w:rPr>
      </w:pPr>
    </w:p>
    <w:p>
      <w:pPr>
        <w:ind w:left="40" w:right="119"/>
        <w:spacing w:after="0" w:line="149"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42" w:lineRule="exact"/>
        <w:rPr>
          <w:sz w:val="24"/>
          <w:szCs w:val="24"/>
          <w:color w:val="auto"/>
        </w:rPr>
      </w:pPr>
    </w:p>
    <w:p>
      <w:pPr>
        <w:ind w:left="40" w:right="539"/>
        <w:spacing w:after="0" w:line="149"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5" w:lineRule="exact"/>
        <w:rPr>
          <w:sz w:val="24"/>
          <w:szCs w:val="24"/>
          <w:color w:val="auto"/>
        </w:rPr>
      </w:pPr>
    </w:p>
    <w:p>
      <w:pPr>
        <w:ind w:left="40"/>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06" w:lineRule="exact"/>
        <w:rPr>
          <w:sz w:val="24"/>
          <w:szCs w:val="24"/>
          <w:color w:val="auto"/>
        </w:rPr>
      </w:pPr>
    </w:p>
    <w:p>
      <w:pPr>
        <w:ind w:left="40" w:right="239"/>
        <w:spacing w:after="0" w:line="270" w:lineRule="auto"/>
        <w:rPr>
          <w:sz w:val="20"/>
          <w:szCs w:val="20"/>
          <w:color w:val="auto"/>
        </w:rPr>
      </w:pPr>
      <w:r>
        <w:rPr>
          <w:rFonts w:ascii="Arial" w:cs="Arial" w:eastAsia="Arial" w:hAnsi="Arial"/>
          <w:sz w:val="11"/>
          <w:szCs w:val="11"/>
          <w:color w:val="auto"/>
        </w:rPr>
        <w:t>As of June 30, 2024, the aggregate market value of Class A common stock held by non-affiliates of the registrant was $2.153 billion based upon the closing price of the Class A common stock as reported on the Nasdaq Global Select Market as of the close of business on the last trading day of the month.</w:t>
      </w:r>
    </w:p>
    <w:p>
      <w:pPr>
        <w:spacing w:after="0" w:line="42" w:lineRule="exact"/>
        <w:rPr>
          <w:sz w:val="24"/>
          <w:szCs w:val="24"/>
          <w:color w:val="auto"/>
        </w:rPr>
      </w:pPr>
    </w:p>
    <w:p>
      <w:pPr>
        <w:ind w:left="40" w:right="379"/>
        <w:spacing w:after="0" w:line="270" w:lineRule="auto"/>
        <w:rPr>
          <w:sz w:val="20"/>
          <w:szCs w:val="20"/>
          <w:color w:val="auto"/>
        </w:rPr>
      </w:pPr>
      <w:r>
        <w:rPr>
          <w:rFonts w:ascii="Arial" w:cs="Arial" w:eastAsia="Arial" w:hAnsi="Arial"/>
          <w:sz w:val="11"/>
          <w:szCs w:val="11"/>
          <w:color w:val="auto"/>
        </w:rPr>
        <w:t>As of February 20, 2025, the registrant’s outstanding common stock consisted of 155,094,308 shares of Class A common stock and 131,348,468 shares of Class B common stock, each $0.001 par value.</w:t>
      </w:r>
    </w:p>
    <w:p>
      <w:pPr>
        <w:spacing w:after="0" w:line="38" w:lineRule="exact"/>
        <w:rPr>
          <w:sz w:val="24"/>
          <w:szCs w:val="24"/>
          <w:color w:val="auto"/>
        </w:rPr>
      </w:pPr>
    </w:p>
    <w:p>
      <w:pPr>
        <w:ind w:left="3020"/>
        <w:spacing w:after="0"/>
        <w:rPr>
          <w:sz w:val="20"/>
          <w:szCs w:val="20"/>
          <w:color w:val="auto"/>
        </w:rPr>
      </w:pPr>
      <w:r>
        <w:rPr>
          <w:rFonts w:ascii="Arial" w:cs="Arial" w:eastAsia="Arial" w:hAnsi="Arial"/>
          <w:sz w:val="13"/>
          <w:szCs w:val="13"/>
          <w:b w:val="1"/>
          <w:bCs w:val="1"/>
          <w:color w:val="auto"/>
        </w:rPr>
        <w:t>DOCUMENTS INCORPORATED BY REFERENCE</w:t>
      </w:r>
    </w:p>
    <w:p>
      <w:pPr>
        <w:spacing w:after="0" w:line="73" w:lineRule="exact"/>
        <w:rPr>
          <w:sz w:val="24"/>
          <w:szCs w:val="24"/>
          <w:color w:val="auto"/>
        </w:rPr>
      </w:pPr>
    </w:p>
    <w:p>
      <w:pPr>
        <w:ind w:left="40"/>
        <w:spacing w:after="0"/>
        <w:rPr>
          <w:sz w:val="20"/>
          <w:szCs w:val="20"/>
          <w:color w:val="auto"/>
        </w:rPr>
      </w:pPr>
      <w:r>
        <w:rPr>
          <w:rFonts w:ascii="Arial" w:cs="Arial" w:eastAsia="Arial" w:hAnsi="Arial"/>
          <w:sz w:val="11"/>
          <w:szCs w:val="11"/>
          <w:color w:val="auto"/>
        </w:rPr>
        <w:t>The following documents are incorporated into this Form 10-K by reference:</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1"/>
          <w:szCs w:val="11"/>
          <w:color w:val="auto"/>
        </w:rPr>
        <w:t>Portions of the registrant’s definitive Proxy Statement to be filed in connection with its 2025 Annual Meeting of Shareholders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459740</wp:posOffset>
            </wp:positionV>
            <wp:extent cx="5671185"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71185" cy="2286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44450</wp:posOffset>
            </wp:positionV>
            <wp:extent cx="56711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71185" cy="762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83185</wp:posOffset>
            </wp:positionV>
            <wp:extent cx="5671185" cy="3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1185" cy="30480"/>
                    </a:xfrm>
                    <a:prstGeom prst="rect">
                      <a:avLst/>
                    </a:prstGeom>
                    <a:noFill/>
                  </pic:spPr>
                </pic:pic>
              </a:graphicData>
            </a:graphic>
          </wp:anchor>
        </w:drawing>
      </w:r>
    </w:p>
    <w:p>
      <w:pPr>
        <w:sectPr>
          <w:pgSz w:w="11900" w:h="16838" w:orient="portrait"/>
          <w:cols w:equalWidth="0" w:num="1">
            <w:col w:w="9019"/>
          </w:cols>
          <w:pgMar w:left="1440" w:top="607" w:right="1440"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20" w:type="dxa"/>
            <w:vAlign w:val="bottom"/>
            <w:gridSpan w:val="19"/>
          </w:tcPr>
          <w:p>
            <w:pPr>
              <w:ind w:left="600"/>
              <w:spacing w:after="0"/>
              <w:rPr>
                <w:sz w:val="20"/>
                <w:szCs w:val="20"/>
                <w:color w:val="auto"/>
              </w:rPr>
            </w:pPr>
            <w:r>
              <w:rPr>
                <w:rFonts w:ascii="Arial" w:cs="Arial" w:eastAsia="Arial" w:hAnsi="Arial"/>
                <w:sz w:val="16"/>
                <w:szCs w:val="16"/>
                <w:b w:val="1"/>
                <w:bCs w:val="1"/>
                <w:color w:val="auto"/>
              </w:rPr>
              <w:t>TABLE OF CONTENTS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2"/>
          </w:tcPr>
          <w:p>
            <w:pPr>
              <w:jc w:val="center"/>
              <w:spacing w:after="0"/>
              <w:rPr>
                <w:sz w:val="20"/>
                <w:szCs w:val="20"/>
                <w:color w:val="auto"/>
              </w:rPr>
            </w:pPr>
            <w:r>
              <w:rPr>
                <w:rFonts w:ascii="Arial" w:cs="Arial" w:eastAsia="Arial" w:hAnsi="Arial"/>
                <w:sz w:val="16"/>
                <w:szCs w:val="16"/>
                <w:b w:val="1"/>
                <w:bCs w:val="1"/>
                <w:color w:val="0000EE"/>
                <w:w w:val="99"/>
              </w:rPr>
              <w:t>PART I</w:t>
            </w:r>
          </w:p>
        </w:tc>
        <w:tc>
          <w:tcPr>
            <w:tcW w:w="354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40" w:type="dxa"/>
            <w:vAlign w:val="bottom"/>
            <w:gridSpan w:val="32"/>
          </w:tcPr>
          <w:p>
            <w:pPr>
              <w:spacing w:after="0"/>
              <w:rPr>
                <w:sz w:val="20"/>
                <w:szCs w:val="20"/>
                <w:color w:val="auto"/>
              </w:rPr>
            </w:pPr>
            <w:r>
              <w:rPr>
                <w:rFonts w:ascii="Arial" w:cs="Arial" w:eastAsia="Arial" w:hAnsi="Arial"/>
                <w:sz w:val="16"/>
                <w:szCs w:val="16"/>
                <w:color w:val="0000EE"/>
              </w:rPr>
              <w:t>Disclosure Regarding Forward-Looking Statements</w:t>
            </w:r>
          </w:p>
        </w:tc>
        <w:tc>
          <w:tcPr>
            <w:tcW w:w="500" w:type="dxa"/>
            <w:vAlign w:val="bottom"/>
          </w:tcPr>
          <w:p>
            <w:pPr>
              <w:jc w:val="right"/>
              <w:spacing w:after="0"/>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162"/>
        </w:trPr>
        <w:tc>
          <w:tcPr>
            <w:tcW w:w="980" w:type="dxa"/>
            <w:vAlign w:val="bottom"/>
            <w:gridSpan w:val="9"/>
          </w:tcPr>
          <w:p>
            <w:pPr>
              <w:spacing w:after="0" w:line="161" w:lineRule="exact"/>
              <w:rPr>
                <w:sz w:val="20"/>
                <w:szCs w:val="20"/>
                <w:color w:val="auto"/>
              </w:rPr>
            </w:pPr>
            <w:r>
              <w:rPr>
                <w:rFonts w:ascii="Arial" w:cs="Arial" w:eastAsia="Arial" w:hAnsi="Arial"/>
                <w:sz w:val="16"/>
                <w:szCs w:val="16"/>
                <w:color w:val="0000EE"/>
              </w:rPr>
              <w:t>Item 1.</w:t>
            </w:r>
          </w:p>
        </w:tc>
        <w:tc>
          <w:tcPr>
            <w:tcW w:w="3660" w:type="dxa"/>
            <w:vAlign w:val="bottom"/>
            <w:tcBorders>
              <w:top w:val="single" w:sz="8" w:color="0000EE"/>
            </w:tcBorders>
            <w:gridSpan w:val="21"/>
          </w:tcPr>
          <w:p>
            <w:pPr>
              <w:spacing w:after="0" w:line="161" w:lineRule="exact"/>
              <w:rPr>
                <w:sz w:val="20"/>
                <w:szCs w:val="20"/>
                <w:color w:val="auto"/>
              </w:rPr>
            </w:pPr>
            <w:r>
              <w:rPr>
                <w:rFonts w:ascii="Arial" w:cs="Arial" w:eastAsia="Arial" w:hAnsi="Arial"/>
                <w:sz w:val="16"/>
                <w:szCs w:val="16"/>
                <w:color w:val="0000EE"/>
              </w:rPr>
              <w:t>Business</w:t>
            </w: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22</w:t>
            </w:r>
          </w:p>
        </w:tc>
        <w:tc>
          <w:tcPr>
            <w:tcW w:w="0" w:type="dxa"/>
            <w:vAlign w:val="bottom"/>
          </w:tcPr>
          <w:p>
            <w:pPr>
              <w:spacing w:after="0" w:line="20" w:lineRule="exact"/>
              <w:rPr>
                <w:sz w:val="1"/>
                <w:szCs w:val="1"/>
                <w:color w:val="auto"/>
              </w:rPr>
            </w:pPr>
          </w:p>
        </w:tc>
      </w:tr>
      <w:tr>
        <w:trPr>
          <w:trHeight w:val="162"/>
        </w:trPr>
        <w:tc>
          <w:tcPr>
            <w:tcW w:w="980" w:type="dxa"/>
            <w:vAlign w:val="bottom"/>
            <w:gridSpan w:val="9"/>
          </w:tcPr>
          <w:p>
            <w:pPr>
              <w:spacing w:after="0" w:line="161" w:lineRule="exact"/>
              <w:rPr>
                <w:sz w:val="20"/>
                <w:szCs w:val="20"/>
                <w:color w:val="auto"/>
              </w:rPr>
            </w:pPr>
            <w:r>
              <w:rPr>
                <w:rFonts w:ascii="Arial" w:cs="Arial" w:eastAsia="Arial" w:hAnsi="Arial"/>
                <w:sz w:val="16"/>
                <w:szCs w:val="16"/>
                <w:color w:val="0000EE"/>
              </w:rPr>
              <w:t>Item 1A.</w:t>
            </w:r>
          </w:p>
        </w:tc>
        <w:tc>
          <w:tcPr>
            <w:tcW w:w="20" w:type="dxa"/>
            <w:vAlign w:val="bottom"/>
            <w:vMerge w:val="continue"/>
          </w:tcPr>
          <w:p>
            <w:pPr>
              <w:spacing w:after="0"/>
              <w:rPr>
                <w:sz w:val="14"/>
                <w:szCs w:val="14"/>
                <w:color w:val="auto"/>
              </w:rPr>
            </w:pPr>
          </w:p>
        </w:tc>
        <w:tc>
          <w:tcPr>
            <w:tcW w:w="7420" w:type="dxa"/>
            <w:vAlign w:val="bottom"/>
            <w:gridSpan w:val="31"/>
          </w:tcPr>
          <w:p>
            <w:pPr>
              <w:spacing w:after="0" w:line="161" w:lineRule="exact"/>
              <w:rPr>
                <w:sz w:val="20"/>
                <w:szCs w:val="20"/>
                <w:color w:val="auto"/>
              </w:rPr>
            </w:pPr>
            <w:r>
              <w:rPr>
                <w:rFonts w:ascii="Arial" w:cs="Arial" w:eastAsia="Arial" w:hAnsi="Arial"/>
                <w:sz w:val="16"/>
                <w:szCs w:val="16"/>
                <w:color w:val="0000EE"/>
              </w:rPr>
              <w:t>Risk Factors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Borders>
              <w:top w:val="single" w:sz="8" w:color="0000EE"/>
            </w:tcBorders>
            <w:gridSpan w:val="7"/>
          </w:tcPr>
          <w:p>
            <w:pPr>
              <w:spacing w:after="0" w:line="161" w:lineRule="exact"/>
              <w:rPr>
                <w:sz w:val="20"/>
                <w:szCs w:val="20"/>
                <w:color w:val="auto"/>
              </w:rPr>
            </w:pPr>
            <w:r>
              <w:rPr>
                <w:rFonts w:ascii="Arial" w:cs="Arial" w:eastAsia="Arial" w:hAnsi="Arial"/>
                <w:sz w:val="16"/>
                <w:szCs w:val="16"/>
                <w:color w:val="0000EE"/>
              </w:rPr>
              <w:t>Item 1B.</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top w:val="single" w:sz="8" w:color="0000EE"/>
            </w:tcBorders>
            <w:gridSpan w:val="5"/>
          </w:tcPr>
          <w:p>
            <w:pPr>
              <w:spacing w:after="0" w:line="161" w:lineRule="exact"/>
              <w:rPr>
                <w:sz w:val="20"/>
                <w:szCs w:val="20"/>
                <w:color w:val="auto"/>
              </w:rPr>
            </w:pPr>
            <w:r>
              <w:rPr>
                <w:rFonts w:ascii="Arial" w:cs="Arial" w:eastAsia="Arial" w:hAnsi="Arial"/>
                <w:sz w:val="16"/>
                <w:szCs w:val="16"/>
                <w:color w:val="0000EE"/>
              </w:rPr>
              <w:t>Unresolved</w:t>
            </w:r>
          </w:p>
        </w:tc>
        <w:tc>
          <w:tcPr>
            <w:tcW w:w="6540" w:type="dxa"/>
            <w:vAlign w:val="bottom"/>
            <w:gridSpan w:val="26"/>
          </w:tcPr>
          <w:p>
            <w:pPr>
              <w:spacing w:after="0" w:line="161" w:lineRule="exact"/>
              <w:rPr>
                <w:sz w:val="20"/>
                <w:szCs w:val="20"/>
                <w:color w:val="auto"/>
              </w:rPr>
            </w:pPr>
            <w:r>
              <w:rPr>
                <w:rFonts w:ascii="Arial" w:cs="Arial" w:eastAsia="Arial" w:hAnsi="Arial"/>
                <w:sz w:val="16"/>
                <w:szCs w:val="16"/>
                <w:color w:val="0000EE"/>
              </w:rPr>
              <w:t>Staff Comments</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2"/>
        </w:trPr>
        <w:tc>
          <w:tcPr>
            <w:tcW w:w="640" w:type="dxa"/>
            <w:vAlign w:val="bottom"/>
            <w:tcBorders>
              <w:top w:val="single" w:sz="8" w:color="0000EE"/>
            </w:tcBorders>
            <w:gridSpan w:val="6"/>
          </w:tcPr>
          <w:p>
            <w:pPr>
              <w:spacing w:after="0" w:line="161" w:lineRule="exact"/>
              <w:rPr>
                <w:sz w:val="20"/>
                <w:szCs w:val="20"/>
                <w:color w:val="auto"/>
              </w:rPr>
            </w:pPr>
            <w:r>
              <w:rPr>
                <w:rFonts w:ascii="Arial" w:cs="Arial" w:eastAsia="Arial" w:hAnsi="Arial"/>
                <w:sz w:val="16"/>
                <w:szCs w:val="16"/>
                <w:color w:val="0000EE"/>
              </w:rPr>
              <w:t>Item 1C</w:t>
            </w: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Borders>
              <w:top w:val="single" w:sz="8" w:color="0000EE"/>
            </w:tcBorders>
            <w:gridSpan w:val="12"/>
          </w:tcPr>
          <w:p>
            <w:pPr>
              <w:spacing w:after="0" w:line="161" w:lineRule="exact"/>
              <w:rPr>
                <w:sz w:val="20"/>
                <w:szCs w:val="20"/>
                <w:color w:val="auto"/>
              </w:rPr>
            </w:pPr>
            <w:r>
              <w:rPr>
                <w:rFonts w:ascii="Arial" w:cs="Arial" w:eastAsia="Arial" w:hAnsi="Arial"/>
                <w:sz w:val="16"/>
                <w:szCs w:val="16"/>
                <w:color w:val="0000EE"/>
              </w:rPr>
              <w:t>Cybersecurity</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2"/>
        </w:trPr>
        <w:tc>
          <w:tcPr>
            <w:tcW w:w="500" w:type="dxa"/>
            <w:vAlign w:val="bottom"/>
            <w:tcBorders>
              <w:top w:val="single" w:sz="8" w:color="0000EE"/>
              <w:bottom w:val="single" w:sz="8" w:color="0000EE"/>
            </w:tcBorders>
            <w:gridSpan w:val="2"/>
          </w:tcPr>
          <w:p>
            <w:pPr>
              <w:spacing w:after="0" w:line="161" w:lineRule="exact"/>
              <w:rPr>
                <w:sz w:val="20"/>
                <w:szCs w:val="20"/>
                <w:color w:val="auto"/>
              </w:rPr>
            </w:pPr>
            <w:r>
              <w:rPr>
                <w:rFonts w:ascii="Arial" w:cs="Arial" w:eastAsia="Arial" w:hAnsi="Arial"/>
                <w:sz w:val="16"/>
                <w:szCs w:val="16"/>
                <w:color w:val="0000EE"/>
                <w:w w:val="98"/>
              </w:rPr>
              <w:t>Item 2.</w:t>
            </w: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0000EE"/>
              <w:bottom w:val="single" w:sz="8" w:color="0000EE"/>
            </w:tcBorders>
            <w:gridSpan w:val="3"/>
          </w:tcPr>
          <w:p>
            <w:pPr>
              <w:spacing w:after="0" w:line="161" w:lineRule="exact"/>
              <w:rPr>
                <w:sz w:val="20"/>
                <w:szCs w:val="20"/>
                <w:color w:val="auto"/>
              </w:rPr>
            </w:pPr>
            <w:r>
              <w:rPr>
                <w:rFonts w:ascii="Arial" w:cs="Arial" w:eastAsia="Arial" w:hAnsi="Arial"/>
                <w:sz w:val="16"/>
                <w:szCs w:val="16"/>
                <w:color w:val="0000EE"/>
                <w:w w:val="95"/>
              </w:rPr>
              <w:t>Properties</w:t>
            </w:r>
          </w:p>
        </w:tc>
        <w:tc>
          <w:tcPr>
            <w:tcW w:w="260" w:type="dxa"/>
            <w:vAlign w:val="bottom"/>
            <w:tcBorders>
              <w:top w:val="single" w:sz="8" w:color="0000EE"/>
            </w:tcBorders>
            <w:gridSpan w:val="3"/>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2"/>
        </w:trPr>
        <w:tc>
          <w:tcPr>
            <w:tcW w:w="500" w:type="dxa"/>
            <w:vAlign w:val="bottom"/>
            <w:gridSpan w:val="2"/>
          </w:tcPr>
          <w:p>
            <w:pPr>
              <w:spacing w:after="0" w:line="161" w:lineRule="exact"/>
              <w:rPr>
                <w:sz w:val="20"/>
                <w:szCs w:val="20"/>
                <w:color w:val="auto"/>
              </w:rPr>
            </w:pPr>
            <w:r>
              <w:rPr>
                <w:rFonts w:ascii="Arial" w:cs="Arial" w:eastAsia="Arial" w:hAnsi="Arial"/>
                <w:sz w:val="16"/>
                <w:szCs w:val="16"/>
                <w:color w:val="0000EE"/>
                <w:w w:val="98"/>
              </w:rPr>
              <w:t>Item 3.</w:t>
            </w: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20" w:type="dxa"/>
            <w:vAlign w:val="bottom"/>
            <w:gridSpan w:val="31"/>
          </w:tcPr>
          <w:p>
            <w:pPr>
              <w:spacing w:after="0" w:line="161" w:lineRule="exact"/>
              <w:rPr>
                <w:sz w:val="20"/>
                <w:szCs w:val="20"/>
                <w:color w:val="auto"/>
              </w:rPr>
            </w:pPr>
            <w:r>
              <w:rPr>
                <w:rFonts w:ascii="Arial" w:cs="Arial" w:eastAsia="Arial" w:hAnsi="Arial"/>
                <w:sz w:val="16"/>
                <w:szCs w:val="16"/>
                <w:color w:val="0000EE"/>
              </w:rPr>
              <w:t>Legal Proceedings</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51</w:t>
            </w:r>
          </w:p>
        </w:tc>
        <w:tc>
          <w:tcPr>
            <w:tcW w:w="0" w:type="dxa"/>
            <w:vAlign w:val="bottom"/>
          </w:tcPr>
          <w:p>
            <w:pPr>
              <w:spacing w:after="0" w:line="20" w:lineRule="exact"/>
              <w:rPr>
                <w:sz w:val="1"/>
                <w:szCs w:val="1"/>
                <w:color w:val="auto"/>
              </w:rPr>
            </w:pPr>
          </w:p>
        </w:tc>
      </w:tr>
      <w:tr>
        <w:trPr>
          <w:trHeight w:val="162"/>
        </w:trPr>
        <w:tc>
          <w:tcPr>
            <w:tcW w:w="500" w:type="dxa"/>
            <w:vAlign w:val="bottom"/>
            <w:gridSpan w:val="2"/>
          </w:tcPr>
          <w:p>
            <w:pPr>
              <w:spacing w:after="0" w:line="161" w:lineRule="exact"/>
              <w:rPr>
                <w:sz w:val="20"/>
                <w:szCs w:val="20"/>
                <w:color w:val="auto"/>
              </w:rPr>
            </w:pPr>
            <w:r>
              <w:rPr>
                <w:rFonts w:ascii="Arial" w:cs="Arial" w:eastAsia="Arial" w:hAnsi="Arial"/>
                <w:sz w:val="16"/>
                <w:szCs w:val="16"/>
                <w:color w:val="0000EE"/>
                <w:w w:val="98"/>
              </w:rPr>
              <w:t>Item 4.</w:t>
            </w:r>
          </w:p>
        </w:tc>
        <w:tc>
          <w:tcPr>
            <w:tcW w:w="8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420" w:type="dxa"/>
            <w:vAlign w:val="bottom"/>
            <w:gridSpan w:val="31"/>
          </w:tcPr>
          <w:p>
            <w:pPr>
              <w:spacing w:after="0" w:line="161" w:lineRule="exact"/>
              <w:rPr>
                <w:sz w:val="20"/>
                <w:szCs w:val="20"/>
                <w:color w:val="auto"/>
              </w:rPr>
            </w:pPr>
            <w:r>
              <w:rPr>
                <w:rFonts w:ascii="Arial" w:cs="Arial" w:eastAsia="Arial" w:hAnsi="Arial"/>
                <w:sz w:val="16"/>
                <w:szCs w:val="16"/>
                <w:color w:val="0000EE"/>
              </w:rPr>
              <w:t>Mine Safety Disclosures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4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b w:val="1"/>
                <w:bCs w:val="1"/>
                <w:color w:val="0000EE"/>
                <w:w w:val="98"/>
              </w:rPr>
              <w:t>PART II</w:t>
            </w:r>
          </w:p>
        </w:tc>
        <w:tc>
          <w:tcPr>
            <w:tcW w:w="352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80" w:type="dxa"/>
            <w:vAlign w:val="bottom"/>
            <w:gridSpan w:val="9"/>
          </w:tcPr>
          <w:p>
            <w:pPr>
              <w:spacing w:after="0"/>
              <w:rPr>
                <w:sz w:val="20"/>
                <w:szCs w:val="20"/>
                <w:color w:val="auto"/>
              </w:rPr>
            </w:pPr>
            <w:r>
              <w:rPr>
                <w:rFonts w:ascii="Arial" w:cs="Arial" w:eastAsia="Arial" w:hAnsi="Arial"/>
                <w:sz w:val="16"/>
                <w:szCs w:val="16"/>
                <w:color w:val="0000EE"/>
              </w:rPr>
              <w:t>Item 5.</w:t>
            </w:r>
          </w:p>
        </w:tc>
        <w:tc>
          <w:tcPr>
            <w:tcW w:w="7440" w:type="dxa"/>
            <w:vAlign w:val="bottom"/>
            <w:gridSpan w:val="32"/>
          </w:tcPr>
          <w:p>
            <w:pPr>
              <w:spacing w:after="0"/>
              <w:rPr>
                <w:sz w:val="20"/>
                <w:szCs w:val="20"/>
                <w:color w:val="auto"/>
              </w:rPr>
            </w:pPr>
            <w:r>
              <w:rPr>
                <w:rFonts w:ascii="Arial" w:cs="Arial" w:eastAsia="Arial" w:hAnsi="Arial"/>
                <w:sz w:val="16"/>
                <w:szCs w:val="16"/>
                <w:color w:val="0000EE"/>
              </w:rPr>
              <w:t>Market for Registrant’s Common Equity, Related Stockholder Matters and Issuer Purchases of Equity</w:t>
            </w:r>
          </w:p>
        </w:tc>
        <w:tc>
          <w:tcPr>
            <w:tcW w:w="50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80" w:type="dxa"/>
            <w:vAlign w:val="bottom"/>
            <w:gridSpan w:val="9"/>
            <w:vMerge w:val="restart"/>
          </w:tcPr>
          <w:p>
            <w:pPr>
              <w:spacing w:after="0"/>
              <w:rPr>
                <w:sz w:val="20"/>
                <w:szCs w:val="20"/>
                <w:color w:val="auto"/>
              </w:rPr>
            </w:pPr>
            <w:r>
              <w:rPr>
                <w:rFonts w:ascii="Arial" w:cs="Arial" w:eastAsia="Arial" w:hAnsi="Arial"/>
                <w:sz w:val="16"/>
                <w:szCs w:val="16"/>
                <w:color w:val="0000EE"/>
              </w:rPr>
              <w:t>Item 6.</w:t>
            </w:r>
          </w:p>
        </w:tc>
        <w:tc>
          <w:tcPr>
            <w:tcW w:w="20" w:type="dxa"/>
            <w:vAlign w:val="bottom"/>
            <w:vMerge w:val="continue"/>
          </w:tcPr>
          <w:p>
            <w:pPr>
              <w:spacing w:after="0"/>
              <w:rPr>
                <w:sz w:val="14"/>
                <w:szCs w:val="14"/>
                <w:color w:val="auto"/>
              </w:rPr>
            </w:pPr>
          </w:p>
        </w:tc>
        <w:tc>
          <w:tcPr>
            <w:tcW w:w="7180" w:type="dxa"/>
            <w:vAlign w:val="bottom"/>
            <w:gridSpan w:val="30"/>
          </w:tcPr>
          <w:p>
            <w:pPr>
              <w:spacing w:after="0" w:line="161" w:lineRule="exact"/>
              <w:rPr>
                <w:sz w:val="20"/>
                <w:szCs w:val="20"/>
                <w:color w:val="auto"/>
              </w:rPr>
            </w:pPr>
            <w:r>
              <w:rPr>
                <w:rFonts w:ascii="Arial" w:cs="Arial" w:eastAsia="Arial" w:hAnsi="Arial"/>
                <w:sz w:val="16"/>
                <w:szCs w:val="16"/>
                <w:color w:val="0000EE"/>
              </w:rPr>
              <w:t>Securities</w:t>
            </w:r>
          </w:p>
        </w:tc>
        <w:tc>
          <w:tcPr>
            <w:tcW w:w="240" w:type="dxa"/>
            <w:vAlign w:val="bottom"/>
            <w:vMerge w:val="continue"/>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62"/>
        </w:trPr>
        <w:tc>
          <w:tcPr>
            <w:tcW w:w="980" w:type="dxa"/>
            <w:vAlign w:val="bottom"/>
            <w:gridSpan w:val="9"/>
            <w:vMerge w:val="continue"/>
          </w:tcPr>
          <w:p>
            <w:pPr>
              <w:spacing w:after="0"/>
              <w:rPr>
                <w:sz w:val="14"/>
                <w:szCs w:val="14"/>
                <w:color w:val="auto"/>
              </w:rPr>
            </w:pPr>
          </w:p>
        </w:tc>
        <w:tc>
          <w:tcPr>
            <w:tcW w:w="720" w:type="dxa"/>
            <w:vAlign w:val="bottom"/>
            <w:tcBorders>
              <w:top w:val="single" w:sz="8" w:color="0000EE"/>
            </w:tcBorders>
            <w:gridSpan w:val="3"/>
          </w:tcPr>
          <w:p>
            <w:pPr>
              <w:spacing w:after="0" w:line="161" w:lineRule="exact"/>
              <w:rPr>
                <w:sz w:val="20"/>
                <w:szCs w:val="20"/>
                <w:color w:val="auto"/>
              </w:rPr>
            </w:pPr>
            <w:r>
              <w:rPr>
                <w:rFonts w:ascii="Arial" w:cs="Arial" w:eastAsia="Arial" w:hAnsi="Arial"/>
                <w:sz w:val="16"/>
                <w:szCs w:val="16"/>
                <w:color w:val="0000EE"/>
                <w:w w:val="90"/>
              </w:rPr>
              <w:t>[Reserved]</w:t>
            </w:r>
          </w:p>
        </w:tc>
        <w:tc>
          <w:tcPr>
            <w:tcW w:w="80" w:type="dxa"/>
            <w:vAlign w:val="bottom"/>
            <w:gridSpan w:val="2"/>
          </w:tcPr>
          <w:p>
            <w:pPr>
              <w:spacing w:after="0"/>
              <w:rPr>
                <w:sz w:val="14"/>
                <w:szCs w:val="14"/>
                <w:color w:val="auto"/>
              </w:rPr>
            </w:pPr>
          </w:p>
        </w:tc>
        <w:tc>
          <w:tcPr>
            <w:tcW w:w="460" w:type="dxa"/>
            <w:vAlign w:val="bottom"/>
            <w:gridSpan w:val="3"/>
          </w:tcPr>
          <w:p>
            <w:pPr>
              <w:spacing w:after="0"/>
              <w:rPr>
                <w:sz w:val="14"/>
                <w:szCs w:val="14"/>
                <w:color w:val="auto"/>
              </w:rPr>
            </w:pPr>
          </w:p>
        </w:tc>
        <w:tc>
          <w:tcPr>
            <w:tcW w:w="24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10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6"/>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54</w:t>
            </w:r>
          </w:p>
        </w:tc>
        <w:tc>
          <w:tcPr>
            <w:tcW w:w="0" w:type="dxa"/>
            <w:vAlign w:val="bottom"/>
          </w:tcPr>
          <w:p>
            <w:pPr>
              <w:spacing w:after="0" w:line="20" w:lineRule="exact"/>
              <w:rPr>
                <w:sz w:val="1"/>
                <w:szCs w:val="1"/>
                <w:color w:val="auto"/>
              </w:rPr>
            </w:pPr>
          </w:p>
        </w:tc>
      </w:tr>
      <w:tr>
        <w:trPr>
          <w:trHeight w:val="162"/>
        </w:trPr>
        <w:tc>
          <w:tcPr>
            <w:tcW w:w="480" w:type="dxa"/>
            <w:vAlign w:val="bottom"/>
          </w:tcPr>
          <w:p>
            <w:pPr>
              <w:spacing w:after="0" w:line="161" w:lineRule="exact"/>
              <w:rPr>
                <w:sz w:val="20"/>
                <w:szCs w:val="20"/>
                <w:color w:val="auto"/>
              </w:rPr>
            </w:pPr>
            <w:r>
              <w:rPr>
                <w:rFonts w:ascii="Arial" w:cs="Arial" w:eastAsia="Arial" w:hAnsi="Arial"/>
                <w:sz w:val="16"/>
                <w:szCs w:val="16"/>
                <w:color w:val="0000EE"/>
                <w:w w:val="93"/>
              </w:rPr>
              <w:t>Item 7.</w:t>
            </w:r>
          </w:p>
        </w:tc>
        <w:tc>
          <w:tcPr>
            <w:tcW w:w="20" w:type="dxa"/>
            <w:vAlign w:val="bottom"/>
            <w:vMerge w:val="continue"/>
          </w:tcPr>
          <w:p>
            <w:pPr>
              <w:spacing w:after="0"/>
              <w:rPr>
                <w:sz w:val="14"/>
                <w:szCs w:val="14"/>
                <w:color w:val="auto"/>
              </w:rPr>
            </w:pPr>
          </w:p>
        </w:tc>
        <w:tc>
          <w:tcPr>
            <w:tcW w:w="8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420" w:type="dxa"/>
            <w:vAlign w:val="bottom"/>
            <w:gridSpan w:val="31"/>
          </w:tcPr>
          <w:p>
            <w:pPr>
              <w:spacing w:after="0" w:line="161" w:lineRule="exact"/>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100</w:t>
            </w:r>
          </w:p>
        </w:tc>
        <w:tc>
          <w:tcPr>
            <w:tcW w:w="0" w:type="dxa"/>
            <w:vAlign w:val="bottom"/>
          </w:tcPr>
          <w:p>
            <w:pPr>
              <w:spacing w:after="0" w:line="20" w:lineRule="exact"/>
              <w:rPr>
                <w:sz w:val="1"/>
                <w:szCs w:val="1"/>
                <w:color w:val="auto"/>
              </w:rPr>
            </w:pPr>
          </w:p>
        </w:tc>
      </w:tr>
      <w:tr>
        <w:trPr>
          <w:trHeight w:val="162"/>
        </w:trPr>
        <w:tc>
          <w:tcPr>
            <w:tcW w:w="980" w:type="dxa"/>
            <w:vAlign w:val="bottom"/>
            <w:gridSpan w:val="9"/>
          </w:tcPr>
          <w:p>
            <w:pPr>
              <w:spacing w:after="0" w:line="161" w:lineRule="exact"/>
              <w:rPr>
                <w:sz w:val="20"/>
                <w:szCs w:val="20"/>
                <w:color w:val="auto"/>
              </w:rPr>
            </w:pPr>
            <w:r>
              <w:rPr>
                <w:rFonts w:ascii="Arial" w:cs="Arial" w:eastAsia="Arial" w:hAnsi="Arial"/>
                <w:sz w:val="16"/>
                <w:szCs w:val="16"/>
                <w:color w:val="0000EE"/>
              </w:rPr>
              <w:t>Item 7A.</w:t>
            </w:r>
          </w:p>
        </w:tc>
        <w:tc>
          <w:tcPr>
            <w:tcW w:w="20" w:type="dxa"/>
            <w:vAlign w:val="bottom"/>
            <w:vMerge w:val="continue"/>
          </w:tcPr>
          <w:p>
            <w:pPr>
              <w:spacing w:after="0"/>
              <w:rPr>
                <w:sz w:val="14"/>
                <w:szCs w:val="14"/>
                <w:color w:val="auto"/>
              </w:rPr>
            </w:pPr>
          </w:p>
        </w:tc>
        <w:tc>
          <w:tcPr>
            <w:tcW w:w="6320" w:type="dxa"/>
            <w:vAlign w:val="bottom"/>
            <w:gridSpan w:val="28"/>
          </w:tcPr>
          <w:p>
            <w:pPr>
              <w:spacing w:after="0" w:line="161" w:lineRule="exact"/>
              <w:rPr>
                <w:sz w:val="20"/>
                <w:szCs w:val="20"/>
                <w:color w:val="auto"/>
              </w:rPr>
            </w:pPr>
            <w:r>
              <w:rPr>
                <w:rFonts w:ascii="Arial" w:cs="Arial" w:eastAsia="Arial" w:hAnsi="Arial"/>
                <w:sz w:val="16"/>
                <w:szCs w:val="16"/>
                <w:color w:val="0000EE"/>
              </w:rPr>
              <w:t>Quantitative and Qualitative Disclosures About Market Risk</w:t>
            </w:r>
          </w:p>
        </w:tc>
        <w:tc>
          <w:tcPr>
            <w:tcW w:w="1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Borders>
              <w:top w:val="single" w:sz="8" w:color="0000EE"/>
              <w:bottom w:val="single" w:sz="8" w:color="0000EE"/>
            </w:tcBorders>
            <w:gridSpan w:val="2"/>
          </w:tcPr>
          <w:p>
            <w:pPr>
              <w:spacing w:after="0" w:line="161" w:lineRule="exact"/>
              <w:rPr>
                <w:sz w:val="20"/>
                <w:szCs w:val="20"/>
                <w:color w:val="auto"/>
              </w:rPr>
            </w:pPr>
            <w:r>
              <w:rPr>
                <w:rFonts w:ascii="Arial" w:cs="Arial" w:eastAsia="Arial" w:hAnsi="Arial"/>
                <w:sz w:val="16"/>
                <w:szCs w:val="16"/>
                <w:color w:val="0000EE"/>
                <w:w w:val="98"/>
              </w:rPr>
              <w:t>Item 8.</w:t>
            </w:r>
          </w:p>
        </w:tc>
        <w:tc>
          <w:tcPr>
            <w:tcW w:w="140" w:type="dxa"/>
            <w:vAlign w:val="bottom"/>
            <w:tcBorders>
              <w:top w:val="single" w:sz="8" w:color="0000EE"/>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EE"/>
              <w:bottom w:val="single" w:sz="8" w:color="0000EE"/>
            </w:tcBorders>
            <w:gridSpan w:val="17"/>
          </w:tcPr>
          <w:p>
            <w:pPr>
              <w:spacing w:after="0" w:line="161" w:lineRule="exact"/>
              <w:rPr>
                <w:sz w:val="20"/>
                <w:szCs w:val="20"/>
                <w:color w:val="auto"/>
              </w:rPr>
            </w:pPr>
            <w:r>
              <w:rPr>
                <w:rFonts w:ascii="Arial" w:cs="Arial" w:eastAsia="Arial" w:hAnsi="Arial"/>
                <w:sz w:val="16"/>
                <w:szCs w:val="16"/>
                <w:color w:val="0000EE"/>
                <w:w w:val="99"/>
              </w:rPr>
              <w:t>Financial Statements and Supplementary Data</w:t>
            </w:r>
          </w:p>
        </w:tc>
        <w:tc>
          <w:tcPr>
            <w:tcW w:w="880" w:type="dxa"/>
            <w:vAlign w:val="bottom"/>
            <w:tcBorders>
              <w:top w:val="single" w:sz="8" w:color="0000EE"/>
            </w:tcBorders>
            <w:gridSpan w:val="8"/>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62"/>
        </w:trPr>
        <w:tc>
          <w:tcPr>
            <w:tcW w:w="500" w:type="dxa"/>
            <w:vAlign w:val="bottom"/>
            <w:tcBorders>
              <w:bottom w:val="single" w:sz="8" w:color="0000EE"/>
            </w:tcBorders>
            <w:gridSpan w:val="2"/>
          </w:tcPr>
          <w:p>
            <w:pPr>
              <w:spacing w:after="0" w:line="161" w:lineRule="exact"/>
              <w:rPr>
                <w:sz w:val="20"/>
                <w:szCs w:val="20"/>
                <w:color w:val="auto"/>
              </w:rPr>
            </w:pPr>
            <w:r>
              <w:rPr>
                <w:rFonts w:ascii="Arial" w:cs="Arial" w:eastAsia="Arial" w:hAnsi="Arial"/>
                <w:sz w:val="16"/>
                <w:szCs w:val="16"/>
                <w:color w:val="0000EE"/>
                <w:w w:val="98"/>
              </w:rPr>
              <w:t>Item 9.</w:t>
            </w: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20" w:type="dxa"/>
            <w:vAlign w:val="bottom"/>
            <w:tcBorders>
              <w:bottom w:val="single" w:sz="8" w:color="0000EE"/>
            </w:tcBorders>
            <w:gridSpan w:val="29"/>
          </w:tcPr>
          <w:p>
            <w:pPr>
              <w:spacing w:after="0" w:line="161" w:lineRule="exact"/>
              <w:rPr>
                <w:sz w:val="20"/>
                <w:szCs w:val="20"/>
                <w:color w:val="auto"/>
              </w:rPr>
            </w:pPr>
            <w:r>
              <w:rPr>
                <w:rFonts w:ascii="Arial" w:cs="Arial" w:eastAsia="Arial" w:hAnsi="Arial"/>
                <w:sz w:val="16"/>
                <w:szCs w:val="16"/>
                <w:color w:val="0000EE"/>
              </w:rPr>
              <w:t>Changes in and Disagreements With Accountants on Accounting and Financial Disclosure</w:t>
            </w:r>
          </w:p>
        </w:tc>
        <w:tc>
          <w:tcPr>
            <w:tcW w:w="1000" w:type="dxa"/>
            <w:vAlign w:val="bottom"/>
            <w:gridSpan w:val="2"/>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62"/>
        </w:trPr>
        <w:tc>
          <w:tcPr>
            <w:tcW w:w="980" w:type="dxa"/>
            <w:vAlign w:val="bottom"/>
            <w:gridSpan w:val="9"/>
          </w:tcPr>
          <w:p>
            <w:pPr>
              <w:spacing w:after="0" w:line="161" w:lineRule="exact"/>
              <w:rPr>
                <w:sz w:val="20"/>
                <w:szCs w:val="20"/>
                <w:color w:val="auto"/>
              </w:rPr>
            </w:pPr>
            <w:r>
              <w:rPr>
                <w:rFonts w:ascii="Arial" w:cs="Arial" w:eastAsia="Arial" w:hAnsi="Arial"/>
                <w:sz w:val="16"/>
                <w:szCs w:val="16"/>
                <w:color w:val="0000EE"/>
              </w:rPr>
              <w:t>Item 9A.</w:t>
            </w:r>
          </w:p>
        </w:tc>
        <w:tc>
          <w:tcPr>
            <w:tcW w:w="20" w:type="dxa"/>
            <w:vAlign w:val="bottom"/>
          </w:tcPr>
          <w:p>
            <w:pPr>
              <w:spacing w:after="0"/>
              <w:rPr>
                <w:sz w:val="14"/>
                <w:szCs w:val="14"/>
                <w:color w:val="auto"/>
              </w:rPr>
            </w:pPr>
          </w:p>
        </w:tc>
        <w:tc>
          <w:tcPr>
            <w:tcW w:w="6420" w:type="dxa"/>
            <w:vAlign w:val="bottom"/>
            <w:gridSpan w:val="29"/>
          </w:tcPr>
          <w:p>
            <w:pPr>
              <w:spacing w:after="0" w:line="161" w:lineRule="exact"/>
              <w:rPr>
                <w:sz w:val="20"/>
                <w:szCs w:val="20"/>
                <w:color w:val="auto"/>
              </w:rPr>
            </w:pPr>
            <w:r>
              <w:rPr>
                <w:rFonts w:ascii="Arial" w:cs="Arial" w:eastAsia="Arial" w:hAnsi="Arial"/>
                <w:sz w:val="16"/>
                <w:szCs w:val="16"/>
                <w:color w:val="0000EE"/>
              </w:rPr>
              <w:t>Controls and Procedures</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62"/>
        </w:trPr>
        <w:tc>
          <w:tcPr>
            <w:tcW w:w="660" w:type="dxa"/>
            <w:vAlign w:val="bottom"/>
            <w:tcBorders>
              <w:top w:val="single" w:sz="8" w:color="0000EE"/>
              <w:bottom w:val="single" w:sz="8" w:color="0000EE"/>
            </w:tcBorders>
            <w:gridSpan w:val="7"/>
          </w:tcPr>
          <w:p>
            <w:pPr>
              <w:spacing w:after="0" w:line="161" w:lineRule="exact"/>
              <w:rPr>
                <w:sz w:val="20"/>
                <w:szCs w:val="20"/>
                <w:color w:val="auto"/>
              </w:rPr>
            </w:pPr>
            <w:r>
              <w:rPr>
                <w:rFonts w:ascii="Arial" w:cs="Arial" w:eastAsia="Arial" w:hAnsi="Arial"/>
                <w:sz w:val="16"/>
                <w:szCs w:val="16"/>
                <w:color w:val="0000EE"/>
              </w:rPr>
              <w:t>Item 9B.</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top w:val="single" w:sz="8" w:color="0000EE"/>
              <w:bottom w:val="single" w:sz="8" w:color="0000EE"/>
            </w:tcBorders>
            <w:gridSpan w:val="7"/>
          </w:tcPr>
          <w:p>
            <w:pPr>
              <w:spacing w:after="0" w:line="161" w:lineRule="exact"/>
              <w:rPr>
                <w:sz w:val="20"/>
                <w:szCs w:val="20"/>
                <w:color w:val="auto"/>
              </w:rPr>
            </w:pPr>
            <w:r>
              <w:rPr>
                <w:rFonts w:ascii="Arial" w:cs="Arial" w:eastAsia="Arial" w:hAnsi="Arial"/>
                <w:sz w:val="16"/>
                <w:szCs w:val="16"/>
                <w:color w:val="0000EE"/>
                <w:w w:val="97"/>
              </w:rPr>
              <w:t>Other Information</w:t>
            </w:r>
          </w:p>
        </w:tc>
        <w:tc>
          <w:tcPr>
            <w:tcW w:w="520" w:type="dxa"/>
            <w:vAlign w:val="bottom"/>
            <w:tcBorders>
              <w:top w:val="single" w:sz="8" w:color="0000EE"/>
            </w:tcBorders>
            <w:gridSpan w:val="4"/>
          </w:tcPr>
          <w:p>
            <w:pPr>
              <w:spacing w:after="0"/>
              <w:rPr>
                <w:sz w:val="14"/>
                <w:szCs w:val="14"/>
                <w:color w:val="auto"/>
              </w:rPr>
            </w:pPr>
          </w:p>
        </w:tc>
        <w:tc>
          <w:tcPr>
            <w:tcW w:w="10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6"/>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2"/>
        </w:trPr>
        <w:tc>
          <w:tcPr>
            <w:tcW w:w="660" w:type="dxa"/>
            <w:vAlign w:val="bottom"/>
            <w:gridSpan w:val="7"/>
          </w:tcPr>
          <w:p>
            <w:pPr>
              <w:spacing w:after="0" w:line="161" w:lineRule="exact"/>
              <w:rPr>
                <w:sz w:val="20"/>
                <w:szCs w:val="20"/>
                <w:color w:val="auto"/>
              </w:rPr>
            </w:pPr>
            <w:r>
              <w:rPr>
                <w:rFonts w:ascii="Arial" w:cs="Arial" w:eastAsia="Arial" w:hAnsi="Arial"/>
                <w:sz w:val="16"/>
                <w:szCs w:val="16"/>
                <w:color w:val="0000EE"/>
              </w:rPr>
              <w:t>Item 9C.</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20" w:type="dxa"/>
            <w:vAlign w:val="bottom"/>
            <w:gridSpan w:val="31"/>
          </w:tcPr>
          <w:p>
            <w:pPr>
              <w:spacing w:after="0" w:line="161" w:lineRule="exact"/>
              <w:rPr>
                <w:sz w:val="20"/>
                <w:szCs w:val="20"/>
                <w:color w:val="auto"/>
              </w:rPr>
            </w:pPr>
            <w:r>
              <w:rPr>
                <w:rFonts w:ascii="Arial" w:cs="Arial" w:eastAsia="Arial" w:hAnsi="Arial"/>
                <w:sz w:val="16"/>
                <w:szCs w:val="16"/>
                <w:color w:val="0000EE"/>
              </w:rPr>
              <w:t>Disclosure Regarding Foreign Jurisdictions that Prevent Inspections</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43"/>
        </w:trPr>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bottom w:val="single" w:sz="8" w:color="0000EE"/>
            </w:tcBorders>
          </w:tcPr>
          <w:p>
            <w:pPr>
              <w:spacing w:after="0"/>
              <w:rPr>
                <w:sz w:val="24"/>
                <w:szCs w:val="24"/>
                <w:color w:val="auto"/>
              </w:rPr>
            </w:pPr>
          </w:p>
        </w:tc>
        <w:tc>
          <w:tcPr>
            <w:tcW w:w="600" w:type="dxa"/>
            <w:vAlign w:val="bottom"/>
            <w:tcBorders>
              <w:top w:val="single" w:sz="8" w:color="0000EE"/>
              <w:bottom w:val="single" w:sz="8" w:color="0000EE"/>
            </w:tcBorders>
            <w:gridSpan w:val="6"/>
          </w:tcPr>
          <w:p>
            <w:pPr>
              <w:jc w:val="center"/>
              <w:spacing w:after="0"/>
              <w:rPr>
                <w:sz w:val="20"/>
                <w:szCs w:val="20"/>
                <w:color w:val="auto"/>
              </w:rPr>
            </w:pPr>
            <w:r>
              <w:rPr>
                <w:rFonts w:ascii="Arial" w:cs="Arial" w:eastAsia="Arial" w:hAnsi="Arial"/>
                <w:sz w:val="16"/>
                <w:szCs w:val="16"/>
                <w:b w:val="1"/>
                <w:bCs w:val="1"/>
                <w:color w:val="0000EE"/>
                <w:w w:val="97"/>
              </w:rPr>
              <w:t>PART III</w:t>
            </w:r>
          </w:p>
        </w:tc>
        <w:tc>
          <w:tcPr>
            <w:tcW w:w="900" w:type="dxa"/>
            <w:vAlign w:val="bottom"/>
            <w:tcBorders>
              <w:top w:val="single" w:sz="8" w:color="0000EE"/>
            </w:tcBorders>
            <w:gridSpan w:val="3"/>
          </w:tcPr>
          <w:p>
            <w:pPr>
              <w:spacing w:after="0"/>
              <w:rPr>
                <w:sz w:val="24"/>
                <w:szCs w:val="24"/>
                <w:color w:val="auto"/>
              </w:rPr>
            </w:pPr>
          </w:p>
        </w:tc>
        <w:tc>
          <w:tcPr>
            <w:tcW w:w="260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80" w:type="dxa"/>
            <w:vAlign w:val="bottom"/>
            <w:gridSpan w:val="9"/>
          </w:tcPr>
          <w:p>
            <w:pPr>
              <w:spacing w:after="0"/>
              <w:rPr>
                <w:sz w:val="20"/>
                <w:szCs w:val="20"/>
                <w:color w:val="auto"/>
              </w:rPr>
            </w:pPr>
            <w:r>
              <w:rPr>
                <w:rFonts w:ascii="Arial" w:cs="Arial" w:eastAsia="Arial" w:hAnsi="Arial"/>
                <w:sz w:val="16"/>
                <w:szCs w:val="16"/>
                <w:color w:val="0000EE"/>
              </w:rPr>
              <w:t>Item 10.</w:t>
            </w:r>
          </w:p>
        </w:tc>
        <w:tc>
          <w:tcPr>
            <w:tcW w:w="7440" w:type="dxa"/>
            <w:vAlign w:val="bottom"/>
            <w:gridSpan w:val="32"/>
          </w:tcPr>
          <w:p>
            <w:pPr>
              <w:spacing w:after="0"/>
              <w:rPr>
                <w:sz w:val="20"/>
                <w:szCs w:val="20"/>
                <w:color w:val="auto"/>
              </w:rPr>
            </w:pPr>
            <w:r>
              <w:rPr>
                <w:rFonts w:ascii="Arial" w:cs="Arial" w:eastAsia="Arial" w:hAnsi="Arial"/>
                <w:sz w:val="16"/>
                <w:szCs w:val="16"/>
                <w:color w:val="0000EE"/>
              </w:rPr>
              <w:t>Directors, Executive Officers and Corporate Governance</w:t>
            </w:r>
          </w:p>
        </w:tc>
        <w:tc>
          <w:tcPr>
            <w:tcW w:w="50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2"/>
        </w:trPr>
        <w:tc>
          <w:tcPr>
            <w:tcW w:w="580" w:type="dxa"/>
            <w:vAlign w:val="bottom"/>
            <w:tcBorders>
              <w:top w:val="single" w:sz="8" w:color="0000EE"/>
            </w:tcBorders>
            <w:gridSpan w:val="4"/>
          </w:tcPr>
          <w:p>
            <w:pPr>
              <w:spacing w:after="0" w:line="161" w:lineRule="exact"/>
              <w:rPr>
                <w:sz w:val="20"/>
                <w:szCs w:val="20"/>
                <w:color w:val="auto"/>
              </w:rPr>
            </w:pPr>
            <w:r>
              <w:rPr>
                <w:rFonts w:ascii="Arial" w:cs="Arial" w:eastAsia="Arial" w:hAnsi="Arial"/>
                <w:sz w:val="16"/>
                <w:szCs w:val="16"/>
                <w:color w:val="0000EE"/>
                <w:w w:val="93"/>
              </w:rPr>
              <w:t>Item 11.</w:t>
            </w:r>
          </w:p>
        </w:tc>
        <w:tc>
          <w:tcPr>
            <w:tcW w:w="40" w:type="dxa"/>
            <w:vAlign w:val="bottom"/>
          </w:tcPr>
          <w:p>
            <w:pPr>
              <w:spacing w:after="0"/>
              <w:rPr>
                <w:sz w:val="14"/>
                <w:szCs w:val="14"/>
                <w:color w:val="auto"/>
              </w:rPr>
            </w:pPr>
          </w:p>
        </w:tc>
        <w:tc>
          <w:tcPr>
            <w:tcW w:w="3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top w:val="single" w:sz="8" w:color="0000EE"/>
            </w:tcBorders>
            <w:gridSpan w:val="24"/>
          </w:tcPr>
          <w:p>
            <w:pPr>
              <w:spacing w:after="0" w:line="161" w:lineRule="exact"/>
              <w:rPr>
                <w:sz w:val="20"/>
                <w:szCs w:val="20"/>
                <w:color w:val="auto"/>
              </w:rPr>
            </w:pPr>
            <w:r>
              <w:rPr>
                <w:rFonts w:ascii="Arial" w:cs="Arial" w:eastAsia="Arial" w:hAnsi="Arial"/>
                <w:sz w:val="16"/>
                <w:szCs w:val="16"/>
                <w:color w:val="0000EE"/>
              </w:rPr>
              <w:t>Executive Compensation</w:t>
            </w:r>
          </w:p>
        </w:tc>
        <w:tc>
          <w:tcPr>
            <w:tcW w:w="1400" w:type="dxa"/>
            <w:vAlign w:val="bottom"/>
            <w:gridSpan w:val="3"/>
          </w:tcPr>
          <w:p>
            <w:pPr>
              <w:spacing w:after="0"/>
              <w:rPr>
                <w:sz w:val="14"/>
                <w:szCs w:val="14"/>
                <w:color w:val="auto"/>
              </w:rPr>
            </w:pPr>
          </w:p>
        </w:tc>
        <w:tc>
          <w:tcPr>
            <w:tcW w:w="176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580" w:type="dxa"/>
            <w:vAlign w:val="bottom"/>
            <w:gridSpan w:val="4"/>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103</w:t>
            </w:r>
          </w:p>
        </w:tc>
        <w:tc>
          <w:tcPr>
            <w:tcW w:w="0" w:type="dxa"/>
            <w:vAlign w:val="bottom"/>
          </w:tcPr>
          <w:p>
            <w:pPr>
              <w:spacing w:after="0" w:line="20" w:lineRule="exact"/>
              <w:rPr>
                <w:sz w:val="1"/>
                <w:szCs w:val="1"/>
                <w:color w:val="auto"/>
              </w:rPr>
            </w:pPr>
          </w:p>
        </w:tc>
      </w:tr>
      <w:tr>
        <w:trPr>
          <w:trHeight w:val="162"/>
        </w:trPr>
        <w:tc>
          <w:tcPr>
            <w:tcW w:w="580" w:type="dxa"/>
            <w:vAlign w:val="bottom"/>
            <w:gridSpan w:val="4"/>
          </w:tcPr>
          <w:p>
            <w:pPr>
              <w:spacing w:after="0" w:line="161" w:lineRule="exact"/>
              <w:rPr>
                <w:sz w:val="20"/>
                <w:szCs w:val="20"/>
                <w:color w:val="auto"/>
              </w:rPr>
            </w:pPr>
            <w:r>
              <w:rPr>
                <w:rFonts w:ascii="Arial" w:cs="Arial" w:eastAsia="Arial" w:hAnsi="Arial"/>
                <w:sz w:val="16"/>
                <w:szCs w:val="16"/>
                <w:color w:val="0000EE"/>
                <w:w w:val="93"/>
              </w:rPr>
              <w:t>Item 12.</w:t>
            </w:r>
          </w:p>
        </w:tc>
        <w:tc>
          <w:tcPr>
            <w:tcW w:w="40" w:type="dxa"/>
            <w:vAlign w:val="bottom"/>
            <w:vMerge w:val="continue"/>
          </w:tcPr>
          <w:p>
            <w:pPr>
              <w:spacing w:after="0"/>
              <w:rPr>
                <w:sz w:val="14"/>
                <w:szCs w:val="14"/>
                <w:color w:val="auto"/>
              </w:rPr>
            </w:pPr>
          </w:p>
        </w:tc>
        <w:tc>
          <w:tcPr>
            <w:tcW w:w="360" w:type="dxa"/>
            <w:vAlign w:val="bottom"/>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420" w:type="dxa"/>
            <w:vAlign w:val="bottom"/>
            <w:gridSpan w:val="31"/>
          </w:tcPr>
          <w:p>
            <w:pPr>
              <w:spacing w:after="0" w:line="161" w:lineRule="exact"/>
              <w:rPr>
                <w:sz w:val="20"/>
                <w:szCs w:val="20"/>
                <w:color w:val="auto"/>
              </w:rPr>
            </w:pPr>
            <w:r>
              <w:rPr>
                <w:rFonts w:ascii="Arial" w:cs="Arial" w:eastAsia="Arial" w:hAnsi="Arial"/>
                <w:sz w:val="16"/>
                <w:szCs w:val="16"/>
                <w:color w:val="0000EE"/>
              </w:rPr>
              <w:t>Security Ownership of Certain Beneficial Owners and Management and Related Stockholder Matters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tcBorders>
              <w:top w:val="single" w:sz="8" w:color="0000EE"/>
            </w:tcBorders>
            <w:gridSpan w:val="5"/>
          </w:tcPr>
          <w:p>
            <w:pPr>
              <w:spacing w:after="0" w:line="161" w:lineRule="exact"/>
              <w:rPr>
                <w:sz w:val="20"/>
                <w:szCs w:val="20"/>
                <w:color w:val="auto"/>
              </w:rPr>
            </w:pPr>
            <w:r>
              <w:rPr>
                <w:rFonts w:ascii="Arial" w:cs="Arial" w:eastAsia="Arial" w:hAnsi="Arial"/>
                <w:sz w:val="16"/>
                <w:szCs w:val="16"/>
                <w:color w:val="0000EE"/>
              </w:rPr>
              <w:t>Item 13.</w:t>
            </w:r>
          </w:p>
        </w:tc>
        <w:tc>
          <w:tcPr>
            <w:tcW w:w="3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7180" w:type="dxa"/>
            <w:vAlign w:val="bottom"/>
            <w:tcBorders>
              <w:top w:val="single" w:sz="8" w:color="0000EE"/>
            </w:tcBorders>
            <w:gridSpan w:val="30"/>
          </w:tcPr>
          <w:p>
            <w:pPr>
              <w:spacing w:after="0" w:line="161" w:lineRule="exact"/>
              <w:rPr>
                <w:sz w:val="20"/>
                <w:szCs w:val="20"/>
                <w:color w:val="auto"/>
              </w:rPr>
            </w:pPr>
            <w:r>
              <w:rPr>
                <w:rFonts w:ascii="Arial" w:cs="Arial" w:eastAsia="Arial" w:hAnsi="Arial"/>
                <w:sz w:val="16"/>
                <w:szCs w:val="16"/>
                <w:color w:val="0000EE"/>
              </w:rPr>
              <w:t>Certain Relationships and Related Transactions, and Director Independence</w:t>
            </w:r>
          </w:p>
        </w:tc>
        <w:tc>
          <w:tcPr>
            <w:tcW w:w="240" w:type="dxa"/>
            <w:vAlign w:val="bottom"/>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62"/>
        </w:trPr>
        <w:tc>
          <w:tcPr>
            <w:tcW w:w="620" w:type="dxa"/>
            <w:vAlign w:val="bottom"/>
            <w:tcBorders>
              <w:top w:val="single" w:sz="8" w:color="0000EE"/>
            </w:tcBorders>
            <w:gridSpan w:val="5"/>
          </w:tcPr>
          <w:p>
            <w:pPr>
              <w:spacing w:after="0" w:line="161" w:lineRule="exact"/>
              <w:rPr>
                <w:sz w:val="20"/>
                <w:szCs w:val="20"/>
                <w:color w:val="auto"/>
              </w:rPr>
            </w:pPr>
            <w:r>
              <w:rPr>
                <w:rFonts w:ascii="Arial" w:cs="Arial" w:eastAsia="Arial" w:hAnsi="Arial"/>
                <w:sz w:val="16"/>
                <w:szCs w:val="16"/>
                <w:color w:val="0000EE"/>
              </w:rPr>
              <w:t>Item 14.</w:t>
            </w:r>
          </w:p>
        </w:tc>
        <w:tc>
          <w:tcPr>
            <w:tcW w:w="3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top w:val="single" w:sz="8" w:color="0000EE"/>
            </w:tcBorders>
            <w:gridSpan w:val="27"/>
          </w:tcPr>
          <w:p>
            <w:pPr>
              <w:spacing w:after="0" w:line="161" w:lineRule="exact"/>
              <w:rPr>
                <w:sz w:val="20"/>
                <w:szCs w:val="20"/>
                <w:color w:val="auto"/>
              </w:rPr>
            </w:pPr>
            <w:r>
              <w:rPr>
                <w:rFonts w:ascii="Arial" w:cs="Arial" w:eastAsia="Arial" w:hAnsi="Arial"/>
                <w:sz w:val="16"/>
                <w:szCs w:val="16"/>
                <w:color w:val="0000EE"/>
              </w:rPr>
              <w:t>Principal Accounting Fees and Services</w:t>
            </w:r>
          </w:p>
        </w:tc>
        <w:tc>
          <w:tcPr>
            <w:tcW w:w="2000" w:type="dxa"/>
            <w:vAlign w:val="bottom"/>
            <w:gridSpan w:val="4"/>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43"/>
        </w:trPr>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15"/>
          </w:tcPr>
          <w:p>
            <w:pPr>
              <w:jc w:val="center"/>
              <w:ind w:right="3500"/>
              <w:spacing w:after="0"/>
              <w:rPr>
                <w:sz w:val="20"/>
                <w:szCs w:val="20"/>
                <w:color w:val="auto"/>
              </w:rPr>
            </w:pPr>
            <w:r>
              <w:rPr>
                <w:rFonts w:ascii="Arial" w:cs="Arial" w:eastAsia="Arial" w:hAnsi="Arial"/>
                <w:sz w:val="16"/>
                <w:szCs w:val="16"/>
                <w:b w:val="1"/>
                <w:bCs w:val="1"/>
                <w:color w:val="0000EE"/>
                <w:w w:val="98"/>
              </w:rPr>
              <w:t>PART IV</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80" w:type="dxa"/>
            <w:vAlign w:val="bottom"/>
            <w:gridSpan w:val="9"/>
          </w:tcPr>
          <w:p>
            <w:pPr>
              <w:spacing w:after="0"/>
              <w:rPr>
                <w:sz w:val="20"/>
                <w:szCs w:val="20"/>
                <w:color w:val="auto"/>
              </w:rPr>
            </w:pPr>
            <w:r>
              <w:rPr>
                <w:rFonts w:ascii="Arial" w:cs="Arial" w:eastAsia="Arial" w:hAnsi="Arial"/>
                <w:sz w:val="16"/>
                <w:szCs w:val="16"/>
                <w:color w:val="0000EE"/>
              </w:rPr>
              <w:t>Item 15.</w:t>
            </w:r>
          </w:p>
        </w:tc>
        <w:tc>
          <w:tcPr>
            <w:tcW w:w="3320" w:type="dxa"/>
            <w:vAlign w:val="bottom"/>
            <w:gridSpan w:val="17"/>
          </w:tcPr>
          <w:p>
            <w:pPr>
              <w:spacing w:after="0"/>
              <w:rPr>
                <w:sz w:val="20"/>
                <w:szCs w:val="20"/>
                <w:color w:val="auto"/>
              </w:rPr>
            </w:pPr>
            <w:r>
              <w:rPr>
                <w:rFonts w:ascii="Arial" w:cs="Arial" w:eastAsia="Arial" w:hAnsi="Arial"/>
                <w:sz w:val="16"/>
                <w:szCs w:val="16"/>
                <w:color w:val="0000EE"/>
              </w:rPr>
              <w:t>Exhibits, Financial Statement Schedules</w:t>
            </w:r>
          </w:p>
        </w:tc>
        <w:tc>
          <w:tcPr>
            <w:tcW w:w="620" w:type="dxa"/>
            <w:vAlign w:val="bottom"/>
            <w:tcBorders>
              <w:top w:val="single" w:sz="8" w:color="0000EE"/>
            </w:tcBorders>
            <w:gridSpan w:val="7"/>
          </w:tcPr>
          <w:p>
            <w:pPr>
              <w:spacing w:after="0"/>
              <w:rPr>
                <w:sz w:val="24"/>
                <w:szCs w:val="24"/>
                <w:color w:val="auto"/>
              </w:rPr>
            </w:pPr>
          </w:p>
        </w:tc>
        <w:tc>
          <w:tcPr>
            <w:tcW w:w="350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62"/>
        </w:trPr>
        <w:tc>
          <w:tcPr>
            <w:tcW w:w="580" w:type="dxa"/>
            <w:vAlign w:val="bottom"/>
            <w:tcBorders>
              <w:top w:val="single" w:sz="8" w:color="0000EE"/>
            </w:tcBorders>
            <w:gridSpan w:val="4"/>
          </w:tcPr>
          <w:p>
            <w:pPr>
              <w:spacing w:after="0" w:line="161" w:lineRule="exact"/>
              <w:rPr>
                <w:sz w:val="20"/>
                <w:szCs w:val="20"/>
                <w:color w:val="auto"/>
              </w:rPr>
            </w:pPr>
            <w:r>
              <w:rPr>
                <w:rFonts w:ascii="Arial" w:cs="Arial" w:eastAsia="Arial" w:hAnsi="Arial"/>
                <w:sz w:val="16"/>
                <w:szCs w:val="16"/>
                <w:color w:val="0000EE"/>
                <w:w w:val="93"/>
              </w:rPr>
              <w:t>Item 16.</w:t>
            </w:r>
          </w:p>
        </w:tc>
        <w:tc>
          <w:tcPr>
            <w:tcW w:w="40" w:type="dxa"/>
            <w:vAlign w:val="bottom"/>
            <w:tcBorders>
              <w:top w:val="single" w:sz="8" w:color="0000EE"/>
            </w:tcBorders>
          </w:tcPr>
          <w:p>
            <w:pPr>
              <w:spacing w:after="0"/>
              <w:rPr>
                <w:sz w:val="14"/>
                <w:szCs w:val="14"/>
                <w:color w:val="auto"/>
              </w:rPr>
            </w:pPr>
          </w:p>
        </w:tc>
        <w:tc>
          <w:tcPr>
            <w:tcW w:w="3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tcBorders>
              <w:top w:val="single" w:sz="8" w:color="0000EE"/>
            </w:tcBorders>
            <w:gridSpan w:val="14"/>
          </w:tcPr>
          <w:p>
            <w:pPr>
              <w:spacing w:after="0" w:line="161" w:lineRule="exact"/>
              <w:rPr>
                <w:sz w:val="20"/>
                <w:szCs w:val="20"/>
                <w:color w:val="auto"/>
              </w:rPr>
            </w:pPr>
            <w:r>
              <w:rPr>
                <w:rFonts w:ascii="Arial" w:cs="Arial" w:eastAsia="Arial" w:hAnsi="Arial"/>
                <w:sz w:val="16"/>
                <w:szCs w:val="16"/>
                <w:color w:val="0000EE"/>
              </w:rPr>
              <w:t>Form 10-K Summary</w:t>
            </w:r>
          </w:p>
        </w:tc>
        <w:tc>
          <w:tcPr>
            <w:tcW w:w="240" w:type="dxa"/>
            <w:vAlign w:val="bottom"/>
          </w:tcPr>
          <w:p>
            <w:pPr>
              <w:spacing w:after="0"/>
              <w:rPr>
                <w:sz w:val="14"/>
                <w:szCs w:val="14"/>
                <w:color w:val="auto"/>
              </w:rPr>
            </w:pPr>
          </w:p>
        </w:tc>
        <w:tc>
          <w:tcPr>
            <w:tcW w:w="4320" w:type="dxa"/>
            <w:vAlign w:val="bottom"/>
            <w:gridSpan w:val="16"/>
          </w:tcPr>
          <w:p>
            <w:pPr>
              <w:spacing w:after="0"/>
              <w:rPr>
                <w:sz w:val="14"/>
                <w:szCs w:val="14"/>
                <w:color w:val="auto"/>
              </w:rPr>
            </w:pP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4320" w:type="dxa"/>
            <w:vAlign w:val="bottom"/>
            <w:gridSpan w:val="1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40" w:type="dxa"/>
            <w:vAlign w:val="bottom"/>
            <w:gridSpan w:val="32"/>
          </w:tcPr>
          <w:p>
            <w:pPr>
              <w:spacing w:after="0"/>
              <w:rPr>
                <w:sz w:val="20"/>
                <w:szCs w:val="20"/>
                <w:color w:val="auto"/>
              </w:rPr>
            </w:pPr>
            <w:r>
              <w:rPr>
                <w:rFonts w:ascii="Arial" w:cs="Arial" w:eastAsia="Arial" w:hAnsi="Arial"/>
                <w:sz w:val="16"/>
                <w:szCs w:val="16"/>
                <w:color w:val="0000EE"/>
              </w:rPr>
              <w:t>Signatures</w:t>
            </w:r>
          </w:p>
        </w:tc>
        <w:tc>
          <w:tcPr>
            <w:tcW w:w="50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top w:val="single" w:sz="8" w:color="0000EE"/>
            </w:tcBorders>
            <w:gridSpan w:val="5"/>
          </w:tcPr>
          <w:p>
            <w:pPr>
              <w:spacing w:after="0" w:line="161" w:lineRule="exact"/>
              <w:rPr>
                <w:sz w:val="20"/>
                <w:szCs w:val="20"/>
                <w:color w:val="auto"/>
              </w:rPr>
            </w:pPr>
            <w:r>
              <w:rPr>
                <w:rFonts w:ascii="Arial" w:cs="Arial" w:eastAsia="Arial" w:hAnsi="Arial"/>
                <w:sz w:val="16"/>
                <w:szCs w:val="16"/>
                <w:color w:val="0000EE"/>
              </w:rPr>
              <w:t>Index to</w:t>
            </w:r>
          </w:p>
        </w:tc>
        <w:tc>
          <w:tcPr>
            <w:tcW w:w="6640" w:type="dxa"/>
            <w:vAlign w:val="bottom"/>
            <w:gridSpan w:val="27"/>
          </w:tcPr>
          <w:p>
            <w:pPr>
              <w:spacing w:after="0" w:line="161" w:lineRule="exact"/>
              <w:rPr>
                <w:sz w:val="20"/>
                <w:szCs w:val="20"/>
                <w:color w:val="auto"/>
              </w:rPr>
            </w:pPr>
            <w:r>
              <w:rPr>
                <w:rFonts w:ascii="Arial" w:cs="Arial" w:eastAsia="Arial" w:hAnsi="Arial"/>
                <w:sz w:val="16"/>
                <w:szCs w:val="16"/>
                <w:color w:val="0000EE"/>
              </w:rPr>
              <w:t>Consolidated Financial Statements</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710"/>
        </w:trPr>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4"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DISCLOSURE REGARDING FORWARD-LOOKING STATEMENTS</w:t>
      </w:r>
    </w:p>
    <w:p>
      <w:pPr>
        <w:spacing w:after="0" w:line="179"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Unless otherwise required by the context, in this report, the words “EchoStar,” the “Company,” “we,” “our” and “us” refer to EchoStar Corporation and its subsidiaries, “DISH Network” refers to DISH Network Corporation, our wholly owned subsidiary, and its subsidiaries, and “DISH DBS” refers to DISH DBS Corporation, a wholly-owned, indirect subsidiary of DISH Network, and its subsidiaries.</w:t>
      </w:r>
    </w:p>
    <w:p>
      <w:pPr>
        <w:spacing w:after="0" w:line="144"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Annual Report on Form 10-K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RISK FACTORS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Competition and Economic Risks</w:t>
      </w:r>
    </w:p>
    <w:p>
      <w:pPr>
        <w:spacing w:after="0" w:line="179" w:lineRule="exact"/>
        <w:rPr>
          <w:sz w:val="20"/>
          <w:szCs w:val="20"/>
          <w:color w:val="auto"/>
        </w:rPr>
      </w:pPr>
    </w:p>
    <w:p>
      <w:pPr>
        <w:ind w:left="640" w:right="159" w:hanging="284"/>
        <w:spacing w:after="0" w:line="249" w:lineRule="auto"/>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p>
      <w:pPr>
        <w:spacing w:after="0" w:line="143" w:lineRule="exact"/>
        <w:rPr>
          <w:rFonts w:ascii="Times New Roman" w:cs="Times New Roman" w:eastAsia="Times New Roman" w:hAnsi="Times New Roman"/>
          <w:sz w:val="16"/>
          <w:szCs w:val="16"/>
          <w:color w:val="auto"/>
        </w:rPr>
      </w:pPr>
    </w:p>
    <w:p>
      <w:pPr>
        <w:ind w:left="640" w:right="239" w:hanging="284"/>
        <w:spacing w:after="0" w:line="275" w:lineRule="auto"/>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We face certain risks competing in the wireless services industry and operating a facilities-based wireless services business.</w:t>
      </w:r>
    </w:p>
    <w:p>
      <w:pPr>
        <w:spacing w:after="0" w:line="122" w:lineRule="exact"/>
        <w:rPr>
          <w:rFonts w:ascii="Times New Roman" w:cs="Times New Roman" w:eastAsia="Times New Roman" w:hAnsi="Times New Roman"/>
          <w:sz w:val="16"/>
          <w:szCs w:val="16"/>
          <w:color w:val="auto"/>
        </w:rPr>
      </w:pPr>
    </w:p>
    <w:p>
      <w:pPr>
        <w:ind w:left="640" w:right="179" w:hanging="284"/>
        <w:spacing w:after="0" w:line="275" w:lineRule="auto"/>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pay-TV competitors may be able to leverage their relationships with programmers to reduce their programming costs and/or offer exclusive content that will place them at a competitive advantage to us.</w:t>
      </w:r>
    </w:p>
    <w:p>
      <w:pPr>
        <w:spacing w:after="0" w:line="122" w:lineRule="exact"/>
        <w:rPr>
          <w:rFonts w:ascii="Times New Roman" w:cs="Times New Roman" w:eastAsia="Times New Roman" w:hAnsi="Times New Roman"/>
          <w:sz w:val="16"/>
          <w:szCs w:val="16"/>
          <w:color w:val="auto"/>
        </w:rPr>
      </w:pPr>
    </w:p>
    <w:p>
      <w:pPr>
        <w:ind w:left="640" w:right="99" w:hanging="284"/>
        <w:spacing w:after="0" w:line="246" w:lineRule="auto"/>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Through the MNSA and the NSA, we depend in part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145" w:lineRule="exact"/>
        <w:rPr>
          <w:rFonts w:ascii="Times New Roman" w:cs="Times New Roman" w:eastAsia="Times New Roman" w:hAnsi="Times New Roman"/>
          <w:sz w:val="16"/>
          <w:szCs w:val="16"/>
          <w:color w:val="auto"/>
        </w:rPr>
      </w:pPr>
    </w:p>
    <w:p>
      <w:pPr>
        <w:ind w:left="640" w:right="159" w:hanging="284"/>
        <w:spacing w:after="0" w:line="255" w:lineRule="auto"/>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We compete with the MNOs whose networks we partially rely on to provide wireless services to our customers, and they may seek to limit, reduce or terminate our network access to the extent that it becomes competitively advantageous to do so.</w:t>
      </w:r>
    </w:p>
    <w:p>
      <w:pPr>
        <w:spacing w:after="0" w:line="138" w:lineRule="exact"/>
        <w:rPr>
          <w:rFonts w:ascii="Times New Roman" w:cs="Times New Roman" w:eastAsia="Times New Roman" w:hAnsi="Times New Roman"/>
          <w:sz w:val="16"/>
          <w:szCs w:val="16"/>
          <w:color w:val="auto"/>
        </w:rPr>
      </w:pPr>
    </w:p>
    <w:p>
      <w:pPr>
        <w:ind w:left="640" w:right="199" w:hanging="284"/>
        <w:spacing w:after="0" w:line="275" w:lineRule="auto"/>
        <w:tabs>
          <w:tab w:leader="none" w:pos="6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take advantage of technological developments on a timely basis, or at all, we may experience a decline in demand for our services or face challenges in implementing or evolving our business strategy.</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323850</wp:posOffset>
            </wp:positionV>
            <wp:extent cx="5671185"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Operational and Service Delivery Risks</w:t>
      </w:r>
    </w:p>
    <w:p>
      <w:pPr>
        <w:spacing w:after="0" w:line="179" w:lineRule="exact"/>
        <w:rPr>
          <w:sz w:val="20"/>
          <w:szCs w:val="20"/>
          <w:color w:val="auto"/>
        </w:rPr>
      </w:pPr>
    </w:p>
    <w:p>
      <w:pPr>
        <w:ind w:left="640" w:right="239" w:hanging="284"/>
        <w:spacing w:after="0" w:line="275" w:lineRule="auto"/>
        <w:tabs>
          <w:tab w:leader="none" w:pos="6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Any deterioration in our operational performance, subscriber activations and churn rate and subscriber satisfaction could adversely affect our business, financial condition and results of operations.</w:t>
      </w:r>
    </w:p>
    <w:p>
      <w:pPr>
        <w:spacing w:after="0" w:line="122" w:lineRule="exact"/>
        <w:rPr>
          <w:rFonts w:ascii="Times New Roman" w:cs="Times New Roman" w:eastAsia="Times New Roman" w:hAnsi="Times New Roman"/>
          <w:sz w:val="16"/>
          <w:szCs w:val="16"/>
          <w:color w:val="auto"/>
        </w:rPr>
      </w:pPr>
    </w:p>
    <w:p>
      <w:pPr>
        <w:ind w:left="640" w:right="139" w:hanging="284"/>
        <w:spacing w:after="0" w:line="255" w:lineRule="auto"/>
        <w:tabs>
          <w:tab w:leader="none" w:pos="6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38" w:lineRule="exact"/>
        <w:rPr>
          <w:rFonts w:ascii="Times New Roman" w:cs="Times New Roman" w:eastAsia="Times New Roman" w:hAnsi="Times New Roman"/>
          <w:sz w:val="16"/>
          <w:szCs w:val="16"/>
          <w:color w:val="auto"/>
        </w:rPr>
      </w:pPr>
    </w:p>
    <w:p>
      <w:pPr>
        <w:ind w:left="640" w:right="199" w:hanging="284"/>
        <w:spacing w:after="0" w:line="275" w:lineRule="auto"/>
        <w:tabs>
          <w:tab w:leader="none" w:pos="6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22" w:lineRule="exact"/>
        <w:rPr>
          <w:rFonts w:ascii="Times New Roman" w:cs="Times New Roman" w:eastAsia="Times New Roman" w:hAnsi="Times New Roman"/>
          <w:sz w:val="16"/>
          <w:szCs w:val="16"/>
          <w:color w:val="auto"/>
        </w:rPr>
      </w:pPr>
    </w:p>
    <w:p>
      <w:pPr>
        <w:jc w:val="both"/>
        <w:ind w:left="640" w:right="139" w:hanging="284"/>
        <w:spacing w:after="0" w:line="255" w:lineRule="auto"/>
        <w:tabs>
          <w:tab w:leader="none" w:pos="6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38" w:lineRule="exact"/>
        <w:rPr>
          <w:rFonts w:ascii="Times New Roman" w:cs="Times New Roman" w:eastAsia="Times New Roman" w:hAnsi="Times New Roman"/>
          <w:sz w:val="16"/>
          <w:szCs w:val="16"/>
          <w:color w:val="auto"/>
        </w:rPr>
      </w:pPr>
    </w:p>
    <w:p>
      <w:pPr>
        <w:ind w:left="640" w:right="159" w:hanging="284"/>
        <w:spacing w:after="0" w:line="275" w:lineRule="auto"/>
        <w:tabs>
          <w:tab w:leader="none" w:pos="6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22" w:lineRule="exact"/>
        <w:rPr>
          <w:rFonts w:ascii="Times New Roman" w:cs="Times New Roman" w:eastAsia="Times New Roman" w:hAnsi="Times New Roman"/>
          <w:sz w:val="16"/>
          <w:szCs w:val="16"/>
          <w:color w:val="auto"/>
        </w:rPr>
      </w:pPr>
    </w:p>
    <w:p>
      <w:pPr>
        <w:ind w:left="640" w:right="199" w:hanging="284"/>
        <w:spacing w:after="0" w:line="275" w:lineRule="auto"/>
        <w:tabs>
          <w:tab w:leader="none" w:pos="6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We depend on independent third parties to solicit orders for our services that represent a meaningful percentage of our total gross new subscriber activations.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Human Capital</w:t>
      </w:r>
    </w:p>
    <w:p>
      <w:pPr>
        <w:spacing w:after="0" w:line="179" w:lineRule="exact"/>
        <w:rPr>
          <w:sz w:val="20"/>
          <w:szCs w:val="20"/>
          <w:color w:val="auto"/>
        </w:rPr>
      </w:pPr>
    </w:p>
    <w:p>
      <w:pPr>
        <w:ind w:left="640" w:right="459" w:hanging="284"/>
        <w:spacing w:after="0" w:line="275" w:lineRule="auto"/>
        <w:tabs>
          <w:tab w:leader="none" w:pos="6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We rely on highly skilled personnel for our business, and any inability to hire and retain key personnel or to hire qualified personnel may negatively affect our business, financial condition and results of operations.</w:t>
      </w:r>
    </w:p>
    <w:p>
      <w:pPr>
        <w:spacing w:after="0" w:line="122"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growth and customer retention strategies rely in part on the work of technically skilled employees.</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Products and Technology</w:t>
      </w:r>
    </w:p>
    <w:p>
      <w:pPr>
        <w:spacing w:after="0" w:line="179" w:lineRule="exact"/>
        <w:rPr>
          <w:sz w:val="20"/>
          <w:szCs w:val="20"/>
          <w:color w:val="auto"/>
        </w:rPr>
      </w:pPr>
    </w:p>
    <w:p>
      <w:pPr>
        <w:ind w:left="640" w:right="279" w:hanging="284"/>
        <w:spacing w:after="0" w:line="275" w:lineRule="auto"/>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depends on certain intellectual property rights and on not infringing the intellectual property rights of others.</w:t>
      </w:r>
    </w:p>
    <w:p>
      <w:pPr>
        <w:spacing w:after="0" w:line="122" w:lineRule="exact"/>
        <w:rPr>
          <w:rFonts w:ascii="Times New Roman" w:cs="Times New Roman" w:eastAsia="Times New Roman" w:hAnsi="Times New Roman"/>
          <w:sz w:val="16"/>
          <w:szCs w:val="16"/>
          <w:color w:val="auto"/>
        </w:rPr>
      </w:pPr>
    </w:p>
    <w:p>
      <w:pPr>
        <w:ind w:left="640" w:right="359" w:hanging="284"/>
        <w:spacing w:after="0" w:line="275" w:lineRule="auto"/>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We are, and may become, party to various lawsuits which, if adversely decided, could have a significant adverse impact on our business, particularly lawsuits regarding intellectual property.</w:t>
      </w:r>
    </w:p>
    <w:p>
      <w:pPr>
        <w:spacing w:after="0" w:line="122" w:lineRule="exact"/>
        <w:rPr>
          <w:rFonts w:ascii="Times New Roman" w:cs="Times New Roman" w:eastAsia="Times New Roman" w:hAnsi="Times New Roman"/>
          <w:sz w:val="16"/>
          <w:szCs w:val="16"/>
          <w:color w:val="auto"/>
        </w:rPr>
      </w:pPr>
    </w:p>
    <w:p>
      <w:pPr>
        <w:ind w:left="640" w:right="179" w:hanging="284"/>
        <w:spacing w:after="0" w:line="275" w:lineRule="auto"/>
        <w:tabs>
          <w:tab w:leader="none" w:pos="6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If our products contain defects, we could be subject to significant costs to correct such defects and our product and network service contracts could be delayed or cancelled, which could adversely affect our revenue.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Cybersecurity</w:t>
      </w:r>
    </w:p>
    <w:p>
      <w:pPr>
        <w:spacing w:after="0" w:line="179" w:lineRule="exact"/>
        <w:rPr>
          <w:sz w:val="20"/>
          <w:szCs w:val="20"/>
          <w:color w:val="auto"/>
        </w:rPr>
      </w:pPr>
    </w:p>
    <w:p>
      <w:pPr>
        <w:ind w:left="640" w:right="159" w:hanging="284"/>
        <w:spacing w:after="0" w:line="255" w:lineRule="auto"/>
        <w:tabs>
          <w:tab w:leader="none" w:pos="6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138" w:lineRule="exact"/>
        <w:rPr>
          <w:rFonts w:ascii="Times New Roman" w:cs="Times New Roman" w:eastAsia="Times New Roman" w:hAnsi="Times New Roman"/>
          <w:sz w:val="16"/>
          <w:szCs w:val="16"/>
          <w:color w:val="auto"/>
        </w:rPr>
      </w:pPr>
    </w:p>
    <w:p>
      <w:pPr>
        <w:ind w:left="640" w:right="139" w:hanging="284"/>
        <w:spacing w:after="0" w:line="275" w:lineRule="auto"/>
        <w:tabs>
          <w:tab w:leader="none" w:pos="64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confidentiality, integrity and availability of our services and products depends on the continuing operation of our information technology and other enabling systems.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323850</wp:posOffset>
            </wp:positionV>
            <wp:extent cx="567118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Acquisition and Capital Structure Risks</w:t>
      </w:r>
    </w:p>
    <w:p>
      <w:pPr>
        <w:spacing w:after="0" w:line="179" w:lineRule="exact"/>
        <w:rPr>
          <w:sz w:val="20"/>
          <w:szCs w:val="20"/>
          <w:color w:val="auto"/>
        </w:rPr>
      </w:pPr>
    </w:p>
    <w:p>
      <w:pPr>
        <w:ind w:left="640" w:right="139" w:hanging="284"/>
        <w:spacing w:after="0" w:line="275" w:lineRule="auto"/>
        <w:tabs>
          <w:tab w:leader="none" w:pos="6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have substantial debt outstanding and may incur additional debt and covenants in our Indentures could limit our ability to undertake certain types of activities and adversely affect our liquidity.</w:t>
      </w:r>
    </w:p>
    <w:p>
      <w:pPr>
        <w:spacing w:after="0" w:line="122" w:lineRule="exact"/>
        <w:rPr>
          <w:rFonts w:ascii="Times New Roman" w:cs="Times New Roman" w:eastAsia="Times New Roman" w:hAnsi="Times New Roman"/>
          <w:sz w:val="16"/>
          <w:szCs w:val="16"/>
          <w:color w:val="auto"/>
        </w:rPr>
      </w:pPr>
    </w:p>
    <w:p>
      <w:pPr>
        <w:ind w:left="640" w:right="119" w:hanging="284"/>
        <w:spacing w:after="0" w:line="255" w:lineRule="auto"/>
        <w:tabs>
          <w:tab w:leader="none" w:pos="6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38" w:lineRule="exact"/>
        <w:rPr>
          <w:rFonts w:ascii="Times New Roman" w:cs="Times New Roman" w:eastAsia="Times New Roman" w:hAnsi="Times New Roman"/>
          <w:sz w:val="16"/>
          <w:szCs w:val="16"/>
          <w:color w:val="auto"/>
        </w:rPr>
      </w:pPr>
    </w:p>
    <w:p>
      <w:pPr>
        <w:ind w:left="640" w:right="199" w:hanging="284"/>
        <w:spacing w:after="0" w:line="275" w:lineRule="auto"/>
        <w:tabs>
          <w:tab w:leader="none" w:pos="6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have made substantial investments to acquire certain wireless spectrum licenses and other related assets, and may be unable to realize a return on these assets.</w:t>
      </w:r>
    </w:p>
    <w:p>
      <w:pPr>
        <w:spacing w:after="0" w:line="122" w:lineRule="exact"/>
        <w:rPr>
          <w:rFonts w:ascii="Times New Roman" w:cs="Times New Roman" w:eastAsia="Times New Roman" w:hAnsi="Times New Roman"/>
          <w:sz w:val="16"/>
          <w:szCs w:val="16"/>
          <w:color w:val="auto"/>
        </w:rPr>
      </w:pPr>
    </w:p>
    <w:p>
      <w:pPr>
        <w:ind w:left="640" w:right="159" w:hanging="284"/>
        <w:spacing w:after="0" w:line="275" w:lineRule="auto"/>
        <w:tabs>
          <w:tab w:leader="none" w:pos="6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may need additional capital, which may not be available on favorable terms or at all, to fund current obligations, to continue investing in our business and to finance acquisitions and other strategic transactions.</w:t>
      </w:r>
    </w:p>
    <w:p>
      <w:pPr>
        <w:spacing w:after="0" w:line="122"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We are controlled by one principal stockholder who is our Chairman.</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the Regulation of Our Business</w:t>
      </w:r>
    </w:p>
    <w:p>
      <w:pPr>
        <w:spacing w:after="0" w:line="179" w:lineRule="exact"/>
        <w:rPr>
          <w:sz w:val="20"/>
          <w:szCs w:val="20"/>
          <w:color w:val="auto"/>
        </w:rPr>
      </w:pPr>
    </w:p>
    <w:p>
      <w:pPr>
        <w:ind w:left="640" w:right="239" w:hanging="284"/>
        <w:spacing w:after="0" w:line="275" w:lineRule="auto"/>
        <w:tabs>
          <w:tab w:leader="none" w:pos="64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Our services depend on FCC licenses that can expire or be revoked or modified and applications for FCC licenses that may not be granted.</w:t>
      </w:r>
    </w:p>
    <w:p>
      <w:pPr>
        <w:spacing w:after="0" w:line="122" w:lineRule="exact"/>
        <w:rPr>
          <w:sz w:val="20"/>
          <w:szCs w:val="20"/>
          <w:color w:val="auto"/>
        </w:rPr>
      </w:pPr>
    </w:p>
    <w:p>
      <w:pPr>
        <w:ind w:left="40" w:right="199"/>
        <w:spacing w:after="0" w:line="243" w:lineRule="auto"/>
        <w:rPr>
          <w:sz w:val="20"/>
          <w:szCs w:val="20"/>
          <w:color w:val="auto"/>
        </w:rPr>
      </w:pPr>
      <w:r>
        <w:rPr>
          <w:rFonts w:ascii="Arial" w:cs="Arial" w:eastAsia="Arial" w:hAnsi="Arial"/>
          <w:sz w:val="16"/>
          <w:szCs w:val="16"/>
          <w:color w:val="auto"/>
        </w:rPr>
        <w:t>Other factors that could cause or contribute to such differences include, but are not limited to, those discussed under the caption “Risk Factors” in Part I, Item 1A in this Annual Report on Form 10-K, those discussed in “Management’s Discussion and Analysis of Financial Condition and Results of Operations” herein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323850</wp:posOffset>
            </wp:positionV>
            <wp:extent cx="5671185"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191"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OVERVIEW</w:t>
      </w:r>
    </w:p>
    <w:p>
      <w:pPr>
        <w:spacing w:after="0" w:line="179"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EchoStar Corporation is a holding company that was organized in October 2007 as a corporation under the laws of the State of Nevada. EchoStar Corporation together with its subsidiaries are referred to as “EchoStar,” the “Company,” “we,” “us” and/or “our,” unless otherwise required by the context. Our Class A common stock is publicly traded on the NASDAQ Global Select Market (“NASDAQ”) under the symbol “SATS.” Our principal executive offices are located at 9601 South Meridian Boulevard, Englewood, Colorado 80112 and our telephone number is (303) 723- 1000.</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Merger with DISH Network</w:t>
      </w:r>
    </w:p>
    <w:p>
      <w:pPr>
        <w:spacing w:after="0" w:line="177" w:lineRule="exact"/>
        <w:rPr>
          <w:sz w:val="20"/>
          <w:szCs w:val="20"/>
          <w:color w:val="auto"/>
        </w:rPr>
      </w:pPr>
    </w:p>
    <w:p>
      <w:pPr>
        <w:ind w:left="40" w:right="159" w:hanging="6"/>
        <w:spacing w:after="0" w:line="244" w:lineRule="auto"/>
        <w:rPr>
          <w:sz w:val="20"/>
          <w:szCs w:val="20"/>
          <w:color w:val="auto"/>
        </w:rPr>
      </w:pPr>
      <w:r>
        <w:rPr>
          <w:rFonts w:ascii="Arial" w:cs="Arial" w:eastAsia="Arial" w:hAnsi="Arial"/>
          <w:sz w:val="16"/>
          <w:szCs w:val="16"/>
          <w:color w:val="auto"/>
        </w:rPr>
        <w:t>On December 31, 2023, we completed the acquisition of DISH Network pursuant to the Amended and Restated Agreement and Plan of Merger, dated as of October 2, 2023 (the “Amended Merger Agreement”), by and among us, EAV Corp., a Nevada corporation and our wholly owned subsidiary (“Merger Sub”), and DISH Network, pursuant to which we acquired DISH Network by means of the merger of Merger Sub with and into DISH Network (the “Merger”), with DISH Network surviving the Merger as our wholly owned subsidiary. For further information, refer to the Consolidated Financial Statements and notes thereto included in our Annual Report on Form 10-K for the year ended December 31, 2023.</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Developments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202429"/>
        </w:rPr>
        <w:t>DIRECTV Transaction</w:t>
      </w:r>
    </w:p>
    <w:p>
      <w:pPr>
        <w:spacing w:after="0" w:line="177" w:lineRule="exact"/>
        <w:rPr>
          <w:sz w:val="20"/>
          <w:szCs w:val="20"/>
          <w:color w:val="auto"/>
        </w:rPr>
      </w:pPr>
    </w:p>
    <w:p>
      <w:pPr>
        <w:ind w:left="40" w:right="259"/>
        <w:spacing w:after="0" w:line="249" w:lineRule="auto"/>
        <w:rPr>
          <w:sz w:val="20"/>
          <w:szCs w:val="20"/>
          <w:color w:val="auto"/>
        </w:rPr>
      </w:pPr>
      <w:r>
        <w:rPr>
          <w:rFonts w:ascii="Arial" w:cs="Arial" w:eastAsia="Arial" w:hAnsi="Arial"/>
          <w:sz w:val="16"/>
          <w:szCs w:val="16"/>
          <w:color w:val="auto"/>
        </w:rPr>
        <w:t>On September 29, 2024, we and DIRECTV Holdings, LLC (“DTV”), entered into an Equity Purchase Agreement (the “Purchase Agreement”). Pursuant to the terms and subject to the conditions set forth in the Purchase Agreement, DTV agreed to acquire from us all of the issued and outstanding equity interests of DISH DBS Corporation (“DISH DBS”), which operates our Pay-TV business.</w:t>
      </w:r>
    </w:p>
    <w:p>
      <w:pPr>
        <w:spacing w:after="0" w:line="144" w:lineRule="exact"/>
        <w:rPr>
          <w:sz w:val="20"/>
          <w:szCs w:val="20"/>
          <w:color w:val="auto"/>
        </w:rPr>
      </w:pPr>
    </w:p>
    <w:p>
      <w:pPr>
        <w:ind w:left="40" w:right="359"/>
        <w:spacing w:after="0" w:line="276" w:lineRule="auto"/>
        <w:rPr>
          <w:sz w:val="20"/>
          <w:szCs w:val="20"/>
          <w:color w:val="auto"/>
        </w:rPr>
      </w:pPr>
      <w:r>
        <w:rPr>
          <w:rFonts w:ascii="Arial" w:cs="Arial" w:eastAsia="Arial" w:hAnsi="Arial"/>
          <w:sz w:val="16"/>
          <w:szCs w:val="16"/>
          <w:color w:val="auto"/>
        </w:rPr>
        <w:t>Following written notice from DTV received on November 20, 2024, DTV terminated the Purchase Agreement effective at 11:59 pm ET on November 22, 2024 pursuant to Section 7.01(a)(iv) of the Purchase Agreement because the DISH DBS Exchange Offers (as defined in Note 10 in the Notes to our Consolidated Financial Statements in this Annual Report on Form 10-K) were not consummated by the Exchange Offer Settlement Date (as defined in the Purchase Agreement). No termination fee or other payment was due from either party to the other as a result of the termination of the Purchase Agreement.</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EchoStar Corporation is a holding company. Its subsidiaries currently operate three primary business segments: (1) Pay-TV;</w:t>
      </w:r>
    </w:p>
    <w:p>
      <w:pPr>
        <w:spacing w:after="0" w:line="14" w:lineRule="exact"/>
        <w:rPr>
          <w:sz w:val="20"/>
          <w:szCs w:val="20"/>
          <w:color w:val="auto"/>
        </w:rPr>
      </w:pPr>
    </w:p>
    <w:p>
      <w:pPr>
        <w:ind w:left="40" w:right="179" w:firstLine="2"/>
        <w:spacing w:after="0" w:line="245" w:lineRule="auto"/>
        <w:tabs>
          <w:tab w:leader="none" w:pos="2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Wireless; and (3) Broadband and Satellite Services. Historically, we reported four primary business segments: (1) Pay-TV; (2) Retail Wireless; (3) 5G Network Deployment; and (4) Broadband and Satellite Services. See Note 16 in the Notes to our Consolidated Financial Statements in this Annual Report on Form 10-K for further information.</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Pay-TV</w:t>
      </w:r>
    </w:p>
    <w:p>
      <w:pPr>
        <w:spacing w:after="0" w:line="169" w:lineRule="exact"/>
        <w:rPr>
          <w:sz w:val="20"/>
          <w:szCs w:val="20"/>
          <w:color w:val="auto"/>
        </w:rPr>
      </w:pPr>
    </w:p>
    <w:p>
      <w:pPr>
        <w:ind w:left="40" w:right="139" w:hanging="6"/>
        <w:spacing w:after="0" w:line="224" w:lineRule="auto"/>
        <w:rPr>
          <w:sz w:val="20"/>
          <w:szCs w:val="20"/>
          <w:color w:val="auto"/>
        </w:rPr>
      </w:pPr>
      <w:r>
        <w:rPr>
          <w:rFonts w:ascii="Arial" w:cs="Arial" w:eastAsia="Arial" w:hAnsi="Arial"/>
          <w:sz w:val="16"/>
          <w:szCs w:val="16"/>
          <w:color w:val="auto"/>
        </w:rPr>
        <w:t>We offer pay-TV services under the DISH</w:t>
      </w:r>
      <w:r>
        <w:rPr>
          <w:rFonts w:ascii="Arial" w:cs="Arial" w:eastAsia="Arial" w:hAnsi="Arial"/>
          <w:sz w:val="24"/>
          <w:szCs w:val="24"/>
          <w:color w:val="auto"/>
          <w:vertAlign w:val="superscript"/>
        </w:rPr>
        <w:t>®</w:t>
      </w:r>
      <w:r>
        <w:rPr>
          <w:rFonts w:ascii="Arial" w:cs="Arial" w:eastAsia="Arial" w:hAnsi="Arial"/>
          <w:sz w:val="16"/>
          <w:szCs w:val="16"/>
          <w:color w:val="auto"/>
        </w:rPr>
        <w:t xml:space="preserve"> brand and the SLING</w:t>
      </w:r>
      <w:r>
        <w:rPr>
          <w:rFonts w:ascii="Arial" w:cs="Arial" w:eastAsia="Arial" w:hAnsi="Arial"/>
          <w:sz w:val="24"/>
          <w:szCs w:val="24"/>
          <w:color w:val="auto"/>
          <w:vertAlign w:val="superscript"/>
        </w:rPr>
        <w:t>®</w:t>
      </w:r>
      <w:r>
        <w:rPr>
          <w:rFonts w:ascii="Arial" w:cs="Arial" w:eastAsia="Arial" w:hAnsi="Arial"/>
          <w:sz w:val="16"/>
          <w:szCs w:val="16"/>
          <w:color w:val="auto"/>
        </w:rPr>
        <w:t xml:space="preserve">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692785</wp:posOffset>
            </wp:positionV>
            <wp:extent cx="5671185"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59" w:hanging="6"/>
        <w:spacing w:after="0" w:line="244" w:lineRule="auto"/>
        <w:rPr>
          <w:sz w:val="20"/>
          <w:szCs w:val="20"/>
          <w:color w:val="auto"/>
        </w:rPr>
      </w:pPr>
      <w:r>
        <w:rPr>
          <w:rFonts w:ascii="Arial" w:cs="Arial" w:eastAsia="Arial" w:hAnsi="Arial"/>
          <w:sz w:val="16"/>
          <w:szCs w:val="16"/>
          <w:color w:val="auto"/>
        </w:rPr>
        <w:t>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December 31, 2024, we had 7.778 million Pay-TV subscribers in the United States, including 5.686 million DISH TV subscribers and 2.092 million SLING TV subscribers.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Wireless</w:t>
      </w:r>
    </w:p>
    <w:p>
      <w:pPr>
        <w:spacing w:after="0" w:line="177" w:lineRule="exact"/>
        <w:rPr>
          <w:sz w:val="20"/>
          <w:szCs w:val="20"/>
          <w:color w:val="auto"/>
        </w:rPr>
      </w:pPr>
    </w:p>
    <w:p>
      <w:pPr>
        <w:jc w:val="both"/>
        <w:ind w:left="40" w:right="139"/>
        <w:spacing w:after="0" w:line="256" w:lineRule="auto"/>
        <w:rPr>
          <w:sz w:val="20"/>
          <w:szCs w:val="20"/>
          <w:color w:val="auto"/>
        </w:rPr>
      </w:pPr>
      <w:r>
        <w:rPr>
          <w:rFonts w:ascii="Arial" w:cs="Arial" w:eastAsia="Arial" w:hAnsi="Arial"/>
          <w:sz w:val="16"/>
          <w:szCs w:val="16"/>
          <w:color w:val="auto"/>
        </w:rPr>
        <w:t>Our Wireless segment provides wireless communication services (“Wireless” services) and products. We currently offer our Wireless services for 5G voice over new radio (“VoNR”) to over 220 million Americans and for 5G broadband service to over 268 million Americans, as well as a competitive portfolio of wireless devices.</w:t>
      </w:r>
    </w:p>
    <w:p>
      <w:pPr>
        <w:spacing w:after="0" w:line="137" w:lineRule="exact"/>
        <w:rPr>
          <w:sz w:val="20"/>
          <w:szCs w:val="20"/>
          <w:color w:val="auto"/>
        </w:rPr>
      </w:pPr>
    </w:p>
    <w:p>
      <w:pPr>
        <w:ind w:left="40" w:right="139" w:hanging="6"/>
        <w:spacing w:after="0" w:line="249" w:lineRule="auto"/>
        <w:rPr>
          <w:sz w:val="20"/>
          <w:szCs w:val="20"/>
          <w:color w:val="auto"/>
        </w:rPr>
      </w:pPr>
      <w:r>
        <w:rPr>
          <w:rFonts w:ascii="Arial" w:cs="Arial" w:eastAsia="Arial" w:hAnsi="Arial"/>
          <w:sz w:val="16"/>
          <w:szCs w:val="16"/>
          <w:color w:val="auto"/>
        </w:rPr>
        <w:t>We offer nationwide Wireless services to subscribers primarily under our Boost Mobile® and Gen Mobile® brands. Prepaid Wireless subscribers generally pay in advance for monthly access to wireless talk, text and data services. Postpaid Wireless subscribers are qualified to pay after receiving wireless talk, text and data services, and may also qualify for certain device financing arrangements.</w:t>
      </w:r>
    </w:p>
    <w:p>
      <w:pPr>
        <w:spacing w:after="0" w:line="144" w:lineRule="exact"/>
        <w:rPr>
          <w:sz w:val="20"/>
          <w:szCs w:val="20"/>
          <w:color w:val="auto"/>
        </w:rPr>
      </w:pPr>
    </w:p>
    <w:p>
      <w:pPr>
        <w:ind w:left="40" w:right="59" w:hanging="6"/>
        <w:spacing w:after="0" w:line="241" w:lineRule="auto"/>
        <w:rPr>
          <w:sz w:val="20"/>
          <w:szCs w:val="20"/>
          <w:color w:val="auto"/>
        </w:rPr>
      </w:pPr>
      <w:r>
        <w:rPr>
          <w:rFonts w:ascii="Arial" w:cs="Arial" w:eastAsia="Arial" w:hAnsi="Arial"/>
          <w:sz w:val="16"/>
          <w:szCs w:val="16"/>
          <w:color w:val="auto"/>
        </w:rPr>
        <w:t>We are currently operating primarily as a mobile virtual network operator (“MVNO”) as we continue our 5G Network Deployment and commercialize and grow customer traffic on our 5G Network. We are transitioning to a mobile network operator (“MNO”) as our 5G Network, defined below, has become commercially available and we grow customer traffic on our 5G Network. We are currently activating Boost Mobile subscribers with compatible devices onto our 5G Network in markets where we have reached VoNR. We currently offer a broad range of premium wireless devices on our 5G Network, including the Apple iPhone 15 and newer generation iPhones. We have deployed 5G VoNR covering over 220 million Americans. Within our MVNO operations, today we depend in part on T-Mobile and AT&amp;T to provide us with network services under the amended Master Network Services Agreement (“MNSA”) and Network Services Agreement (the “NSA”), respectively. As of December 31, 2024, we had 6.995 million Wireless subscribers.</w:t>
      </w:r>
    </w:p>
    <w:p>
      <w:pPr>
        <w:spacing w:after="0" w:line="152" w:lineRule="exact"/>
        <w:rPr>
          <w:sz w:val="20"/>
          <w:szCs w:val="20"/>
          <w:color w:val="auto"/>
        </w:rPr>
      </w:pPr>
    </w:p>
    <w:p>
      <w:pPr>
        <w:ind w:left="40" w:right="139"/>
        <w:spacing w:after="0" w:line="243" w:lineRule="auto"/>
        <w:rPr>
          <w:sz w:val="20"/>
          <w:szCs w:val="20"/>
          <w:color w:val="auto"/>
        </w:rPr>
      </w:pPr>
      <w:r>
        <w:rPr>
          <w:rFonts w:ascii="Arial" w:cs="Arial" w:eastAsia="Arial" w:hAnsi="Arial"/>
          <w:sz w:val="16"/>
          <w:szCs w:val="16"/>
          <w:color w:val="auto"/>
        </w:rPr>
        <w:t>We have invested a total of over $30 billion in Wireless spectrum licenses. The $30 billion of investments related to Wireless spectrum licenses does not include $10 billion of capitalized interest related to the carrying value of such licenses. See Note 2 and Note 15 in the Notes to our Consolidated Financial Statements in this Annual Report on Form 10-K for further information. We continue to commercialize our Wireless spectrum licenses through the completion of the nation’s first cloud-native, Open Radio Access Network (“O-RAN”) based 5G network (our “5G Network Deployment”). We have committed to the FCC to deploy a facilities-based 5G broadband network (our “5G Network”) capable of serving increasingly larger portions of the U.S. population at different deadlines.</w:t>
      </w:r>
    </w:p>
    <w:p>
      <w:pPr>
        <w:spacing w:after="0" w:line="148" w:lineRule="exact"/>
        <w:rPr>
          <w:sz w:val="20"/>
          <w:szCs w:val="20"/>
          <w:color w:val="auto"/>
        </w:rPr>
      </w:pPr>
    </w:p>
    <w:p>
      <w:pPr>
        <w:ind w:left="40" w:right="119" w:hanging="6"/>
        <w:spacing w:after="0" w:line="243" w:lineRule="auto"/>
        <w:rPr>
          <w:sz w:val="20"/>
          <w:szCs w:val="20"/>
          <w:color w:val="auto"/>
        </w:rPr>
      </w:pPr>
      <w:r>
        <w:rPr>
          <w:rFonts w:ascii="Arial" w:cs="Arial" w:eastAsia="Arial" w:hAnsi="Arial"/>
          <w:sz w:val="16"/>
          <w:szCs w:val="16"/>
          <w:color w:val="auto"/>
        </w:rPr>
        <w:t xml:space="preserve">Our Wireless spectrum licenses are subject to certain interim and final build-out requirements, as well as certain renewal requirements. On September 29, 2023, the FCC confirmed we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6"/>
          <w:szCs w:val="16"/>
          <w:color w:val="0A0A0A"/>
        </w:rPr>
        <w:t>We currently have</w:t>
      </w:r>
      <w:r>
        <w:rPr>
          <w:rFonts w:ascii="Arial" w:cs="Arial" w:eastAsia="Arial" w:hAnsi="Arial"/>
          <w:sz w:val="16"/>
          <w:szCs w:val="16"/>
          <w:color w:val="auto"/>
        </w:rPr>
        <w:t xml:space="preserve"> </w:t>
      </w:r>
      <w:r>
        <w:rPr>
          <w:rFonts w:ascii="Arial" w:cs="Arial" w:eastAsia="Arial" w:hAnsi="Arial"/>
          <w:sz w:val="16"/>
          <w:szCs w:val="16"/>
          <w:color w:val="0A0A0A"/>
        </w:rPr>
        <w:t xml:space="preserve">the largest commercial deployment of 5G VoNR in the world covering over 220 million Americans and </w:t>
      </w:r>
      <w:r>
        <w:rPr>
          <w:rFonts w:ascii="Arial" w:cs="Arial" w:eastAsia="Arial" w:hAnsi="Arial"/>
          <w:sz w:val="16"/>
          <w:szCs w:val="16"/>
          <w:color w:val="000000"/>
        </w:rPr>
        <w:t>5G broadband service</w:t>
      </w:r>
      <w:r>
        <w:rPr>
          <w:rFonts w:ascii="Arial" w:cs="Arial" w:eastAsia="Arial" w:hAnsi="Arial"/>
          <w:sz w:val="16"/>
          <w:szCs w:val="16"/>
          <w:color w:val="0A0A0A"/>
        </w:rPr>
        <w:t xml:space="preserve"> covering over 268 million Americans.</w:t>
      </w:r>
    </w:p>
    <w:p>
      <w:pPr>
        <w:spacing w:after="0" w:line="148" w:lineRule="exact"/>
        <w:rPr>
          <w:sz w:val="20"/>
          <w:szCs w:val="20"/>
          <w:color w:val="auto"/>
        </w:rPr>
      </w:pPr>
    </w:p>
    <w:p>
      <w:pPr>
        <w:ind w:left="40" w:right="379"/>
        <w:spacing w:after="0" w:line="244" w:lineRule="auto"/>
        <w:rPr>
          <w:sz w:val="20"/>
          <w:szCs w:val="20"/>
          <w:color w:val="auto"/>
        </w:rPr>
      </w:pPr>
      <w:r>
        <w:rPr>
          <w:rFonts w:ascii="Arial" w:cs="Arial" w:eastAsia="Arial" w:hAnsi="Arial"/>
          <w:sz w:val="16"/>
          <w:szCs w:val="16"/>
          <w:color w:val="0A0A0A"/>
        </w:rPr>
        <w:t xml:space="preserve">In September 2024, the FCC conditionally granted our requests to extend the 5G deployment deadlines for certain of our </w:t>
      </w:r>
      <w:r>
        <w:rPr>
          <w:rFonts w:ascii="Arial" w:cs="Arial" w:eastAsia="Arial" w:hAnsi="Arial"/>
          <w:sz w:val="16"/>
          <w:szCs w:val="16"/>
          <w:color w:val="000000"/>
        </w:rPr>
        <w:t xml:space="preserve">Wireless spectrum licenses </w:t>
      </w:r>
      <w:r>
        <w:rPr>
          <w:rFonts w:ascii="Arial" w:cs="Arial" w:eastAsia="Arial" w:hAnsi="Arial"/>
          <w:sz w:val="16"/>
          <w:szCs w:val="16"/>
          <w:color w:val="0A0A0A"/>
        </w:rPr>
        <w:t>based on several commitments and</w:t>
      </w:r>
      <w:r>
        <w:rPr>
          <w:rFonts w:ascii="Arial" w:cs="Arial" w:eastAsia="Arial" w:hAnsi="Arial"/>
          <w:sz w:val="16"/>
          <w:szCs w:val="16"/>
          <w:color w:val="000000"/>
        </w:rPr>
        <w:t xml:space="preserve"> </w:t>
      </w:r>
      <w:r>
        <w:rPr>
          <w:rFonts w:ascii="Arial" w:cs="Arial" w:eastAsia="Arial" w:hAnsi="Arial"/>
          <w:sz w:val="16"/>
          <w:szCs w:val="16"/>
          <w:color w:val="222222"/>
        </w:rPr>
        <w:t>in a January 10, 2025 filing to the FCC</w:t>
      </w:r>
      <w:r>
        <w:rPr>
          <w:rFonts w:ascii="Arial" w:cs="Arial" w:eastAsia="Arial" w:hAnsi="Arial"/>
          <w:sz w:val="16"/>
          <w:szCs w:val="16"/>
          <w:color w:val="0A0A0A"/>
        </w:rPr>
        <w:t>,</w:t>
      </w:r>
      <w:r>
        <w:rPr>
          <w:rFonts w:ascii="Arial" w:cs="Arial" w:eastAsia="Arial" w:hAnsi="Arial"/>
          <w:sz w:val="16"/>
          <w:szCs w:val="16"/>
          <w:color w:val="000000"/>
        </w:rPr>
        <w:t xml:space="preserve"> </w:t>
      </w:r>
      <w:r>
        <w:rPr>
          <w:rFonts w:ascii="Arial" w:cs="Arial" w:eastAsia="Arial" w:hAnsi="Arial"/>
          <w:sz w:val="16"/>
          <w:szCs w:val="16"/>
          <w:color w:val="222222"/>
        </w:rPr>
        <w:t>we certified to</w:t>
      </w:r>
      <w:r>
        <w:rPr>
          <w:rFonts w:ascii="Arial" w:cs="Arial" w:eastAsia="Arial" w:hAnsi="Arial"/>
          <w:sz w:val="16"/>
          <w:szCs w:val="16"/>
          <w:color w:val="000000"/>
        </w:rPr>
        <w:t xml:space="preserve"> </w:t>
      </w:r>
      <w:r>
        <w:rPr>
          <w:rFonts w:ascii="Arial" w:cs="Arial" w:eastAsia="Arial" w:hAnsi="Arial"/>
          <w:sz w:val="16"/>
          <w:szCs w:val="16"/>
          <w:color w:val="222222"/>
        </w:rPr>
        <w:t xml:space="preserve">meeting the accelerated buildout (Commitments #2 and #3 of the Extension Request) and the nationwide 80% coverage obligations (Commitment #1 of the Extension Request) </w:t>
      </w:r>
      <w:r>
        <w:rPr>
          <w:rFonts w:ascii="Arial" w:cs="Arial" w:eastAsia="Arial" w:hAnsi="Arial"/>
          <w:sz w:val="16"/>
          <w:szCs w:val="16"/>
          <w:color w:val="000000"/>
        </w:rPr>
        <w:t>due by December 31, 2024. Thus, pursuant to the Extension</w:t>
      </w:r>
      <w:r>
        <w:rPr>
          <w:rFonts w:ascii="Arial" w:cs="Arial" w:eastAsia="Arial" w:hAnsi="Arial"/>
          <w:sz w:val="16"/>
          <w:szCs w:val="16"/>
          <w:color w:val="222222"/>
        </w:rPr>
        <w:t xml:space="preserve"> </w:t>
      </w:r>
      <w:r>
        <w:rPr>
          <w:rFonts w:ascii="Arial" w:cs="Arial" w:eastAsia="Arial" w:hAnsi="Arial"/>
          <w:sz w:val="16"/>
          <w:szCs w:val="16"/>
          <w:color w:val="000000"/>
        </w:rPr>
        <w:t>Request, the final deployment deadlines for the licenses subject to the Extension Request (listed in Appendix G) shall be extended to December 14, 2026.</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40" w:right="179"/>
        <w:spacing w:after="0" w:line="256" w:lineRule="auto"/>
        <w:rPr>
          <w:sz w:val="20"/>
          <w:szCs w:val="20"/>
          <w:color w:val="auto"/>
        </w:rPr>
      </w:pPr>
      <w:r>
        <w:rPr>
          <w:rFonts w:ascii="Arial" w:cs="Arial" w:eastAsia="Arial" w:hAnsi="Arial"/>
          <w:sz w:val="16"/>
          <w:szCs w:val="16"/>
          <w:color w:val="auto"/>
        </w:rPr>
        <w:t xml:space="preserve">In addition, the final deployment deadlines for the licenses subject to the Extension Request (listed in Appendix G) shall be further extended to June 14, 2028 as long as we satisfy the remaining Extension Request commitments. See Note 15 in the Notes to our Consolidated Financial Statements in this Annual Report on Form 10-K </w:t>
      </w:r>
      <w:r>
        <w:rPr>
          <w:rFonts w:ascii="Arial" w:cs="Arial" w:eastAsia="Arial" w:hAnsi="Arial"/>
          <w:sz w:val="16"/>
          <w:szCs w:val="16"/>
          <w:color w:val="0A0A0A"/>
        </w:rPr>
        <w:t>for definitions and further details.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Broadband and Satellite Services</w:t>
      </w:r>
    </w:p>
    <w:p>
      <w:pPr>
        <w:spacing w:after="0" w:line="177" w:lineRule="exact"/>
        <w:rPr>
          <w:sz w:val="20"/>
          <w:szCs w:val="20"/>
          <w:color w:val="auto"/>
        </w:rPr>
      </w:pPr>
    </w:p>
    <w:p>
      <w:pPr>
        <w:ind w:left="40" w:right="79" w:hanging="6"/>
        <w:spacing w:after="0" w:line="246" w:lineRule="auto"/>
        <w:rPr>
          <w:sz w:val="20"/>
          <w:szCs w:val="20"/>
          <w:color w:val="auto"/>
        </w:rPr>
      </w:pPr>
      <w:r>
        <w:rPr>
          <w:rFonts w:ascii="Arial" w:cs="Arial" w:eastAsia="Arial" w:hAnsi="Arial"/>
          <w:sz w:val="16"/>
          <w:szCs w:val="16"/>
          <w:color w:val="auto"/>
        </w:rPr>
        <w:t>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airlines and government entities, including civilian and defense.</w:t>
      </w:r>
    </w:p>
    <w:p>
      <w:pPr>
        <w:spacing w:after="0" w:line="146" w:lineRule="exact"/>
        <w:rPr>
          <w:sz w:val="20"/>
          <w:szCs w:val="20"/>
          <w:color w:val="auto"/>
        </w:rPr>
      </w:pPr>
    </w:p>
    <w:p>
      <w:pPr>
        <w:jc w:val="both"/>
        <w:ind w:left="40" w:right="319" w:hanging="6"/>
        <w:spacing w:after="0" w:line="249" w:lineRule="auto"/>
        <w:rPr>
          <w:sz w:val="20"/>
          <w:szCs w:val="20"/>
          <w:color w:val="auto"/>
        </w:rPr>
      </w:pPr>
      <w:r>
        <w:rPr>
          <w:rFonts w:ascii="Arial" w:cs="Arial" w:eastAsia="Arial" w:hAnsi="Arial"/>
          <w:sz w:val="16"/>
          <w:szCs w:val="16"/>
          <w:color w:val="auto"/>
        </w:rPr>
        <w:t>Our EchoStar XXIV satellite began service in December 2023, bringing additional broadband capacity across North and South America and is an integral part of our satellite services business. We have leveraged the EchoStar XXIV to deliver satellite services to unserved and underserved consumer markets in the Americas as well as enterprise, aeronautical and government markets.</w:t>
      </w:r>
    </w:p>
    <w:p>
      <w:pPr>
        <w:spacing w:after="0" w:line="144" w:lineRule="exact"/>
        <w:rPr>
          <w:sz w:val="20"/>
          <w:szCs w:val="20"/>
          <w:color w:val="auto"/>
        </w:rPr>
      </w:pPr>
    </w:p>
    <w:p>
      <w:pPr>
        <w:ind w:left="40" w:right="139" w:hanging="6"/>
        <w:spacing w:after="0" w:line="246" w:lineRule="auto"/>
        <w:rPr>
          <w:sz w:val="20"/>
          <w:szCs w:val="20"/>
          <w:color w:val="auto"/>
        </w:rPr>
      </w:pPr>
      <w:r>
        <w:rPr>
          <w:rFonts w:ascii="Arial" w:cs="Arial" w:eastAsia="Arial" w:hAnsi="Arial"/>
          <w:sz w:val="16"/>
          <w:szCs w:val="16"/>
          <w:color w:val="auto"/>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PAY-TV</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Business Strategy – Pay-TV</w:t>
      </w:r>
    </w:p>
    <w:p>
      <w:pPr>
        <w:spacing w:after="0" w:line="177"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color w:val="auto"/>
        </w:rPr>
        <w:t>Our Pay-TV segment business strategy is to be the best provider of video services in the United States by providing products with the best technology, outstanding customer service and great value. 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pacing w:after="0" w:line="146" w:lineRule="exact"/>
        <w:rPr>
          <w:sz w:val="20"/>
          <w:szCs w:val="20"/>
          <w:color w:val="auto"/>
        </w:rPr>
      </w:pPr>
    </w:p>
    <w:p>
      <w:pPr>
        <w:ind w:left="640" w:right="119" w:hanging="284"/>
        <w:spacing w:after="0" w:line="244" w:lineRule="auto"/>
        <w:tabs>
          <w:tab w:leader="none" w:pos="6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Products with the Best Technology. </w:t>
      </w:r>
      <w:r>
        <w:rPr>
          <w:rFonts w:ascii="Arial" w:cs="Arial" w:eastAsia="Arial" w:hAnsi="Arial"/>
          <w:sz w:val="16"/>
          <w:szCs w:val="16"/>
          <w:color w:val="auto"/>
        </w:rPr>
        <w:t>We offer a wide selection of local and national HD programming and are a</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leader in our industry, offering award-winning DVRs (including our Hopper® whole-home HD DVR), multiple tuner receivers, video on demand and external hard drives. We offer several SLING TV services, including SLING Orange (our single-stream SLING domestic service), SLING Blue (our multi-stream SLING domestic service), International, Latino and Freestream, among others, as well as add-on extras, direct to consumer services, pay-per-view events and a cloud-based DVR service.</w:t>
      </w:r>
    </w:p>
    <w:p>
      <w:pPr>
        <w:spacing w:after="0" w:line="147" w:lineRule="exact"/>
        <w:rPr>
          <w:rFonts w:ascii="Times New Roman" w:cs="Times New Roman" w:eastAsia="Times New Roman" w:hAnsi="Times New Roman"/>
          <w:sz w:val="16"/>
          <w:szCs w:val="16"/>
          <w:color w:val="auto"/>
        </w:rPr>
      </w:pPr>
    </w:p>
    <w:p>
      <w:pPr>
        <w:ind w:left="640" w:right="59" w:hanging="284"/>
        <w:spacing w:after="0" w:line="249" w:lineRule="auto"/>
        <w:tabs>
          <w:tab w:leader="none" w:pos="6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Outstanding Customer Service. </w:t>
      </w:r>
      <w:r>
        <w:rPr>
          <w:rFonts w:ascii="Arial" w:cs="Arial" w:eastAsia="Arial" w:hAnsi="Arial"/>
          <w:sz w:val="16"/>
          <w:szCs w:val="16"/>
          <w:color w:val="auto"/>
        </w:rPr>
        <w:t>We strive to provide outstanding customer service by, among other things, improving</w:t>
      </w:r>
      <w:r>
        <w:rPr>
          <w:rFonts w:ascii="Arial" w:cs="Arial" w:eastAsia="Arial" w:hAnsi="Arial"/>
          <w:sz w:val="16"/>
          <w:szCs w:val="16"/>
          <w:i w:val="1"/>
          <w:iCs w:val="1"/>
          <w:color w:val="auto"/>
        </w:rPr>
        <w:t xml:space="preserve"> </w:t>
      </w:r>
      <w:r>
        <w:rPr>
          <w:rFonts w:ascii="Arial" w:cs="Arial" w:eastAsia="Arial" w:hAnsi="Arial"/>
          <w:sz w:val="16"/>
          <w:szCs w:val="16"/>
          <w:color w:val="auto"/>
        </w:rPr>
        <w:t>the quality of the initial installation of subscriber equipment, improving the reliability of our equipment, better educating our customers about our products and services and resolving customer problems promptly and effectively when they arise.</w:t>
      </w:r>
    </w:p>
    <w:p>
      <w:pPr>
        <w:spacing w:after="0" w:line="143" w:lineRule="exact"/>
        <w:rPr>
          <w:rFonts w:ascii="Times New Roman" w:cs="Times New Roman" w:eastAsia="Times New Roman" w:hAnsi="Times New Roman"/>
          <w:sz w:val="16"/>
          <w:szCs w:val="16"/>
          <w:color w:val="auto"/>
        </w:rPr>
      </w:pPr>
    </w:p>
    <w:p>
      <w:pPr>
        <w:ind w:left="640" w:right="99" w:hanging="284"/>
        <w:spacing w:after="0" w:line="244" w:lineRule="auto"/>
        <w:tabs>
          <w:tab w:leader="none" w:pos="64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Great Value. </w:t>
      </w:r>
      <w:r>
        <w:rPr>
          <w:rFonts w:ascii="Arial" w:cs="Arial" w:eastAsia="Arial" w:hAnsi="Arial"/>
          <w:sz w:val="16"/>
          <w:szCs w:val="16"/>
          <w:color w:val="auto"/>
        </w:rPr>
        <w:t>We have historically been viewed as the low-cost provider in the pay-TV industry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today with DISH TV, we are focused on a message of Service, Value and Technology. We also offer a differentiated customer experience with our award-winning Hopper® platform that integrates voice control, access to apps including Netflix, Prime Video and YouTube and the ability to watch live, recorded and On Demand content anywhere with the DISH Anywhere mobile application. As another example, our SLING Orange service and our SLING Blue service are two of the lowest priced live-linear online streaming services in the industry.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Products and Services – Pay-TV</w:t>
      </w:r>
    </w:p>
    <w:p>
      <w:pPr>
        <w:spacing w:after="0" w:line="177" w:lineRule="exact"/>
        <w:rPr>
          <w:sz w:val="20"/>
          <w:szCs w:val="20"/>
          <w:color w:val="auto"/>
        </w:rPr>
      </w:pPr>
    </w:p>
    <w:p>
      <w:pPr>
        <w:ind w:left="40" w:right="239"/>
        <w:spacing w:after="0" w:line="249" w:lineRule="auto"/>
        <w:rPr>
          <w:sz w:val="20"/>
          <w:szCs w:val="20"/>
          <w:color w:val="auto"/>
        </w:rPr>
      </w:pPr>
      <w:r>
        <w:rPr>
          <w:rFonts w:ascii="Arial" w:cs="Arial" w:eastAsia="Arial" w:hAnsi="Arial"/>
          <w:sz w:val="16"/>
          <w:szCs w:val="16"/>
          <w:b w:val="1"/>
          <w:bCs w:val="1"/>
          <w:i w:val="1"/>
          <w:iCs w:val="1"/>
          <w:color w:val="auto"/>
        </w:rPr>
        <w:t xml:space="preserve">DISH TV services. </w:t>
      </w:r>
      <w:r>
        <w:rPr>
          <w:rFonts w:ascii="Arial" w:cs="Arial" w:eastAsia="Arial" w:hAnsi="Arial"/>
          <w:sz w:val="16"/>
          <w:szCs w:val="16"/>
          <w:color w:val="auto"/>
        </w:rPr>
        <w:t>We offer a wide selection of video services under the DISH TV brand, with access to hundreds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w:t>
      </w:r>
    </w:p>
    <w:p>
      <w:pPr>
        <w:spacing w:after="0" w:line="144" w:lineRule="exact"/>
        <w:rPr>
          <w:sz w:val="20"/>
          <w:szCs w:val="20"/>
          <w:color w:val="auto"/>
        </w:rPr>
      </w:pPr>
    </w:p>
    <w:p>
      <w:pPr>
        <w:ind w:left="40" w:right="379"/>
        <w:spacing w:after="0" w:line="275" w:lineRule="auto"/>
        <w:rPr>
          <w:sz w:val="20"/>
          <w:szCs w:val="20"/>
          <w:color w:val="auto"/>
        </w:rPr>
      </w:pPr>
      <w:r>
        <w:rPr>
          <w:rFonts w:ascii="Arial" w:cs="Arial" w:eastAsia="Arial" w:hAnsi="Arial"/>
          <w:sz w:val="16"/>
          <w:szCs w:val="16"/>
          <w:color w:val="auto"/>
        </w:rPr>
        <w:t>In addition, we offer our DISH TV subscribers streaming access through DISH On Demand® to thousands of movies and television shows via their TV or Internet-connected devices.</w:t>
      </w:r>
    </w:p>
    <w:p>
      <w:pPr>
        <w:spacing w:after="0" w:line="123" w:lineRule="exact"/>
        <w:rPr>
          <w:sz w:val="20"/>
          <w:szCs w:val="20"/>
          <w:color w:val="auto"/>
        </w:rPr>
      </w:pPr>
    </w:p>
    <w:p>
      <w:pPr>
        <w:ind w:left="40" w:right="159"/>
        <w:spacing w:after="0" w:line="249" w:lineRule="auto"/>
        <w:rPr>
          <w:sz w:val="20"/>
          <w:szCs w:val="20"/>
          <w:color w:val="auto"/>
        </w:rPr>
      </w:pPr>
      <w:r>
        <w:rPr>
          <w:rFonts w:ascii="Arial" w:cs="Arial" w:eastAsia="Arial" w:hAnsi="Arial"/>
          <w:sz w:val="16"/>
          <w:szCs w:val="16"/>
          <w:color w:val="auto"/>
        </w:rPr>
        <w:t>Our DISH TV subscribers also have the ability to use dishanywhere.com and our DISH Anywhere® mobile applications on Internet-connected devices to view authorized content, search program listings and remotely control certain features of their DVRs. Dishanywhere.com and our DISH Anywhere mobile applications provide access to thousands of movies and television shows.</w:t>
      </w:r>
    </w:p>
    <w:p>
      <w:pPr>
        <w:spacing w:after="0" w:line="144" w:lineRule="exact"/>
        <w:rPr>
          <w:sz w:val="20"/>
          <w:szCs w:val="20"/>
          <w:color w:val="auto"/>
        </w:rPr>
      </w:pPr>
    </w:p>
    <w:p>
      <w:pPr>
        <w:ind w:left="40" w:right="99"/>
        <w:spacing w:after="0" w:line="244" w:lineRule="auto"/>
        <w:rPr>
          <w:sz w:val="20"/>
          <w:szCs w:val="20"/>
          <w:color w:val="auto"/>
        </w:rPr>
      </w:pPr>
      <w:r>
        <w:rPr>
          <w:rFonts w:ascii="Arial" w:cs="Arial" w:eastAsia="Arial" w:hAnsi="Arial"/>
          <w:sz w:val="16"/>
          <w:szCs w:val="16"/>
          <w:b w:val="1"/>
          <w:bCs w:val="1"/>
          <w:i w:val="1"/>
          <w:iCs w:val="1"/>
          <w:color w:val="auto"/>
        </w:rPr>
        <w:t xml:space="preserve">SLING TV services. </w:t>
      </w:r>
      <w:r>
        <w:rPr>
          <w:rFonts w:ascii="Arial" w:cs="Arial" w:eastAsia="Arial" w:hAnsi="Arial"/>
          <w:sz w:val="16"/>
          <w:szCs w:val="16"/>
          <w:color w:val="auto"/>
        </w:rPr>
        <w:t>Our SLING TV services require an Internet connection and are available on multiple streaming-capable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including, among others, streaming media devices, TVs, tablets, computers, game consoles and phones. We offer domestic, International, Latino and Freestream video programming services. We offer domestic SLING TV services as a single-stream service branded SLING Orange and a multi-stream service branded SLING Blue, which includes, among other things, the ability to stream on up to three devices simultaneously. We also offer add-on extras, direct to consumer services, pay-per-view events and a cloud-based DVR service.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Distribution Channels – Pay-TV</w:t>
      </w:r>
    </w:p>
    <w:p>
      <w:pPr>
        <w:spacing w:after="0" w:line="177"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We operate in the consumer market in the United States and use print, radio, television and Internet media, on a local and national basis to motivate potential subscribers to contact DISH TV and SLING TV, visit our websites or contact independent third-party retailers. We often offer our new DISH TV subscribers certain programming at no additional charge and/or promotional pricing during a commitment period. We often offer our new SLING TV subscribers free trials and/or streaming-capable devices at no additional charge and/or promotional pricing.</w:t>
      </w:r>
    </w:p>
    <w:p>
      <w:pPr>
        <w:spacing w:after="0" w:line="146"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While we offer receiver systems and programming through direct sales channels, a meaningful percentage of our gross new DISH TV subscriber activations are generated through independent third parties such as small retailers, direct marketing groups, local and regional consumer electronics stores, nationwide retailers and telecommunications companies. In general, we pay these independent third parties a mix of upfront and monthly incentives to solicit orders for our services and provide customer service. We offer our SLING TV services through direct sales channels and third-party marketing agreements.</w:t>
      </w:r>
    </w:p>
    <w:p>
      <w:pPr>
        <w:spacing w:after="0" w:line="146" w:lineRule="exact"/>
        <w:rPr>
          <w:sz w:val="20"/>
          <w:szCs w:val="20"/>
          <w:color w:val="auto"/>
        </w:rPr>
      </w:pPr>
    </w:p>
    <w:p>
      <w:pPr>
        <w:ind w:left="40" w:right="239"/>
        <w:spacing w:after="0" w:line="256" w:lineRule="auto"/>
        <w:rPr>
          <w:sz w:val="20"/>
          <w:szCs w:val="20"/>
          <w:color w:val="auto"/>
        </w:rPr>
      </w:pPr>
      <w:r>
        <w:rPr>
          <w:rFonts w:ascii="Arial" w:cs="Arial" w:eastAsia="Arial" w:hAnsi="Arial"/>
          <w:sz w:val="16"/>
          <w:szCs w:val="16"/>
          <w:color w:val="auto"/>
        </w:rPr>
        <w:t>We incur significant upfront costs to provide our new DISH TV subscribers with in-home equipment, which most of our new DISH TV subscribers lease from us. We also incur significant upfront costs to install satellite dishes and receivers in the homes of our new DISH TV subscribers.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Competition – Pay-TV</w:t>
      </w:r>
    </w:p>
    <w:p>
      <w:pPr>
        <w:spacing w:after="0" w:line="177" w:lineRule="exact"/>
        <w:rPr>
          <w:sz w:val="20"/>
          <w:szCs w:val="20"/>
          <w:color w:val="auto"/>
        </w:rPr>
      </w:pPr>
    </w:p>
    <w:p>
      <w:pPr>
        <w:ind w:left="40" w:right="99" w:hanging="6"/>
        <w:spacing w:after="0" w:line="242" w:lineRule="auto"/>
        <w:rPr>
          <w:sz w:val="20"/>
          <w:szCs w:val="20"/>
          <w:color w:val="auto"/>
        </w:rPr>
      </w:pPr>
      <w:r>
        <w:rPr>
          <w:rFonts w:ascii="Arial" w:cs="Arial" w:eastAsia="Arial" w:hAnsi="Arial"/>
          <w:sz w:val="16"/>
          <w:szCs w:val="16"/>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50" w:lineRule="exact"/>
        <w:rPr>
          <w:sz w:val="20"/>
          <w:szCs w:val="20"/>
          <w:color w:val="auto"/>
        </w:rPr>
      </w:pPr>
    </w:p>
    <w:p>
      <w:pPr>
        <w:ind w:left="40" w:right="299" w:hanging="6"/>
        <w:spacing w:after="0" w:line="256" w:lineRule="auto"/>
        <w:rPr>
          <w:sz w:val="20"/>
          <w:szCs w:val="20"/>
          <w:color w:val="auto"/>
        </w:rPr>
      </w:pPr>
      <w:r>
        <w:rPr>
          <w:rFonts w:ascii="Arial" w:cs="Arial" w:eastAsia="Arial" w:hAnsi="Arial"/>
          <w:sz w:val="16"/>
          <w:szCs w:val="16"/>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37" w:lineRule="exact"/>
        <w:rPr>
          <w:sz w:val="20"/>
          <w:szCs w:val="20"/>
          <w:color w:val="auto"/>
        </w:rPr>
      </w:pPr>
    </w:p>
    <w:p>
      <w:pPr>
        <w:ind w:left="60" w:right="59" w:hanging="10"/>
        <w:spacing w:after="0" w:line="249" w:lineRule="auto"/>
        <w:rPr>
          <w:sz w:val="20"/>
          <w:szCs w:val="20"/>
          <w:color w:val="auto"/>
        </w:rPr>
      </w:pPr>
      <w:r>
        <w:rPr>
          <w:rFonts w:ascii="Arial" w:cs="Arial" w:eastAsia="Arial" w:hAnsi="Arial"/>
          <w:sz w:val="16"/>
          <w:szCs w:val="16"/>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44" w:lineRule="exact"/>
        <w:rPr>
          <w:sz w:val="20"/>
          <w:szCs w:val="20"/>
          <w:color w:val="auto"/>
        </w:rPr>
      </w:pPr>
    </w:p>
    <w:p>
      <w:pPr>
        <w:ind w:left="60" w:right="59" w:hanging="10"/>
        <w:spacing w:after="0" w:line="241" w:lineRule="auto"/>
        <w:rPr>
          <w:sz w:val="20"/>
          <w:szCs w:val="20"/>
          <w:color w:val="auto"/>
        </w:rPr>
      </w:pPr>
      <w:r>
        <w:rPr>
          <w:rFonts w:ascii="Arial" w:cs="Arial" w:eastAsia="Arial" w:hAnsi="Arial"/>
          <w:sz w:val="16"/>
          <w:szCs w:val="16"/>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w:t>
      </w:r>
    </w:p>
    <w:p>
      <w:pPr>
        <w:spacing w:after="0" w:line="152" w:lineRule="exact"/>
        <w:rPr>
          <w:sz w:val="20"/>
          <w:szCs w:val="20"/>
          <w:color w:val="auto"/>
        </w:rPr>
      </w:pPr>
    </w:p>
    <w:p>
      <w:pPr>
        <w:jc w:val="both"/>
        <w:ind w:left="40" w:right="699" w:hanging="6"/>
        <w:spacing w:after="0" w:line="256" w:lineRule="auto"/>
        <w:rPr>
          <w:sz w:val="20"/>
          <w:szCs w:val="20"/>
          <w:color w:val="auto"/>
        </w:rPr>
      </w:pPr>
      <w:r>
        <w:rPr>
          <w:rFonts w:ascii="Arial" w:cs="Arial" w:eastAsia="Arial" w:hAnsi="Arial"/>
          <w:sz w:val="16"/>
          <w:szCs w:val="16"/>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137" w:lineRule="exact"/>
        <w:rPr>
          <w:sz w:val="20"/>
          <w:szCs w:val="20"/>
          <w:color w:val="auto"/>
        </w:rPr>
      </w:pPr>
    </w:p>
    <w:p>
      <w:pPr>
        <w:ind w:left="40" w:right="179" w:hanging="6"/>
        <w:spacing w:after="0" w:line="246" w:lineRule="auto"/>
        <w:rPr>
          <w:sz w:val="20"/>
          <w:szCs w:val="20"/>
          <w:color w:val="auto"/>
        </w:rPr>
      </w:pPr>
      <w:r>
        <w:rPr>
          <w:rFonts w:ascii="Arial" w:cs="Arial" w:eastAsia="Arial" w:hAnsi="Arial"/>
          <w:sz w:val="16"/>
          <w:szCs w:val="16"/>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46" w:lineRule="exact"/>
        <w:rPr>
          <w:sz w:val="20"/>
          <w:szCs w:val="20"/>
          <w:color w:val="auto"/>
        </w:rPr>
      </w:pPr>
    </w:p>
    <w:p>
      <w:pPr>
        <w:ind w:left="40" w:right="139"/>
        <w:spacing w:after="0" w:line="244" w:lineRule="auto"/>
        <w:rPr>
          <w:sz w:val="20"/>
          <w:szCs w:val="20"/>
          <w:color w:val="auto"/>
        </w:rPr>
      </w:pPr>
      <w:r>
        <w:rPr>
          <w:rFonts w:ascii="Arial" w:cs="Arial" w:eastAsia="Arial" w:hAnsi="Arial"/>
          <w:sz w:val="16"/>
          <w:szCs w:val="16"/>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in our public filings. These transactions may affect us adversely by, among other things, making it more difficult for us to obtain access to certain programming networks on nondiscriminatory and fair terms, or at all.</w:t>
      </w:r>
    </w:p>
    <w:p>
      <w:pPr>
        <w:spacing w:after="0" w:line="148" w:lineRule="exact"/>
        <w:rPr>
          <w:sz w:val="20"/>
          <w:szCs w:val="20"/>
          <w:color w:val="auto"/>
        </w:rPr>
      </w:pPr>
    </w:p>
    <w:p>
      <w:pPr>
        <w:ind w:left="40" w:right="99"/>
        <w:spacing w:after="0" w:line="256" w:lineRule="auto"/>
        <w:rPr>
          <w:sz w:val="20"/>
          <w:szCs w:val="20"/>
          <w:color w:val="auto"/>
        </w:rPr>
      </w:pPr>
      <w:r>
        <w:rPr>
          <w:rFonts w:ascii="Arial" w:cs="Arial" w:eastAsia="Arial" w:hAnsi="Arial"/>
          <w:sz w:val="16"/>
          <w:szCs w:val="16"/>
          <w:color w:val="auto"/>
        </w:rPr>
        <w:t xml:space="preserve">For further information see </w:t>
      </w:r>
      <w:r>
        <w:rPr>
          <w:rFonts w:ascii="Arial" w:cs="Arial" w:eastAsia="Arial" w:hAnsi="Arial"/>
          <w:sz w:val="16"/>
          <w:szCs w:val="16"/>
          <w:i w:val="1"/>
          <w:iCs w:val="1"/>
          <w:color w:val="auto"/>
        </w:rPr>
        <w:t>“Item 1A – Risk Factors – Competition and Economic Risks – We face intense and increasing</w:t>
      </w:r>
      <w:r>
        <w:rPr>
          <w:rFonts w:ascii="Arial" w:cs="Arial" w:eastAsia="Arial" w:hAnsi="Arial"/>
          <w:sz w:val="16"/>
          <w:szCs w:val="16"/>
          <w:color w:val="auto"/>
        </w:rPr>
        <w:t xml:space="preserve"> </w:t>
      </w:r>
      <w:r>
        <w:rPr>
          <w:rFonts w:ascii="Arial" w:cs="Arial" w:eastAsia="Arial" w:hAnsi="Arial"/>
          <w:sz w:val="16"/>
          <w:szCs w:val="16"/>
          <w:i w:val="1"/>
          <w:iCs w:val="1"/>
          <w:color w:val="auto"/>
        </w:rPr>
        <w:t>competition from providers of video, broadband and/or wireless services, which may require us to further increase subscriber acquisition and retention spending or accept lower subscriber activations and higher subscriber churn.”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WIRELESS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Business Strategy - Wireless</w:t>
      </w:r>
    </w:p>
    <w:p>
      <w:pPr>
        <w:spacing w:after="0" w:line="177"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Our Wireless segment business strategy is to expand our current target segments and profitably grow our Wireless subscriber base and commercialize and grow customer traffic on our 5G Network. We intend to grow our Wireless subscriber base by acquiring and retaining high quality subscribers with competitive offers, choice and outstanding customer service that better meet those subscribers’ needs and budget.</w:t>
      </w:r>
    </w:p>
    <w:p>
      <w:pPr>
        <w:spacing w:after="0" w:line="144"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auto"/>
        </w:rPr>
        <w:t>We offer nationwide Wireless services to subscribers primarily under our Boost Mobile and Gen Mobile brands, as well as a competitive portfolio of wireless devices. We offer customers value by providing choice and flexibility in our Wireless services. Prepaid Wireless subscribers generally pay in advance for monthly access to wireless talk, text and data services. Postpaid Wireless subscribers are qualified to pay after receiving wireless talk, text and data services, and may also qualify for certain device financing arrangements.</w:t>
      </w:r>
    </w:p>
    <w:p>
      <w:pPr>
        <w:spacing w:after="0" w:line="146" w:lineRule="exact"/>
        <w:rPr>
          <w:sz w:val="20"/>
          <w:szCs w:val="20"/>
          <w:color w:val="auto"/>
        </w:rPr>
      </w:pPr>
    </w:p>
    <w:p>
      <w:pPr>
        <w:ind w:left="40" w:right="199" w:hanging="6"/>
        <w:spacing w:after="0" w:line="249" w:lineRule="auto"/>
        <w:rPr>
          <w:sz w:val="20"/>
          <w:szCs w:val="20"/>
          <w:color w:val="auto"/>
        </w:rPr>
      </w:pPr>
      <w:r>
        <w:rPr>
          <w:rFonts w:ascii="Arial" w:cs="Arial" w:eastAsia="Arial" w:hAnsi="Arial"/>
          <w:sz w:val="16"/>
          <w:szCs w:val="16"/>
          <w:i w:val="1"/>
          <w:iCs w:val="1"/>
          <w:color w:val="auto"/>
        </w:rPr>
        <w:t>Boost Mobile postpaid</w:t>
      </w:r>
      <w:r>
        <w:rPr>
          <w:rFonts w:ascii="Arial" w:cs="Arial" w:eastAsia="Arial" w:hAnsi="Arial"/>
          <w:sz w:val="16"/>
          <w:szCs w:val="16"/>
          <w:color w:val="auto"/>
        </w:rPr>
        <w:t>. During 2023, we launched our nationwide expansion of our Boost Mobile postpaid Wireless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At the end of the third quarter of 2023, we began offering premium wireless devices, including Apple products. We currently offer a broad range of premium wireless devices on our 5G Network, including the Apple iPhone 15 and newer generation iPhones.</w:t>
      </w:r>
    </w:p>
    <w:p>
      <w:pPr>
        <w:spacing w:after="0" w:line="144" w:lineRule="exact"/>
        <w:rPr>
          <w:sz w:val="20"/>
          <w:szCs w:val="20"/>
          <w:color w:val="auto"/>
        </w:rPr>
      </w:pPr>
    </w:p>
    <w:p>
      <w:pPr>
        <w:ind w:left="40" w:right="159"/>
        <w:spacing w:after="0" w:line="244" w:lineRule="auto"/>
        <w:rPr>
          <w:sz w:val="20"/>
          <w:szCs w:val="20"/>
          <w:color w:val="auto"/>
        </w:rPr>
      </w:pPr>
      <w:r>
        <w:rPr>
          <w:rFonts w:ascii="Arial" w:cs="Arial" w:eastAsia="Arial" w:hAnsi="Arial"/>
          <w:sz w:val="16"/>
          <w:szCs w:val="16"/>
          <w:color w:val="auto"/>
        </w:rPr>
        <w:t xml:space="preserve">We are currently operating primarily as an MVNO as we continue our 5G Network Deployment and commercialize and grow customer traffic on our 5G Network. We are transitioning to an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6"/>
          <w:szCs w:val="16"/>
          <w:color w:val="0A0A0A"/>
        </w:rPr>
        <w:t>VoNR</w:t>
      </w:r>
      <w:r>
        <w:rPr>
          <w:rFonts w:ascii="Arial" w:cs="Arial" w:eastAsia="Arial" w:hAnsi="Arial"/>
          <w:sz w:val="16"/>
          <w:szCs w:val="16"/>
          <w:color w:val="auto"/>
        </w:rPr>
        <w:t xml:space="preserve">. We have deployed </w:t>
      </w:r>
      <w:r>
        <w:rPr>
          <w:rFonts w:ascii="Arial" w:cs="Arial" w:eastAsia="Arial" w:hAnsi="Arial"/>
          <w:sz w:val="16"/>
          <w:szCs w:val="16"/>
          <w:color w:val="0A0A0A"/>
        </w:rPr>
        <w:t>5G VoNR covering over 220</w:t>
      </w:r>
      <w:r>
        <w:rPr>
          <w:rFonts w:ascii="Arial" w:cs="Arial" w:eastAsia="Arial" w:hAnsi="Arial"/>
          <w:sz w:val="16"/>
          <w:szCs w:val="16"/>
          <w:color w:val="auto"/>
        </w:rPr>
        <w:t xml:space="preserve"> </w:t>
      </w:r>
      <w:r>
        <w:rPr>
          <w:rFonts w:ascii="Arial" w:cs="Arial" w:eastAsia="Arial" w:hAnsi="Arial"/>
          <w:sz w:val="16"/>
          <w:szCs w:val="16"/>
          <w:color w:val="0A0A0A"/>
        </w:rPr>
        <w:t xml:space="preserve">million Americans. </w:t>
      </w:r>
      <w:r>
        <w:rPr>
          <w:rFonts w:ascii="Arial" w:cs="Arial" w:eastAsia="Arial" w:hAnsi="Arial"/>
          <w:sz w:val="16"/>
          <w:szCs w:val="16"/>
          <w:color w:val="000000"/>
        </w:rPr>
        <w:t>Within our MVNO operations, today we depend in part on T-Mobile and AT&amp;T to provide us with network</w:t>
      </w:r>
      <w:r>
        <w:rPr>
          <w:rFonts w:ascii="Arial" w:cs="Arial" w:eastAsia="Arial" w:hAnsi="Arial"/>
          <w:sz w:val="16"/>
          <w:szCs w:val="16"/>
          <w:color w:val="0A0A0A"/>
        </w:rPr>
        <w:t xml:space="preserve"> </w:t>
      </w:r>
      <w:r>
        <w:rPr>
          <w:rFonts w:ascii="Arial" w:cs="Arial" w:eastAsia="Arial" w:hAnsi="Arial"/>
          <w:sz w:val="16"/>
          <w:szCs w:val="16"/>
          <w:color w:val="000000"/>
        </w:rPr>
        <w:t>services under the MNSA and NSA, respectively.</w:t>
      </w:r>
    </w:p>
    <w:p>
      <w:pPr>
        <w:spacing w:after="0" w:line="148" w:lineRule="exact"/>
        <w:rPr>
          <w:sz w:val="20"/>
          <w:szCs w:val="20"/>
          <w:color w:val="auto"/>
        </w:rPr>
      </w:pPr>
    </w:p>
    <w:p>
      <w:pPr>
        <w:ind w:left="40" w:right="119" w:hanging="6"/>
        <w:spacing w:after="0" w:line="244" w:lineRule="auto"/>
        <w:rPr>
          <w:sz w:val="20"/>
          <w:szCs w:val="20"/>
          <w:color w:val="auto"/>
        </w:rPr>
      </w:pPr>
      <w:r>
        <w:rPr>
          <w:rFonts w:ascii="Arial" w:cs="Arial" w:eastAsia="Arial" w:hAnsi="Arial"/>
          <w:sz w:val="16"/>
          <w:szCs w:val="16"/>
          <w:color w:val="auto"/>
        </w:rPr>
        <w:t>We have invested a total of over $30 billion in Wireless spectrum licenses. The $30 billion of investments related to Wireless spectrum licenses does not include $10 billion of capitalized interest related to the carrying value of such licenses. See Note 2 and Note 15 in the Notes to our Consolidated Financial Statements in this Annual Report on Form 10-K for further information. We continue to commercialize our Wireless spectrum licenses through the completion of our 5G Network Deployment. We have committed to the FCC to deploy our 5G Network capable of serving increasingly larger portions of the U.S. population at different deadlines.</w:t>
      </w:r>
    </w:p>
    <w:p>
      <w:pPr>
        <w:spacing w:after="0" w:line="148" w:lineRule="exact"/>
        <w:rPr>
          <w:sz w:val="20"/>
          <w:szCs w:val="20"/>
          <w:color w:val="auto"/>
        </w:rPr>
      </w:pPr>
    </w:p>
    <w:p>
      <w:pPr>
        <w:ind w:left="40" w:right="99"/>
        <w:spacing w:after="0" w:line="244" w:lineRule="auto"/>
        <w:rPr>
          <w:sz w:val="20"/>
          <w:szCs w:val="20"/>
          <w:color w:val="auto"/>
        </w:rPr>
      </w:pPr>
      <w:r>
        <w:rPr>
          <w:rFonts w:ascii="Arial" w:cs="Arial" w:eastAsia="Arial" w:hAnsi="Arial"/>
          <w:sz w:val="16"/>
          <w:szCs w:val="16"/>
          <w:color w:val="auto"/>
        </w:rPr>
        <w:t>We may need to raise additional capital in the future,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15 in the Notes to our Consolidated Financial Statements in this Annual Report on Form 10-K for further information.</w:t>
      </w:r>
    </w:p>
    <w:p>
      <w:pPr>
        <w:spacing w:after="0" w:line="148" w:lineRule="exact"/>
        <w:rPr>
          <w:sz w:val="20"/>
          <w:szCs w:val="20"/>
          <w:color w:val="auto"/>
        </w:rPr>
      </w:pPr>
    </w:p>
    <w:p>
      <w:pPr>
        <w:ind w:left="40" w:right="119" w:hanging="6"/>
        <w:spacing w:after="0" w:line="243" w:lineRule="auto"/>
        <w:rPr>
          <w:sz w:val="20"/>
          <w:szCs w:val="20"/>
          <w:color w:val="auto"/>
        </w:rPr>
      </w:pPr>
      <w:r>
        <w:rPr>
          <w:rFonts w:ascii="Arial" w:cs="Arial" w:eastAsia="Arial" w:hAnsi="Arial"/>
          <w:sz w:val="16"/>
          <w:szCs w:val="16"/>
          <w:color w:val="auto"/>
        </w:rPr>
        <w:t xml:space="preserve">Our Wireless spectrum licenses are subject to certain interim and final build-out requirements, as well as certain renewal requirements. On September 29, 2023, the FCC confirmed we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6"/>
          <w:szCs w:val="16"/>
          <w:color w:val="0A0A0A"/>
        </w:rPr>
        <w:t>We currently have</w:t>
      </w:r>
      <w:r>
        <w:rPr>
          <w:rFonts w:ascii="Arial" w:cs="Arial" w:eastAsia="Arial" w:hAnsi="Arial"/>
          <w:sz w:val="16"/>
          <w:szCs w:val="16"/>
          <w:color w:val="auto"/>
        </w:rPr>
        <w:t xml:space="preserve"> </w:t>
      </w:r>
      <w:r>
        <w:rPr>
          <w:rFonts w:ascii="Arial" w:cs="Arial" w:eastAsia="Arial" w:hAnsi="Arial"/>
          <w:sz w:val="16"/>
          <w:szCs w:val="16"/>
          <w:color w:val="0A0A0A"/>
        </w:rPr>
        <w:t xml:space="preserve">the largest commercial deployment of 5G VoNR in the world covering over 220 million Americans and </w:t>
      </w:r>
      <w:r>
        <w:rPr>
          <w:rFonts w:ascii="Arial" w:cs="Arial" w:eastAsia="Arial" w:hAnsi="Arial"/>
          <w:sz w:val="16"/>
          <w:szCs w:val="16"/>
          <w:color w:val="000000"/>
        </w:rPr>
        <w:t>5G broadband service</w:t>
      </w:r>
      <w:r>
        <w:rPr>
          <w:rFonts w:ascii="Arial" w:cs="Arial" w:eastAsia="Arial" w:hAnsi="Arial"/>
          <w:sz w:val="16"/>
          <w:szCs w:val="16"/>
          <w:color w:val="0A0A0A"/>
        </w:rPr>
        <w:t xml:space="preserve"> covering over 268 million Americans.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379"/>
        <w:spacing w:after="0" w:line="241" w:lineRule="auto"/>
        <w:rPr>
          <w:sz w:val="20"/>
          <w:szCs w:val="20"/>
          <w:color w:val="auto"/>
        </w:rPr>
      </w:pPr>
      <w:r>
        <w:rPr>
          <w:rFonts w:ascii="Arial" w:cs="Arial" w:eastAsia="Arial" w:hAnsi="Arial"/>
          <w:sz w:val="16"/>
          <w:szCs w:val="16"/>
          <w:color w:val="0A0A0A"/>
        </w:rPr>
        <w:t xml:space="preserve">In September 2024, the FCC conditionally granted our requests to extend the 5G deployment deadlines for certain of our </w:t>
      </w:r>
      <w:r>
        <w:rPr>
          <w:rFonts w:ascii="Arial" w:cs="Arial" w:eastAsia="Arial" w:hAnsi="Arial"/>
          <w:sz w:val="16"/>
          <w:szCs w:val="16"/>
          <w:color w:val="000000"/>
        </w:rPr>
        <w:t xml:space="preserve">Wireless spectrum licenses </w:t>
      </w:r>
      <w:r>
        <w:rPr>
          <w:rFonts w:ascii="Arial" w:cs="Arial" w:eastAsia="Arial" w:hAnsi="Arial"/>
          <w:sz w:val="16"/>
          <w:szCs w:val="16"/>
          <w:color w:val="0A0A0A"/>
        </w:rPr>
        <w:t>based on several commitments and</w:t>
      </w:r>
      <w:r>
        <w:rPr>
          <w:rFonts w:ascii="Arial" w:cs="Arial" w:eastAsia="Arial" w:hAnsi="Arial"/>
          <w:sz w:val="16"/>
          <w:szCs w:val="16"/>
          <w:color w:val="000000"/>
        </w:rPr>
        <w:t xml:space="preserve"> </w:t>
      </w:r>
      <w:r>
        <w:rPr>
          <w:rFonts w:ascii="Arial" w:cs="Arial" w:eastAsia="Arial" w:hAnsi="Arial"/>
          <w:sz w:val="16"/>
          <w:szCs w:val="16"/>
          <w:color w:val="222222"/>
        </w:rPr>
        <w:t>in a January 10, 2025 filing to the FCC</w:t>
      </w:r>
      <w:r>
        <w:rPr>
          <w:rFonts w:ascii="Arial" w:cs="Arial" w:eastAsia="Arial" w:hAnsi="Arial"/>
          <w:sz w:val="16"/>
          <w:szCs w:val="16"/>
          <w:color w:val="0A0A0A"/>
        </w:rPr>
        <w:t>,</w:t>
      </w:r>
      <w:r>
        <w:rPr>
          <w:rFonts w:ascii="Arial" w:cs="Arial" w:eastAsia="Arial" w:hAnsi="Arial"/>
          <w:sz w:val="16"/>
          <w:szCs w:val="16"/>
          <w:color w:val="000000"/>
        </w:rPr>
        <w:t xml:space="preserve"> </w:t>
      </w:r>
      <w:r>
        <w:rPr>
          <w:rFonts w:ascii="Arial" w:cs="Arial" w:eastAsia="Arial" w:hAnsi="Arial"/>
          <w:sz w:val="16"/>
          <w:szCs w:val="16"/>
          <w:color w:val="222222"/>
        </w:rPr>
        <w:t>we certified to</w:t>
      </w:r>
      <w:r>
        <w:rPr>
          <w:rFonts w:ascii="Arial" w:cs="Arial" w:eastAsia="Arial" w:hAnsi="Arial"/>
          <w:sz w:val="16"/>
          <w:szCs w:val="16"/>
          <w:color w:val="000000"/>
        </w:rPr>
        <w:t xml:space="preserve"> </w:t>
      </w:r>
      <w:r>
        <w:rPr>
          <w:rFonts w:ascii="Arial" w:cs="Arial" w:eastAsia="Arial" w:hAnsi="Arial"/>
          <w:sz w:val="16"/>
          <w:szCs w:val="16"/>
          <w:color w:val="222222"/>
        </w:rPr>
        <w:t xml:space="preserve">meeting the accelerated buildout (Commitments #2 and #3 of the Extension Request) and the nationwide 80% coverage obligations (Commitment #1 of the Extension Request) </w:t>
      </w:r>
      <w:r>
        <w:rPr>
          <w:rFonts w:ascii="Arial" w:cs="Arial" w:eastAsia="Arial" w:hAnsi="Arial"/>
          <w:sz w:val="16"/>
          <w:szCs w:val="16"/>
          <w:color w:val="000000"/>
        </w:rPr>
        <w:t>due by December 31, 2024. Thus, pursuant to the Extension</w:t>
      </w:r>
      <w:r>
        <w:rPr>
          <w:rFonts w:ascii="Arial" w:cs="Arial" w:eastAsia="Arial" w:hAnsi="Arial"/>
          <w:sz w:val="16"/>
          <w:szCs w:val="16"/>
          <w:color w:val="222222"/>
        </w:rPr>
        <w:t xml:space="preserve"> </w:t>
      </w:r>
      <w:r>
        <w:rPr>
          <w:rFonts w:ascii="Arial" w:cs="Arial" w:eastAsia="Arial" w:hAnsi="Arial"/>
          <w:sz w:val="16"/>
          <w:szCs w:val="16"/>
          <w:color w:val="000000"/>
        </w:rPr>
        <w:t xml:space="preserve">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See Note 15 in the Notes to our Consolidated Financial Statements in this Annual Report on Form 10-K </w:t>
      </w:r>
      <w:r>
        <w:rPr>
          <w:rFonts w:ascii="Arial" w:cs="Arial" w:eastAsia="Arial" w:hAnsi="Arial"/>
          <w:sz w:val="16"/>
          <w:szCs w:val="16"/>
          <w:color w:val="0A0A0A"/>
        </w:rPr>
        <w:t>for definitions and further details.</w:t>
      </w:r>
    </w:p>
    <w:p>
      <w:pPr>
        <w:spacing w:after="0" w:line="152" w:lineRule="exact"/>
        <w:rPr>
          <w:sz w:val="20"/>
          <w:szCs w:val="20"/>
          <w:color w:val="auto"/>
        </w:rPr>
      </w:pPr>
    </w:p>
    <w:p>
      <w:pPr>
        <w:ind w:left="40" w:right="79" w:hanging="6"/>
        <w:spacing w:after="0" w:line="241" w:lineRule="auto"/>
        <w:rPr>
          <w:sz w:val="20"/>
          <w:szCs w:val="20"/>
          <w:color w:val="auto"/>
        </w:rPr>
      </w:pPr>
      <w:r>
        <w:rPr>
          <w:rFonts w:ascii="Arial" w:cs="Arial" w:eastAsia="Arial" w:hAnsi="Arial"/>
          <w:sz w:val="16"/>
          <w:szCs w:val="16"/>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Products and Services - Wireless</w:t>
      </w:r>
    </w:p>
    <w:p>
      <w:pPr>
        <w:spacing w:after="0" w:line="177" w:lineRule="exact"/>
        <w:rPr>
          <w:sz w:val="20"/>
          <w:szCs w:val="20"/>
          <w:color w:val="auto"/>
        </w:rPr>
      </w:pPr>
    </w:p>
    <w:p>
      <w:pPr>
        <w:jc w:val="both"/>
        <w:ind w:left="40" w:right="279" w:hanging="6"/>
        <w:spacing w:after="0" w:line="256" w:lineRule="auto"/>
        <w:rPr>
          <w:sz w:val="20"/>
          <w:szCs w:val="20"/>
          <w:color w:val="auto"/>
        </w:rPr>
      </w:pPr>
      <w:r>
        <w:rPr>
          <w:rFonts w:ascii="Arial" w:cs="Arial" w:eastAsia="Arial" w:hAnsi="Arial"/>
          <w:sz w:val="16"/>
          <w:szCs w:val="16"/>
          <w:color w:val="auto"/>
        </w:rPr>
        <w:t>Currently, we offer Wireless subscribers competitive consumer plans with no annual service contracts and monthly service plans including high-speed data and unlimited talk and text. We also offer a variety of value-added services, including, but not limited to, device payment and protection plans and device financing arrangements for certain qualified subscribers.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Distribution Channels - Wireless</w:t>
      </w:r>
    </w:p>
    <w:p>
      <w:pPr>
        <w:spacing w:after="0" w:line="177" w:lineRule="exact"/>
        <w:rPr>
          <w:sz w:val="20"/>
          <w:szCs w:val="20"/>
          <w:color w:val="auto"/>
        </w:rPr>
      </w:pPr>
    </w:p>
    <w:p>
      <w:pPr>
        <w:ind w:left="40" w:right="99"/>
        <w:spacing w:after="0" w:line="256" w:lineRule="auto"/>
        <w:rPr>
          <w:sz w:val="20"/>
          <w:szCs w:val="20"/>
          <w:color w:val="auto"/>
        </w:rPr>
      </w:pPr>
      <w:r>
        <w:rPr>
          <w:rFonts w:ascii="Arial" w:cs="Arial" w:eastAsia="Arial" w:hAnsi="Arial"/>
          <w:sz w:val="16"/>
          <w:szCs w:val="16"/>
          <w:color w:val="auto"/>
        </w:rPr>
        <w:t>We operate in the consumer market in the United States and use, among other things, print, radio, television and Internet media, on a local and national basis to motivate potential subscribers to contact us, visit our websites or contact independent third-party retailers.</w:t>
      </w:r>
    </w:p>
    <w:p>
      <w:pPr>
        <w:spacing w:after="0" w:line="137"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We have both an indirect sales channel, which includes third-party owned retail stores and big box stores and a direct sales channel, which services customers online. Through the indirect sales channel, we use direct distribution partners to facilitate product delivery to the third-party retailers. We currently market and distribute our products and services indirectly through third-party owned Boost-branded stores, multi-branded stores, national retail stores (such as Target, Best Buy and Walmart stores) and other stores (such as convenience and grocery stores).</w:t>
      </w:r>
    </w:p>
    <w:p>
      <w:pPr>
        <w:spacing w:after="0" w:line="146" w:lineRule="exact"/>
        <w:rPr>
          <w:sz w:val="20"/>
          <w:szCs w:val="20"/>
          <w:color w:val="auto"/>
        </w:rPr>
      </w:pPr>
    </w:p>
    <w:p>
      <w:pPr>
        <w:ind w:left="40" w:right="139"/>
        <w:spacing w:after="0" w:line="275" w:lineRule="auto"/>
        <w:rPr>
          <w:sz w:val="20"/>
          <w:szCs w:val="20"/>
          <w:color w:val="auto"/>
        </w:rPr>
      </w:pPr>
      <w:r>
        <w:rPr>
          <w:rFonts w:ascii="Arial" w:cs="Arial" w:eastAsia="Arial" w:hAnsi="Arial"/>
          <w:sz w:val="16"/>
          <w:szCs w:val="16"/>
          <w:color w:val="auto"/>
        </w:rPr>
        <w:t>We have relationships with most large manufacturers of wireless devices. We can incur significant upfront costs to subsidize wireless devices offered under promotional pricing to consumers.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Competition - Wireless</w:t>
      </w:r>
    </w:p>
    <w:p>
      <w:pPr>
        <w:spacing w:after="0" w:line="177" w:lineRule="exact"/>
        <w:rPr>
          <w:sz w:val="20"/>
          <w:szCs w:val="20"/>
          <w:color w:val="auto"/>
        </w:rPr>
      </w:pPr>
    </w:p>
    <w:p>
      <w:pPr>
        <w:ind w:left="40" w:right="199"/>
        <w:spacing w:after="0" w:line="243" w:lineRule="auto"/>
        <w:rPr>
          <w:sz w:val="20"/>
          <w:szCs w:val="20"/>
          <w:color w:val="auto"/>
        </w:rPr>
      </w:pPr>
      <w:r>
        <w:rPr>
          <w:rFonts w:ascii="Arial" w:cs="Arial" w:eastAsia="Arial" w:hAnsi="Arial"/>
          <w:sz w:val="16"/>
          <w:szCs w:val="16"/>
          <w:color w:val="auto"/>
        </w:rPr>
        <w:t>Wireless communication services is a mature market with moderate year over year organic growth. Competitors 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spacing w:after="0" w:line="148" w:lineRule="exact"/>
        <w:rPr>
          <w:sz w:val="20"/>
          <w:szCs w:val="20"/>
          <w:color w:val="auto"/>
        </w:rPr>
      </w:pPr>
    </w:p>
    <w:p>
      <w:pPr>
        <w:ind w:left="40" w:right="279" w:hanging="6"/>
        <w:spacing w:after="0" w:line="256" w:lineRule="auto"/>
        <w:rPr>
          <w:sz w:val="20"/>
          <w:szCs w:val="20"/>
          <w:color w:val="auto"/>
        </w:rPr>
      </w:pPr>
      <w:r>
        <w:rPr>
          <w:rFonts w:ascii="Arial" w:cs="Arial" w:eastAsia="Arial" w:hAnsi="Arial"/>
          <w:sz w:val="16"/>
          <w:szCs w:val="16"/>
          <w:color w:val="auto"/>
        </w:rPr>
        <w:t>Additional primary competitors include, but are not limited to, Metro PCS (owned by T-Mobile), Cricket Wireless (owned by AT&amp;T), Visible (owned by Verizon), Tracfone Wireless (owned by Verizon), Total Wireless (owned by Verizon), and other MVNOs such as Consumer Cellular, Mint Mobile (owned by T-Mobile), Spectrum Mobile and Xfinity Mobile.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BROADBAND AND SATELLITE SERVICES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Business Strategy – Broadband and Satellite Services</w:t>
      </w:r>
    </w:p>
    <w:p>
      <w:pPr>
        <w:spacing w:after="0" w:line="177" w:lineRule="exact"/>
        <w:rPr>
          <w:sz w:val="20"/>
          <w:szCs w:val="20"/>
          <w:color w:val="auto"/>
        </w:rPr>
      </w:pPr>
    </w:p>
    <w:p>
      <w:pPr>
        <w:ind w:left="40" w:right="179"/>
        <w:spacing w:after="0" w:line="256" w:lineRule="auto"/>
        <w:rPr>
          <w:sz w:val="20"/>
          <w:szCs w:val="20"/>
          <w:color w:val="auto"/>
        </w:rPr>
      </w:pPr>
      <w:r>
        <w:rPr>
          <w:rFonts w:ascii="Arial" w:cs="Arial" w:eastAsia="Arial" w:hAnsi="Arial"/>
          <w:sz w:val="16"/>
          <w:szCs w:val="16"/>
          <w:color w:val="auto"/>
        </w:rPr>
        <w:t>Our Broadband and Satellite Services segment business strategy is to maintain and improve our leadership position and competitive advantage through development of leading-edge technologies and services marketed to selected sectors within the consumer, enterprise and government markets globally.</w:t>
      </w:r>
    </w:p>
    <w:p>
      <w:pPr>
        <w:spacing w:after="0" w:line="137"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color w:val="auto"/>
        </w:rPr>
        <w:t>We expect demand for broadband internet access, connectivity, networking and related value-added services will continue to grow across all major end-user markets – consumer, business, enterprise, aeronautical and government. Our strategic objective is to maintain our leadership position and grow our competitive advantage by using our satellite assets, expertise, technologies, capital, investments, global presence, relationships, spectrum assets and other capabilities for development of leading-edge technologies and services marketed to targeted sectors within these markets globally.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Products and Services – Broadband and Satellite Services</w:t>
      </w:r>
    </w:p>
    <w:p>
      <w:pPr>
        <w:spacing w:after="0" w:line="177" w:lineRule="exact"/>
        <w:rPr>
          <w:sz w:val="20"/>
          <w:szCs w:val="20"/>
          <w:color w:val="auto"/>
        </w:rPr>
      </w:pPr>
    </w:p>
    <w:p>
      <w:pPr>
        <w:ind w:left="40" w:right="259"/>
        <w:spacing w:after="0" w:line="246" w:lineRule="auto"/>
        <w:rPr>
          <w:sz w:val="20"/>
          <w:szCs w:val="20"/>
          <w:color w:val="auto"/>
        </w:rPr>
      </w:pPr>
      <w:r>
        <w:rPr>
          <w:rFonts w:ascii="Arial" w:cs="Arial" w:eastAsia="Arial" w:hAnsi="Arial"/>
          <w:sz w:val="16"/>
          <w:szCs w:val="16"/>
          <w:color w:val="auto"/>
        </w:rPr>
        <w:t>We provide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Customers – Broadband and Satellite Services</w:t>
      </w:r>
    </w:p>
    <w:p>
      <w:pPr>
        <w:spacing w:after="0" w:line="177"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auto"/>
        </w:rPr>
        <w:t>Our enterprise customers include, but are not limited to, retailers, financial institutions, aircraft connectivity providers, lottery agencies and companies with multi-branch networks that rely on satellite or terrestrial networks for critical communication across wide geographies, as well as the U.S government. Most of our enterprise customers have long-term contracts with us for the services they purchase. Our Broadband and Satellite Services segment also designs, provides and installs gateway and terminal equipment to customers for other satellite systems and provides satellite ground segment systems and terminals for other satellite systems, including, but not limited to, mobile system operators. Developments toward the launch of next-generation satellite systems, including LEO, MEO and geostationary systems, as well as other multi-transport technologies, could provide additional opportunities to increase demand for our equipment, hardware, technology and services.</w:t>
      </w:r>
    </w:p>
    <w:p>
      <w:pPr>
        <w:spacing w:after="0" w:line="337" w:lineRule="exact"/>
        <w:rPr>
          <w:sz w:val="20"/>
          <w:szCs w:val="20"/>
          <w:color w:val="auto"/>
        </w:rPr>
      </w:pPr>
    </w:p>
    <w:p>
      <w:pPr>
        <w:ind w:left="40" w:right="479"/>
        <w:spacing w:after="0" w:line="247" w:lineRule="auto"/>
        <w:rPr>
          <w:sz w:val="20"/>
          <w:szCs w:val="20"/>
          <w:color w:val="auto"/>
        </w:rPr>
      </w:pPr>
      <w:r>
        <w:rPr>
          <w:rFonts w:ascii="Arial" w:cs="Arial" w:eastAsia="Arial" w:hAnsi="Arial"/>
          <w:sz w:val="16"/>
          <w:szCs w:val="16"/>
          <w:color w:val="auto"/>
        </w:rPr>
        <w:t>Our consumer customers consist of home and small to medium-sized business in the Americas. We provide broadband satellite technologies and broadband internet products and services to these customers.</w:t>
      </w: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Competition – Broadband and Satellite Services</w:t>
      </w:r>
    </w:p>
    <w:p>
      <w:pPr>
        <w:spacing w:after="0" w:line="177" w:lineRule="exact"/>
        <w:rPr>
          <w:sz w:val="20"/>
          <w:szCs w:val="20"/>
          <w:color w:val="auto"/>
        </w:rPr>
      </w:pPr>
    </w:p>
    <w:p>
      <w:pPr>
        <w:ind w:left="40" w:right="219"/>
        <w:spacing w:after="0" w:line="275" w:lineRule="auto"/>
        <w:rPr>
          <w:sz w:val="20"/>
          <w:szCs w:val="20"/>
          <w:color w:val="auto"/>
        </w:rPr>
      </w:pPr>
      <w:r>
        <w:rPr>
          <w:rFonts w:ascii="Arial" w:cs="Arial" w:eastAsia="Arial" w:hAnsi="Arial"/>
          <w:sz w:val="16"/>
          <w:szCs w:val="16"/>
          <w:color w:val="auto"/>
        </w:rPr>
        <w:t>Our industry is highly competitive. As a global provider of network technologies, products and services, our Broadband and Satellite Services segment competes with a large number of telecommunications and satellite internet service providers.</w:t>
      </w:r>
    </w:p>
    <w:p>
      <w:pPr>
        <w:spacing w:after="0" w:line="123" w:lineRule="exact"/>
        <w:rPr>
          <w:sz w:val="20"/>
          <w:szCs w:val="20"/>
          <w:color w:val="auto"/>
        </w:rPr>
      </w:pPr>
    </w:p>
    <w:p>
      <w:pPr>
        <w:jc w:val="both"/>
        <w:ind w:left="40" w:right="139"/>
        <w:spacing w:after="0" w:line="249" w:lineRule="auto"/>
        <w:rPr>
          <w:sz w:val="20"/>
          <w:szCs w:val="20"/>
          <w:color w:val="auto"/>
        </w:rPr>
      </w:pPr>
      <w:r>
        <w:rPr>
          <w:rFonts w:ascii="Arial" w:cs="Arial" w:eastAsia="Arial" w:hAnsi="Arial"/>
          <w:sz w:val="16"/>
          <w:szCs w:val="16"/>
          <w:color w:val="auto"/>
        </w:rPr>
        <w:t>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ViaSat and SpaceX.</w:t>
      </w:r>
    </w:p>
    <w:p>
      <w:pPr>
        <w:spacing w:after="0" w:line="144"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color w:val="auto"/>
        </w:rPr>
        <w:t>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Communications, Inc., which is owned by ViaSat, Inc. (“ViaSat”) and Starlink Services LLC, which is owned by Space Exploration Technologies Corp. (“SpaceX”). Both ViaSat and SpaceX have also entered the South and Central American consumer markets.</w:t>
      </w:r>
    </w:p>
    <w:p>
      <w:pPr>
        <w:spacing w:after="0" w:line="146" w:lineRule="exact"/>
        <w:rPr>
          <w:sz w:val="20"/>
          <w:szCs w:val="20"/>
          <w:color w:val="auto"/>
        </w:rPr>
      </w:pPr>
    </w:p>
    <w:p>
      <w:pPr>
        <w:ind w:left="40" w:right="479"/>
        <w:spacing w:after="0" w:line="275" w:lineRule="auto"/>
        <w:rPr>
          <w:sz w:val="20"/>
          <w:szCs w:val="20"/>
          <w:color w:val="auto"/>
        </w:rPr>
      </w:pPr>
      <w:r>
        <w:rPr>
          <w:rFonts w:ascii="Arial" w:cs="Arial" w:eastAsia="Arial" w:hAnsi="Arial"/>
          <w:sz w:val="16"/>
          <w:szCs w:val="16"/>
          <w:color w:val="auto"/>
        </w:rPr>
        <w:t>Our principal competitors for the supply of satellite technology platforms are Gilat Satellite Networks Ltd, ViaSat and ST Engineering iDirect, Inc.</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Manufacturing – Broadband and Satellite Services</w:t>
      </w:r>
    </w:p>
    <w:p>
      <w:pPr>
        <w:spacing w:after="0" w:line="177" w:lineRule="exact"/>
        <w:rPr>
          <w:sz w:val="20"/>
          <w:szCs w:val="20"/>
          <w:color w:val="auto"/>
        </w:rPr>
      </w:pPr>
    </w:p>
    <w:p>
      <w:pPr>
        <w:ind w:left="40" w:right="419"/>
        <w:spacing w:after="0" w:line="249" w:lineRule="auto"/>
        <w:rPr>
          <w:sz w:val="20"/>
          <w:szCs w:val="20"/>
          <w:color w:val="auto"/>
        </w:rPr>
      </w:pPr>
      <w:r>
        <w:rPr>
          <w:rFonts w:ascii="Arial" w:cs="Arial" w:eastAsia="Arial" w:hAnsi="Arial"/>
          <w:sz w:val="16"/>
          <w:szCs w:val="16"/>
          <w:color w:val="auto"/>
        </w:rPr>
        <w:t>Certain products in our Broadband and Satellite Services segment are assembled at our facilities, and we outsource a portion of the manufacturing of other products to third parties. We believe that our manufacturing facilities have sufficient capacity to handle current and future demand. We also contract with certain third-party vendors for the development and manufacture of components that are integrated into our products.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NEW BUSINESS OPPORTUNITIES</w:t>
      </w:r>
    </w:p>
    <w:p>
      <w:pPr>
        <w:spacing w:after="0" w:line="179" w:lineRule="exact"/>
        <w:rPr>
          <w:sz w:val="20"/>
          <w:szCs w:val="20"/>
          <w:color w:val="auto"/>
        </w:rPr>
      </w:pPr>
    </w:p>
    <w:p>
      <w:pPr>
        <w:ind w:left="40" w:right="459"/>
        <w:spacing w:after="0" w:line="256" w:lineRule="auto"/>
        <w:rPr>
          <w:sz w:val="20"/>
          <w:szCs w:val="20"/>
          <w:color w:val="auto"/>
        </w:rPr>
      </w:pPr>
      <w:r>
        <w:rPr>
          <w:rFonts w:ascii="Arial" w:cs="Arial" w:eastAsia="Arial" w:hAnsi="Arial"/>
          <w:sz w:val="16"/>
          <w:szCs w:val="16"/>
          <w:color w:val="auto"/>
        </w:rPr>
        <w:t>From time to time we evaluate opportunities for strategic investments or acquisitions that may complement our current services and products, enhance our technical capabilities, improve or sustain our competitive position or otherwise offer growth opportunities.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GOVERNMENT REGULATIONS</w:t>
      </w:r>
    </w:p>
    <w:p>
      <w:pPr>
        <w:spacing w:after="0" w:line="179"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Our operations, particularly our global satellite operations, Pay-TV operations, our Wireless and Broadband and Satellite Services businesses and our Wireless spectrum licenses are subject to significant government regulation and oversight, primarily by the FCC and, to a certain extent, by Congress, other federal agencies and international, foreign, state and local authorities. We are subject to telecommunications regulation by a number of regulatory bodies including the FCC, other U.S. federal and state regulators and government agencies, the ITU and regulators and governments in other countries and regions where we hold licenses including the E.U., the U.K., India, Australia and several Latin American countries. We are also subject to export control laws and regulations and trade sanctions laws and regulations of the U.S. and other countries with respect to the export of telecommunications equipment and services. In addition, in the U.S. and some other countries, we are subject to country specific approvals of our products.</w:t>
      </w:r>
    </w:p>
    <w:p>
      <w:pPr>
        <w:spacing w:after="0" w:line="152"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auto"/>
        </w:rPr>
        <w:t>Depending upon the circumstances, non-compliance with applicable legislation or regulations could result in suspension or revocation of our licenses or authorizations, acceleration of requirements, the termination or loss of contracts or the imposition of contractual damages, civil fines or criminal penalties, any of which could have a material adverse effect on our business, financial condition and results of operations. These governmental authorities could also adopt regulations or take other actions that would adversely affect our business prospects.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99"/>
        <w:spacing w:after="0" w:line="244" w:lineRule="auto"/>
        <w:rPr>
          <w:sz w:val="20"/>
          <w:szCs w:val="20"/>
          <w:color w:val="auto"/>
        </w:rPr>
      </w:pPr>
      <w:r>
        <w:rPr>
          <w:rFonts w:ascii="Arial" w:cs="Arial" w:eastAsia="Arial" w:hAnsi="Arial"/>
          <w:sz w:val="16"/>
          <w:szCs w:val="16"/>
          <w:color w:val="auto"/>
        </w:rPr>
        <w:t>Furthermore, any government policy changes, which may be substantial, could increase regulatory uncertainty. The adoption or modification of laws or regulations relating to video programming distribution, satellite services, wireless telecommunications, broadband, the Internet or other areas of our business could limit or otherwise adversely affect the manner in which we currently conduct our business. In addition, the manner in which regulations or legislation in these areas may be interpreted and enforced cannot be precisely determined, which in turn could have an adverse effect on our business, financial condition and results of operations.</w:t>
      </w:r>
    </w:p>
    <w:p>
      <w:pPr>
        <w:spacing w:after="0" w:line="148" w:lineRule="exact"/>
        <w:rPr>
          <w:sz w:val="20"/>
          <w:szCs w:val="20"/>
          <w:color w:val="auto"/>
        </w:rPr>
      </w:pPr>
    </w:p>
    <w:p>
      <w:pPr>
        <w:ind w:left="40" w:right="139"/>
        <w:spacing w:after="0" w:line="244" w:lineRule="auto"/>
        <w:rPr>
          <w:sz w:val="20"/>
          <w:szCs w:val="20"/>
          <w:color w:val="auto"/>
        </w:rPr>
      </w:pPr>
      <w:r>
        <w:rPr>
          <w:rFonts w:ascii="Arial" w:cs="Arial" w:eastAsia="Arial" w:hAnsi="Arial"/>
          <w:sz w:val="16"/>
          <w:szCs w:val="16"/>
          <w:color w:val="auto"/>
        </w:rPr>
        <w:t>As detailed below, our Pay-TV operations are subject to FCC jurisdiction, including, without limitation, the FCC’s rules for satellite licensing, placement of satellites, interference avoidance, spectrum sharing and coordination with other satellite systems. We must comply with FCC rules promulgating public interest requirements for DBS providers, security functionality for video providers, technology standards, media ownership, carriage of cable programming and net neutrality. In addition, the Copyright Act of 1976 (the “Copyright Act”) and the Communications Act of 1934 (the “Communications Act”) govern our carriage of broadcast signals.</w:t>
      </w:r>
    </w:p>
    <w:p>
      <w:pPr>
        <w:spacing w:after="0" w:line="148" w:lineRule="exact"/>
        <w:rPr>
          <w:sz w:val="20"/>
          <w:szCs w:val="20"/>
          <w:color w:val="auto"/>
        </w:rPr>
      </w:pPr>
    </w:p>
    <w:p>
      <w:pPr>
        <w:ind w:left="40" w:right="119"/>
        <w:spacing w:after="0"/>
        <w:rPr>
          <w:sz w:val="20"/>
          <w:szCs w:val="20"/>
          <w:color w:val="auto"/>
        </w:rPr>
      </w:pPr>
      <w:r>
        <w:rPr>
          <w:rFonts w:ascii="Arial" w:cs="Arial" w:eastAsia="Arial" w:hAnsi="Arial"/>
          <w:sz w:val="16"/>
          <w:szCs w:val="16"/>
          <w:color w:val="auto"/>
        </w:rPr>
        <w:t>Our 5G Network Deployment services and our Wireless spectrum licenses are subject to regulation by the FCC and, depending on the jurisdiction, other federal, state and local, as well as international, governmental authorities and regulatory agencies, including, among other things, regulations governing the licensing, construction, operation, sale and interconnection arrangements of wireless telecommunications systems. In particular, the FCC imposes significant regulation on licensees of wireless spectrum with respect to how radio spectrum is used by licensees, the nature of the services that licensees may offer and how the services may be offered, and resolution of issues of interference between spectrum bands. The FCC grants wireless licenses for terms of generally 10-12 years that are subject to renewal or revocation. There can be no assurances that our Wireless spectrum licenses will be renewed. Failure to comply with FCC build-out requirements in a given license area may result in acceleration of other build-out requirements or in the modification, cancellation or non-renewal of licenses. For further information related to our licenses and build-out requirements related to our Wireless spectrum licenses see Note 15 in the Notes to our Consolidated Financial Statements in this Annual Report on Form 10-K.</w:t>
      </w:r>
    </w:p>
    <w:p>
      <w:pPr>
        <w:spacing w:after="0" w:line="154"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Our Pay-TV and 5G Network Deployment operations are subject to federal, state and international laws relating to the collection, use, retention, security and transfer of personally identifiable information. The regulatory framework for privacy and security issues worldwide is rapidly evolving and as a result implementation standards and enforcement practices are likely to remain uncertain for the foreseeable future. Any failure by us, our suppliers, or other parties with whom we do business to comply with these standards and practices or with other federal, state or international regulations could result in proceedings against us by governmental entities or others. In many jurisdictions, enforcement actions and consequences for noncompliance are rising. In the United States, these include enforcement actions in response to rules and regulations promulgated under the authority of federal agencies and state attorneys general and legislatures and consumer protection agencies.</w:t>
      </w:r>
    </w:p>
    <w:p>
      <w:pPr>
        <w:spacing w:after="0" w:line="152" w:lineRule="exact"/>
        <w:rPr>
          <w:sz w:val="20"/>
          <w:szCs w:val="20"/>
          <w:color w:val="auto"/>
        </w:rPr>
      </w:pPr>
    </w:p>
    <w:p>
      <w:pPr>
        <w:ind w:left="40" w:right="79"/>
        <w:spacing w:after="0" w:line="244" w:lineRule="auto"/>
        <w:rPr>
          <w:sz w:val="20"/>
          <w:szCs w:val="20"/>
          <w:color w:val="auto"/>
        </w:rPr>
      </w:pPr>
      <w:r>
        <w:rPr>
          <w:rFonts w:ascii="Arial" w:cs="Arial" w:eastAsia="Arial" w:hAnsi="Arial"/>
          <w:sz w:val="16"/>
          <w:szCs w:val="16"/>
          <w:color w:val="auto"/>
        </w:rPr>
        <w:t>The following summary of regulatory developments and legislation in the United States is not intended to describe all present and proposed government regulation and legislation affecting the video programming distribution, satellite services, wireless telecommunications, broadband and Internet industries. Government regulations that are currently the subject of judicial or administrative proceedings, legislative hearings or administrative proposals could change these industries to varying degrees. We cannot predict either the outcome of such proceedings or any potential impact they might have on these industries or on our operations.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FCC Regulations Applicable to Our Operations</w:t>
      </w:r>
    </w:p>
    <w:p>
      <w:pPr>
        <w:spacing w:after="0" w:line="179" w:lineRule="exact"/>
        <w:rPr>
          <w:sz w:val="20"/>
          <w:szCs w:val="20"/>
          <w:color w:val="auto"/>
        </w:rPr>
      </w:pPr>
    </w:p>
    <w:p>
      <w:pPr>
        <w:ind w:left="40" w:right="299"/>
        <w:spacing w:after="0" w:line="249" w:lineRule="auto"/>
        <w:rPr>
          <w:sz w:val="20"/>
          <w:szCs w:val="20"/>
          <w:color w:val="auto"/>
        </w:rPr>
      </w:pPr>
      <w:r>
        <w:rPr>
          <w:rFonts w:ascii="Arial" w:cs="Arial" w:eastAsia="Arial" w:hAnsi="Arial"/>
          <w:sz w:val="16"/>
          <w:szCs w:val="16"/>
          <w:b w:val="1"/>
          <w:bCs w:val="1"/>
          <w:i w:val="1"/>
          <w:iCs w:val="1"/>
          <w:color w:val="auto"/>
        </w:rPr>
        <w:t>FCC Jurisdiction over Satellite Operations</w:t>
      </w:r>
      <w:r>
        <w:rPr>
          <w:rFonts w:ascii="Arial" w:cs="Arial" w:eastAsia="Arial" w:hAnsi="Arial"/>
          <w:sz w:val="16"/>
          <w:szCs w:val="16"/>
          <w:color w:val="auto"/>
        </w:rPr>
        <w:t>. Non-governmental bodies, including commercial entities, that use radio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frequencies to provide communications services to, from or within the U.S. are subject to the jurisdiction of the FCC under the Communications Act of 1934, as amended (the “Communications Act”). The Communications Act gives the FCC regulatory jurisdiction over many areas relating to communications operations, including:</w:t>
      </w:r>
    </w:p>
    <w:p>
      <w:pPr>
        <w:spacing w:after="0" w:line="144" w:lineRule="exact"/>
        <w:rPr>
          <w:sz w:val="20"/>
          <w:szCs w:val="20"/>
          <w:color w:val="auto"/>
        </w:rPr>
      </w:pPr>
    </w:p>
    <w:p>
      <w:pPr>
        <w:ind w:left="640" w:right="219" w:hanging="284"/>
        <w:spacing w:after="0" w:line="247"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assignment of satellite radio frequencies and orbital locations to specific services and companies, the licensing of satellites and earth stations and the granting of related authorizations;</w:t>
      </w:r>
    </w:p>
    <w:p>
      <w:pPr>
        <w:jc w:val="both"/>
        <w:ind w:left="640" w:right="79" w:hanging="284"/>
        <w:spacing w:after="0" w:line="236"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approval for the relocation of satellites to different orbital locations, the replacement of a satellite with another new or existing satellite and the authorization of specific earth stations to communicate with such newly relocated satellites;</w:t>
      </w:r>
    </w:p>
    <w:p>
      <w:pPr>
        <w:spacing w:after="0" w:line="1" w:lineRule="exact"/>
        <w:rPr>
          <w:rFonts w:ascii="Arial" w:cs="Arial" w:eastAsia="Arial" w:hAnsi="Arial"/>
          <w:sz w:val="16"/>
          <w:szCs w:val="16"/>
          <w:color w:val="auto"/>
        </w:rPr>
      </w:pPr>
    </w:p>
    <w:p>
      <w:pPr>
        <w:ind w:left="640" w:hanging="284"/>
        <w:spacing w:after="0" w:line="236"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ensuring compliance with the terms and conditions of assignments, licenses, authorizations and approvals;</w:t>
      </w:r>
    </w:p>
    <w:p>
      <w:pPr>
        <w:ind w:left="640" w:hanging="284"/>
        <w:spacing w:after="0" w:line="236"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avoiding harmful interference with other radio frequency emitters; and</w:t>
      </w:r>
    </w:p>
    <w:p>
      <w:pPr>
        <w:ind w:left="640" w:hanging="284"/>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ensuring compliance with other applicable provisions of the Communications Act and FCC rules and regulations.</w:t>
      </w:r>
    </w:p>
    <w:p>
      <w:pPr>
        <w:spacing w:after="0" w:line="163" w:lineRule="exact"/>
        <w:rPr>
          <w:sz w:val="20"/>
          <w:szCs w:val="20"/>
          <w:color w:val="auto"/>
        </w:rPr>
      </w:pPr>
    </w:p>
    <w:p>
      <w:pPr>
        <w:ind w:left="40" w:right="79"/>
        <w:spacing w:after="0" w:line="239" w:lineRule="auto"/>
        <w:rPr>
          <w:sz w:val="20"/>
          <w:szCs w:val="20"/>
          <w:color w:val="auto"/>
        </w:rPr>
      </w:pPr>
      <w:r>
        <w:rPr>
          <w:rFonts w:ascii="Arial" w:cs="Arial" w:eastAsia="Arial" w:hAnsi="Arial"/>
          <w:sz w:val="16"/>
          <w:szCs w:val="16"/>
          <w:color w:val="auto"/>
        </w:rPr>
        <w:t>We hold licenses and authorizations for satellite and earth stations as well as other services. All satellite licenses issued by the FCC are subject to expiration unless extended by the FCC. Our U.S. FSS licenses generally have 15 year terms. Our DBS licenses generally have 10 year terms. Our licenses are currently set to expire at various times. In addition, at various times we have relied on special temporary authorizations for our operations. A special temporary authorization is granted for a period of only 180 days or less, subject to possible renewal by the FCC. From time to time, we apply for authorizations to use new satellites at our existing orbital locations. To obtain and operate under such FCC licenses and authorizations, we must satisfy strict legal, technical and financial qualification requirements and other conditions including, among other things, satisfaction of certain technical and ongoing due diligence obligations, construction milestones, maintaining bonds, payment of annual regulatory fees and various reporting requirements. Generally, our FCC licenses and special temporary authorizations have been renewed, and our applications for new satellites at our existing orbital locations have been approved, by the FCC on a routine basis, but there can be no assurance that the FCC will continue to do so. Several third parties have opposed in the past, and we expect these or other parties to oppose in the future, some of our FCC satellite authorizations and pending and future requests to the FCC for extensions, modifications, waivers and approvals of our licenses. Necessary federal approval of these applications may not be granted, may not be granted in a timely manner, or may be granted subject to conditions that may be cumbersome. It is also possible the FCC could revoke or terminate certain of our authorizations or licenses if we do not meet the legal, technical and financial requirements discussed above.</w:t>
      </w:r>
    </w:p>
    <w:p>
      <w:pPr>
        <w:spacing w:after="0" w:line="142" w:lineRule="exact"/>
        <w:rPr>
          <w:sz w:val="20"/>
          <w:szCs w:val="20"/>
          <w:color w:val="auto"/>
        </w:rPr>
      </w:pPr>
    </w:p>
    <w:p>
      <w:pPr>
        <w:ind w:left="40" w:right="59"/>
        <w:spacing w:after="0" w:line="239" w:lineRule="auto"/>
        <w:rPr>
          <w:sz w:val="20"/>
          <w:szCs w:val="20"/>
          <w:color w:val="auto"/>
        </w:rPr>
      </w:pPr>
      <w:r>
        <w:rPr>
          <w:rFonts w:ascii="Arial" w:cs="Arial" w:eastAsia="Arial" w:hAnsi="Arial"/>
          <w:sz w:val="16"/>
          <w:szCs w:val="16"/>
          <w:b w:val="1"/>
          <w:bCs w:val="1"/>
          <w:i w:val="1"/>
          <w:iCs w:val="1"/>
          <w:color w:val="auto"/>
        </w:rPr>
        <w:t>Overview of our DBS Satellites, Authorizations and Contractual Rights for Satellite Capacity</w:t>
      </w:r>
      <w:r>
        <w:rPr>
          <w:rFonts w:ascii="Arial" w:cs="Arial" w:eastAsia="Arial" w:hAnsi="Arial"/>
          <w:sz w:val="16"/>
          <w:szCs w:val="16"/>
          <w:color w:val="auto"/>
        </w:rPr>
        <w:t>. Our satellites are located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orbital positions, or slots, that are designated by their western longitude. An orbital position describes both a physical</w:t>
      </w:r>
    </w:p>
    <w:p>
      <w:pPr>
        <w:ind w:left="40"/>
        <w:spacing w:after="0" w:line="237" w:lineRule="auto"/>
        <w:rPr>
          <w:sz w:val="20"/>
          <w:szCs w:val="20"/>
          <w:color w:val="auto"/>
        </w:rPr>
      </w:pPr>
      <w:r>
        <w:rPr>
          <w:rFonts w:ascii="Arial" w:cs="Arial" w:eastAsia="Arial" w:hAnsi="Arial"/>
          <w:sz w:val="16"/>
          <w:szCs w:val="16"/>
          <w:color w:val="auto"/>
        </w:rPr>
        <w:t>location and an assignment of spectrum in the applicable frequency band. Each DBS orbital position has 500 MHz of</w:t>
      </w:r>
    </w:p>
    <w:p>
      <w:pPr>
        <w:ind w:left="40" w:right="219"/>
        <w:spacing w:after="0" w:line="228" w:lineRule="auto"/>
        <w:rPr>
          <w:sz w:val="20"/>
          <w:szCs w:val="20"/>
          <w:color w:val="auto"/>
        </w:rPr>
      </w:pPr>
      <w:r>
        <w:rPr>
          <w:rFonts w:ascii="Arial" w:cs="Arial" w:eastAsia="Arial" w:hAnsi="Arial"/>
          <w:sz w:val="16"/>
          <w:szCs w:val="16"/>
          <w:color w:val="auto"/>
        </w:rPr>
        <w:t>available Ku-band spectrum that is divided into 32 frequency channels. Several of our satellites also include spot-beam technology that enables us to increase the number of markets where we provide local channels, but reduces the number of</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video channels that could otherwise be offered across the entire United States.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FCC has licensed us to operate a total of 82 DBS frequency channels at the following orbital locations:</w:t>
      </w:r>
    </w:p>
    <w:p>
      <w:pPr>
        <w:spacing w:after="0" w:line="179" w:lineRule="exact"/>
        <w:rPr>
          <w:sz w:val="20"/>
          <w:szCs w:val="20"/>
          <w:color w:val="auto"/>
        </w:rPr>
      </w:pPr>
    </w:p>
    <w:p>
      <w:pPr>
        <w:ind w:left="940" w:right="339" w:hanging="293"/>
        <w:spacing w:after="0" w:line="246" w:lineRule="auto"/>
        <w:tabs>
          <w:tab w:leader="none" w:pos="9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21 DBS frequency channels at the 119 degree orbital location, capable of providing service to the continental United States (“CONUS”); and</w:t>
      </w:r>
    </w:p>
    <w:p>
      <w:pPr>
        <w:spacing w:after="0" w:line="1" w:lineRule="exact"/>
        <w:rPr>
          <w:rFonts w:ascii="Times New Roman" w:cs="Times New Roman" w:eastAsia="Times New Roman" w:hAnsi="Times New Roman"/>
          <w:sz w:val="16"/>
          <w:szCs w:val="16"/>
          <w:color w:val="auto"/>
        </w:rPr>
      </w:pPr>
    </w:p>
    <w:p>
      <w:pPr>
        <w:ind w:left="940" w:hanging="293"/>
        <w:spacing w:after="0"/>
        <w:tabs>
          <w:tab w:leader="none" w:pos="9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29 DBS frequency channels at the 110 degree orbital location, capable of providing service to CONUS; and</w:t>
      </w:r>
    </w:p>
    <w:p>
      <w:pPr>
        <w:spacing w:after="0" w:line="8" w:lineRule="exact"/>
        <w:rPr>
          <w:rFonts w:ascii="Times New Roman" w:cs="Times New Roman" w:eastAsia="Times New Roman" w:hAnsi="Times New Roman"/>
          <w:sz w:val="16"/>
          <w:szCs w:val="16"/>
          <w:color w:val="auto"/>
        </w:rPr>
      </w:pPr>
    </w:p>
    <w:p>
      <w:pPr>
        <w:ind w:left="940" w:right="439" w:hanging="293"/>
        <w:spacing w:after="0" w:line="245" w:lineRule="auto"/>
        <w:tabs>
          <w:tab w:leader="none" w:pos="9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32 DBS frequency channels at the 61.5 degree orbital location, capable of providing service to most of the United States – of these 32 channels, 30 are licensed to us and we are authorized to use the additional two channels under a grant of Special Temporary Authority.</w:t>
      </w:r>
    </w:p>
    <w:p>
      <w:pPr>
        <w:spacing w:after="0" w:line="134" w:lineRule="exact"/>
        <w:rPr>
          <w:sz w:val="20"/>
          <w:szCs w:val="20"/>
          <w:color w:val="auto"/>
        </w:rPr>
      </w:pPr>
    </w:p>
    <w:p>
      <w:pPr>
        <w:ind w:left="40" w:right="59"/>
        <w:spacing w:after="0" w:line="275" w:lineRule="auto"/>
        <w:rPr>
          <w:sz w:val="20"/>
          <w:szCs w:val="20"/>
          <w:color w:val="auto"/>
        </w:rPr>
      </w:pPr>
      <w:r>
        <w:rPr>
          <w:rFonts w:ascii="Arial" w:cs="Arial" w:eastAsia="Arial" w:hAnsi="Arial"/>
          <w:sz w:val="16"/>
          <w:szCs w:val="16"/>
          <w:color w:val="auto"/>
        </w:rPr>
        <w:t>In addition, we currently lease or have entered into agreements to lease capacity on satellites using the following spectrum at the following orbital locations:</w:t>
      </w:r>
    </w:p>
    <w:p>
      <w:pPr>
        <w:spacing w:after="0" w:line="123" w:lineRule="exact"/>
        <w:rPr>
          <w:sz w:val="20"/>
          <w:szCs w:val="20"/>
          <w:color w:val="auto"/>
        </w:rPr>
      </w:pPr>
    </w:p>
    <w:p>
      <w:pPr>
        <w:ind w:left="920" w:right="179" w:hanging="289"/>
        <w:spacing w:after="0" w:line="25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500 MHz of Ku-band FSS spectrum that is divided into 18 frequency channels at the 118.7 degree orbital location,</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which is a Canadian FSS slot that is capable of providing service to CONUS, Alaska and Hawaii; and</w:t>
      </w:r>
    </w:p>
    <w:p>
      <w:pPr>
        <w:ind w:left="940" w:right="179" w:hanging="293"/>
        <w:spacing w:after="0" w:line="254" w:lineRule="auto"/>
        <w:tabs>
          <w:tab w:leader="none" w:pos="9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32 DBS frequency channels at the 72.7 degree orbital location, which is a Canadian DBS slot that is capable of providing service to CONUS.</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Interference from Other Services Sharing Satellite Spectrum</w:t>
      </w:r>
      <w:r>
        <w:rPr>
          <w:rFonts w:ascii="Arial" w:cs="Arial" w:eastAsia="Arial" w:hAnsi="Arial"/>
          <w:sz w:val="16"/>
          <w:szCs w:val="16"/>
          <w:color w:val="auto"/>
        </w:rPr>
        <w:t>. Non-geostationary orbit (“NGSO”) FSS satellites are</w:t>
      </w:r>
    </w:p>
    <w:p>
      <w:pPr>
        <w:spacing w:after="0" w:line="14" w:lineRule="exact"/>
        <w:rPr>
          <w:sz w:val="20"/>
          <w:szCs w:val="20"/>
          <w:color w:val="auto"/>
        </w:rPr>
      </w:pPr>
    </w:p>
    <w:p>
      <w:pPr>
        <w:ind w:left="40" w:right="299"/>
        <w:spacing w:after="0" w:line="228" w:lineRule="auto"/>
        <w:rPr>
          <w:sz w:val="20"/>
          <w:szCs w:val="20"/>
          <w:color w:val="auto"/>
        </w:rPr>
      </w:pPr>
      <w:r>
        <w:rPr>
          <w:rFonts w:ascii="Arial" w:cs="Arial" w:eastAsia="Arial" w:hAnsi="Arial"/>
          <w:sz w:val="16"/>
          <w:szCs w:val="16"/>
          <w:color w:val="auto"/>
        </w:rPr>
        <w:t>permitted to operate on a co-primary basis in the same frequency band as our DBS and geostationary orbit (“GSO”) FSS satellites. The FCC has also authorized the use of multichannel video distribution and data service (“MVDDS”) licenses in</w:t>
      </w:r>
    </w:p>
    <w:p>
      <w:pPr>
        <w:ind w:left="40"/>
        <w:spacing w:after="0" w:line="238" w:lineRule="auto"/>
        <w:rPr>
          <w:sz w:val="20"/>
          <w:szCs w:val="20"/>
          <w:color w:val="auto"/>
        </w:rPr>
      </w:pPr>
      <w:r>
        <w:rPr>
          <w:rFonts w:ascii="Arial" w:cs="Arial" w:eastAsia="Arial" w:hAnsi="Arial"/>
          <w:sz w:val="16"/>
          <w:szCs w:val="16"/>
          <w:color w:val="auto"/>
        </w:rPr>
        <w:t>the DBS band. MVDDS licenses were auctioned in 2004. MVDDS systems have been commercially deployed in a few</w:t>
      </w:r>
    </w:p>
    <w:p>
      <w:pPr>
        <w:ind w:left="40" w:right="379"/>
        <w:spacing w:after="0" w:line="228" w:lineRule="auto"/>
        <w:rPr>
          <w:sz w:val="20"/>
          <w:szCs w:val="20"/>
          <w:color w:val="auto"/>
        </w:rPr>
      </w:pPr>
      <w:r>
        <w:rPr>
          <w:rFonts w:ascii="Arial" w:cs="Arial" w:eastAsia="Arial" w:hAnsi="Arial"/>
          <w:sz w:val="16"/>
          <w:szCs w:val="16"/>
          <w:color w:val="auto"/>
        </w:rPr>
        <w:t>markets. We have MVDDS licenses in 82 out of 214 geographical license areas, including Los Angeles, New York City, Chicago and several other major metropolitan areas. The FCC currently has an open proceeding considering whether to</w:t>
      </w:r>
    </w:p>
    <w:p>
      <w:pPr>
        <w:spacing w:after="0" w:line="1" w:lineRule="exact"/>
        <w:rPr>
          <w:sz w:val="20"/>
          <w:szCs w:val="20"/>
          <w:color w:val="auto"/>
        </w:rPr>
      </w:pPr>
    </w:p>
    <w:p>
      <w:pPr>
        <w:ind w:left="40" w:right="319"/>
        <w:spacing w:after="0" w:line="255" w:lineRule="auto"/>
        <w:rPr>
          <w:sz w:val="20"/>
          <w:szCs w:val="20"/>
          <w:color w:val="auto"/>
        </w:rPr>
      </w:pPr>
      <w:r>
        <w:rPr>
          <w:rFonts w:ascii="Arial" w:cs="Arial" w:eastAsia="Arial" w:hAnsi="Arial"/>
          <w:sz w:val="16"/>
          <w:szCs w:val="16"/>
          <w:color w:val="auto"/>
        </w:rPr>
        <w:t>permit MVDDS licensees to become Fixed Service operators. We cannot predict either the outcome of this proceeding or any potential impact it might have on our operations.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Despite regulatory provisions intended to protect DBS and FSS operations from harmful interference, there can be no</w:t>
      </w:r>
    </w:p>
    <w:p>
      <w:pPr>
        <w:spacing w:after="0" w:line="14" w:lineRule="exact"/>
        <w:rPr>
          <w:sz w:val="20"/>
          <w:szCs w:val="20"/>
          <w:color w:val="auto"/>
        </w:rPr>
      </w:pPr>
    </w:p>
    <w:p>
      <w:pPr>
        <w:ind w:left="40" w:right="259"/>
        <w:spacing w:after="0" w:line="228" w:lineRule="auto"/>
        <w:rPr>
          <w:sz w:val="20"/>
          <w:szCs w:val="20"/>
          <w:color w:val="auto"/>
        </w:rPr>
      </w:pPr>
      <w:r>
        <w:rPr>
          <w:rFonts w:ascii="Arial" w:cs="Arial" w:eastAsia="Arial" w:hAnsi="Arial"/>
          <w:sz w:val="16"/>
          <w:szCs w:val="16"/>
          <w:color w:val="auto"/>
        </w:rPr>
        <w:t>assurance that operations by other satellites or terrestrial communication services in the DBS and FSS bands will not interfere with our DBS and FSS operations and adversely affect our business. SpaceX, Amazon’s Project Kuiper (“Kuiper”)</w:t>
      </w:r>
    </w:p>
    <w:p>
      <w:pPr>
        <w:ind w:left="40"/>
        <w:spacing w:after="0" w:line="238" w:lineRule="auto"/>
        <w:rPr>
          <w:sz w:val="20"/>
          <w:szCs w:val="20"/>
          <w:color w:val="auto"/>
        </w:rPr>
      </w:pPr>
      <w:r>
        <w:rPr>
          <w:rFonts w:ascii="Arial" w:cs="Arial" w:eastAsia="Arial" w:hAnsi="Arial"/>
          <w:sz w:val="16"/>
          <w:szCs w:val="16"/>
          <w:color w:val="auto"/>
        </w:rPr>
        <w:t>and others have obtained FCC authority to launch and operate, or provide service from, NGSO satellite systems using a</w:t>
      </w:r>
    </w:p>
    <w:p>
      <w:pPr>
        <w:ind w:left="40" w:right="79"/>
        <w:spacing w:after="0" w:line="228" w:lineRule="auto"/>
        <w:rPr>
          <w:sz w:val="20"/>
          <w:szCs w:val="20"/>
          <w:color w:val="auto"/>
        </w:rPr>
      </w:pPr>
      <w:r>
        <w:rPr>
          <w:rFonts w:ascii="Arial" w:cs="Arial" w:eastAsia="Arial" w:hAnsi="Arial"/>
          <w:sz w:val="16"/>
          <w:szCs w:val="16"/>
          <w:color w:val="auto"/>
        </w:rPr>
        <w:t>variety of spectrum bands, including the 12.2-12.7 GHz band, which we use for our DBS service, and where we also have certain licenses to provide one-way terrestrial MVDDS service. These systems are in the early stages of launch, deployment</w:t>
      </w:r>
    </w:p>
    <w:p>
      <w:pPr>
        <w:ind w:left="40"/>
        <w:spacing w:after="0" w:line="238" w:lineRule="auto"/>
        <w:rPr>
          <w:sz w:val="20"/>
          <w:szCs w:val="20"/>
          <w:color w:val="auto"/>
        </w:rPr>
      </w:pPr>
      <w:r>
        <w:rPr>
          <w:rFonts w:ascii="Arial" w:cs="Arial" w:eastAsia="Arial" w:hAnsi="Arial"/>
          <w:sz w:val="16"/>
          <w:szCs w:val="16"/>
          <w:color w:val="auto"/>
        </w:rPr>
        <w:t>and operation. When fully deployed by SpaceX, Kuiper and others, there will be tens of thousands of NGSO satellites in</w:t>
      </w:r>
    </w:p>
    <w:p>
      <w:pPr>
        <w:ind w:left="40" w:right="339"/>
        <w:spacing w:after="0" w:line="239" w:lineRule="auto"/>
        <w:rPr>
          <w:sz w:val="20"/>
          <w:szCs w:val="20"/>
          <w:color w:val="auto"/>
        </w:rPr>
      </w:pPr>
      <w:r>
        <w:rPr>
          <w:rFonts w:ascii="Arial" w:cs="Arial" w:eastAsia="Arial" w:hAnsi="Arial"/>
          <w:sz w:val="16"/>
          <w:szCs w:val="16"/>
          <w:color w:val="auto"/>
        </w:rPr>
        <w:t>orbit sharing our spectrum. There can be no assurance that they will not interfere with our DBS operations and adversely affect our business or that they will not hinder our ability to provide MVDDS service.</w:t>
      </w:r>
    </w:p>
    <w:p>
      <w:pPr>
        <w:spacing w:after="0" w:line="150" w:lineRule="exact"/>
        <w:rPr>
          <w:sz w:val="20"/>
          <w:szCs w:val="20"/>
          <w:color w:val="auto"/>
        </w:rPr>
      </w:pPr>
    </w:p>
    <w:p>
      <w:pPr>
        <w:ind w:left="40" w:right="239"/>
        <w:spacing w:after="0" w:line="239" w:lineRule="auto"/>
        <w:rPr>
          <w:sz w:val="20"/>
          <w:szCs w:val="20"/>
          <w:color w:val="auto"/>
        </w:rPr>
      </w:pPr>
      <w:r>
        <w:rPr>
          <w:rFonts w:ascii="Arial" w:cs="Arial" w:eastAsia="Arial" w:hAnsi="Arial"/>
          <w:sz w:val="16"/>
          <w:szCs w:val="16"/>
          <w:b w:val="1"/>
          <w:bCs w:val="1"/>
          <w:i w:val="1"/>
          <w:iCs w:val="1"/>
          <w:color w:val="auto"/>
        </w:rPr>
        <w:t>Satellite Competition from Additional Slots and Interference</w:t>
      </w:r>
      <w:r>
        <w:rPr>
          <w:rFonts w:ascii="Arial" w:cs="Arial" w:eastAsia="Arial" w:hAnsi="Arial"/>
          <w:sz w:val="16"/>
          <w:szCs w:val="16"/>
          <w:color w:val="auto"/>
        </w:rPr>
        <w:t>. Both DirecTV and us have obtained FCC authority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service to the United States from a Canadian DBS orbital slot. The possibility that the FCC will allow service to the</w:t>
      </w:r>
    </w:p>
    <w:p>
      <w:pPr>
        <w:ind w:left="40"/>
        <w:spacing w:after="0" w:line="237" w:lineRule="auto"/>
        <w:rPr>
          <w:sz w:val="20"/>
          <w:szCs w:val="20"/>
          <w:color w:val="auto"/>
        </w:rPr>
      </w:pPr>
      <w:r>
        <w:rPr>
          <w:rFonts w:ascii="Arial" w:cs="Arial" w:eastAsia="Arial" w:hAnsi="Arial"/>
          <w:sz w:val="16"/>
          <w:szCs w:val="16"/>
          <w:color w:val="auto"/>
        </w:rPr>
        <w:t>United States from additional foreign slots may permit additional competition against us from other satellite providers. It may</w:t>
      </w:r>
    </w:p>
    <w:p>
      <w:pPr>
        <w:ind w:left="40" w:right="439"/>
        <w:spacing w:after="0" w:line="228" w:lineRule="auto"/>
        <w:rPr>
          <w:sz w:val="20"/>
          <w:szCs w:val="20"/>
          <w:color w:val="auto"/>
        </w:rPr>
      </w:pPr>
      <w:r>
        <w:rPr>
          <w:rFonts w:ascii="Arial" w:cs="Arial" w:eastAsia="Arial" w:hAnsi="Arial"/>
          <w:sz w:val="16"/>
          <w:szCs w:val="16"/>
          <w:color w:val="auto"/>
        </w:rPr>
        <w:t>also provide a means by which to increase our available satellite capacity in the United States. In addition, a number of administrations, such as Great Britain and the Netherlands, have requested authority to add orbital locations serving the</w:t>
      </w:r>
    </w:p>
    <w:p>
      <w:pPr>
        <w:spacing w:after="0" w:line="1" w:lineRule="exact"/>
        <w:rPr>
          <w:sz w:val="20"/>
          <w:szCs w:val="20"/>
          <w:color w:val="auto"/>
        </w:rPr>
      </w:pPr>
    </w:p>
    <w:p>
      <w:pPr>
        <w:ind w:left="40" w:right="299"/>
        <w:spacing w:after="0" w:line="239" w:lineRule="auto"/>
        <w:rPr>
          <w:sz w:val="20"/>
          <w:szCs w:val="20"/>
          <w:color w:val="auto"/>
        </w:rPr>
      </w:pPr>
      <w:r>
        <w:rPr>
          <w:rFonts w:ascii="Arial" w:cs="Arial" w:eastAsia="Arial" w:hAnsi="Arial"/>
          <w:sz w:val="16"/>
          <w:szCs w:val="16"/>
          <w:color w:val="auto"/>
        </w:rPr>
        <w:t>United States close to our licensed slots. Such operations could cause harmful interference to our satellites and constrain our future operations.</w:t>
      </w:r>
    </w:p>
    <w:p>
      <w:pPr>
        <w:spacing w:after="0" w:line="150" w:lineRule="exact"/>
        <w:rPr>
          <w:sz w:val="20"/>
          <w:szCs w:val="20"/>
          <w:color w:val="auto"/>
        </w:rPr>
      </w:pPr>
    </w:p>
    <w:p>
      <w:pPr>
        <w:ind w:left="40" w:right="79"/>
        <w:spacing w:after="0" w:line="239" w:lineRule="auto"/>
        <w:rPr>
          <w:sz w:val="20"/>
          <w:szCs w:val="20"/>
          <w:color w:val="auto"/>
        </w:rPr>
      </w:pPr>
      <w:r>
        <w:rPr>
          <w:rFonts w:ascii="Arial" w:cs="Arial" w:eastAsia="Arial" w:hAnsi="Arial"/>
          <w:sz w:val="16"/>
          <w:szCs w:val="16"/>
          <w:b w:val="1"/>
          <w:bCs w:val="1"/>
          <w:i w:val="1"/>
          <w:iCs w:val="1"/>
          <w:color w:val="auto"/>
        </w:rPr>
        <w:t>Public Interest Requirements</w:t>
      </w:r>
      <w:r>
        <w:rPr>
          <w:rFonts w:ascii="Arial" w:cs="Arial" w:eastAsia="Arial" w:hAnsi="Arial"/>
          <w:sz w:val="16"/>
          <w:szCs w:val="16"/>
          <w:color w:val="auto"/>
        </w:rPr>
        <w:t>. The FCC imposes certain public interest obligations on our DBS licenses.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require us to set aside four percent of our channel capacity exclusively for noncommercial programming for which</w:t>
      </w:r>
    </w:p>
    <w:p>
      <w:pPr>
        <w:ind w:left="40"/>
        <w:spacing w:after="0" w:line="237" w:lineRule="auto"/>
        <w:rPr>
          <w:sz w:val="20"/>
          <w:szCs w:val="20"/>
          <w:color w:val="auto"/>
        </w:rPr>
      </w:pPr>
      <w:r>
        <w:rPr>
          <w:rFonts w:ascii="Arial" w:cs="Arial" w:eastAsia="Arial" w:hAnsi="Arial"/>
          <w:sz w:val="16"/>
          <w:szCs w:val="16"/>
          <w:color w:val="auto"/>
        </w:rPr>
        <w:t>we must charge programmers below-cost rates and for which we may not impose additional charges on subscribers. The</w:t>
      </w:r>
    </w:p>
    <w:p>
      <w:pPr>
        <w:ind w:left="40" w:right="79"/>
        <w:spacing w:after="0" w:line="228" w:lineRule="auto"/>
        <w:rPr>
          <w:sz w:val="20"/>
          <w:szCs w:val="20"/>
          <w:color w:val="auto"/>
        </w:rPr>
      </w:pPr>
      <w:r>
        <w:rPr>
          <w:rFonts w:ascii="Arial" w:cs="Arial" w:eastAsia="Arial" w:hAnsi="Arial"/>
          <w:sz w:val="16"/>
          <w:szCs w:val="16"/>
          <w:color w:val="auto"/>
        </w:rPr>
        <w:t>Satellite Television Extension and Localism Act of 2010 (“STELA”) required the FCC to decrease this set-aside to 3.5 percent for satellite carriers who provide retransmission of state public affairs networks in 15 states and are otherwise qualified. The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FCC, however, has not yet determined whether we qualify for this decrease in set-aside.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right="79"/>
        <w:spacing w:after="0" w:line="247" w:lineRule="auto"/>
        <w:rPr>
          <w:sz w:val="20"/>
          <w:szCs w:val="20"/>
          <w:color w:val="auto"/>
        </w:rPr>
      </w:pPr>
      <w:r>
        <w:rPr>
          <w:rFonts w:ascii="Arial" w:cs="Arial" w:eastAsia="Arial" w:hAnsi="Arial"/>
          <w:sz w:val="16"/>
          <w:szCs w:val="16"/>
          <w:color w:val="auto"/>
        </w:rPr>
        <w:t>The obligation to provide noncommercial programming may displace programming for which we could earn commercial rates and could adversely affect our financial results. We cannot be sure that, if the FCC were to review our methodology for</w:t>
      </w:r>
    </w:p>
    <w:p>
      <w:pPr>
        <w:ind w:left="40" w:right="119"/>
        <w:spacing w:after="0" w:line="239" w:lineRule="auto"/>
        <w:rPr>
          <w:sz w:val="20"/>
          <w:szCs w:val="20"/>
          <w:color w:val="auto"/>
        </w:rPr>
      </w:pPr>
      <w:r>
        <w:rPr>
          <w:rFonts w:ascii="Arial" w:cs="Arial" w:eastAsia="Arial" w:hAnsi="Arial"/>
          <w:sz w:val="16"/>
          <w:szCs w:val="16"/>
          <w:color w:val="auto"/>
        </w:rPr>
        <w:t>processing public interest carriage requests, computing the channel capacity we must set aside or determining the rates that we charge public interest programmers, it would find them in compliance with the public interest requirements.</w:t>
      </w:r>
    </w:p>
    <w:p>
      <w:pPr>
        <w:spacing w:after="0" w:line="162"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b w:val="1"/>
          <w:bCs w:val="1"/>
          <w:i w:val="1"/>
          <w:iCs w:val="1"/>
          <w:color w:val="auto"/>
        </w:rPr>
        <w:t>Retransmission Consent</w:t>
      </w:r>
      <w:r>
        <w:rPr>
          <w:rFonts w:ascii="Arial" w:cs="Arial" w:eastAsia="Arial" w:hAnsi="Arial"/>
          <w:sz w:val="16"/>
          <w:szCs w:val="16"/>
          <w:color w:val="auto"/>
        </w:rPr>
        <w:t>. The Copyright Act generally gives satellite companies a statutory copyright license to retransmit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local broadcast channels by satellite back into the market from which they originated, subject to obtaining the retransmission consent of local network stations that do not elect “must carry” status, as required by the Communications Act. If we fail to reach retransmission consent agreements with such broadcasters, we cannot carry their signals. This could have an adverse effect on our strategy to compete with cable and other satellite companies that provide local signals. While we have been able to reach retransmission consent agreements with most of these local network stations, from time to time, there are stations with which we have not been able to reach an agreement. We cannot be sure that we will secure these agreements or that we will secure new agreements on acceptable terms, or at all, upon the expiration of our current retransmission consent agreements, some of which are short-term.</w:t>
      </w:r>
    </w:p>
    <w:p>
      <w:pPr>
        <w:spacing w:after="0" w:line="152" w:lineRule="exact"/>
        <w:rPr>
          <w:sz w:val="20"/>
          <w:szCs w:val="20"/>
          <w:color w:val="auto"/>
        </w:rPr>
      </w:pPr>
    </w:p>
    <w:p>
      <w:pPr>
        <w:ind w:left="40" w:right="219"/>
        <w:spacing w:after="0" w:line="241" w:lineRule="auto"/>
        <w:rPr>
          <w:sz w:val="20"/>
          <w:szCs w:val="20"/>
          <w:color w:val="auto"/>
        </w:rPr>
      </w:pPr>
      <w:r>
        <w:rPr>
          <w:rFonts w:ascii="Arial" w:cs="Arial" w:eastAsia="Arial" w:hAnsi="Arial"/>
          <w:sz w:val="16"/>
          <w:szCs w:val="16"/>
          <w:color w:val="auto"/>
        </w:rPr>
        <w:t>In recent years, the rates we are charged for retransmitting local channels have been increasing substantially and may exceed our ability to increase our prices to our customers, which could have a material adverse effect on our business, financial condition and results of operations. The broadcast stations’ demands for higher rates have resulted in more frequent negotiating impasses and programming interruptions. During these programming interruptions, our subscribers in the affected markets lack access to popular programming and may switch to another multichannel distributor that may be able to provide them with such programming. In addition, the national broadcasters have used their ownership of certain local broadcast stations to require us to carry additional cable programming in exchange for retransmission consent of their local broadcast stations. These requirements may place constraints on available capacity on our satellites for other programming.</w:t>
      </w:r>
    </w:p>
    <w:p>
      <w:pPr>
        <w:spacing w:after="0" w:line="152" w:lineRule="exact"/>
        <w:rPr>
          <w:sz w:val="20"/>
          <w:szCs w:val="20"/>
          <w:color w:val="auto"/>
        </w:rPr>
      </w:pPr>
    </w:p>
    <w:p>
      <w:pPr>
        <w:ind w:left="40" w:right="279"/>
        <w:spacing w:after="0" w:line="242" w:lineRule="auto"/>
        <w:rPr>
          <w:sz w:val="20"/>
          <w:szCs w:val="20"/>
          <w:color w:val="auto"/>
        </w:rPr>
      </w:pPr>
      <w:r>
        <w:rPr>
          <w:rFonts w:ascii="Arial" w:cs="Arial" w:eastAsia="Arial" w:hAnsi="Arial"/>
          <w:sz w:val="16"/>
          <w:szCs w:val="16"/>
          <w:color w:val="auto"/>
        </w:rPr>
        <w:t>The STELA Reauthorization Act of 2014 (“STELAR”) prohibits television stations from coordinating or engaging in joint retransmission consent negotiations with any other local television stations, unless the stations are “directly or indirectly under common de jure control,” expanding a previous FCC ruling prohibiting joint negotiations only among the top four stations in a market. In addition, STELAR prohibits a local television station from limiting an MVPD’s ability to carry other television signals that have been deemed by the FCC to be “significantly viewed” or to carry any other television signal the MVPD is otherwise entitled to carry under the Communications Act, unless such stations are “directly or indirectly under common de jure control” pursuant to FCC regulations. We cannot predict if these restrictions on broadcasters will result in more effective retransmission consent negotiations.</w:t>
      </w:r>
    </w:p>
    <w:p>
      <w:pPr>
        <w:spacing w:after="0" w:line="150"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b w:val="1"/>
          <w:bCs w:val="1"/>
          <w:i w:val="1"/>
          <w:iCs w:val="1"/>
          <w:color w:val="auto"/>
        </w:rPr>
        <w:t>Early Termination Fees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December 2023, the FCC released a Notice of Proposed Rulemaking seeking comment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proposals that would prohibit pay-TV providers from imposing early termination fees on consumers and from practices that require customers who cancel service mid-billing cycle to pay for a complete cycle. If adopted, such prohibitions could impact our pricing and packages. We cannot predict the timing or outcome of this proceeding.</w:t>
      </w:r>
    </w:p>
    <w:p>
      <w:pPr>
        <w:spacing w:after="0" w:line="144" w:lineRule="exact"/>
        <w:rPr>
          <w:sz w:val="20"/>
          <w:szCs w:val="20"/>
          <w:color w:val="auto"/>
        </w:rPr>
      </w:pPr>
    </w:p>
    <w:p>
      <w:pPr>
        <w:ind w:left="40" w:right="219"/>
        <w:spacing w:after="0" w:line="249" w:lineRule="auto"/>
        <w:rPr>
          <w:sz w:val="20"/>
          <w:szCs w:val="20"/>
          <w:color w:val="auto"/>
        </w:rPr>
      </w:pPr>
      <w:r>
        <w:rPr>
          <w:rFonts w:ascii="Arial" w:cs="Arial" w:eastAsia="Arial" w:hAnsi="Arial"/>
          <w:sz w:val="16"/>
          <w:szCs w:val="16"/>
          <w:b w:val="1"/>
          <w:bCs w:val="1"/>
          <w:i w:val="1"/>
          <w:iCs w:val="1"/>
          <w:color w:val="auto"/>
        </w:rPr>
        <w:t xml:space="preserve">Blackout Rebates. </w:t>
      </w:r>
      <w:r>
        <w:rPr>
          <w:rFonts w:ascii="Arial" w:cs="Arial" w:eastAsia="Arial" w:hAnsi="Arial"/>
          <w:sz w:val="16"/>
          <w:szCs w:val="16"/>
          <w:color w:val="auto"/>
        </w:rPr>
        <w:t>In January 2024, the FCC released a Notice of Proposed Rulemaking seeking comment on a proposal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would require MVPDs to issue rebates to subscribers during programming blackouts on both broadcast and non-broadcast networks that result from failed negotiations. If adopted, such requirements could negatively impact our carriage negotiations. We cannot predict the timing or outcome of this proceeding.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119"/>
        <w:spacing w:after="0"/>
        <w:rPr>
          <w:sz w:val="20"/>
          <w:szCs w:val="20"/>
          <w:color w:val="auto"/>
        </w:rPr>
      </w:pPr>
      <w:r>
        <w:rPr>
          <w:rFonts w:ascii="Arial" w:cs="Arial" w:eastAsia="Arial" w:hAnsi="Arial"/>
          <w:sz w:val="16"/>
          <w:szCs w:val="16"/>
          <w:b w:val="1"/>
          <w:bCs w:val="1"/>
          <w:i w:val="1"/>
          <w:iCs w:val="1"/>
          <w:color w:val="auto"/>
        </w:rPr>
        <w:t xml:space="preserve">Media Ownership Rules. </w:t>
      </w:r>
      <w:r>
        <w:rPr>
          <w:rFonts w:ascii="Arial" w:cs="Arial" w:eastAsia="Arial" w:hAnsi="Arial"/>
          <w:sz w:val="16"/>
          <w:szCs w:val="16"/>
          <w:color w:val="auto"/>
        </w:rPr>
        <w:t>In 2016, the broadcast industry petitioned the FCC to relax its media ownership rules,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other things, limit the number of commonly owned TV stations per market and restrict newspaper/broadcast cross-ownership and radio/TV cross-ownership. In November 2017, the FCC voted to: (i) eliminate the newspaper/broadcast cross-ownership rule; (ii) eliminate the radio/television cross-ownership rule; (iii) relax the local television ownership rules to eliminate certain restrictions and modify others; and (iv) eliminate the attribution rule for television joint-sales agreements (collectively, the “2017 Order”). In 2019, the U.S. Court of Appeals for the Third Circuit vacated the 2017 Order. Pursuant to this decision in Prometheus Radio Project v. FCC, on December 20, 2019, the FCC amended its rules to reverse the 2017 Order and reinstate the rules as they existed prior to the 2017 Order. The FCC, though, petitioned for a writ of certiorari with the Supreme Court to reverse the Third Circuit’s decision. On April 1, 2021, in FCC v. Prometheus Radio Project, the Supreme Court reversed the Third Circuit, finding that “the FCC’s analysis was reasonable and reasonably explained for purposes of the APA’s deferential arbitrary and capricious standard.” On June 4, 2021, the FCC released an Order reinstating the rule changes from the 2017 Order.</w:t>
      </w:r>
    </w:p>
    <w:p>
      <w:pPr>
        <w:spacing w:after="0" w:line="152"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In December 2017, the FCC initiated a rulemaking proceeding seeking comment on changes to the national television multiple-ownership rule, including changes that could relax or eliminate the current limits that prevent entities from owning or controlling television stations that, in the aggregate, reach more than 39 percent of the television households in the country. If the FCC were to relax or eliminate some or all of the national television multiple-ownership rule, it could increase the negotiating leverage that broadcasters hold in retransmission consent negotiations.</w:t>
      </w:r>
    </w:p>
    <w:p>
      <w:pPr>
        <w:spacing w:after="0" w:line="146" w:lineRule="exact"/>
        <w:rPr>
          <w:sz w:val="20"/>
          <w:szCs w:val="20"/>
          <w:color w:val="auto"/>
        </w:rPr>
      </w:pPr>
    </w:p>
    <w:p>
      <w:pPr>
        <w:ind w:left="40" w:right="219"/>
        <w:spacing w:after="0" w:line="244" w:lineRule="auto"/>
        <w:rPr>
          <w:sz w:val="20"/>
          <w:szCs w:val="20"/>
          <w:color w:val="auto"/>
        </w:rPr>
      </w:pPr>
      <w:r>
        <w:rPr>
          <w:rFonts w:ascii="Arial" w:cs="Arial" w:eastAsia="Arial" w:hAnsi="Arial"/>
          <w:sz w:val="16"/>
          <w:szCs w:val="16"/>
          <w:color w:val="auto"/>
        </w:rPr>
        <w:t>In December 2023, the FCC concluded its 2018 quadrennial proceeding and issued an Order that, among other things, retained the FCC’s general prohibition on a broadcaster owning two or more of the top four stations in a market and added language intended to prevent broadcasters from circumventing this rule by acquiring a top four affiliation and placing it on a multicast or low power television signal on a going forward basis. We cannot predict whether there will be additional challenges to these rules or whether the FCC may address media ownership issues going forward, either through the imposition of new rules or the relaxation of remaining ownership restrictions.</w:t>
      </w:r>
    </w:p>
    <w:p>
      <w:pPr>
        <w:spacing w:after="0" w:line="148"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b w:val="1"/>
          <w:bCs w:val="1"/>
          <w:i w:val="1"/>
          <w:iCs w:val="1"/>
          <w:color w:val="auto"/>
        </w:rPr>
        <w:t>Digital HD Carry-One, Carry-All Requirement</w:t>
      </w:r>
      <w:r>
        <w:rPr>
          <w:rFonts w:ascii="Arial" w:cs="Arial" w:eastAsia="Arial" w:hAnsi="Arial"/>
          <w:sz w:val="16"/>
          <w:szCs w:val="16"/>
          <w:color w:val="auto"/>
        </w:rPr>
        <w:t>. To provide any full-power local broadcast signal in any market,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to retransmit all qualifying broadcast signals in that market (“carry-one, carry-all”), including the carriage of full-power broadcasters’ HD signals in markets in which we elect to provide local channels in HD. The carriage of additional HD signals on our DISH TV services could cause us to experience significant capacity constraints and prevent us from carrying additional popular national channels and/or carrying those national channels in HD.</w:t>
      </w:r>
    </w:p>
    <w:p>
      <w:pPr>
        <w:spacing w:after="0" w:line="146" w:lineRule="exact"/>
        <w:rPr>
          <w:sz w:val="20"/>
          <w:szCs w:val="20"/>
          <w:color w:val="auto"/>
        </w:rPr>
      </w:pPr>
    </w:p>
    <w:p>
      <w:pPr>
        <w:ind w:left="40" w:right="139"/>
        <w:spacing w:after="0" w:line="243" w:lineRule="auto"/>
        <w:rPr>
          <w:sz w:val="20"/>
          <w:szCs w:val="20"/>
          <w:color w:val="auto"/>
        </w:rPr>
      </w:pPr>
      <w:r>
        <w:rPr>
          <w:rFonts w:ascii="Arial" w:cs="Arial" w:eastAsia="Arial" w:hAnsi="Arial"/>
          <w:sz w:val="16"/>
          <w:szCs w:val="16"/>
          <w:b w:val="1"/>
          <w:bCs w:val="1"/>
          <w:i w:val="1"/>
          <w:iCs w:val="1"/>
          <w:color w:val="auto"/>
        </w:rPr>
        <w:t>Distant Signals</w:t>
      </w:r>
      <w:r>
        <w:rPr>
          <w:rFonts w:ascii="Arial" w:cs="Arial" w:eastAsia="Arial" w:hAnsi="Arial"/>
          <w:sz w:val="16"/>
          <w:szCs w:val="16"/>
          <w:color w:val="auto"/>
        </w:rPr>
        <w:t>. Pursuant to STELA, we obtained a waiver of a court injunction that previously prevented us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retransmitting certain distant network signals under a statutory copyright license. Because of that waiver, we may provide distant network signals to eligible subscribers. To qualify for that waiver, we are required to provide local service in all 210 local markets in the United States on an ongoing basis. This condition poses a significant strain on our capacity. Moreover, we may lose that waiver if we are found to have failed to provide local service in any of the 210 local markets. If we lose the waiver, the injunction could be reinstated. Furthermore, depending on the severity of the failure, we may also be subject to other sanctions, which may include, among other things, damages.</w:t>
      </w:r>
    </w:p>
    <w:p>
      <w:pPr>
        <w:spacing w:after="0" w:line="148" w:lineRule="exact"/>
        <w:rPr>
          <w:sz w:val="20"/>
          <w:szCs w:val="20"/>
          <w:color w:val="auto"/>
        </w:rPr>
      </w:pPr>
    </w:p>
    <w:p>
      <w:pPr>
        <w:ind w:left="40" w:right="79"/>
        <w:spacing w:after="0" w:line="255" w:lineRule="auto"/>
        <w:rPr>
          <w:sz w:val="20"/>
          <w:szCs w:val="20"/>
          <w:color w:val="auto"/>
        </w:rPr>
      </w:pPr>
      <w:r>
        <w:rPr>
          <w:rFonts w:ascii="Arial" w:cs="Arial" w:eastAsia="Arial" w:hAnsi="Arial"/>
          <w:sz w:val="15"/>
          <w:szCs w:val="15"/>
          <w:b w:val="1"/>
          <w:bCs w:val="1"/>
          <w:i w:val="1"/>
          <w:iCs w:val="1"/>
          <w:color w:val="auto"/>
        </w:rPr>
        <w:t>Cable Act and Program Access</w:t>
      </w:r>
      <w:r>
        <w:rPr>
          <w:rFonts w:ascii="Arial" w:cs="Arial" w:eastAsia="Arial" w:hAnsi="Arial"/>
          <w:sz w:val="15"/>
          <w:szCs w:val="15"/>
          <w:color w:val="auto"/>
        </w:rPr>
        <w:t>. We purchase a large percentage of our programming from cable-affiliated programmers.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may be limited in our ability to obtain access on nondiscriminatory terms, or at all, to programming from programmers that are affiliated with cable system operators. In addition, any other changes in the Cable Act, and/or the FCC’s rules that implement the Cable Act, that currently limit the ability of cable-affiliated programmers to discriminate against competing businesses such as ours, could adversely affect our ability to acquire cable-affiliated programming at all or to acquire programming on nondiscriminatory terms. In addition, affiliates of certain cable providers have denied us access to sports programming that they supply to their cable systems terrestrially, rather than by satellite. The FCC has held that new denials of such service are unfair if they have the purpose or effect of significantly hindering us from providing programming to consumers.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239"/>
        <w:spacing w:after="0" w:line="256" w:lineRule="auto"/>
        <w:rPr>
          <w:sz w:val="20"/>
          <w:szCs w:val="20"/>
          <w:color w:val="auto"/>
        </w:rPr>
      </w:pPr>
      <w:r>
        <w:rPr>
          <w:rFonts w:ascii="Arial" w:cs="Arial" w:eastAsia="Arial" w:hAnsi="Arial"/>
          <w:sz w:val="16"/>
          <w:szCs w:val="16"/>
          <w:color w:val="auto"/>
        </w:rPr>
        <w:t>However, we cannot be sure that we can prevail in a complaint related to such programming and gain access to it. Our continuing failure to access such programming could materially and adversely affect our ability to compete in regions serviced by these cable providers.</w:t>
      </w:r>
    </w:p>
    <w:p>
      <w:pPr>
        <w:spacing w:after="0" w:line="137" w:lineRule="exact"/>
        <w:rPr>
          <w:sz w:val="20"/>
          <w:szCs w:val="20"/>
          <w:color w:val="auto"/>
        </w:rPr>
      </w:pPr>
    </w:p>
    <w:p>
      <w:pPr>
        <w:ind w:left="40" w:right="59"/>
        <w:spacing w:after="0"/>
        <w:rPr>
          <w:sz w:val="20"/>
          <w:szCs w:val="20"/>
          <w:color w:val="auto"/>
        </w:rPr>
      </w:pPr>
      <w:r>
        <w:rPr>
          <w:rFonts w:ascii="Arial" w:cs="Arial" w:eastAsia="Arial" w:hAnsi="Arial"/>
          <w:sz w:val="16"/>
          <w:szCs w:val="16"/>
          <w:b w:val="1"/>
          <w:bCs w:val="1"/>
          <w:i w:val="1"/>
          <w:iCs w:val="1"/>
          <w:color w:val="auto"/>
        </w:rPr>
        <w:t xml:space="preserve">Open Internet (also known as “Net Neutrality”). </w:t>
      </w:r>
      <w:r>
        <w:rPr>
          <w:rFonts w:ascii="Arial" w:cs="Arial" w:eastAsia="Arial" w:hAnsi="Arial"/>
          <w:sz w:val="16"/>
          <w:szCs w:val="16"/>
          <w:color w:val="auto"/>
        </w:rPr>
        <w:t>In 2015, the FCC adopted Open Internet rules, which applied to both fixed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mobile broadband access providers and prohibited them from, among other things, blocking or throttling traffic, paid prioritization and unreasonably interfering with, or disadvantaging, consumers’ or content providers’ access to the Internet. In addition, because the FCC reclassified broadband access providers as common carriers, these providers were subject to the general common carrier requirements of reasonableness and nondiscrimination. In December 2017, the FCC reversed course and voted to reclassify broadband access providers as information service providers, instead of common carriers. The FCC also voted to eliminate the majority of the Open Internet rules, leaving only certain ISP transparency requirements in place. In 2024, the FCC reversed course yet again by adopting a Declaratory Ruling, Order, Report and Order, and Order on Reconsideration that reestablished the FCC’s authority over broadband internet access services under Title II of the Communications Act, mostly replicating its 2015 decision. On January 2, 2025, the United States Court of Appeals for the Sixth Circuit found that the FCC lacks the statutory authority to impose these rules and set aside the 2024 Order. We cannot predict the future of these rules or the impact to our Wireless business.</w:t>
      </w:r>
    </w:p>
    <w:p>
      <w:pPr>
        <w:spacing w:after="0" w:line="152"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color w:val="auto"/>
        </w:rPr>
        <w:t>To the extent that network operators implement usage-based pricing, including, but not limited to, meaningful bandwidth caps, or otherwise try to monetize access to their networks by data providers, we could incur greater operating expenses and our Pay TV subscriber count could be negatively impacted. Furthermore, to the extent network operators create tiers of Internet access service and either charge us for or prohibit us from being available through these tiers, our Pay TV business could be negatively impacted. We cannot predict with any certainty the impact to our Pay TV business resulting from changes in how network operators handle and charge for access to data that travels across their networks.</w:t>
      </w:r>
    </w:p>
    <w:p>
      <w:pPr>
        <w:spacing w:after="0" w:line="148" w:lineRule="exact"/>
        <w:rPr>
          <w:sz w:val="20"/>
          <w:szCs w:val="20"/>
          <w:color w:val="auto"/>
        </w:rPr>
      </w:pPr>
    </w:p>
    <w:p>
      <w:pPr>
        <w:ind w:left="40" w:right="179"/>
        <w:spacing w:after="0" w:line="244" w:lineRule="auto"/>
        <w:rPr>
          <w:sz w:val="20"/>
          <w:szCs w:val="20"/>
          <w:color w:val="auto"/>
        </w:rPr>
      </w:pPr>
      <w:r>
        <w:rPr>
          <w:rFonts w:ascii="Arial" w:cs="Arial" w:eastAsia="Arial" w:hAnsi="Arial"/>
          <w:sz w:val="16"/>
          <w:szCs w:val="16"/>
          <w:b w:val="1"/>
          <w:bCs w:val="1"/>
          <w:i w:val="1"/>
          <w:iCs w:val="1"/>
          <w:color w:val="auto"/>
        </w:rPr>
        <w:t xml:space="preserve">Definition of MVPD. </w:t>
      </w:r>
      <w:r>
        <w:rPr>
          <w:rFonts w:ascii="Arial" w:cs="Arial" w:eastAsia="Arial" w:hAnsi="Arial"/>
          <w:sz w:val="16"/>
          <w:szCs w:val="16"/>
          <w:color w:val="auto"/>
        </w:rPr>
        <w:t>In December 2014, the FCC issued a Notice of Proposed Rulemaking regarding the definition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MVPD. Among other things, the FCC is considering whether the definition of an MVPD should apply to Internet-based streaming services, thus making such services subject to the same regulations as an MVPD. The FCC is also considering the appropriate treatment of purely Internet-based linear video programming services that cable operators and DBS providers offer in addition to their traditional video services. This proceeding remains pending. We cannot predict the timing or outcome of this rulemaking or other related rulemaking proceedings.</w:t>
      </w:r>
    </w:p>
    <w:p>
      <w:pPr>
        <w:spacing w:after="0" w:line="148" w:lineRule="exact"/>
        <w:rPr>
          <w:sz w:val="20"/>
          <w:szCs w:val="20"/>
          <w:color w:val="auto"/>
        </w:rPr>
      </w:pPr>
    </w:p>
    <w:p>
      <w:pPr>
        <w:ind w:left="40" w:right="79"/>
        <w:spacing w:after="0" w:line="275" w:lineRule="auto"/>
        <w:rPr>
          <w:sz w:val="20"/>
          <w:szCs w:val="20"/>
          <w:color w:val="auto"/>
        </w:rPr>
      </w:pPr>
      <w:r>
        <w:rPr>
          <w:rFonts w:ascii="Arial" w:cs="Arial" w:eastAsia="Arial" w:hAnsi="Arial"/>
          <w:sz w:val="16"/>
          <w:szCs w:val="16"/>
          <w:b w:val="1"/>
          <w:bCs w:val="1"/>
          <w:i w:val="1"/>
          <w:iCs w:val="1"/>
          <w:color w:val="auto"/>
        </w:rPr>
        <w:t xml:space="preserve">Federal Trade Commission. </w:t>
      </w:r>
      <w:r>
        <w:rPr>
          <w:rFonts w:ascii="Arial" w:cs="Arial" w:eastAsia="Arial" w:hAnsi="Arial"/>
          <w:sz w:val="16"/>
          <w:szCs w:val="16"/>
          <w:color w:val="auto"/>
        </w:rPr>
        <w:t>The Federal Trade Commission (“FTC”) and other federal agencies also have jurisdiction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some consumer protection and elimination and prevention of anticompetitive business practices.</w:t>
      </w:r>
    </w:p>
    <w:p>
      <w:pPr>
        <w:spacing w:after="0" w:line="111" w:lineRule="exact"/>
        <w:rPr>
          <w:sz w:val="20"/>
          <w:szCs w:val="20"/>
          <w:color w:val="auto"/>
        </w:rPr>
      </w:pPr>
    </w:p>
    <w:p>
      <w:pPr>
        <w:ind w:left="40" w:right="79"/>
        <w:spacing w:after="0" w:line="247" w:lineRule="auto"/>
        <w:rPr>
          <w:sz w:val="20"/>
          <w:szCs w:val="20"/>
          <w:color w:val="auto"/>
        </w:rPr>
      </w:pPr>
      <w:r>
        <w:rPr>
          <w:rFonts w:ascii="Arial" w:cs="Arial" w:eastAsia="Arial" w:hAnsi="Arial"/>
          <w:sz w:val="16"/>
          <w:szCs w:val="16"/>
          <w:b w:val="1"/>
          <w:bCs w:val="1"/>
          <w:i w:val="1"/>
          <w:iCs w:val="1"/>
          <w:color w:val="auto"/>
        </w:rPr>
        <w:t xml:space="preserve">Telecommunications Regulation. </w:t>
      </w:r>
      <w:r>
        <w:rPr>
          <w:rFonts w:ascii="Arial" w:cs="Arial" w:eastAsia="Arial" w:hAnsi="Arial"/>
          <w:sz w:val="16"/>
          <w:szCs w:val="16"/>
          <w:color w:val="auto"/>
        </w:rPr>
        <w:t>Many of the services we provide are also subject to FCC regulation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telecommunications services. For certain services in the U.S., we are required to contribute fees, computed as a percentage</w:t>
      </w:r>
    </w:p>
    <w:p>
      <w:pPr>
        <w:ind w:left="40" w:right="219"/>
        <w:spacing w:after="0" w:line="228" w:lineRule="auto"/>
        <w:rPr>
          <w:sz w:val="20"/>
          <w:szCs w:val="20"/>
          <w:color w:val="auto"/>
        </w:rPr>
      </w:pPr>
      <w:r>
        <w:rPr>
          <w:rFonts w:ascii="Arial" w:cs="Arial" w:eastAsia="Arial" w:hAnsi="Arial"/>
          <w:sz w:val="16"/>
          <w:szCs w:val="16"/>
          <w:color w:val="auto"/>
        </w:rPr>
        <w:t>of our revenue from telecommunications services to various funds, including the Universal Service Fund (“USF”) to support mechanisms that subsidize the provision of services to low-income consumers, high-cost areas, schools, libraries and rural</w:t>
      </w:r>
    </w:p>
    <w:p>
      <w:pPr>
        <w:ind w:left="40"/>
        <w:spacing w:after="0" w:line="238" w:lineRule="auto"/>
        <w:rPr>
          <w:sz w:val="20"/>
          <w:szCs w:val="20"/>
          <w:color w:val="auto"/>
        </w:rPr>
      </w:pPr>
      <w:r>
        <w:rPr>
          <w:rFonts w:ascii="Arial" w:cs="Arial" w:eastAsia="Arial" w:hAnsi="Arial"/>
          <w:sz w:val="16"/>
          <w:szCs w:val="16"/>
          <w:color w:val="auto"/>
        </w:rPr>
        <w:t>health care providers. Current FCC rules permit us to pass these contributions through to our customers. The FCC also</w:t>
      </w:r>
    </w:p>
    <w:p>
      <w:pPr>
        <w:ind w:left="40" w:right="179"/>
        <w:spacing w:after="0" w:line="228" w:lineRule="auto"/>
        <w:rPr>
          <w:sz w:val="20"/>
          <w:szCs w:val="20"/>
          <w:color w:val="auto"/>
        </w:rPr>
      </w:pPr>
      <w:r>
        <w:rPr>
          <w:rFonts w:ascii="Arial" w:cs="Arial" w:eastAsia="Arial" w:hAnsi="Arial"/>
          <w:sz w:val="16"/>
          <w:szCs w:val="16"/>
          <w:color w:val="auto"/>
        </w:rPr>
        <w:t>requires broadband internet access and internet telephony service providers to comply with the requirements of the Federal Communications Assistance for Law Enforcement Act, which generally requires telecommunications carriers to ensure that</w:t>
      </w:r>
    </w:p>
    <w:p>
      <w:pPr>
        <w:ind w:left="40"/>
        <w:spacing w:after="0" w:line="238" w:lineRule="auto"/>
        <w:rPr>
          <w:sz w:val="20"/>
          <w:szCs w:val="20"/>
          <w:color w:val="auto"/>
        </w:rPr>
      </w:pPr>
      <w:r>
        <w:rPr>
          <w:rFonts w:ascii="Arial" w:cs="Arial" w:eastAsia="Arial" w:hAnsi="Arial"/>
          <w:sz w:val="16"/>
          <w:szCs w:val="16"/>
          <w:color w:val="auto"/>
        </w:rPr>
        <w:t>law enforcement agencies are able to conduct lawfully-authorized surveillance of users of their services. In addition, as a</w:t>
      </w:r>
    </w:p>
    <w:p>
      <w:pPr>
        <w:ind w:left="40" w:right="119"/>
        <w:spacing w:after="0" w:line="239" w:lineRule="auto"/>
        <w:rPr>
          <w:sz w:val="20"/>
          <w:szCs w:val="20"/>
          <w:color w:val="auto"/>
        </w:rPr>
      </w:pPr>
      <w:r>
        <w:rPr>
          <w:rFonts w:ascii="Arial" w:cs="Arial" w:eastAsia="Arial" w:hAnsi="Arial"/>
          <w:sz w:val="16"/>
          <w:szCs w:val="16"/>
          <w:color w:val="auto"/>
        </w:rPr>
        <w:t>provider of interconnected voice over internet protocol services, we are required to abide by a number of rules related to telephony service, including rules dealing with the protection of customer information and the processing of emergency calls.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State and Local Regulation</w:t>
      </w:r>
    </w:p>
    <w:p>
      <w:pPr>
        <w:spacing w:after="0" w:line="179" w:lineRule="exact"/>
        <w:rPr>
          <w:sz w:val="20"/>
          <w:szCs w:val="20"/>
          <w:color w:val="auto"/>
        </w:rPr>
      </w:pPr>
    </w:p>
    <w:p>
      <w:pPr>
        <w:ind w:left="40" w:right="139"/>
        <w:spacing w:after="0" w:line="239" w:lineRule="auto"/>
        <w:rPr>
          <w:sz w:val="20"/>
          <w:szCs w:val="20"/>
          <w:color w:val="auto"/>
        </w:rPr>
      </w:pPr>
      <w:r>
        <w:rPr>
          <w:rFonts w:ascii="Arial" w:cs="Arial" w:eastAsia="Arial" w:hAnsi="Arial"/>
          <w:sz w:val="16"/>
          <w:szCs w:val="16"/>
          <w:color w:val="auto"/>
        </w:rPr>
        <w:t>We are also regulated by state and local authorities. While the FCC has preempted many state and local regulations that impair the installation and use of towers for wireless operations and VSAT and other consumer satellite dishes, our business</w:t>
      </w:r>
    </w:p>
    <w:p>
      <w:pPr>
        <w:ind w:left="40"/>
        <w:spacing w:after="0" w:line="237" w:lineRule="auto"/>
        <w:rPr>
          <w:sz w:val="20"/>
          <w:szCs w:val="20"/>
          <w:color w:val="auto"/>
        </w:rPr>
      </w:pPr>
      <w:r>
        <w:rPr>
          <w:rFonts w:ascii="Arial" w:cs="Arial" w:eastAsia="Arial" w:hAnsi="Arial"/>
          <w:sz w:val="16"/>
          <w:szCs w:val="16"/>
          <w:color w:val="auto"/>
        </w:rPr>
        <w:t>nonetheless may be subject to state and local regulation, including, among others, zoning regulations that affect the ability to</w:t>
      </w:r>
    </w:p>
    <w:p>
      <w:pPr>
        <w:ind w:left="40" w:right="59"/>
        <w:spacing w:after="0" w:line="239" w:lineRule="auto"/>
        <w:rPr>
          <w:sz w:val="20"/>
          <w:szCs w:val="20"/>
          <w:color w:val="auto"/>
        </w:rPr>
      </w:pPr>
      <w:r>
        <w:rPr>
          <w:rFonts w:ascii="Arial" w:cs="Arial" w:eastAsia="Arial" w:hAnsi="Arial"/>
          <w:sz w:val="16"/>
          <w:szCs w:val="16"/>
          <w:color w:val="auto"/>
        </w:rPr>
        <w:t>install consumer satellite antennas or build out wireless telecommunications networks. In addition, in order to obtain universal service funding, we are subject to being an eligible telecommunications carrier in all 50 states.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International Regulation</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are subject to certain regulations adopted by the International Telecommunication Union (“ITU”). The orbital location and</w:t>
      </w:r>
    </w:p>
    <w:p>
      <w:pPr>
        <w:spacing w:after="0" w:line="14" w:lineRule="exact"/>
        <w:rPr>
          <w:sz w:val="20"/>
          <w:szCs w:val="20"/>
          <w:color w:val="auto"/>
        </w:rPr>
      </w:pPr>
    </w:p>
    <w:p>
      <w:pPr>
        <w:ind w:left="40" w:right="59"/>
        <w:spacing w:after="0" w:line="228" w:lineRule="auto"/>
        <w:rPr>
          <w:sz w:val="20"/>
          <w:szCs w:val="20"/>
          <w:color w:val="auto"/>
        </w:rPr>
      </w:pPr>
      <w:r>
        <w:rPr>
          <w:rFonts w:ascii="Arial" w:cs="Arial" w:eastAsia="Arial" w:hAnsi="Arial"/>
          <w:sz w:val="16"/>
          <w:szCs w:val="16"/>
          <w:color w:val="auto"/>
        </w:rPr>
        <w:t>frequencies for certain of our satellites are subject to the frequency registration and coordination process of the ITU. The ITU Radio Regulations define the international rules, regulations and rights for a satellite and associated earth stations to use</w:t>
      </w:r>
    </w:p>
    <w:p>
      <w:pPr>
        <w:ind w:left="40"/>
        <w:spacing w:after="0" w:line="238" w:lineRule="auto"/>
        <w:rPr>
          <w:sz w:val="20"/>
          <w:szCs w:val="20"/>
          <w:color w:val="auto"/>
        </w:rPr>
      </w:pPr>
      <w:r>
        <w:rPr>
          <w:rFonts w:ascii="Arial" w:cs="Arial" w:eastAsia="Arial" w:hAnsi="Arial"/>
          <w:sz w:val="16"/>
          <w:szCs w:val="16"/>
          <w:color w:val="auto"/>
        </w:rPr>
        <w:t>specific radio frequencies at a specific orbital location. These rules, which include deadlines for the bringing of satellite</w:t>
      </w:r>
    </w:p>
    <w:p>
      <w:pPr>
        <w:ind w:left="40" w:right="139"/>
        <w:spacing w:after="0" w:line="228" w:lineRule="auto"/>
        <w:rPr>
          <w:sz w:val="20"/>
          <w:szCs w:val="20"/>
          <w:color w:val="auto"/>
        </w:rPr>
      </w:pPr>
      <w:r>
        <w:rPr>
          <w:rFonts w:ascii="Arial" w:cs="Arial" w:eastAsia="Arial" w:hAnsi="Arial"/>
          <w:sz w:val="16"/>
          <w:szCs w:val="16"/>
          <w:color w:val="auto"/>
        </w:rPr>
        <w:t>networks into use, differ depending on the type of service to be provided and the frequencies to be used by the satellite. On our behalf, various countries have made and may in the future make additional filings for the frequency assignments at</w:t>
      </w:r>
    </w:p>
    <w:p>
      <w:pPr>
        <w:spacing w:after="0" w:line="1" w:lineRule="exact"/>
        <w:rPr>
          <w:sz w:val="20"/>
          <w:szCs w:val="20"/>
          <w:color w:val="auto"/>
        </w:rPr>
      </w:pPr>
    </w:p>
    <w:p>
      <w:pPr>
        <w:ind w:left="40" w:right="139"/>
        <w:spacing w:after="0" w:line="255" w:lineRule="auto"/>
        <w:rPr>
          <w:sz w:val="20"/>
          <w:szCs w:val="20"/>
          <w:color w:val="auto"/>
        </w:rPr>
      </w:pPr>
      <w:r>
        <w:rPr>
          <w:rFonts w:ascii="Arial" w:cs="Arial" w:eastAsia="Arial" w:hAnsi="Arial"/>
          <w:sz w:val="16"/>
          <w:szCs w:val="16"/>
          <w:color w:val="auto"/>
        </w:rPr>
        <w:t>particular orbital locations that are used or to be used by our current satellite networks and potential future satellite networks we may build or acquire.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the event the international coordination process that is triggered by ITU filings under applicable rules is not successfully</w:t>
      </w:r>
    </w:p>
    <w:p>
      <w:pPr>
        <w:spacing w:after="0" w:line="14" w:lineRule="exact"/>
        <w:rPr>
          <w:sz w:val="20"/>
          <w:szCs w:val="20"/>
          <w:color w:val="auto"/>
        </w:rPr>
      </w:pPr>
    </w:p>
    <w:p>
      <w:pPr>
        <w:ind w:left="40" w:right="99"/>
        <w:spacing w:after="0" w:line="228" w:lineRule="auto"/>
        <w:rPr>
          <w:sz w:val="20"/>
          <w:szCs w:val="20"/>
          <w:color w:val="auto"/>
        </w:rPr>
      </w:pPr>
      <w:r>
        <w:rPr>
          <w:rFonts w:ascii="Arial" w:cs="Arial" w:eastAsia="Arial" w:hAnsi="Arial"/>
          <w:sz w:val="16"/>
          <w:szCs w:val="16"/>
          <w:color w:val="auto"/>
        </w:rPr>
        <w:t>completed, or that the requests for modification of the broadcast satellite services plan regarding the allocation of orbital locations and frequencies are not granted by the ITU, we will have to operate the applicable satellite(s) on a non-interference</w:t>
      </w:r>
    </w:p>
    <w:p>
      <w:pPr>
        <w:ind w:left="40"/>
        <w:spacing w:after="0" w:line="238" w:lineRule="auto"/>
        <w:rPr>
          <w:sz w:val="20"/>
          <w:szCs w:val="20"/>
          <w:color w:val="auto"/>
        </w:rPr>
      </w:pPr>
      <w:r>
        <w:rPr>
          <w:rFonts w:ascii="Arial" w:cs="Arial" w:eastAsia="Arial" w:hAnsi="Arial"/>
          <w:sz w:val="16"/>
          <w:szCs w:val="16"/>
          <w:color w:val="auto"/>
        </w:rPr>
        <w:t>basis, which could have an adverse impact on our business operations. If we cannot do so, we may have to cease operating</w:t>
      </w:r>
    </w:p>
    <w:p>
      <w:pPr>
        <w:jc w:val="both"/>
        <w:ind w:left="40" w:right="379"/>
        <w:spacing w:after="0" w:line="228" w:lineRule="auto"/>
        <w:rPr>
          <w:sz w:val="20"/>
          <w:szCs w:val="20"/>
          <w:color w:val="auto"/>
        </w:rPr>
      </w:pPr>
      <w:r>
        <w:rPr>
          <w:rFonts w:ascii="Arial" w:cs="Arial" w:eastAsia="Arial" w:hAnsi="Arial"/>
          <w:sz w:val="16"/>
          <w:szCs w:val="16"/>
          <w:color w:val="auto"/>
        </w:rPr>
        <w:t>such satellite(s) at the affected orbital locations. We cannot be sure of the successful outcome of these ITU coordination processes. We make commercially reasonable efforts to cooperate with the filing nation in the preparation of ITU filings,</w:t>
      </w:r>
    </w:p>
    <w:p>
      <w:pPr>
        <w:spacing w:after="0" w:line="1" w:lineRule="exact"/>
        <w:rPr>
          <w:sz w:val="20"/>
          <w:szCs w:val="20"/>
          <w:color w:val="auto"/>
        </w:rPr>
      </w:pPr>
    </w:p>
    <w:p>
      <w:pPr>
        <w:ind w:left="40" w:right="699"/>
        <w:spacing w:after="0" w:line="255" w:lineRule="auto"/>
        <w:rPr>
          <w:sz w:val="20"/>
          <w:szCs w:val="20"/>
          <w:color w:val="auto"/>
        </w:rPr>
      </w:pPr>
      <w:r>
        <w:rPr>
          <w:rFonts w:ascii="Arial" w:cs="Arial" w:eastAsia="Arial" w:hAnsi="Arial"/>
          <w:sz w:val="16"/>
          <w:szCs w:val="16"/>
          <w:color w:val="auto"/>
        </w:rPr>
        <w:t>coordination of our operations in accordance with the relevant ITU Radio Regulations and responses to relevant ITU inquiries.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Certain of our satellite services also must conform to the ITU service plans for Region 2 (which includes the United States).</w:t>
      </w:r>
    </w:p>
    <w:p>
      <w:pPr>
        <w:spacing w:after="0" w:line="14" w:lineRule="exact"/>
        <w:rPr>
          <w:sz w:val="20"/>
          <w:szCs w:val="20"/>
          <w:color w:val="auto"/>
        </w:rPr>
      </w:pPr>
    </w:p>
    <w:p>
      <w:pPr>
        <w:ind w:left="40" w:right="399"/>
        <w:spacing w:after="0" w:line="228" w:lineRule="auto"/>
        <w:rPr>
          <w:sz w:val="20"/>
          <w:szCs w:val="20"/>
          <w:color w:val="auto"/>
        </w:rPr>
      </w:pPr>
      <w:r>
        <w:rPr>
          <w:rFonts w:ascii="Arial" w:cs="Arial" w:eastAsia="Arial" w:hAnsi="Arial"/>
          <w:sz w:val="16"/>
          <w:szCs w:val="16"/>
          <w:color w:val="auto"/>
        </w:rPr>
        <w:t>If any of our operations are inconsistent with this plan, the ITU will only provide authorization on a non-interference basis pending successful modification of the plan or the agreement of all affected administrations to the non-conforming</w:t>
      </w:r>
    </w:p>
    <w:p>
      <w:pPr>
        <w:spacing w:after="0" w:line="1" w:lineRule="exact"/>
        <w:rPr>
          <w:sz w:val="20"/>
          <w:szCs w:val="20"/>
          <w:color w:val="auto"/>
        </w:rPr>
      </w:pPr>
    </w:p>
    <w:p>
      <w:pPr>
        <w:ind w:left="40" w:right="279"/>
        <w:spacing w:after="0" w:line="228" w:lineRule="auto"/>
        <w:rPr>
          <w:sz w:val="20"/>
          <w:szCs w:val="20"/>
          <w:color w:val="auto"/>
        </w:rPr>
      </w:pPr>
      <w:r>
        <w:rPr>
          <w:rFonts w:ascii="Arial" w:cs="Arial" w:eastAsia="Arial" w:hAnsi="Arial"/>
          <w:sz w:val="16"/>
          <w:szCs w:val="16"/>
          <w:color w:val="auto"/>
        </w:rPr>
        <w:t>operations. Certain of our satellites are not presently entitled to any interference protection from other satellites that are in conformance with the plan. Accordingly, unless and until the ITU modifies its service plans to include the technical</w:t>
      </w:r>
    </w:p>
    <w:p>
      <w:pPr>
        <w:ind w:left="40"/>
        <w:spacing w:after="0" w:line="238" w:lineRule="auto"/>
        <w:rPr>
          <w:sz w:val="20"/>
          <w:szCs w:val="20"/>
          <w:color w:val="auto"/>
        </w:rPr>
      </w:pPr>
      <w:r>
        <w:rPr>
          <w:rFonts w:ascii="Arial" w:cs="Arial" w:eastAsia="Arial" w:hAnsi="Arial"/>
          <w:sz w:val="16"/>
          <w:szCs w:val="16"/>
          <w:color w:val="auto"/>
        </w:rPr>
        <w:t>parameters of our non-conforming operations, our non-conforming satellites, along with those of other non-conforming</w:t>
      </w:r>
    </w:p>
    <w:p>
      <w:pPr>
        <w:ind w:left="40" w:right="319"/>
        <w:spacing w:after="0" w:line="239" w:lineRule="auto"/>
        <w:rPr>
          <w:sz w:val="20"/>
          <w:szCs w:val="20"/>
          <w:color w:val="auto"/>
        </w:rPr>
      </w:pPr>
      <w:r>
        <w:rPr>
          <w:rFonts w:ascii="Arial" w:cs="Arial" w:eastAsia="Arial" w:hAnsi="Arial"/>
          <w:sz w:val="16"/>
          <w:szCs w:val="16"/>
          <w:color w:val="auto"/>
        </w:rPr>
        <w:t>satellite operators, must not cause harmful electrical interference with other assignments that are in conformance with the ITU service plans.</w:t>
      </w:r>
    </w:p>
    <w:p>
      <w:pPr>
        <w:spacing w:after="0" w:line="150" w:lineRule="exact"/>
        <w:rPr>
          <w:sz w:val="20"/>
          <w:szCs w:val="20"/>
          <w:color w:val="auto"/>
        </w:rPr>
      </w:pPr>
    </w:p>
    <w:p>
      <w:pPr>
        <w:ind w:left="40" w:right="379"/>
        <w:spacing w:after="0" w:line="239" w:lineRule="auto"/>
        <w:rPr>
          <w:sz w:val="20"/>
          <w:szCs w:val="20"/>
          <w:color w:val="auto"/>
        </w:rPr>
      </w:pPr>
      <w:r>
        <w:rPr>
          <w:rFonts w:ascii="Arial" w:cs="Arial" w:eastAsia="Arial" w:hAnsi="Arial"/>
          <w:sz w:val="16"/>
          <w:szCs w:val="16"/>
          <w:color w:val="auto"/>
        </w:rPr>
        <w:t>The ITU also endeavors to standardize frequency allocations globally, which has led it to work on standards for terrestrial services as well as satellite operations. Combined with the work of international industry-led standards bodies such as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3GPP, these efforts could have a significant effect on the development of our Wireless services.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 xml:space="preserve">Foreign Administrations’ Jurisdiction Over Satellite and Terrestrial Operations. </w:t>
      </w:r>
      <w:r>
        <w:rPr>
          <w:rFonts w:ascii="Arial" w:cs="Arial" w:eastAsia="Arial" w:hAnsi="Arial"/>
          <w:sz w:val="16"/>
          <w:szCs w:val="16"/>
          <w:color w:val="auto"/>
        </w:rPr>
        <w:t>Certain of our satellites and earth</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stations are licensed in foreign jurisdictions. We also have terrestrial authorizations in foreign jurisdictions. In order to</w:t>
      </w:r>
    </w:p>
    <w:p>
      <w:pPr>
        <w:ind w:left="40" w:right="79"/>
        <w:spacing w:after="0" w:line="228" w:lineRule="auto"/>
        <w:rPr>
          <w:sz w:val="20"/>
          <w:szCs w:val="20"/>
          <w:color w:val="auto"/>
        </w:rPr>
      </w:pPr>
      <w:r>
        <w:rPr>
          <w:rFonts w:ascii="Arial" w:cs="Arial" w:eastAsia="Arial" w:hAnsi="Arial"/>
          <w:sz w:val="16"/>
          <w:szCs w:val="16"/>
          <w:color w:val="auto"/>
        </w:rPr>
        <w:t>provide service to a foreign location from our U.S. satellites, we are required to obtain approvals from the FCC and foreign administrative agencies. The laws and regulations addressing access to satellite and terrestrial systems vary from country to</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country. In most countries, a license is required to provide our services and to operate satellite systems and earth stations.</w:t>
      </w:r>
    </w:p>
    <w:p>
      <w:pPr>
        <w:spacing w:after="0" w:line="151" w:lineRule="exact"/>
        <w:rPr>
          <w:sz w:val="20"/>
          <w:szCs w:val="20"/>
          <w:color w:val="auto"/>
        </w:rPr>
      </w:pPr>
    </w:p>
    <w:p>
      <w:pPr>
        <w:ind w:left="40" w:right="379"/>
        <w:spacing w:after="0" w:line="247" w:lineRule="auto"/>
        <w:rPr>
          <w:sz w:val="20"/>
          <w:szCs w:val="20"/>
          <w:color w:val="auto"/>
        </w:rPr>
      </w:pPr>
      <w:r>
        <w:rPr>
          <w:rFonts w:ascii="Arial" w:cs="Arial" w:eastAsia="Arial" w:hAnsi="Arial"/>
          <w:sz w:val="16"/>
          <w:szCs w:val="16"/>
          <w:color w:val="auto"/>
        </w:rPr>
        <w:t>Such licenses may impose certain conditions, including implementation and operation of the satellite system in a manner consistent with certain milestones (such as for contracting, satellite design, construction, launch and implementation of</w:t>
      </w:r>
    </w:p>
    <w:p>
      <w:pPr>
        <w:ind w:left="40" w:right="279"/>
        <w:spacing w:after="0" w:line="228" w:lineRule="auto"/>
        <w:rPr>
          <w:sz w:val="20"/>
          <w:szCs w:val="20"/>
          <w:color w:val="auto"/>
        </w:rPr>
      </w:pPr>
      <w:r>
        <w:rPr>
          <w:rFonts w:ascii="Arial" w:cs="Arial" w:eastAsia="Arial" w:hAnsi="Arial"/>
          <w:sz w:val="16"/>
          <w:szCs w:val="16"/>
          <w:color w:val="auto"/>
        </w:rPr>
        <w:t>service), that the satellite or its launch be procured through a national entity, that the satellite control center be located in a national territory, that a license be obtained prior to launching or operating the satellite or that a license be obtained before</w:t>
      </w:r>
    </w:p>
    <w:p>
      <w:pPr>
        <w:spacing w:after="0" w:line="1" w:lineRule="exact"/>
        <w:rPr>
          <w:sz w:val="20"/>
          <w:szCs w:val="20"/>
          <w:color w:val="auto"/>
        </w:rPr>
      </w:pPr>
    </w:p>
    <w:p>
      <w:pPr>
        <w:ind w:left="40" w:right="59"/>
        <w:spacing w:after="0" w:line="236" w:lineRule="auto"/>
        <w:rPr>
          <w:sz w:val="20"/>
          <w:szCs w:val="20"/>
          <w:color w:val="auto"/>
        </w:rPr>
      </w:pPr>
      <w:r>
        <w:rPr>
          <w:rFonts w:ascii="Arial" w:cs="Arial" w:eastAsia="Arial" w:hAnsi="Arial"/>
          <w:sz w:val="16"/>
          <w:szCs w:val="16"/>
          <w:color w:val="auto"/>
        </w:rPr>
        <w:t>interconnecting with the local switched telephone network and we may be subject to penalties or fines for failing to meet such conditions.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right="119"/>
        <w:spacing w:after="0" w:line="247" w:lineRule="auto"/>
        <w:rPr>
          <w:sz w:val="20"/>
          <w:szCs w:val="20"/>
          <w:color w:val="auto"/>
        </w:rPr>
      </w:pPr>
      <w:r>
        <w:rPr>
          <w:rFonts w:ascii="Arial" w:cs="Arial" w:eastAsia="Arial" w:hAnsi="Arial"/>
          <w:sz w:val="16"/>
          <w:szCs w:val="16"/>
          <w:color w:val="auto"/>
        </w:rPr>
        <w:t>Additionally, some countries may have restrictions on the services we provide and how we provide them and/or may limit the rates that can be charged for the services we provide or impose other service terms or restrictions. Furthermore, foreign</w:t>
      </w:r>
    </w:p>
    <w:p>
      <w:pPr>
        <w:ind w:left="40" w:right="79"/>
        <w:spacing w:after="0" w:line="239" w:lineRule="auto"/>
        <w:rPr>
          <w:sz w:val="20"/>
          <w:szCs w:val="20"/>
          <w:color w:val="auto"/>
        </w:rPr>
      </w:pPr>
      <w:r>
        <w:rPr>
          <w:rFonts w:ascii="Arial" w:cs="Arial" w:eastAsia="Arial" w:hAnsi="Arial"/>
          <w:sz w:val="16"/>
          <w:szCs w:val="16"/>
          <w:color w:val="auto"/>
        </w:rPr>
        <w:t>countries in which we currently, or may in the future, operate may not authorize us access to all of the spectrum that we need to provide service in a particular country.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Registration in the UN Registry of Space Objects</w:t>
      </w:r>
    </w:p>
    <w:p>
      <w:pPr>
        <w:spacing w:after="0" w:line="167" w:lineRule="exact"/>
        <w:rPr>
          <w:sz w:val="20"/>
          <w:szCs w:val="20"/>
          <w:color w:val="auto"/>
        </w:rPr>
      </w:pPr>
    </w:p>
    <w:p>
      <w:pPr>
        <w:ind w:left="40" w:right="159"/>
        <w:spacing w:after="0" w:line="239" w:lineRule="auto"/>
        <w:rPr>
          <w:sz w:val="20"/>
          <w:szCs w:val="20"/>
          <w:color w:val="auto"/>
        </w:rPr>
      </w:pPr>
      <w:r>
        <w:rPr>
          <w:rFonts w:ascii="Arial" w:cs="Arial" w:eastAsia="Arial" w:hAnsi="Arial"/>
          <w:sz w:val="16"/>
          <w:szCs w:val="16"/>
          <w:color w:val="auto"/>
        </w:rPr>
        <w:t>The United States and other jurisdictions in which we license satellites are parties to the United Nations (“UN”) Convention on the Registration of Objects Launched into Outer Space (“The UN Convention”). The UN Convention requires a satellite’s</w:t>
      </w:r>
    </w:p>
    <w:p>
      <w:pPr>
        <w:ind w:left="40"/>
        <w:spacing w:after="0" w:line="237" w:lineRule="auto"/>
        <w:rPr>
          <w:sz w:val="20"/>
          <w:szCs w:val="20"/>
          <w:color w:val="auto"/>
        </w:rPr>
      </w:pPr>
      <w:r>
        <w:rPr>
          <w:rFonts w:ascii="Arial" w:cs="Arial" w:eastAsia="Arial" w:hAnsi="Arial"/>
          <w:sz w:val="16"/>
          <w:szCs w:val="16"/>
          <w:color w:val="auto"/>
        </w:rPr>
        <w:t>launching state to register the satellite as a space object with an UN Registry of Space Objects. The act of registration</w:t>
      </w:r>
    </w:p>
    <w:p>
      <w:pPr>
        <w:ind w:left="40" w:right="59"/>
        <w:spacing w:after="0" w:line="228" w:lineRule="auto"/>
        <w:rPr>
          <w:sz w:val="20"/>
          <w:szCs w:val="20"/>
          <w:color w:val="auto"/>
        </w:rPr>
      </w:pPr>
      <w:r>
        <w:rPr>
          <w:rFonts w:ascii="Arial" w:cs="Arial" w:eastAsia="Arial" w:hAnsi="Arial"/>
          <w:sz w:val="16"/>
          <w:szCs w:val="16"/>
          <w:color w:val="auto"/>
        </w:rPr>
        <w:t>carries liability for the registering country in the event that the satellite causes third-party damage. Administrations may place certain requirements on satellite licensees in order to procure the necessary launch or operational authorizations that</w:t>
      </w:r>
    </w:p>
    <w:p>
      <w:pPr>
        <w:ind w:left="40"/>
        <w:spacing w:after="0" w:line="238" w:lineRule="auto"/>
        <w:rPr>
          <w:sz w:val="20"/>
          <w:szCs w:val="20"/>
          <w:color w:val="auto"/>
        </w:rPr>
      </w:pPr>
      <w:r>
        <w:rPr>
          <w:rFonts w:ascii="Arial" w:cs="Arial" w:eastAsia="Arial" w:hAnsi="Arial"/>
          <w:sz w:val="16"/>
          <w:szCs w:val="16"/>
          <w:color w:val="auto"/>
        </w:rPr>
        <w:t>accompany registration of the satellite. In some jurisdictions, these authorizations are separate and distinct, with unique</w:t>
      </w:r>
    </w:p>
    <w:p>
      <w:pPr>
        <w:ind w:left="40" w:right="199"/>
        <w:spacing w:after="0" w:line="239" w:lineRule="auto"/>
        <w:rPr>
          <w:sz w:val="20"/>
          <w:szCs w:val="20"/>
          <w:color w:val="auto"/>
        </w:rPr>
      </w:pPr>
      <w:r>
        <w:rPr>
          <w:rFonts w:ascii="Arial" w:cs="Arial" w:eastAsia="Arial" w:hAnsi="Arial"/>
          <w:sz w:val="16"/>
          <w:szCs w:val="16"/>
          <w:color w:val="auto"/>
        </w:rPr>
        <w:t>requirements, from the authorization to use a set of frequencies to provide satellite services. There is no guarantee that we will be able to procure such authorizations even if we already possess a frequency authorization.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Export Control and Foreign Corrupt Practices Act</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the operation of our business, we must comply with all applicable export control and trade sanctions laws and regulations</w:t>
      </w:r>
    </w:p>
    <w:p>
      <w:pPr>
        <w:spacing w:after="0" w:line="14" w:lineRule="exact"/>
        <w:rPr>
          <w:sz w:val="20"/>
          <w:szCs w:val="20"/>
          <w:color w:val="auto"/>
        </w:rPr>
      </w:pPr>
    </w:p>
    <w:p>
      <w:pPr>
        <w:ind w:left="40" w:right="199"/>
        <w:spacing w:after="0" w:line="228" w:lineRule="auto"/>
        <w:rPr>
          <w:sz w:val="20"/>
          <w:szCs w:val="20"/>
          <w:color w:val="auto"/>
        </w:rPr>
      </w:pPr>
      <w:r>
        <w:rPr>
          <w:rFonts w:ascii="Arial" w:cs="Arial" w:eastAsia="Arial" w:hAnsi="Arial"/>
          <w:sz w:val="16"/>
          <w:szCs w:val="16"/>
          <w:color w:val="auto"/>
        </w:rPr>
        <w:t>of the U.S. and other countries. Applicable U.S. laws and regulations include the Arms Export Control Act, the International Traffic in Arms Regulations (“ITAR”), the Export Administration Regulations (“EAR”) and the trade sanctions laws and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regulations administered by the U.S. Department of the Treasury’s Office of Foreign Assets Control (“OFAC”).</w:t>
      </w:r>
    </w:p>
    <w:p>
      <w:pPr>
        <w:spacing w:after="0" w:line="151" w:lineRule="exact"/>
        <w:rPr>
          <w:sz w:val="20"/>
          <w:szCs w:val="20"/>
          <w:color w:val="auto"/>
        </w:rPr>
      </w:pPr>
    </w:p>
    <w:p>
      <w:pPr>
        <w:ind w:left="40" w:right="439"/>
        <w:spacing w:after="0" w:line="247" w:lineRule="auto"/>
        <w:rPr>
          <w:sz w:val="20"/>
          <w:szCs w:val="20"/>
          <w:color w:val="auto"/>
        </w:rPr>
      </w:pPr>
      <w:r>
        <w:rPr>
          <w:rFonts w:ascii="Arial" w:cs="Arial" w:eastAsia="Arial" w:hAnsi="Arial"/>
          <w:sz w:val="16"/>
          <w:szCs w:val="16"/>
          <w:color w:val="auto"/>
        </w:rPr>
        <w:t>The export of certain hardware, technical data and services relating to satellites and the supply of certain ground control equipment, technical data and services to non-U.S. persons or to destinations outside the U.S. is regulated by the U.S.</w:t>
      </w:r>
    </w:p>
    <w:p>
      <w:pPr>
        <w:ind w:left="40" w:right="159"/>
        <w:spacing w:after="0" w:line="228" w:lineRule="auto"/>
        <w:rPr>
          <w:sz w:val="20"/>
          <w:szCs w:val="20"/>
          <w:color w:val="auto"/>
        </w:rPr>
      </w:pPr>
      <w:r>
        <w:rPr>
          <w:rFonts w:ascii="Arial" w:cs="Arial" w:eastAsia="Arial" w:hAnsi="Arial"/>
          <w:sz w:val="16"/>
          <w:szCs w:val="16"/>
          <w:color w:val="auto"/>
        </w:rPr>
        <w:t>Department of Commerce’s Bureau of Industry and Security (“BIS”) under the EAR. Among other things, we are required to obtain import and export licenses from the United States government to receive and deliver certain components of direct-to-</w:t>
      </w:r>
    </w:p>
    <w:p>
      <w:pPr>
        <w:ind w:left="40"/>
        <w:spacing w:after="0" w:line="238" w:lineRule="auto"/>
        <w:rPr>
          <w:sz w:val="20"/>
          <w:szCs w:val="20"/>
          <w:color w:val="auto"/>
        </w:rPr>
      </w:pPr>
      <w:r>
        <w:rPr>
          <w:rFonts w:ascii="Arial" w:cs="Arial" w:eastAsia="Arial" w:hAnsi="Arial"/>
          <w:sz w:val="16"/>
          <w:szCs w:val="16"/>
          <w:color w:val="auto"/>
        </w:rPr>
        <w:t>home satellite television systems. In addition, BIS regulates our export of satellite communications network equipment to</w:t>
      </w:r>
    </w:p>
    <w:p>
      <w:pPr>
        <w:ind w:left="40" w:right="399"/>
        <w:spacing w:after="0" w:line="228" w:lineRule="auto"/>
        <w:rPr>
          <w:sz w:val="20"/>
          <w:szCs w:val="20"/>
          <w:color w:val="auto"/>
        </w:rPr>
      </w:pPr>
      <w:r>
        <w:rPr>
          <w:rFonts w:ascii="Arial" w:cs="Arial" w:eastAsia="Arial" w:hAnsi="Arial"/>
          <w:sz w:val="16"/>
          <w:szCs w:val="16"/>
          <w:color w:val="auto"/>
        </w:rPr>
        <w:t>non-U.S. persons or to destinations outside of the U.S. The export of other items is regulated by the U.S. Department of State’s Directorate of Defense Trade Controls under the ITAR and are subject to strict export control and prior approval</w:t>
      </w:r>
    </w:p>
    <w:p>
      <w:pPr>
        <w:spacing w:after="0" w:line="1" w:lineRule="exact"/>
        <w:rPr>
          <w:sz w:val="20"/>
          <w:szCs w:val="20"/>
          <w:color w:val="auto"/>
        </w:rPr>
      </w:pPr>
    </w:p>
    <w:p>
      <w:pPr>
        <w:ind w:left="40" w:right="59"/>
        <w:spacing w:after="0" w:line="228" w:lineRule="auto"/>
        <w:rPr>
          <w:sz w:val="20"/>
          <w:szCs w:val="20"/>
          <w:color w:val="auto"/>
        </w:rPr>
      </w:pPr>
      <w:r>
        <w:rPr>
          <w:rFonts w:ascii="Arial" w:cs="Arial" w:eastAsia="Arial" w:hAnsi="Arial"/>
          <w:sz w:val="16"/>
          <w:szCs w:val="16"/>
          <w:color w:val="auto"/>
        </w:rPr>
        <w:t>requirements government (including prohibitions on the sharing of certain satellite-related goods and services with China). In addition, we cannot provide certain equipment or services to certain countries subject to U.S. trade sanctions unless we first</w:t>
      </w:r>
    </w:p>
    <w:p>
      <w:pPr>
        <w:ind w:left="40"/>
        <w:spacing w:after="0" w:line="238" w:lineRule="auto"/>
        <w:rPr>
          <w:sz w:val="20"/>
          <w:szCs w:val="20"/>
          <w:color w:val="auto"/>
        </w:rPr>
      </w:pPr>
      <w:r>
        <w:rPr>
          <w:rFonts w:ascii="Arial" w:cs="Arial" w:eastAsia="Arial" w:hAnsi="Arial"/>
          <w:sz w:val="16"/>
          <w:szCs w:val="16"/>
          <w:color w:val="auto"/>
        </w:rPr>
        <w:t>obtain the necessary authorizations from OFAC. We are also subject to the Foreign Corrupt Practices Act and similar anti-</w:t>
      </w:r>
    </w:p>
    <w:p>
      <w:pPr>
        <w:ind w:left="40" w:right="139"/>
        <w:spacing w:after="0" w:line="228" w:lineRule="auto"/>
        <w:rPr>
          <w:sz w:val="20"/>
          <w:szCs w:val="20"/>
          <w:color w:val="auto"/>
        </w:rPr>
      </w:pPr>
      <w:r>
        <w:rPr>
          <w:rFonts w:ascii="Arial" w:cs="Arial" w:eastAsia="Arial" w:hAnsi="Arial"/>
          <w:sz w:val="16"/>
          <w:szCs w:val="16"/>
          <w:color w:val="auto"/>
        </w:rPr>
        <w:t>bribery laws in other jurisdictions that generally prohibit companies and their intermediaries from making improper payments or giving or promising to give anything of value to foreign government officials and other individuals for the purpose of</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obtaining or retaining business or gaining a competitive advantage.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Non-U.S. Telecommunications Regulation</w:t>
      </w:r>
    </w:p>
    <w:p>
      <w:pPr>
        <w:spacing w:after="0" w:line="179" w:lineRule="exact"/>
        <w:rPr>
          <w:sz w:val="20"/>
          <w:szCs w:val="20"/>
          <w:color w:val="auto"/>
        </w:rPr>
      </w:pPr>
    </w:p>
    <w:p>
      <w:pPr>
        <w:ind w:left="40" w:right="299"/>
        <w:spacing w:after="0" w:line="239" w:lineRule="auto"/>
        <w:rPr>
          <w:sz w:val="20"/>
          <w:szCs w:val="20"/>
          <w:color w:val="auto"/>
        </w:rPr>
      </w:pPr>
      <w:r>
        <w:rPr>
          <w:rFonts w:ascii="Arial" w:cs="Arial" w:eastAsia="Arial" w:hAnsi="Arial"/>
          <w:sz w:val="16"/>
          <w:szCs w:val="16"/>
          <w:color w:val="auto"/>
        </w:rPr>
        <w:t>Many of the services we provide are also subject to the regulation of other countries as telecommunications services. For certain services, we may be required to contribute fees to a universal service or other fund to support mechanisms that</w:t>
      </w:r>
    </w:p>
    <w:p>
      <w:pPr>
        <w:ind w:left="40"/>
        <w:spacing w:after="0" w:line="237" w:lineRule="auto"/>
        <w:rPr>
          <w:sz w:val="20"/>
          <w:szCs w:val="20"/>
          <w:color w:val="auto"/>
        </w:rPr>
      </w:pPr>
      <w:r>
        <w:rPr>
          <w:rFonts w:ascii="Arial" w:cs="Arial" w:eastAsia="Arial" w:hAnsi="Arial"/>
          <w:sz w:val="16"/>
          <w:szCs w:val="16"/>
          <w:color w:val="auto"/>
        </w:rPr>
        <w:t>subsidize the provision of services to designated groups. Many countries also impose requirements on telecommunications</w:t>
      </w:r>
    </w:p>
    <w:p>
      <w:pPr>
        <w:ind w:left="40" w:right="479"/>
        <w:spacing w:after="0" w:line="228" w:lineRule="auto"/>
        <w:rPr>
          <w:sz w:val="20"/>
          <w:szCs w:val="20"/>
          <w:color w:val="auto"/>
        </w:rPr>
      </w:pPr>
      <w:r>
        <w:rPr>
          <w:rFonts w:ascii="Arial" w:cs="Arial" w:eastAsia="Arial" w:hAnsi="Arial"/>
          <w:sz w:val="16"/>
          <w:szCs w:val="16"/>
          <w:color w:val="auto"/>
        </w:rPr>
        <w:t>carriers to ensure that law enforcement agencies are able to conduct lawfully-authorized surveillance of users of their services. In addition, we are subject to a number of other rules, including rules related to telephony service such as the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protection of customer information and processing of emergency calls.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Regulations Governing our Wireless Operations</w:t>
      </w:r>
    </w:p>
    <w:p>
      <w:pPr>
        <w:spacing w:after="0" w:line="179"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color w:val="auto"/>
        </w:rPr>
        <w:t>The FCC regulates many aspects of our Wireless and 5G Network Deployment operations. Generally, the FCC has jurisdiction over the construction, operation, acquisition and transfer of wireless communications systems. All wireless services require use of radio frequency spectrum, the assignment and distribution of which is subject to FCC regulations and oversight. The FCC can also determine what services can be offered and how they can be offered over certain frequency bands. For more information regarding our FCC Licenses, see discussion above and Note 15 in the Notes to our Consolidated Financial Statements in this Annual Report on Form 10-K.</w:t>
      </w:r>
    </w:p>
    <w:p>
      <w:pPr>
        <w:spacing w:after="0" w:line="148" w:lineRule="exact"/>
        <w:rPr>
          <w:sz w:val="20"/>
          <w:szCs w:val="20"/>
          <w:color w:val="auto"/>
        </w:rPr>
      </w:pPr>
    </w:p>
    <w:p>
      <w:pPr>
        <w:ind w:left="40" w:right="59"/>
        <w:spacing w:after="0" w:line="242" w:lineRule="auto"/>
        <w:rPr>
          <w:sz w:val="20"/>
          <w:szCs w:val="20"/>
          <w:color w:val="auto"/>
        </w:rPr>
      </w:pPr>
      <w:r>
        <w:rPr>
          <w:rFonts w:ascii="Arial" w:cs="Arial" w:eastAsia="Arial" w:hAnsi="Arial"/>
          <w:sz w:val="16"/>
          <w:szCs w:val="16"/>
          <w:color w:val="auto"/>
        </w:rPr>
        <w:t>Additionally, the FCC and the Federal Aviation Administration regulate the siting, lighting and construction of transmitter towers and antennae. Tower siting and construction are also subject to, among other things, state and local zoning, as well as federal statutes regarding environmental and historic preservation. The future costs to comply with all relevant regulations are to some extent unknown and changes to regulations, or the applicability of regulations, could result in higher operating and capital expenses, or reduced revenues in the future. Furthermore, the FCC has also imposed certain specific mandates on wireless carriers, including, but not limited to, construction and geographic coverage requirements, technical operating standards, provision of enhanced 911 services, roaming obligations, assistance to law enforcement and requirements for wireless tower and antenna facilities.</w:t>
      </w:r>
    </w:p>
    <w:p>
      <w:pPr>
        <w:spacing w:after="0" w:line="150" w:lineRule="exact"/>
        <w:rPr>
          <w:sz w:val="20"/>
          <w:szCs w:val="20"/>
          <w:color w:val="auto"/>
        </w:rPr>
      </w:pPr>
    </w:p>
    <w:p>
      <w:pPr>
        <w:ind w:left="40" w:right="119"/>
        <w:spacing w:after="0" w:line="275" w:lineRule="auto"/>
        <w:rPr>
          <w:sz w:val="20"/>
          <w:szCs w:val="20"/>
          <w:color w:val="auto"/>
        </w:rPr>
      </w:pPr>
      <w:r>
        <w:rPr>
          <w:rFonts w:ascii="Arial" w:cs="Arial" w:eastAsia="Arial" w:hAnsi="Arial"/>
          <w:sz w:val="16"/>
          <w:szCs w:val="16"/>
          <w:color w:val="auto"/>
        </w:rPr>
        <w:t>The FTC and other federal agencies also have jurisdiction over some consumer protection and elimination and prevention of anticompetitive business practices with respect to the provision of non-common carrier services.</w:t>
      </w:r>
    </w:p>
    <w:p>
      <w:pPr>
        <w:spacing w:after="0" w:line="123" w:lineRule="exact"/>
        <w:rPr>
          <w:sz w:val="20"/>
          <w:szCs w:val="20"/>
          <w:color w:val="auto"/>
        </w:rPr>
      </w:pPr>
    </w:p>
    <w:p>
      <w:pPr>
        <w:ind w:left="40" w:right="99"/>
        <w:spacing w:after="0"/>
        <w:rPr>
          <w:sz w:val="20"/>
          <w:szCs w:val="20"/>
          <w:color w:val="auto"/>
        </w:rPr>
      </w:pPr>
      <w:r>
        <w:rPr>
          <w:rFonts w:ascii="Arial" w:cs="Arial" w:eastAsia="Arial" w:hAnsi="Arial"/>
          <w:sz w:val="16"/>
          <w:szCs w:val="16"/>
          <w:color w:val="auto"/>
        </w:rPr>
        <w:t>Meanwhile, our 5G Network Deployment will involve significant deployment of certain equipment and therefore increase the need for local permitting processes that allow for the placement of equipment on reasonable timelines and terms. While the Communications Act generally preempts state and local governments from regulating the entry of, or the rates charged by, wireless communications services providers, certain state and local governments regulate other terms and conditions of wireless service, including, but not limited to, billing, termination of service arrangements and the imposition of early termination fees, advertising, network outages, the use of devices while driving, zoning and land use. The Communications Act also does not prohibit state and local governments from regulating the other “terms and conditions” of wireless service. For example, some states attempt to regulate wireless customer billing matters and impose reporting requirements. Several states also have laws or regulations that address safety issues (e.g., use of wireless handsets while driving) and taxation matters. In addition, wireless tower and antenna facilities are often subject to state and local zoning and land use regulation, and securing approvals for new or modified facilities is often a lengthy and expensive process.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ENVIRONMENTAL REGULATIONS</w:t>
      </w:r>
    </w:p>
    <w:p>
      <w:pPr>
        <w:spacing w:after="0" w:line="179"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color w:val="auto"/>
        </w:rPr>
        <w:t>We are subject to the requirements of federal, state, local and foreign environmental and occupational safety and health laws and regulations. These include laws regulating air emissions, waste-water discharge and waste management, most significantly the Resource Conservation and Recovery Act and the Emergency Planning and Community Right-to-Know Act (“EPCRA”). Under the Resource Conservation and Recovery Act, our Hughes segment is considered a small quantity generator.</w:t>
      </w:r>
    </w:p>
    <w:p>
      <w:pPr>
        <w:spacing w:after="0" w:line="146" w:lineRule="exact"/>
        <w:rPr>
          <w:sz w:val="20"/>
          <w:szCs w:val="20"/>
          <w:color w:val="auto"/>
        </w:rPr>
      </w:pPr>
    </w:p>
    <w:p>
      <w:pPr>
        <w:ind w:left="40" w:right="99"/>
        <w:spacing w:after="0" w:line="244" w:lineRule="auto"/>
        <w:rPr>
          <w:sz w:val="20"/>
          <w:szCs w:val="20"/>
          <w:color w:val="auto"/>
        </w:rPr>
      </w:pPr>
      <w:r>
        <w:rPr>
          <w:rFonts w:ascii="Arial" w:cs="Arial" w:eastAsia="Arial" w:hAnsi="Arial"/>
          <w:sz w:val="16"/>
          <w:szCs w:val="16"/>
          <w:color w:val="auto"/>
        </w:rPr>
        <w:t>As required by the EPCRA, we file annual reports with regulatory agencies covering four areas: Emergency Planning, Emergency Release, Hazardous Chemical Storage and Toxic Chemical Release Inventory. We maintain small quantities of hazardous materials on our premises and, therefore, have relatively modest reporting requirements under the EPCRA. We are also subject to the requirements of other environmental and occupational safety and health laws and regulations. Additionally, we review the Superfund Amendments and Reauthorization Act Title III regulatory requirements and annually report quantities of onsite material storage using Tier II, state DEQ (Department of Environmental Quality) reporting systems.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279"/>
        <w:spacing w:after="0" w:line="246" w:lineRule="auto"/>
        <w:rPr>
          <w:sz w:val="20"/>
          <w:szCs w:val="20"/>
          <w:color w:val="auto"/>
        </w:rPr>
      </w:pPr>
      <w:r>
        <w:rPr>
          <w:rFonts w:ascii="Arial" w:cs="Arial" w:eastAsia="Arial" w:hAnsi="Arial"/>
          <w:sz w:val="16"/>
          <w:szCs w:val="16"/>
          <w:color w:val="auto"/>
        </w:rPr>
        <w:t>Our environmental compliance costs, capital and other expenditures to date have not been material, and we do not expect them to be material in 2025 or 2026. However, environmental requirements are complex, change frequently and have become more stringent over time. Accordingly, we cannot provide assurance that these requirements will not change or become more stringent in the future in a manner that could have a material adverse effect on our business and/or environmental compliance costs, capital or other expenditures.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PATENTS AND OTHER INTELLECTUAL PROPERTY</w:t>
      </w:r>
    </w:p>
    <w:p>
      <w:pPr>
        <w:spacing w:after="0" w:line="179" w:lineRule="exact"/>
        <w:rPr>
          <w:sz w:val="20"/>
          <w:szCs w:val="20"/>
          <w:color w:val="auto"/>
        </w:rPr>
      </w:pPr>
    </w:p>
    <w:p>
      <w:pPr>
        <w:ind w:left="40" w:right="59"/>
        <w:spacing w:after="0" w:line="243" w:lineRule="auto"/>
        <w:rPr>
          <w:sz w:val="20"/>
          <w:szCs w:val="20"/>
          <w:color w:val="auto"/>
        </w:rPr>
      </w:pPr>
      <w:r>
        <w:rPr>
          <w:rFonts w:ascii="Arial" w:cs="Arial" w:eastAsia="Arial" w:hAnsi="Arial"/>
          <w:sz w:val="16"/>
          <w:szCs w:val="16"/>
          <w:color w:val="auto"/>
        </w:rPr>
        <w:t>Many entities, including, but not limited to, some of our competitors, have or may in the future obtain patents and other intellectual property rights that cover or affect products or services that we offer or that we may offer in the future. In general, if a court determines that one or more of our products or services infringe intellectual property rights held by others, we may be required to cease developing or marketing those products or services, to obtain licenses from the holders of the intellectual property rights at a material cost or to redesign those products or services in such a way as to avoid infringing any patent claims. If those intellectual property rights are held by a competitor, we may be unable to obtain the intellectual property rights at any price, which could adversely affect our competitive position.</w:t>
      </w:r>
    </w:p>
    <w:p>
      <w:pPr>
        <w:spacing w:after="0" w:line="148" w:lineRule="exact"/>
        <w:rPr>
          <w:sz w:val="20"/>
          <w:szCs w:val="20"/>
          <w:color w:val="auto"/>
        </w:rPr>
      </w:pPr>
    </w:p>
    <w:p>
      <w:pPr>
        <w:ind w:left="40" w:right="59"/>
        <w:spacing w:after="0" w:line="246" w:lineRule="auto"/>
        <w:rPr>
          <w:sz w:val="20"/>
          <w:szCs w:val="20"/>
          <w:color w:val="auto"/>
        </w:rPr>
      </w:pPr>
      <w:r>
        <w:rPr>
          <w:rFonts w:ascii="Arial" w:cs="Arial" w:eastAsia="Arial" w:hAnsi="Arial"/>
          <w:sz w:val="16"/>
          <w:szCs w:val="16"/>
          <w:color w:val="auto"/>
        </w:rPr>
        <w:t>We may not be aware of all intellectual property rights that our products or services may potentially infringe. In addition, patent applications in the United States are confidential until the Patent and Trademark Office either publishes the application or issues a patent (whichever arises first) and, accordingly, our products may infringe claims contained in pending patent applications of which we are not aware. Further, the process of determining definitively whether a claim of infringement is valid often involves expensive and protracted litigation, even if we are ultimately successful on the merits.</w:t>
      </w:r>
    </w:p>
    <w:p>
      <w:pPr>
        <w:spacing w:after="0" w:line="146"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auto"/>
        </w:rPr>
        <w:t>We cannot estimate the extent to which we may be required in the future to obtain intellectual property licenses or the availability and cost of any such licenses. Those costs, and their impact on our results of operations, could be material. Damages in patent infringement cases can be substantial, and in certain circumstances can be trebled. To the extent that we are required to pay unanticipated royalties to third parties, these increased costs of doing business could negatively affect our liquidity and operating results. We are currently defending multiple patent infringement actions. We cannot be certain the courts will conclude these companies do not own the rights they claim, that our products do not infringe on these rights and/or that these rights are not valid. Furthermore, we cannot be certain that we would be able to obtain licenses from these persons on commercially reasonable terms or, if we were unable to obtain such licenses, that we would be able to redesign our products to avoid infringement.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 REPORTING DATA AND GEOGRAPHIC AREA DATA</w:t>
      </w:r>
    </w:p>
    <w:p>
      <w:pPr>
        <w:spacing w:after="0" w:line="179" w:lineRule="exact"/>
        <w:rPr>
          <w:sz w:val="20"/>
          <w:szCs w:val="20"/>
          <w:color w:val="auto"/>
        </w:rPr>
      </w:pPr>
    </w:p>
    <w:p>
      <w:pPr>
        <w:ind w:left="40" w:right="379"/>
        <w:spacing w:after="0" w:line="275" w:lineRule="auto"/>
        <w:rPr>
          <w:sz w:val="20"/>
          <w:szCs w:val="20"/>
          <w:color w:val="auto"/>
        </w:rPr>
      </w:pPr>
      <w:r>
        <w:rPr>
          <w:rFonts w:ascii="Arial" w:cs="Arial" w:eastAsia="Arial" w:hAnsi="Arial"/>
          <w:sz w:val="16"/>
          <w:szCs w:val="16"/>
          <w:color w:val="auto"/>
        </w:rPr>
        <w:t>For segment reporting data and principal geographic area data for 2024, 2023 and 2022, see Note 16 in the Notes to our Consolidated Financial Statements in this Annual Report on Form 10-K.</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HUMAN CAPITAL</w:t>
      </w:r>
    </w:p>
    <w:p>
      <w:pPr>
        <w:spacing w:after="0" w:line="179" w:lineRule="exact"/>
        <w:rPr>
          <w:sz w:val="20"/>
          <w:szCs w:val="20"/>
          <w:color w:val="auto"/>
        </w:rPr>
      </w:pPr>
    </w:p>
    <w:p>
      <w:pPr>
        <w:ind w:left="40" w:right="319"/>
        <w:spacing w:after="0" w:line="246" w:lineRule="auto"/>
        <w:rPr>
          <w:sz w:val="20"/>
          <w:szCs w:val="20"/>
          <w:color w:val="auto"/>
        </w:rPr>
      </w:pPr>
      <w:r>
        <w:rPr>
          <w:rFonts w:ascii="Arial" w:cs="Arial" w:eastAsia="Arial" w:hAnsi="Arial"/>
          <w:sz w:val="16"/>
          <w:szCs w:val="16"/>
          <w:color w:val="auto"/>
        </w:rPr>
        <w:t>We believe that our future success will depend to a significant extent upon the performance of Charles W. Ergen, our Chairman and certain other executives. The loss of Mr. Ergen or of certain other key executives could have a material adverse effect on our business, financial condition and results of operations. Although all of our executives have executed agreements with certain non-competition restrictions that apply if they leave us, we generally do not have employment agreements with them.</w:t>
      </w:r>
    </w:p>
    <w:p>
      <w:pPr>
        <w:spacing w:after="0" w:line="146"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We believe that our Wireless business, including our ability to complete our 5G Network Deployment, is dependent on our ability to identify, hire, develop, motivate and retain a team of highly skilled personnel with knowledge of the wireless industry. Our Wireless business will be adversely affected if we fail to effectively identify, hire, develop, motivate and retain highly skilled personnel with knowledge of the wireless industry.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We had approximately 13,700 employees at December 31, 2024, the majority of whom were located in the United States and approximately 600 internationally. We generally consider relations with our employees to be good. Approximately 400 of our employees located in Italy and Brazil are represented by a union. Our mission is to be a global connectivity provider for people, enterprises and things.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WHERE YOU CAN FIND MORE INFORMATION</w:t>
      </w:r>
    </w:p>
    <w:p>
      <w:pPr>
        <w:spacing w:after="0" w:line="179" w:lineRule="exact"/>
        <w:rPr>
          <w:sz w:val="20"/>
          <w:szCs w:val="20"/>
          <w:color w:val="auto"/>
        </w:rPr>
      </w:pPr>
    </w:p>
    <w:p>
      <w:pPr>
        <w:ind w:left="40" w:right="159"/>
        <w:spacing w:after="0" w:line="246" w:lineRule="auto"/>
        <w:rPr>
          <w:sz w:val="20"/>
          <w:szCs w:val="20"/>
          <w:color w:val="auto"/>
        </w:rPr>
      </w:pPr>
      <w:r>
        <w:rPr>
          <w:rFonts w:ascii="Arial" w:cs="Arial" w:eastAsia="Arial" w:hAnsi="Arial"/>
          <w:sz w:val="16"/>
          <w:szCs w:val="16"/>
          <w:color w:val="auto"/>
        </w:rPr>
        <w:t>We are subject to the informational requirements of the Exchange Act and accordingly file our annual reports on Form 10-K, quarterly reports on Form 10-Q, current reports on Form 8-K, proxy statements and other information with the SEC. As an electronic filer, our public filings are also maintained on the SEC’s Internet site that contains reports, proxy and information statements, and other information regarding issuers that file electronically with the SEC. The address of that website is http://www.sec.gov.</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WEBSITE ACCESS</w:t>
      </w:r>
    </w:p>
    <w:p>
      <w:pPr>
        <w:spacing w:after="0" w:line="179"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color w:val="auto"/>
        </w:rPr>
        <w:t>Our annual reports on Form 10-K, quarterly reports on Form 10-Q, current reports on Form 8-K and amendments to those reports filed or furnished pursuant to Section 13(a) or 15(d) of the Exchange Act also may be accessed free of charge through our website as soon as reasonably practicable after we have electronically filed such material with, or furnished it to, the SEC. The address of that website is https://ir.echostar.com/.</w:t>
      </w:r>
    </w:p>
    <w:p>
      <w:pPr>
        <w:spacing w:after="0" w:line="144"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auto"/>
        </w:rPr>
        <w:t>We have adopted a written code of ethics that applies to all of our directors, officers and employees, including our principal executive officer and senior financial officers, in accordance with Section 406 of the Sarbanes-Oxley Act of 2002 and the rules of the SEC promulgated thereunder. Our code of ethics is available on our corporate website at https://ir.echostar.com/corporate-governance. In the event that we make changes in, or provide waivers of, the provisions of this code of ethics that the SEC requires us to disclose, we intend to disclose these events on our website.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(furnished in accordance with Item 401(b) of Regulation S-K, pursuant to General Instruction G(3) of Form 10-K)</w:t>
      </w:r>
    </w:p>
    <w:p>
      <w:pPr>
        <w:spacing w:after="0" w:line="179"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The following table and information below sets forth the name, age and position with EchoStar of each of our executive officers, the period during which each executive officer has served as such, and each executive officer’s business experience during the past five years: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6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Age</w:t>
            </w:r>
          </w:p>
        </w:tc>
        <w:tc>
          <w:tcPr>
            <w:tcW w:w="6660" w:type="dxa"/>
            <w:vAlign w:val="bottom"/>
            <w:gridSpan w:val="2"/>
          </w:tcPr>
          <w:p>
            <w:pPr>
              <w:ind w:left="3040"/>
              <w:spacing w:after="0"/>
              <w:rPr>
                <w:sz w:val="20"/>
                <w:szCs w:val="20"/>
                <w:color w:val="auto"/>
              </w:rPr>
            </w:pPr>
            <w:r>
              <w:rPr>
                <w:rFonts w:ascii="Arial" w:cs="Arial" w:eastAsia="Arial" w:hAnsi="Arial"/>
                <w:sz w:val="13"/>
                <w:szCs w:val="13"/>
                <w:b w:val="1"/>
                <w:bCs w:val="1"/>
                <w:color w:val="auto"/>
              </w:rPr>
              <w:t>Position</w:t>
            </w:r>
          </w:p>
        </w:tc>
      </w:tr>
      <w:tr>
        <w:trPr>
          <w:trHeight w:val="137"/>
        </w:trPr>
        <w:tc>
          <w:tcPr>
            <w:tcW w:w="140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rPr>
              <w:t>Charles W. Ergen</w:t>
            </w:r>
          </w:p>
        </w:tc>
        <w:tc>
          <w:tcPr>
            <w:tcW w:w="2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71</w:t>
            </w:r>
          </w:p>
        </w:tc>
        <w:tc>
          <w:tcPr>
            <w:tcW w:w="220" w:type="dxa"/>
            <w:vAlign w:val="bottom"/>
            <w:tcBorders>
              <w:top w:val="single" w:sz="8" w:color="CCEEFF"/>
            </w:tcBorders>
            <w:shd w:val="clear" w:color="auto" w:fill="CCEEFF"/>
          </w:tcPr>
          <w:p>
            <w:pPr>
              <w:spacing w:after="0"/>
              <w:rPr>
                <w:sz w:val="11"/>
                <w:szCs w:val="11"/>
                <w:color w:val="auto"/>
              </w:rPr>
            </w:pPr>
          </w:p>
        </w:tc>
        <w:tc>
          <w:tcPr>
            <w:tcW w:w="658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rPr>
              <w:t>Chairman</w:t>
            </w:r>
          </w:p>
        </w:tc>
        <w:tc>
          <w:tcPr>
            <w:tcW w:w="80" w:type="dxa"/>
            <w:vAlign w:val="bottom"/>
            <w:tcBorders>
              <w:top w:val="single" w:sz="8" w:color="CCEEFF"/>
            </w:tcBorders>
            <w:shd w:val="clear" w:color="auto" w:fill="CCEEFF"/>
          </w:tcPr>
          <w:p>
            <w:pPr>
              <w:spacing w:after="0"/>
              <w:rPr>
                <w:sz w:val="11"/>
                <w:szCs w:val="11"/>
                <w:color w:val="auto"/>
              </w:rPr>
            </w:pPr>
          </w:p>
        </w:tc>
      </w:tr>
      <w:tr>
        <w:trPr>
          <w:trHeight w:val="145"/>
        </w:trPr>
        <w:tc>
          <w:tcPr>
            <w:tcW w:w="1640" w:type="dxa"/>
            <w:vAlign w:val="bottom"/>
            <w:gridSpan w:val="2"/>
          </w:tcPr>
          <w:p>
            <w:pPr>
              <w:spacing w:after="0" w:line="146" w:lineRule="exact"/>
              <w:rPr>
                <w:sz w:val="20"/>
                <w:szCs w:val="20"/>
                <w:color w:val="auto"/>
              </w:rPr>
            </w:pPr>
            <w:r>
              <w:rPr>
                <w:rFonts w:ascii="Arial" w:cs="Arial" w:eastAsia="Arial" w:hAnsi="Arial"/>
                <w:sz w:val="13"/>
                <w:szCs w:val="13"/>
                <w:color w:val="auto"/>
              </w:rPr>
              <w:t>Hamid Akhavan</w:t>
            </w:r>
          </w:p>
        </w:tc>
        <w:tc>
          <w:tcPr>
            <w:tcW w:w="400" w:type="dxa"/>
            <w:vAlign w:val="bottom"/>
          </w:tcPr>
          <w:p>
            <w:pPr>
              <w:jc w:val="center"/>
              <w:spacing w:after="0" w:line="146" w:lineRule="exact"/>
              <w:rPr>
                <w:sz w:val="20"/>
                <w:szCs w:val="20"/>
                <w:color w:val="auto"/>
              </w:rPr>
            </w:pPr>
            <w:r>
              <w:rPr>
                <w:rFonts w:ascii="Arial" w:cs="Arial" w:eastAsia="Arial" w:hAnsi="Arial"/>
                <w:sz w:val="13"/>
                <w:szCs w:val="13"/>
                <w:color w:val="auto"/>
                <w:w w:val="96"/>
              </w:rPr>
              <w:t>63</w:t>
            </w:r>
          </w:p>
        </w:tc>
        <w:tc>
          <w:tcPr>
            <w:tcW w:w="220" w:type="dxa"/>
            <w:vAlign w:val="bottom"/>
          </w:tcPr>
          <w:p>
            <w:pPr>
              <w:spacing w:after="0"/>
              <w:rPr>
                <w:sz w:val="12"/>
                <w:szCs w:val="12"/>
                <w:color w:val="auto"/>
              </w:rPr>
            </w:pPr>
          </w:p>
        </w:tc>
        <w:tc>
          <w:tcPr>
            <w:tcW w:w="6660" w:type="dxa"/>
            <w:vAlign w:val="bottom"/>
            <w:gridSpan w:val="2"/>
          </w:tcPr>
          <w:p>
            <w:pPr>
              <w:spacing w:after="0" w:line="146" w:lineRule="exact"/>
              <w:rPr>
                <w:sz w:val="20"/>
                <w:szCs w:val="20"/>
                <w:color w:val="auto"/>
              </w:rPr>
            </w:pPr>
            <w:r>
              <w:rPr>
                <w:rFonts w:ascii="Arial" w:cs="Arial" w:eastAsia="Arial" w:hAnsi="Arial"/>
                <w:sz w:val="13"/>
                <w:szCs w:val="13"/>
                <w:color w:val="auto"/>
              </w:rPr>
              <w:t>President, Chief Executive Officer</w:t>
            </w:r>
          </w:p>
        </w:tc>
      </w:tr>
      <w:tr>
        <w:trPr>
          <w:trHeight w:val="145"/>
        </w:trPr>
        <w:tc>
          <w:tcPr>
            <w:tcW w:w="16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Paul Gaske</w:t>
            </w:r>
          </w:p>
        </w:tc>
        <w:tc>
          <w:tcPr>
            <w:tcW w:w="40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6"/>
              </w:rPr>
              <w:t>71</w:t>
            </w:r>
          </w:p>
        </w:tc>
        <w:tc>
          <w:tcPr>
            <w:tcW w:w="220" w:type="dxa"/>
            <w:vAlign w:val="bottom"/>
            <w:shd w:val="clear" w:color="auto" w:fill="CCEEFF"/>
          </w:tcPr>
          <w:p>
            <w:pPr>
              <w:spacing w:after="0"/>
              <w:rPr>
                <w:sz w:val="12"/>
                <w:szCs w:val="12"/>
                <w:color w:val="auto"/>
              </w:rPr>
            </w:pPr>
          </w:p>
        </w:tc>
        <w:tc>
          <w:tcPr>
            <w:tcW w:w="66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Chief Operating Officer, Hughes</w:t>
            </w:r>
          </w:p>
        </w:tc>
      </w:tr>
      <w:tr>
        <w:trPr>
          <w:trHeight w:val="145"/>
        </w:trPr>
        <w:tc>
          <w:tcPr>
            <w:tcW w:w="1640" w:type="dxa"/>
            <w:vAlign w:val="bottom"/>
            <w:gridSpan w:val="2"/>
          </w:tcPr>
          <w:p>
            <w:pPr>
              <w:spacing w:after="0" w:line="146" w:lineRule="exact"/>
              <w:rPr>
                <w:sz w:val="20"/>
                <w:szCs w:val="20"/>
                <w:color w:val="auto"/>
              </w:rPr>
            </w:pPr>
            <w:r>
              <w:rPr>
                <w:rFonts w:ascii="Arial" w:cs="Arial" w:eastAsia="Arial" w:hAnsi="Arial"/>
                <w:sz w:val="13"/>
                <w:szCs w:val="13"/>
                <w:color w:val="auto"/>
              </w:rPr>
              <w:t>Dean A. Manson</w:t>
            </w:r>
          </w:p>
        </w:tc>
        <w:tc>
          <w:tcPr>
            <w:tcW w:w="400" w:type="dxa"/>
            <w:vAlign w:val="bottom"/>
          </w:tcPr>
          <w:p>
            <w:pPr>
              <w:jc w:val="center"/>
              <w:spacing w:after="0" w:line="146" w:lineRule="exact"/>
              <w:rPr>
                <w:sz w:val="20"/>
                <w:szCs w:val="20"/>
                <w:color w:val="auto"/>
              </w:rPr>
            </w:pPr>
            <w:r>
              <w:rPr>
                <w:rFonts w:ascii="Arial" w:cs="Arial" w:eastAsia="Arial" w:hAnsi="Arial"/>
                <w:sz w:val="13"/>
                <w:szCs w:val="13"/>
                <w:color w:val="auto"/>
                <w:w w:val="96"/>
              </w:rPr>
              <w:t>58</w:t>
            </w:r>
          </w:p>
        </w:tc>
        <w:tc>
          <w:tcPr>
            <w:tcW w:w="220" w:type="dxa"/>
            <w:vAlign w:val="bottom"/>
          </w:tcPr>
          <w:p>
            <w:pPr>
              <w:spacing w:after="0"/>
              <w:rPr>
                <w:sz w:val="12"/>
                <w:szCs w:val="12"/>
                <w:color w:val="auto"/>
              </w:rPr>
            </w:pPr>
          </w:p>
        </w:tc>
        <w:tc>
          <w:tcPr>
            <w:tcW w:w="6660" w:type="dxa"/>
            <w:vAlign w:val="bottom"/>
            <w:gridSpan w:val="2"/>
          </w:tcPr>
          <w:p>
            <w:pPr>
              <w:spacing w:after="0" w:line="146" w:lineRule="exact"/>
              <w:rPr>
                <w:sz w:val="20"/>
                <w:szCs w:val="20"/>
                <w:color w:val="auto"/>
              </w:rPr>
            </w:pPr>
            <w:r>
              <w:rPr>
                <w:rFonts w:ascii="Arial" w:cs="Arial" w:eastAsia="Arial" w:hAnsi="Arial"/>
                <w:sz w:val="13"/>
                <w:szCs w:val="13"/>
                <w:color w:val="auto"/>
              </w:rPr>
              <w:t>Chief Legal Officer and Secretary</w:t>
            </w:r>
          </w:p>
        </w:tc>
      </w:tr>
      <w:tr>
        <w:trPr>
          <w:trHeight w:val="145"/>
        </w:trPr>
        <w:tc>
          <w:tcPr>
            <w:tcW w:w="16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Paul W. Orban</w:t>
            </w:r>
          </w:p>
        </w:tc>
        <w:tc>
          <w:tcPr>
            <w:tcW w:w="40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6"/>
              </w:rPr>
              <w:t>56</w:t>
            </w:r>
          </w:p>
        </w:tc>
        <w:tc>
          <w:tcPr>
            <w:tcW w:w="220" w:type="dxa"/>
            <w:vAlign w:val="bottom"/>
            <w:shd w:val="clear" w:color="auto" w:fill="CCEEFF"/>
          </w:tcPr>
          <w:p>
            <w:pPr>
              <w:spacing w:after="0"/>
              <w:rPr>
                <w:sz w:val="12"/>
                <w:szCs w:val="12"/>
                <w:color w:val="auto"/>
              </w:rPr>
            </w:pPr>
          </w:p>
        </w:tc>
        <w:tc>
          <w:tcPr>
            <w:tcW w:w="66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Executive Vice President and Chief Financial Officer, DISH</w:t>
            </w:r>
          </w:p>
        </w:tc>
      </w:tr>
      <w:tr>
        <w:trPr>
          <w:trHeight w:val="145"/>
        </w:trPr>
        <w:tc>
          <w:tcPr>
            <w:tcW w:w="1640" w:type="dxa"/>
            <w:vAlign w:val="bottom"/>
            <w:gridSpan w:val="2"/>
          </w:tcPr>
          <w:p>
            <w:pPr>
              <w:spacing w:after="0" w:line="146" w:lineRule="exact"/>
              <w:rPr>
                <w:sz w:val="20"/>
                <w:szCs w:val="20"/>
                <w:color w:val="auto"/>
              </w:rPr>
            </w:pPr>
            <w:r>
              <w:rPr>
                <w:rFonts w:ascii="Arial" w:cs="Arial" w:eastAsia="Arial" w:hAnsi="Arial"/>
                <w:sz w:val="13"/>
                <w:szCs w:val="13"/>
                <w:color w:val="auto"/>
              </w:rPr>
              <w:t>Gary Schanman</w:t>
            </w:r>
          </w:p>
        </w:tc>
        <w:tc>
          <w:tcPr>
            <w:tcW w:w="400" w:type="dxa"/>
            <w:vAlign w:val="bottom"/>
          </w:tcPr>
          <w:p>
            <w:pPr>
              <w:jc w:val="center"/>
              <w:spacing w:after="0" w:line="146" w:lineRule="exact"/>
              <w:rPr>
                <w:sz w:val="20"/>
                <w:szCs w:val="20"/>
                <w:color w:val="auto"/>
              </w:rPr>
            </w:pPr>
            <w:r>
              <w:rPr>
                <w:rFonts w:ascii="Arial" w:cs="Arial" w:eastAsia="Arial" w:hAnsi="Arial"/>
                <w:sz w:val="13"/>
                <w:szCs w:val="13"/>
                <w:color w:val="auto"/>
                <w:w w:val="96"/>
              </w:rPr>
              <w:t>54</w:t>
            </w:r>
          </w:p>
        </w:tc>
        <w:tc>
          <w:tcPr>
            <w:tcW w:w="220" w:type="dxa"/>
            <w:vAlign w:val="bottom"/>
          </w:tcPr>
          <w:p>
            <w:pPr>
              <w:spacing w:after="0"/>
              <w:rPr>
                <w:sz w:val="12"/>
                <w:szCs w:val="12"/>
                <w:color w:val="auto"/>
              </w:rPr>
            </w:pPr>
          </w:p>
        </w:tc>
        <w:tc>
          <w:tcPr>
            <w:tcW w:w="6660" w:type="dxa"/>
            <w:vAlign w:val="bottom"/>
            <w:gridSpan w:val="2"/>
          </w:tcPr>
          <w:p>
            <w:pPr>
              <w:spacing w:after="0" w:line="146" w:lineRule="exact"/>
              <w:rPr>
                <w:sz w:val="20"/>
                <w:szCs w:val="20"/>
                <w:color w:val="auto"/>
              </w:rPr>
            </w:pPr>
            <w:r>
              <w:rPr>
                <w:rFonts w:ascii="Arial" w:cs="Arial" w:eastAsia="Arial" w:hAnsi="Arial"/>
                <w:sz w:val="13"/>
                <w:szCs w:val="13"/>
                <w:color w:val="auto"/>
              </w:rPr>
              <w:t>Executive Vice President and Group President, Video Services</w:t>
            </w:r>
          </w:p>
        </w:tc>
      </w:tr>
      <w:tr>
        <w:trPr>
          <w:trHeight w:val="145"/>
        </w:trPr>
        <w:tc>
          <w:tcPr>
            <w:tcW w:w="164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John W. Swieringa</w:t>
            </w:r>
          </w:p>
        </w:tc>
        <w:tc>
          <w:tcPr>
            <w:tcW w:w="400" w:type="dxa"/>
            <w:vAlign w:val="bottom"/>
            <w:shd w:val="clear" w:color="auto" w:fill="CCEEFF"/>
          </w:tcPr>
          <w:p>
            <w:pPr>
              <w:jc w:val="center"/>
              <w:spacing w:after="0" w:line="146" w:lineRule="exact"/>
              <w:rPr>
                <w:sz w:val="20"/>
                <w:szCs w:val="20"/>
                <w:color w:val="auto"/>
              </w:rPr>
            </w:pPr>
            <w:r>
              <w:rPr>
                <w:rFonts w:ascii="Arial" w:cs="Arial" w:eastAsia="Arial" w:hAnsi="Arial"/>
                <w:sz w:val="13"/>
                <w:szCs w:val="13"/>
                <w:color w:val="auto"/>
                <w:w w:val="96"/>
              </w:rPr>
              <w:t>47</w:t>
            </w:r>
          </w:p>
        </w:tc>
        <w:tc>
          <w:tcPr>
            <w:tcW w:w="220" w:type="dxa"/>
            <w:vAlign w:val="bottom"/>
            <w:shd w:val="clear" w:color="auto" w:fill="CCEEFF"/>
          </w:tcPr>
          <w:p>
            <w:pPr>
              <w:spacing w:after="0"/>
              <w:rPr>
                <w:sz w:val="12"/>
                <w:szCs w:val="12"/>
                <w:color w:val="auto"/>
              </w:rPr>
            </w:pPr>
          </w:p>
        </w:tc>
        <w:tc>
          <w:tcPr>
            <w:tcW w:w="666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President, Technology and Chief Operating Officer</w:t>
            </w:r>
          </w:p>
        </w:tc>
      </w:tr>
    </w:tbl>
    <w:p>
      <w:pPr>
        <w:spacing w:after="0" w:line="310" w:lineRule="exact"/>
        <w:rPr>
          <w:sz w:val="20"/>
          <w:szCs w:val="20"/>
          <w:color w:val="auto"/>
        </w:rPr>
      </w:pPr>
    </w:p>
    <w:p>
      <w:pPr>
        <w:ind w:left="40" w:right="279"/>
        <w:spacing w:after="0" w:line="244" w:lineRule="auto"/>
        <w:rPr>
          <w:sz w:val="20"/>
          <w:szCs w:val="20"/>
          <w:color w:val="auto"/>
        </w:rPr>
      </w:pPr>
      <w:r>
        <w:rPr>
          <w:rFonts w:ascii="Arial" w:cs="Arial" w:eastAsia="Arial" w:hAnsi="Arial"/>
          <w:sz w:val="16"/>
          <w:szCs w:val="16"/>
          <w:b w:val="1"/>
          <w:bCs w:val="1"/>
          <w:i w:val="1"/>
          <w:iCs w:val="1"/>
          <w:color w:val="auto"/>
        </w:rPr>
        <w:t xml:space="preserve">Charles W. Ergen. </w:t>
      </w:r>
      <w:r>
        <w:rPr>
          <w:rFonts w:ascii="Arial" w:cs="Arial" w:eastAsia="Arial" w:hAnsi="Arial"/>
          <w:sz w:val="16"/>
          <w:szCs w:val="16"/>
          <w:color w:val="auto"/>
        </w:rPr>
        <w:t>Mr. Ergen has served as our executive Chairman since November 2009 and Chairman of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since our formation in 2007. Mr. Ergen served as our Chief Executive Officer from our formation in 2007 until November 2009. Mr. Ergen serves as executive Chairman and has been Chairman of the Board of Directors of DISH Network Corporation (“DISH”) since its formation and, during the past five years, has held executive officer and director positions with DISH and its subsidiaries (together with DISH, “Dish Network”) most recently serving as the Chief Executive Officer of DISH from March 2015 to December 2017.</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59"/>
        <w:spacing w:after="0" w:line="243" w:lineRule="auto"/>
        <w:rPr>
          <w:sz w:val="20"/>
          <w:szCs w:val="20"/>
          <w:color w:val="auto"/>
        </w:rPr>
      </w:pPr>
      <w:r>
        <w:rPr>
          <w:rFonts w:ascii="Arial" w:cs="Arial" w:eastAsia="Arial" w:hAnsi="Arial"/>
          <w:sz w:val="16"/>
          <w:szCs w:val="16"/>
          <w:b w:val="1"/>
          <w:bCs w:val="1"/>
          <w:i w:val="1"/>
          <w:iCs w:val="1"/>
          <w:color w:val="auto"/>
        </w:rPr>
        <w:t xml:space="preserve">Hamid Akhavan. </w:t>
      </w:r>
      <w:r>
        <w:rPr>
          <w:rFonts w:ascii="Arial" w:cs="Arial" w:eastAsia="Arial" w:hAnsi="Arial"/>
          <w:sz w:val="16"/>
          <w:szCs w:val="16"/>
          <w:color w:val="auto"/>
        </w:rPr>
        <w:t>Mr. Akhavan has served as our Chief Executive Officer and President since April 2022. Following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announcement of the agreement to enter into the business combination with DISH Network, Mr. Akhavan served as the DISH Network’s Chief Executive Officer from November 2023 to December 2023. Prior to joining EchoStar, Mr. Akhavan has accumulated extensive leadership experience at major telecommunications and technology companies, including Chief Executive Officer of Unify, Inc, and Chief Executive Officer of T-Mobile International, where he also served as a member of the Board of Management of Deutsche Telekom. In recent years, Akhavan has been active in private equity and serving on the board of directors of several public and private companies.</w:t>
      </w:r>
    </w:p>
    <w:p>
      <w:pPr>
        <w:spacing w:after="0" w:line="148" w:lineRule="exact"/>
        <w:rPr>
          <w:sz w:val="20"/>
          <w:szCs w:val="20"/>
          <w:color w:val="auto"/>
        </w:rPr>
      </w:pPr>
    </w:p>
    <w:p>
      <w:pPr>
        <w:ind w:left="40" w:right="219"/>
        <w:spacing w:after="0" w:line="249" w:lineRule="auto"/>
        <w:rPr>
          <w:sz w:val="20"/>
          <w:szCs w:val="20"/>
          <w:color w:val="auto"/>
        </w:rPr>
      </w:pPr>
      <w:r>
        <w:rPr>
          <w:rFonts w:ascii="Arial" w:cs="Arial" w:eastAsia="Arial" w:hAnsi="Arial"/>
          <w:sz w:val="16"/>
          <w:szCs w:val="16"/>
          <w:b w:val="1"/>
          <w:bCs w:val="1"/>
          <w:i w:val="1"/>
          <w:iCs w:val="1"/>
          <w:color w:val="auto"/>
        </w:rPr>
        <w:t xml:space="preserve">Paul Gaske. </w:t>
      </w:r>
      <w:r>
        <w:rPr>
          <w:rFonts w:ascii="Arial" w:cs="Arial" w:eastAsia="Arial" w:hAnsi="Arial"/>
          <w:sz w:val="16"/>
          <w:szCs w:val="16"/>
          <w:color w:val="auto"/>
        </w:rPr>
        <w:t>Mr. Gaske became Chief Operating Officer, Hughes effective January 1, 2023, reporting to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Prior to becoming the Chief Operating Officer, Mr. Gaske was the Executive President and General Manager of the North American Division of Hughes Network Systems, LLC since 1999. Mr. Gaske also oversees Hughes manufacturing.</w:t>
      </w:r>
    </w:p>
    <w:p>
      <w:pPr>
        <w:spacing w:after="0" w:line="144"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b w:val="1"/>
          <w:bCs w:val="1"/>
          <w:i w:val="1"/>
          <w:iCs w:val="1"/>
          <w:color w:val="auto"/>
        </w:rPr>
        <w:t>Dean A. Manson</w:t>
      </w:r>
      <w:r>
        <w:rPr>
          <w:rFonts w:ascii="Arial" w:cs="Arial" w:eastAsia="Arial" w:hAnsi="Arial"/>
          <w:sz w:val="16"/>
          <w:szCs w:val="16"/>
          <w:color w:val="auto"/>
        </w:rPr>
        <w:t>. Mr. Manson has served as our Chief Legal Officer and Secretary since November 2011 and is responsible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all our legal, government affairs and corporate information security. Mr. Manson joined our subsidiary Hughes Network Systems, LLC in 2000 and was appointed its General Counsel in 2004. He was previously with the law firm of Milbank, Tweed, Hadley &amp; McCloy LLP, where he focused on international project finance and corporate transactions.</w:t>
      </w:r>
    </w:p>
    <w:p>
      <w:pPr>
        <w:spacing w:after="0" w:line="144" w:lineRule="exact"/>
        <w:rPr>
          <w:sz w:val="20"/>
          <w:szCs w:val="20"/>
          <w:color w:val="auto"/>
        </w:rPr>
      </w:pPr>
    </w:p>
    <w:p>
      <w:pPr>
        <w:ind w:left="40" w:right="59"/>
        <w:spacing w:after="0"/>
        <w:rPr>
          <w:sz w:val="20"/>
          <w:szCs w:val="20"/>
          <w:color w:val="auto"/>
        </w:rPr>
      </w:pPr>
      <w:r>
        <w:rPr>
          <w:rFonts w:ascii="Arial" w:cs="Arial" w:eastAsia="Arial" w:hAnsi="Arial"/>
          <w:sz w:val="16"/>
          <w:szCs w:val="16"/>
          <w:b w:val="1"/>
          <w:bCs w:val="1"/>
          <w:i w:val="1"/>
          <w:iCs w:val="1"/>
          <w:color w:val="auto"/>
        </w:rPr>
        <w:t>Paul W. Orban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Orban has served as Executive Vice President and Chief Financial Officer, DISH since December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is responsible for all aspects of DISH Network’s finance, accounting, tax, treasury, internal audit and supply chain departments. Mr. Orban has served as Executive Vice President and Chief Financial Officer of DISH Network since July 2019 and has had responsibility for all aspects of DISH Network’s finance, accounting, tax, treasury, internal audit and supply chain departments. Mr. Orban served as Senior Vice President and Chief Accounting Officer from December 2015 to</w:t>
      </w:r>
    </w:p>
    <w:p>
      <w:pPr>
        <w:spacing w:after="0" w:line="4"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July 2019, Senior Vice President and Corporate Controller from September 2006 to December 2015 and as Vice President and Corporate Controller from September 2003 to September 2006. He also served as EchoStar’s Senior Vice President and Corporate Controller from 2008 to 2012 pursuant to a management services agreement between DISH Network and EchoStar. Since joining DISH Network in 1996, Mr. Orban has held various other positions of increasing responsibility in our accounting department. Prior to DISH Network, Mr. Orban was an auditor with Arthur Andersen LLP.</w:t>
      </w:r>
    </w:p>
    <w:p>
      <w:pPr>
        <w:spacing w:after="0" w:line="149" w:lineRule="exact"/>
        <w:rPr>
          <w:sz w:val="20"/>
          <w:szCs w:val="20"/>
          <w:color w:val="auto"/>
        </w:rPr>
      </w:pPr>
    </w:p>
    <w:p>
      <w:pPr>
        <w:ind w:left="40" w:right="219"/>
        <w:spacing w:after="0" w:line="242" w:lineRule="auto"/>
        <w:rPr>
          <w:sz w:val="20"/>
          <w:szCs w:val="20"/>
          <w:color w:val="auto"/>
        </w:rPr>
      </w:pPr>
      <w:r>
        <w:rPr>
          <w:rFonts w:ascii="Arial" w:cs="Arial" w:eastAsia="Arial" w:hAnsi="Arial"/>
          <w:sz w:val="16"/>
          <w:szCs w:val="16"/>
          <w:b w:val="1"/>
          <w:bCs w:val="1"/>
          <w:i w:val="1"/>
          <w:iCs w:val="1"/>
          <w:color w:val="auto"/>
        </w:rPr>
        <w:t xml:space="preserve">Gary Schanman. </w:t>
      </w:r>
      <w:r>
        <w:rPr>
          <w:rFonts w:ascii="Arial" w:cs="Arial" w:eastAsia="Arial" w:hAnsi="Arial"/>
          <w:sz w:val="16"/>
          <w:szCs w:val="16"/>
          <w:color w:val="auto"/>
        </w:rPr>
        <w:t>Mr. Schanman has served as Executive Vice President and Group President, Video Services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2023 and is responsible for the DISH TV and SLING TV businesses, including product, media sales, marketing and programming. Mr. Schanman previously served as Executive Vice President and Group President, Video Services for DISH Network since July 2023. Mr. Schanman previously served as Executive Vice President and Group President, SLING TV since April 2022 and has had responsibility for all aspects of the SLING TV business. Prior to EchoStar, Mr. Schanman was the Founder and President of GB Monday, while also acting as Chief Product and Technology Officer for Common Sense Networks and its kids streaming service, Sensical from July 2020 to April 2022. Prior to that, from March 2014 to March 2020, he served as Senior Vice President of Spectrum Video Products at Charter Communications.</w:t>
      </w:r>
    </w:p>
    <w:p>
      <w:pPr>
        <w:spacing w:after="0" w:line="150" w:lineRule="exact"/>
        <w:rPr>
          <w:sz w:val="20"/>
          <w:szCs w:val="20"/>
          <w:color w:val="auto"/>
        </w:rPr>
      </w:pPr>
    </w:p>
    <w:p>
      <w:pPr>
        <w:ind w:left="40" w:right="59"/>
        <w:spacing w:after="0" w:line="238" w:lineRule="auto"/>
        <w:rPr>
          <w:sz w:val="20"/>
          <w:szCs w:val="20"/>
          <w:color w:val="auto"/>
        </w:rPr>
      </w:pPr>
      <w:r>
        <w:rPr>
          <w:rFonts w:ascii="Arial" w:cs="Arial" w:eastAsia="Arial" w:hAnsi="Arial"/>
          <w:sz w:val="16"/>
          <w:szCs w:val="16"/>
          <w:b w:val="1"/>
          <w:bCs w:val="1"/>
          <w:i w:val="1"/>
          <w:iCs w:val="1"/>
          <w:color w:val="auto"/>
        </w:rPr>
        <w:t xml:space="preserve">John W. Swieringa. </w:t>
      </w:r>
      <w:r>
        <w:rPr>
          <w:rFonts w:ascii="Arial" w:cs="Arial" w:eastAsia="Arial" w:hAnsi="Arial"/>
          <w:sz w:val="16"/>
          <w:szCs w:val="16"/>
          <w:color w:val="auto"/>
        </w:rPr>
        <w:t>Mr. Swieringa has served as President of Technology and Chief Operating Officer since December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is responsible for all the technology and operational aspects of our business. Mr. Swieringa previously served as the President of Technology and Chief Operating Officer of DISH Network since August 2023. Mr. Swieringa previously served as President and Chief Operating Officer of DISH Network’s Wireless business segment from January 2022 to August 2023 and has had responsibility for all operational aspects of DISH Network’s Wireless business segment. Mr. Swieringa previously served as Executive Vice President and Chief Operating Officer of DISH Network since December 2017 and as Group President, Retail Wireless since July 2020 and has had responsibility for all aspects of DISH Network’s Retail Wireless business. Mr. Swieringa previously served as Executive Vice President, Operations from December 2015 to December 2017, as Senior Vice President and Chief Information Officer from March 2014 to December 2015 and as Vice President of Information Technology Customer Applications from March 2010 to March 2014. Mr. Swieringa joined DISH Network in December 2007 serving in our finance department.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219"/>
        <w:spacing w:after="0" w:line="256" w:lineRule="auto"/>
        <w:rPr>
          <w:sz w:val="20"/>
          <w:szCs w:val="20"/>
          <w:color w:val="auto"/>
        </w:rPr>
      </w:pPr>
      <w:r>
        <w:rPr>
          <w:rFonts w:ascii="Arial" w:cs="Arial" w:eastAsia="Arial" w:hAnsi="Arial"/>
          <w:sz w:val="16"/>
          <w:szCs w:val="16"/>
          <w:color w:val="auto"/>
        </w:rPr>
        <w:t>There are no arrangements or understandings between any executive officer and any other person pursuant to which any executive officer was selected as such. Pursuant to the Bylaws of EchoStar, executive officers serve at the discretion of the Board of Directors.</w:t>
      </w:r>
    </w:p>
    <w:p>
      <w:pPr>
        <w:spacing w:after="0" w:line="14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9" w:lineRule="exact"/>
        <w:rPr>
          <w:sz w:val="20"/>
          <w:szCs w:val="20"/>
          <w:color w:val="auto"/>
        </w:rPr>
      </w:pPr>
    </w:p>
    <w:p>
      <w:pPr>
        <w:ind w:left="40" w:right="159"/>
        <w:spacing w:after="0" w:line="256" w:lineRule="auto"/>
        <w:rPr>
          <w:sz w:val="20"/>
          <w:szCs w:val="20"/>
          <w:color w:val="auto"/>
        </w:rPr>
      </w:pPr>
      <w:r>
        <w:rPr>
          <w:rFonts w:ascii="Arial" w:cs="Arial" w:eastAsia="Arial" w:hAnsi="Arial"/>
          <w:sz w:val="16"/>
          <w:szCs w:val="16"/>
          <w:color w:val="auto"/>
        </w:rPr>
        <w:t>The risks and uncertainties described below are not the only ones facing us. If any of the following events occur or evolve in a way different than expected, our business, financial condition, or results of operations could be materially and adversely affected.</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Competition and Economic Risks</w:t>
      </w:r>
    </w:p>
    <w:p>
      <w:pPr>
        <w:spacing w:after="0" w:line="181" w:lineRule="exact"/>
        <w:rPr>
          <w:sz w:val="20"/>
          <w:szCs w:val="20"/>
          <w:color w:val="auto"/>
        </w:rPr>
      </w:pPr>
    </w:p>
    <w:p>
      <w:pPr>
        <w:ind w:left="40" w:right="399"/>
        <w:spacing w:after="0" w:line="260" w:lineRule="auto"/>
        <w:rPr>
          <w:sz w:val="20"/>
          <w:szCs w:val="20"/>
          <w:color w:val="auto"/>
        </w:rPr>
      </w:pPr>
      <w:r>
        <w:rPr>
          <w:rFonts w:ascii="Arial" w:cs="Arial" w:eastAsia="Arial" w:hAnsi="Arial"/>
          <w:sz w:val="16"/>
          <w:szCs w:val="16"/>
          <w:b w:val="1"/>
          <w:bCs w:val="1"/>
          <w:i w:val="1"/>
          <w:iCs w:val="1"/>
          <w:color w:val="auto"/>
        </w:rPr>
        <w:t>We face intense and increasing competition from providers of video, broadband and/or wireless services, which may require us to further increase subscriber acquisition and retention spending or accept lower subscriber activations and higher subscriber churn.</w:t>
      </w:r>
    </w:p>
    <w:p>
      <w:pPr>
        <w:spacing w:after="0" w:line="126"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Our Pay-TV business faces substantial competition from established pay-TV providers and broadband service providers and increasing competition from companies providing/facilitating the delivery of video content via the Internet to computers, televisions and other streaming and mobile devices, including, but not limited to, wireless service providers. In recent years, the traditional pay-TV industry has matured, and industry consolidation and convergence have created competitors with greater scale and multiple product/service offerings. Some of these services charge nominal or no fees for access to their content, which could adversely affect demand for our Pay-TV services. Moreover, new technologies have been, and will likely continue to be, developed that further increase the number of competitors we face with respect to video services, including, but not limited to, competition from piracy-based video offerings. These developments, among others, have contributed to intense and increasing competition, which we expect to continue.</w:t>
      </w:r>
    </w:p>
    <w:p>
      <w:pPr>
        <w:spacing w:after="0" w:line="152"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color w:val="auto"/>
        </w:rPr>
        <w:t xml:space="preserve">We face increasing competition from content providers and other companies who distribute video directly to consumers over the Internet. These content providers and other companies, as well as traditional satellite television providers, cable companies and large telecommunication companies, are rapidly increasing their Internet-based video offerings. See </w:t>
      </w:r>
      <w:r>
        <w:rPr>
          <w:rFonts w:ascii="Arial" w:cs="Arial" w:eastAsia="Arial" w:hAnsi="Arial"/>
          <w:sz w:val="16"/>
          <w:szCs w:val="16"/>
          <w:i w:val="1"/>
          <w:iCs w:val="1"/>
          <w:color w:val="auto"/>
        </w:rPr>
        <w:t>“Item 1.</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 Overview – Competition” </w:t>
      </w:r>
      <w:r>
        <w:rPr>
          <w:rFonts w:ascii="Arial" w:cs="Arial" w:eastAsia="Arial" w:hAnsi="Arial"/>
          <w:sz w:val="16"/>
          <w:szCs w:val="16"/>
          <w:color w:val="auto"/>
        </w:rPr>
        <w:t>and “</w:t>
      </w:r>
      <w:r>
        <w:rPr>
          <w:rFonts w:ascii="Arial" w:cs="Arial" w:eastAsia="Arial" w:hAnsi="Arial"/>
          <w:sz w:val="16"/>
          <w:szCs w:val="16"/>
          <w:i w:val="1"/>
          <w:iCs w:val="1"/>
          <w:color w:val="auto"/>
        </w:rPr>
        <w:t>Item 7. Management’s Discussion and Analysis of Financial Condition and Results of Operations – Trends in our Pay-TV Segment</w:t>
      </w:r>
      <w:r>
        <w:rPr>
          <w:rFonts w:ascii="Arial" w:cs="Arial" w:eastAsia="Arial" w:hAnsi="Arial"/>
          <w:sz w:val="16"/>
          <w:szCs w:val="16"/>
          <w:color w:val="auto"/>
        </w:rPr>
        <w:t>” in this Annual Report on Form 10-K for further information.</w:t>
      </w:r>
    </w:p>
    <w:p>
      <w:pPr>
        <w:spacing w:after="0" w:line="146"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herein. Such providers may be able to, among other things, utilize their increased leverage over third-party content owners and programmers to withhold online rights from us and reduce the price they pay for programming at the expense of other MVPDs, including us; thwart our ability to compete in the wireless market, by, among other things, refuse to enter into data roaming agreements; underutilize key orbital spectrum resources that could be more efficiently used by us; foreclose or degrade our online video offerings at various points in the broadband pipe; and impose data caps on consumers who access our online video offerings. See “</w:t>
      </w:r>
      <w:r>
        <w:rPr>
          <w:rFonts w:ascii="Arial" w:cs="Arial" w:eastAsia="Arial" w:hAnsi="Arial"/>
          <w:sz w:val="16"/>
          <w:szCs w:val="16"/>
          <w:i w:val="1"/>
          <w:iCs w:val="1"/>
          <w:color w:val="auto"/>
        </w:rPr>
        <w:t>Item 7. Management’s Discussion and Analysis</w:t>
      </w:r>
      <w:r>
        <w:rPr>
          <w:rFonts w:ascii="Arial" w:cs="Arial" w:eastAsia="Arial" w:hAnsi="Arial"/>
          <w:sz w:val="16"/>
          <w:szCs w:val="16"/>
          <w:color w:val="auto"/>
        </w:rPr>
        <w:t xml:space="preserve"> </w:t>
      </w:r>
      <w:r>
        <w:rPr>
          <w:rFonts w:ascii="Arial" w:cs="Arial" w:eastAsia="Arial" w:hAnsi="Arial"/>
          <w:sz w:val="16"/>
          <w:szCs w:val="16"/>
          <w:i w:val="1"/>
          <w:iCs w:val="1"/>
          <w:color w:val="auto"/>
        </w:rPr>
        <w:t>of Financial Condition and Results of Operations – Trends in our Pay-TV Segment – Programming</w:t>
      </w:r>
      <w:r>
        <w:rPr>
          <w:rFonts w:ascii="Arial" w:cs="Arial" w:eastAsia="Arial" w:hAnsi="Arial"/>
          <w:sz w:val="16"/>
          <w:szCs w:val="16"/>
          <w:color w:val="auto"/>
        </w:rPr>
        <w:t>” in this Annual Report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 for further information.</w:t>
      </w:r>
    </w:p>
    <w:p>
      <w:pPr>
        <w:spacing w:after="0" w:line="154" w:lineRule="exact"/>
        <w:rPr>
          <w:sz w:val="20"/>
          <w:szCs w:val="20"/>
          <w:color w:val="auto"/>
        </w:rPr>
      </w:pPr>
    </w:p>
    <w:p>
      <w:pPr>
        <w:ind w:left="40" w:right="79"/>
        <w:spacing w:after="0" w:line="244" w:lineRule="auto"/>
        <w:rPr>
          <w:sz w:val="20"/>
          <w:szCs w:val="20"/>
          <w:color w:val="auto"/>
        </w:rPr>
      </w:pPr>
      <w:r>
        <w:rPr>
          <w:rFonts w:ascii="Arial" w:cs="Arial" w:eastAsia="Arial" w:hAnsi="Arial"/>
          <w:sz w:val="16"/>
          <w:szCs w:val="16"/>
          <w:color w:val="auto"/>
        </w:rPr>
        <w:t>We believe that the availability and extent of programming, including, but not limited to, unique programming services such as foreign language, sports programming and original content, and other value-added services such as access to video via mobile devices, continue to be significant factors in consumers’ choice among pay-TV providers. Other pay-TV providers may have more successfully marketed and promoted their programming packages and value-added services and may also be better equipped and have greater resources to increase their programming offerings and value-added services to respond to increasing consumer demand.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We may be required to make substantial additional investments in infrastructure to respond to competitive pressure to deliver enhanced programming and other value-added services, and there can be no assurance that we will be able to compete effectively with offerings from other pay-TV providers.</w:t>
      </w:r>
    </w:p>
    <w:p>
      <w:pPr>
        <w:spacing w:after="0" w:line="137" w:lineRule="exact"/>
        <w:rPr>
          <w:sz w:val="20"/>
          <w:szCs w:val="20"/>
          <w:color w:val="auto"/>
        </w:rPr>
      </w:pPr>
    </w:p>
    <w:p>
      <w:pPr>
        <w:ind w:left="40" w:right="159"/>
        <w:spacing w:after="0"/>
        <w:rPr>
          <w:sz w:val="20"/>
          <w:szCs w:val="20"/>
          <w:color w:val="auto"/>
        </w:rPr>
      </w:pPr>
      <w:r>
        <w:rPr>
          <w:rFonts w:ascii="Arial" w:cs="Arial" w:eastAsia="Arial" w:hAnsi="Arial"/>
          <w:sz w:val="16"/>
          <w:szCs w:val="16"/>
          <w:color w:val="auto"/>
        </w:rPr>
        <w:t>Furthermore, this increasingly competitive environment may require us to increase subscriber acquisition and retention spending or accept lower subscriber activations and higher subscriber churn. Increasingly, we must seek to attract a greater proportion of new subscribers from our competitors’ existing subscriber bases rather than from first-time purchasers of pay-TV services. In addition, because other pay-TV providers may be seeking to attract a greater proportion of their new subscribers from our existing subscriber base, we may be required to increase retention spending and/or provide greater discounts or credits to acquire and retain subscribers who may spend less on our services. Our SLING TV subscribers on average purchase lower-priced programming services than do DISH TV subscribers. Accordingly, an increase in SLING TV subscribers has a negative impact on our Pay-TV average monthly revenue per subscriber (“Pay-TV ARPU”). If our Pay-TV ARPU decreases or does not increase commensurate with increases in programming or other costs, our margins may be reduced and the long-term value of a subscriber would then decrease and could have a material adverse effect on our business, results of operations and financial condition.</w:t>
      </w:r>
    </w:p>
    <w:p>
      <w:pPr>
        <w:spacing w:after="0" w:line="154" w:lineRule="exact"/>
        <w:rPr>
          <w:sz w:val="20"/>
          <w:szCs w:val="20"/>
          <w:color w:val="auto"/>
        </w:rPr>
      </w:pPr>
    </w:p>
    <w:p>
      <w:pPr>
        <w:ind w:left="40" w:right="79"/>
        <w:spacing w:after="0" w:line="239" w:lineRule="auto"/>
        <w:rPr>
          <w:sz w:val="20"/>
          <w:szCs w:val="20"/>
          <w:color w:val="auto"/>
        </w:rPr>
      </w:pPr>
      <w:r>
        <w:rPr>
          <w:rFonts w:ascii="Arial" w:cs="Arial" w:eastAsia="Arial" w:hAnsi="Arial"/>
          <w:sz w:val="16"/>
          <w:szCs w:val="16"/>
          <w:color w:val="auto"/>
        </w:rPr>
        <w:t>In addition, as a result of this increased competitive environment and the maturation of the pay-TV industry, future growth opportunities of our DISH TV business may be limited and our margins may be reduced, which could have a material adverse effect on our business, results of operations and financial condition. Our gross new DISH TV subscriber activations continue to be negatively impacted by stricter subscriber acquisition policies (including, but not limited to, a focus on attaining higher quality subscribers) and increased competitive pressures, including, but not limited to, aggressive marketing, more aggressive retention efforts, bundled discount offers combining broadband, video and/or wireless services and other discounted promotional offers. In addition, we face increased competitive pressures from content providers and other companies who distribute video directly to consumers over the Internet. These content providers and other companies, as well as traditional satellite television providers, cable companies and large telecommunication companies, are rapidly increasing their Internet-based video offerings and direct-to-consumer exclusive and non-exclusive content. There can be no assurance that our gross new DISH TV subscriber activations, net DISH TV subscriber additions and DISH TV churn rate will not continue to be negatively impacted and that the pace of such negative impact will not accelerate. In the event that our DISH TV subscriber base continues to decline or such decline accelerates, it could have a material adverse effect on our business, results of operations and financial condition.</w:t>
      </w:r>
    </w:p>
    <w:p>
      <w:pPr>
        <w:spacing w:after="0" w:line="160" w:lineRule="exact"/>
        <w:rPr>
          <w:sz w:val="20"/>
          <w:szCs w:val="20"/>
          <w:color w:val="auto"/>
        </w:rPr>
      </w:pPr>
    </w:p>
    <w:p>
      <w:pPr>
        <w:jc w:val="both"/>
        <w:ind w:left="40" w:right="79"/>
        <w:spacing w:after="0" w:line="260" w:lineRule="auto"/>
        <w:rPr>
          <w:sz w:val="20"/>
          <w:szCs w:val="20"/>
          <w:color w:val="auto"/>
        </w:rPr>
      </w:pPr>
      <w:r>
        <w:rPr>
          <w:rFonts w:ascii="Arial" w:cs="Arial" w:eastAsia="Arial" w:hAnsi="Arial"/>
          <w:sz w:val="16"/>
          <w:szCs w:val="16"/>
          <w:b w:val="1"/>
          <w:bCs w:val="1"/>
          <w:i w:val="1"/>
          <w:iCs w:val="1"/>
          <w:color w:val="auto"/>
        </w:rPr>
        <w:t>Changing consumer behavior and new technologies in our Pay-TV business may reduce our subscriber activations and may cause our subscribers to purchase fewer services from us or to cancel our services altogether, resulting in less revenue to us.</w:t>
      </w:r>
    </w:p>
    <w:p>
      <w:pPr>
        <w:spacing w:after="0" w:line="126"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New technologies, products and services are driving rapid changes in consumer behavior as consumers seek more control over when, where and how they consume content and access communication services. In particular, through technological advancements and with the large increase in the number of consumers with broadband service, a significant amount of video content has become available through online content providers for users to stream and view on their personal computers, televisions, phones, tablets, video game consoles and other devices, in some cases without a fee required to access the content. While our subscribers can use their traditional video subscription to access mobile programming, an increasing number of subscribers are also using mobile devices as the sole means of viewing video, and an increasing number of non-traditional video providers is developing content and technologies to satisfy that demand. For example, these technological advancements, changes in consumer behavior and the increasing number of choices available to consumers regarding the means by which consumers obtain video content may cause DISH TV subscribers to disconnect our services (“cord cutting”), downgrade to smaller, less expensive programming packages (“cord shaving”) or elect to purchase through online content providers a certain portion of the services that they would have historically purchased from us.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40" w:right="139"/>
        <w:spacing w:after="0" w:line="256" w:lineRule="auto"/>
        <w:rPr>
          <w:sz w:val="20"/>
          <w:szCs w:val="20"/>
          <w:color w:val="auto"/>
        </w:rPr>
      </w:pPr>
      <w:r>
        <w:rPr>
          <w:rFonts w:ascii="Arial" w:cs="Arial" w:eastAsia="Arial" w:hAnsi="Arial"/>
          <w:sz w:val="16"/>
          <w:szCs w:val="16"/>
          <w:color w:val="auto"/>
        </w:rPr>
        <w:t>These technological advancements and changes in consumer behavior and/or our failure to effectively anticipate or adapt to such changes, could reduce our gross new Pay-TV subscriber activations and increase our subscriber churn rate and could have a material adverse effect on our business, results of operations and financial condition.</w:t>
      </w:r>
    </w:p>
    <w:p>
      <w:pPr>
        <w:spacing w:after="0" w:line="137" w:lineRule="exact"/>
        <w:rPr>
          <w:sz w:val="20"/>
          <w:szCs w:val="20"/>
          <w:color w:val="auto"/>
        </w:rPr>
      </w:pPr>
    </w:p>
    <w:p>
      <w:pPr>
        <w:ind w:left="40" w:right="239"/>
        <w:spacing w:after="0" w:line="249" w:lineRule="auto"/>
        <w:rPr>
          <w:sz w:val="20"/>
          <w:szCs w:val="20"/>
          <w:color w:val="auto"/>
        </w:rPr>
      </w:pPr>
      <w:r>
        <w:rPr>
          <w:rFonts w:ascii="Arial" w:cs="Arial" w:eastAsia="Arial" w:hAnsi="Arial"/>
          <w:sz w:val="16"/>
          <w:szCs w:val="16"/>
          <w:color w:val="auto"/>
        </w:rPr>
        <w:t>New technologies could also create new competitors for us. For instance, we face increasing consumer demand for the delivery of digital video services via the Internet. We expect to continue to face increased competition from companies who use the Internet to deliver digital video services as the speed and quality of broadband and wireless networks continue to improve.</w:t>
      </w:r>
    </w:p>
    <w:p>
      <w:pPr>
        <w:spacing w:after="0" w:line="146" w:lineRule="exact"/>
        <w:rPr>
          <w:sz w:val="20"/>
          <w:szCs w:val="20"/>
          <w:color w:val="auto"/>
        </w:rPr>
      </w:pPr>
    </w:p>
    <w:p>
      <w:pPr>
        <w:ind w:left="40" w:right="159"/>
        <w:spacing w:after="0" w:line="283" w:lineRule="auto"/>
        <w:rPr>
          <w:sz w:val="20"/>
          <w:szCs w:val="20"/>
          <w:color w:val="auto"/>
        </w:rPr>
      </w:pPr>
      <w:r>
        <w:rPr>
          <w:rFonts w:ascii="Arial" w:cs="Arial" w:eastAsia="Arial" w:hAnsi="Arial"/>
          <w:sz w:val="16"/>
          <w:szCs w:val="16"/>
          <w:b w:val="1"/>
          <w:bCs w:val="1"/>
          <w:i w:val="1"/>
          <w:iCs w:val="1"/>
          <w:color w:val="auto"/>
        </w:rPr>
        <w:t>We face certain risks competing in the wireless services industry and operating a facilities-based wireless services business.</w:t>
      </w:r>
    </w:p>
    <w:p>
      <w:pPr>
        <w:spacing w:after="0" w:line="109"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6"/>
          <w:szCs w:val="16"/>
          <w:color w:val="auto"/>
        </w:rPr>
        <w:t>As a result of certain acquisitions we have entered the Wireless business. We have made substantial investments to acquire certain wireless spectrum licenses. We plan to commercialize our Wireless spectrum licenses through the completion of our 5G Network Deployment. A Wireless services business presents certain risks. Any of the following risks, among others, may have a material adverse effect on our future business, results of operations and financial condition.</w:t>
      </w:r>
    </w:p>
    <w:p>
      <w:pPr>
        <w:spacing w:after="0" w:line="144" w:lineRule="exact"/>
        <w:rPr>
          <w:sz w:val="20"/>
          <w:szCs w:val="20"/>
          <w:color w:val="auto"/>
        </w:rPr>
      </w:pPr>
    </w:p>
    <w:p>
      <w:pPr>
        <w:ind w:left="360" w:right="79" w:hanging="294"/>
        <w:spacing w:after="0" w:line="239" w:lineRule="auto"/>
        <w:tabs>
          <w:tab w:leader="none" w:pos="348"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The wireless services industry is dominated by incumbents</w:t>
      </w:r>
      <w:r>
        <w:rPr>
          <w:rFonts w:ascii="Arial" w:cs="Arial" w:eastAsia="Arial" w:hAnsi="Arial"/>
          <w:sz w:val="16"/>
          <w:szCs w:val="16"/>
          <w:color w:val="auto"/>
        </w:rPr>
        <w:t>. We have limited experience in the wireless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industry, which is an industry with increasing subscriber demands for data services that require increasing capital resources to maintain a robust network. The wireless services industry has incumbent and established competitors such as Verizon, AT&amp;T and T-Mobile, each with substantial market share. These companies have, among other things, greater financial, marketing and other resources than us, and have existing cost and operational advantages that we lack. Market saturation is expected to continue to cause subscriber growth rates in the wireless services industry to moderate in comparison to historical growth rates, leading to increased competition for subscribers. As the industry matures, competitors increasingly must seek to attract a greater proportion of new subscribers from each other’s existing subscriber bases rather than from first-time purchasers of wireless services. Furthermore, the cost of attracting a new subscriber is generally higher than the cost associated with retaining an existing subscriber. In addition, we face increasing competition from wireless telecommunications providers who offer mobile video offerings or partner with others to create bundled offerings. Wireless mobile video offerings have become more prevalent in the marketplace as wireless telecommunications providers have expanded the fifth generation of wireless communications. As previously noted, 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Such companies may be able to, among other things, pressure third-party content owners and programmers to withhold online rights from us; utilize their increased leverage over third-party content owners and programmers to reduce the price they pay for programming at the expense of other MVPDs, including us; thwart our ability to compete in the wireless market, by, among other things, refusing to enter into data roaming agreements with us; foreclose or degrade our online video offerings at various points in the broadband pipe; and impose data caps on consumers who access our online video offerings. See </w:t>
      </w:r>
      <w:r>
        <w:rPr>
          <w:rFonts w:ascii="Arial" w:cs="Arial" w:eastAsia="Arial" w:hAnsi="Arial"/>
          <w:sz w:val="16"/>
          <w:szCs w:val="16"/>
          <w:i w:val="1"/>
          <w:iCs w:val="1"/>
          <w:color w:val="auto"/>
        </w:rPr>
        <w:t>“Item 1. Business – Overview – Wireless - Business Strategy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Wireless” </w:t>
      </w:r>
      <w:r>
        <w:rPr>
          <w:rFonts w:ascii="Arial" w:cs="Arial" w:eastAsia="Arial" w:hAnsi="Arial"/>
          <w:sz w:val="16"/>
          <w:szCs w:val="16"/>
          <w:color w:val="auto"/>
        </w:rPr>
        <w:t>and</w:t>
      </w:r>
      <w:r>
        <w:rPr>
          <w:rFonts w:ascii="Arial" w:cs="Arial" w:eastAsia="Arial" w:hAnsi="Arial"/>
          <w:sz w:val="16"/>
          <w:szCs w:val="16"/>
          <w:i w:val="1"/>
          <w:iCs w:val="1"/>
          <w:color w:val="auto"/>
        </w:rPr>
        <w:t xml:space="preserve"> “Item 7. Management’s Discussion and Analysis of Financial Condition and Results of Operations – Wireless Segment” </w:t>
      </w:r>
      <w:r>
        <w:rPr>
          <w:rFonts w:ascii="Arial" w:cs="Arial" w:eastAsia="Arial" w:hAnsi="Arial"/>
          <w:sz w:val="16"/>
          <w:szCs w:val="16"/>
          <w:color w:val="auto"/>
        </w:rPr>
        <w:t>in this Annual Report on Form 10-K for further information.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right="119" w:hanging="294"/>
        <w:spacing w:after="0" w:line="238" w:lineRule="auto"/>
        <w:tabs>
          <w:tab w:leader="none" w:pos="348"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Our ability to compete effectively in the wireless services industry is dependent on a number of factors.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compete effectively in the wireless services industry depends on, among other things, our network quality, capacity and coverage; the pricing of our products and services; the quality of subscriber service; our development of new and enhanced products and services; the reach and quality of our sales and distribution channels; our ability to predict and adapt to future changes in technologies and changes in consumer demands; and our capital resources. It also depends on how successfully we anticipate and respond to various competitive factors affecting the industry, including, among others, new technologies and business models, products and services that may be introduced by competitors, changes in consumer preferences, the demand for and usage of data, video and other voice and non-voice services, demographic trends, economic conditions and discount pricing and other strategies that may be implemented by competitors. It may be difficult for us to differentiate our products and services from other competitors in the industry, which may limit our ability to attract and retain subscribers. Our success also may depend on our ability to access and deploy adequate spectrum, deploy new technologies and offer attractive products and services to subscribers. For example, we may not be able to obtain and offer certain technologies, features or services that are subject to competitor patents or other exclusive arrangements. Our success and financial results also depend on, among other factors, our ability to achieve a lower cost structure in our 5G Network Deployment and commercialization of our 5G Network. As we complete our 5G Network Deployment and continue to transition our business to an MNO from an MVNO, our results of operations and financial performance will depend in part on our ability to offer wireless services more cost effectively than we are able to do so through the use of our current MVNO agreements.</w:t>
      </w:r>
    </w:p>
    <w:p>
      <w:pPr>
        <w:spacing w:after="0" w:line="10" w:lineRule="exact"/>
        <w:rPr>
          <w:rFonts w:ascii="Times New Roman" w:cs="Times New Roman" w:eastAsia="Times New Roman" w:hAnsi="Times New Roman"/>
          <w:sz w:val="16"/>
          <w:szCs w:val="16"/>
          <w:color w:val="auto"/>
        </w:rPr>
      </w:pPr>
    </w:p>
    <w:p>
      <w:pPr>
        <w:ind w:left="360" w:right="79" w:hanging="294"/>
        <w:spacing w:after="0" w:line="237" w:lineRule="auto"/>
        <w:tabs>
          <w:tab w:leader="none" w:pos="348"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We depend on certain third parties to provide us with infrastructure and products and services</w:t>
      </w:r>
      <w:r>
        <w:rPr>
          <w:rFonts w:ascii="Arial" w:cs="Arial" w:eastAsia="Arial" w:hAnsi="Arial"/>
          <w:sz w:val="16"/>
          <w:szCs w:val="16"/>
          <w:color w:val="auto"/>
        </w:rPr>
        <w:t>. We depend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various key suppliers and vendors to provide us, directly or through other suppliers, with infrastructure, equipment and services, such as switch and network equipment, handsets and other devices and equipment that we would need in order to operate a wireless services business and provide products and services to our subscribers. For example, handset and other device suppliers often rely on one vendor for the manufacture and supply of critical components, such as chipsets, used in their devices. If these suppliers or vendors fail to provide equipment or services on a timely basis, or at all, or fail to meet performance expectations, we may be unable to provide products and services as and when expected by our subscribers. Any difficulties experienced with these suppliers and vendors could result in additional expense and/or delays in operating our Wireless services. Our efforts involve significant expense and require strategic management decisions on, and timely implementation of, among other things, equipment choices, network deployment and management and service offerings. In addition, these suppliers and vendors may also be subject to litigation with respect to technology on which we depend, including, but not limited to, litigation involving claims of patent infringement. In addition, 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As a result, we generally serve as the overall system integrator. Failure of these products to, among other things, effectively interoperate with one another could adversely affect our financial performance, including, but not limited to, our ability to complete our 5G Network Deployment on a cost-effective or timely basis or at all. </w:t>
      </w:r>
      <w:r>
        <w:rPr>
          <w:rFonts w:ascii="Arial" w:cs="Arial" w:eastAsia="Arial" w:hAnsi="Arial"/>
          <w:sz w:val="16"/>
          <w:szCs w:val="16"/>
          <w:color w:val="222222"/>
        </w:rPr>
        <w:t>In addition, from time to time, we may make certain</w:t>
      </w:r>
      <w:r>
        <w:rPr>
          <w:rFonts w:ascii="Arial" w:cs="Arial" w:eastAsia="Arial" w:hAnsi="Arial"/>
          <w:sz w:val="16"/>
          <w:szCs w:val="16"/>
          <w:color w:val="auto"/>
        </w:rPr>
        <w:t xml:space="preserve"> </w:t>
      </w:r>
      <w:r>
        <w:rPr>
          <w:rFonts w:ascii="Arial" w:cs="Arial" w:eastAsia="Arial" w:hAnsi="Arial"/>
          <w:sz w:val="16"/>
          <w:szCs w:val="16"/>
          <w:color w:val="222222"/>
        </w:rPr>
        <w:t>changes to these products. Failure to successfully implement the changes may result in, among other things, increased operating costs, increased capital expenditures and reduced network performance, each of which, individually or in the aggregate, could adversely affect our operating results and financial condition.</w:t>
      </w:r>
    </w:p>
    <w:p>
      <w:pPr>
        <w:spacing w:after="0" w:line="7" w:lineRule="exact"/>
        <w:rPr>
          <w:rFonts w:ascii="Times New Roman" w:cs="Times New Roman" w:eastAsia="Times New Roman" w:hAnsi="Times New Roman"/>
          <w:sz w:val="16"/>
          <w:szCs w:val="16"/>
          <w:color w:val="auto"/>
        </w:rPr>
      </w:pPr>
    </w:p>
    <w:p>
      <w:pPr>
        <w:ind w:left="360" w:right="239" w:hanging="294"/>
        <w:spacing w:after="0" w:line="241" w:lineRule="auto"/>
        <w:tabs>
          <w:tab w:leader="none" w:pos="348"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Wireless services and our Wireless spectrum licenses are subject to government regulation. </w:t>
      </w:r>
      <w:r>
        <w:rPr>
          <w:rFonts w:ascii="Arial" w:cs="Arial" w:eastAsia="Arial" w:hAnsi="Arial"/>
          <w:sz w:val="16"/>
          <w:szCs w:val="16"/>
          <w:color w:val="auto"/>
        </w:rPr>
        <w:t>Wireless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our Wireless spectrum licenses are subject to regulation by the FCC and other federal, state and local, as well as international, governmental authorities. These governmental authorities could adopt regulations or take other actions that would adversely affect our business prospects, making it more difficult and/or expensive to complete our 5G Network Deployment and to further commercialize our Wireless spectrum licenses or acquire additional licenses. The licensing, construction, operation, sale and interconnection arrangements of wireless telecommunications systems are regulated by the FCC and, depending on the jurisdiction, other federal and international, state and local regulatory agencies.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right="59"/>
        <w:spacing w:after="0"/>
        <w:rPr>
          <w:sz w:val="20"/>
          <w:szCs w:val="20"/>
          <w:color w:val="auto"/>
        </w:rPr>
      </w:pPr>
      <w:r>
        <w:rPr>
          <w:rFonts w:ascii="Arial" w:cs="Arial" w:eastAsia="Arial" w:hAnsi="Arial"/>
          <w:sz w:val="16"/>
          <w:szCs w:val="16"/>
          <w:color w:val="auto"/>
        </w:rPr>
        <w:t xml:space="preserve">In particular, the FCC imposes significant regulation on licensees of wireless spectrum with respect to, among other things, how radio spectrum is used by licensees, the nature of the services that licensees may offer and how the services may be offered and resolution of issues of interference between spectrum bands. The FCC grants wireless licenses for terms of generally 10-12 years that are subject to acceleration, renewal or revocation based on certain factors depending on the license including, among others, public interest considerations, level and quality of services and/or operations provided by the licensee, frequency and duration of any interruptions or outages of services and/or operations provided by the licensee, and the extent to which service is provided to, and/or operation is provided in, rural areas and tribal lands. For example, the FCC currently has an open proceeding considering whether to permit MVDDS licensees to become Fixed Service operators. We cannot predict either the outcome of this proceeding or any potential impact it might have on our operations. There can be no assurances that our Wireless spectrum licenses will be renewed or that we will be able to obtain additional licenses. Failure to comply with FCC requirements in a given license area could result in revocation of the license for that license area. In addition, the FCC uses its transactional “spectrum screen” to identify prospective wireless transactions that may require additional competitive scrutiny. If a proposed transaction would exceed the spectrum screen threshold, the FCC undertakes a more detailed analysis of relevant market conditions in the impacted geographic areas to determine whether the transaction would reduce competition without offsetting public benefits. If a proposed spectrum acquisition exceeds the spectrum screen trigger, such additional review could extend the duration of the regulatory review process and there can be no assurance that such proposed spectrum acquisition would ultimately be completed, in whole or in part. </w:t>
      </w:r>
      <w:r>
        <w:rPr>
          <w:rFonts w:ascii="Arial" w:cs="Arial" w:eastAsia="Arial" w:hAnsi="Arial"/>
          <w:sz w:val="16"/>
          <w:szCs w:val="16"/>
          <w:color w:val="222222"/>
        </w:rPr>
        <w:t>In addition, from time to time, we may</w:t>
      </w:r>
      <w:r>
        <w:rPr>
          <w:rFonts w:ascii="Arial" w:cs="Arial" w:eastAsia="Arial" w:hAnsi="Arial"/>
          <w:sz w:val="16"/>
          <w:szCs w:val="16"/>
          <w:color w:val="auto"/>
        </w:rPr>
        <w:t xml:space="preserve"> </w:t>
      </w:r>
      <w:r>
        <w:rPr>
          <w:rFonts w:ascii="Arial" w:cs="Arial" w:eastAsia="Arial" w:hAnsi="Arial"/>
          <w:sz w:val="16"/>
          <w:szCs w:val="16"/>
          <w:color w:val="222222"/>
        </w:rPr>
        <w:t>seek modification and/or waiver of certain build out or other requirements of our licenses from the applicable government agency. Historically, we have successfully negotiated such modifications and/or waivers. However, there can be no guarantee that we will continue to be successful and that failure to meet requirements of our license may result in, among other things, adverse government action, including, but not limited to, acceleration of build out deadlines or cancellation or revocation of our licenses.</w:t>
      </w:r>
    </w:p>
    <w:p>
      <w:pPr>
        <w:spacing w:after="0" w:line="311" w:lineRule="exact"/>
        <w:rPr>
          <w:sz w:val="20"/>
          <w:szCs w:val="20"/>
          <w:color w:val="auto"/>
        </w:rPr>
      </w:pPr>
    </w:p>
    <w:p>
      <w:pPr>
        <w:ind w:left="40" w:right="139"/>
        <w:spacing w:after="0" w:line="283" w:lineRule="auto"/>
        <w:rPr>
          <w:sz w:val="20"/>
          <w:szCs w:val="20"/>
          <w:color w:val="auto"/>
        </w:rPr>
      </w:pPr>
      <w:r>
        <w:rPr>
          <w:rFonts w:ascii="Arial" w:cs="Arial" w:eastAsia="Arial" w:hAnsi="Arial"/>
          <w:sz w:val="16"/>
          <w:szCs w:val="16"/>
          <w:b w:val="1"/>
          <w:bCs w:val="1"/>
          <w:i w:val="1"/>
          <w:iCs w:val="1"/>
          <w:color w:val="auto"/>
        </w:rPr>
        <w:t>Our pay-TV competitors may be able to leverage their relationships with programmers to reduce their programming costs and/or offer exclusive content that will place them at a competitive advantage to us.</w:t>
      </w:r>
    </w:p>
    <w:p>
      <w:pPr>
        <w:spacing w:after="0" w:line="109"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The cost of programming represents the largest percentage of our overall Pay-TV costs. Certain of our competitors own directly, partner with and/or are affiliated with companies that own programming content that may enable them to obtain lower programming costs or offer exclusive programming that may be attractive to prospective or existing subscribers. Unlike our larger cable and satellite competitors, some of which also provide internet or broadband based pay-TV services, we have not made significant investments in programming providers. In addition, certain programmers have begun offering a greater amount of their content on a direct-to-consumer basis, including, but not limited to, exclusive and non-exclusive content. As a result, it may be more difficult for us to obtain access to such programming networks on nondiscriminatory and fair terms, or at all. See “</w:t>
      </w:r>
      <w:r>
        <w:rPr>
          <w:rFonts w:ascii="Arial" w:cs="Arial" w:eastAsia="Arial" w:hAnsi="Arial"/>
          <w:sz w:val="16"/>
          <w:szCs w:val="16"/>
          <w:i w:val="1"/>
          <w:iCs w:val="1"/>
          <w:color w:val="auto"/>
        </w:rPr>
        <w:t>Item 1. Business – Government Regulations – FCC Regulations Applicable to Our Operations – Cable Act and</w:t>
      </w:r>
      <w:r>
        <w:rPr>
          <w:rFonts w:ascii="Arial" w:cs="Arial" w:eastAsia="Arial" w:hAnsi="Arial"/>
          <w:sz w:val="16"/>
          <w:szCs w:val="16"/>
          <w:color w:val="auto"/>
        </w:rPr>
        <w:t xml:space="preserve"> </w:t>
      </w:r>
      <w:r>
        <w:rPr>
          <w:rFonts w:ascii="Arial" w:cs="Arial" w:eastAsia="Arial" w:hAnsi="Arial"/>
          <w:sz w:val="16"/>
          <w:szCs w:val="16"/>
          <w:i w:val="1"/>
          <w:iCs w:val="1"/>
          <w:color w:val="auto"/>
        </w:rPr>
        <w:t>Program Access</w:t>
      </w:r>
      <w:r>
        <w:rPr>
          <w:rFonts w:ascii="Arial" w:cs="Arial" w:eastAsia="Arial" w:hAnsi="Arial"/>
          <w:sz w:val="16"/>
          <w:szCs w:val="16"/>
          <w:color w:val="auto"/>
        </w:rPr>
        <w:t>” in this Annual Report on Form 10-K for further information.</w:t>
      </w:r>
    </w:p>
    <w:p>
      <w:pPr>
        <w:spacing w:after="0" w:line="154" w:lineRule="exact"/>
        <w:rPr>
          <w:sz w:val="20"/>
          <w:szCs w:val="20"/>
          <w:color w:val="auto"/>
        </w:rPr>
      </w:pPr>
    </w:p>
    <w:p>
      <w:pPr>
        <w:ind w:left="40" w:right="339"/>
        <w:spacing w:after="0" w:line="248" w:lineRule="auto"/>
        <w:rPr>
          <w:sz w:val="20"/>
          <w:szCs w:val="20"/>
          <w:color w:val="auto"/>
        </w:rPr>
      </w:pPr>
      <w:r>
        <w:rPr>
          <w:rFonts w:ascii="Arial" w:cs="Arial" w:eastAsia="Arial" w:hAnsi="Arial"/>
          <w:sz w:val="16"/>
          <w:szCs w:val="16"/>
          <w:b w:val="1"/>
          <w:bCs w:val="1"/>
          <w:i w:val="1"/>
          <w:iCs w:val="1"/>
          <w:color w:val="auto"/>
        </w:rPr>
        <w:t>Through the MNSA and the NSA, we depend in part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137" w:lineRule="exact"/>
        <w:rPr>
          <w:sz w:val="20"/>
          <w:szCs w:val="20"/>
          <w:color w:val="auto"/>
        </w:rPr>
      </w:pPr>
    </w:p>
    <w:p>
      <w:pPr>
        <w:ind w:left="40" w:right="279"/>
        <w:spacing w:after="0" w:line="256" w:lineRule="auto"/>
        <w:rPr>
          <w:sz w:val="20"/>
          <w:szCs w:val="20"/>
          <w:color w:val="auto"/>
        </w:rPr>
      </w:pPr>
      <w:r>
        <w:rPr>
          <w:rFonts w:ascii="Arial" w:cs="Arial" w:eastAsia="Arial" w:hAnsi="Arial"/>
          <w:sz w:val="16"/>
          <w:szCs w:val="16"/>
          <w:color w:val="auto"/>
        </w:rPr>
        <w:t>In July 2021, we entered into the NSA with AT&amp;T to provide us with wireless network services. Under the NSA, we have committed to activate on AT&amp;T a minimum percentage of certain of our Wireless subscribers and to utilize AT&amp;T’s network for a minimum specified percentage of our domestic roaming data usage.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179"/>
        <w:spacing w:after="0" w:line="249" w:lineRule="auto"/>
        <w:rPr>
          <w:sz w:val="20"/>
          <w:szCs w:val="20"/>
          <w:color w:val="auto"/>
        </w:rPr>
      </w:pPr>
      <w:r>
        <w:rPr>
          <w:rFonts w:ascii="Arial" w:cs="Arial" w:eastAsia="Arial" w:hAnsi="Arial"/>
          <w:sz w:val="16"/>
          <w:szCs w:val="16"/>
          <w:color w:val="auto"/>
        </w:rPr>
        <w:t>In 2020 in connection with the Asset Purchase Agreement, we entered into a master network services agreement with T-Mobile to provide us with wireless network services for a period of seven years (the “Prior MNSA”). In June 2022, we and T-Mobile entered into the MNSA, which amended the Prior MNSA. Under the MNSA, we agreed to a minimum purchase commitment to T-Mobile, subject to certain terms and conditions.</w:t>
      </w:r>
    </w:p>
    <w:p>
      <w:pPr>
        <w:spacing w:after="0" w:line="144" w:lineRule="exact"/>
        <w:rPr>
          <w:sz w:val="20"/>
          <w:szCs w:val="20"/>
          <w:color w:val="auto"/>
        </w:rPr>
      </w:pPr>
    </w:p>
    <w:p>
      <w:pPr>
        <w:ind w:left="40" w:right="219"/>
        <w:spacing w:after="0" w:line="249" w:lineRule="auto"/>
        <w:rPr>
          <w:sz w:val="20"/>
          <w:szCs w:val="20"/>
          <w:color w:val="auto"/>
        </w:rPr>
      </w:pPr>
      <w:r>
        <w:rPr>
          <w:rFonts w:ascii="Arial" w:cs="Arial" w:eastAsia="Arial" w:hAnsi="Arial"/>
          <w:sz w:val="16"/>
          <w:szCs w:val="16"/>
          <w:color w:val="auto"/>
        </w:rPr>
        <w:t>As a result, failure to meet the minimum commitments to AT&amp;T or T-Mobile could have a material adverse effect on our business, financial condition and results of operations. For example, failure to meet our minimum commitments could result in, among other things, the acceleration of financial commitments and potential termination of the NSA or the MNSA, respectively.</w:t>
      </w:r>
    </w:p>
    <w:p>
      <w:pPr>
        <w:spacing w:after="0" w:line="144" w:lineRule="exact"/>
        <w:rPr>
          <w:sz w:val="20"/>
          <w:szCs w:val="20"/>
          <w:color w:val="auto"/>
        </w:rPr>
      </w:pPr>
    </w:p>
    <w:p>
      <w:pPr>
        <w:ind w:left="40" w:right="159"/>
        <w:spacing w:after="0" w:line="241" w:lineRule="auto"/>
        <w:rPr>
          <w:sz w:val="20"/>
          <w:szCs w:val="20"/>
          <w:color w:val="auto"/>
        </w:rPr>
      </w:pPr>
      <w:r>
        <w:rPr>
          <w:rFonts w:ascii="Arial" w:cs="Arial" w:eastAsia="Arial" w:hAnsi="Arial"/>
          <w:sz w:val="16"/>
          <w:szCs w:val="16"/>
          <w:color w:val="auto"/>
        </w:rPr>
        <w:t>As we continue our 5G Network Deployment, we currently depend in part on T-Mobile and AT&amp;T to provide us with network services pursuant to the MNSA and the NSA, respectively, primarily in areas our 5G Network doesn’t cover. We rely on T-Mobile and AT&amp;T to, among other things, maintain their wireless facilities and government authorizations and to comply with government policies and regulations. If T-Mobile or AT&amp;T fails to do so, our subscriber activations and churn rate could be negatively impacted, which in turn could have a material adverse effect on our business, financial condition and results of operations. As a result, failure to manage these relationships, including, but not limited to, effectively activating subscribers on the optimal network, transitioning subscribers to a different network, managing the existing subscriber base and vendor relationships and meeting certain minimum commitments could have a material adverse effect on our business, financial condition and results of operations.</w:t>
      </w:r>
    </w:p>
    <w:p>
      <w:pPr>
        <w:spacing w:after="0" w:line="152" w:lineRule="exact"/>
        <w:rPr>
          <w:sz w:val="20"/>
          <w:szCs w:val="20"/>
          <w:color w:val="auto"/>
        </w:rPr>
      </w:pPr>
    </w:p>
    <w:p>
      <w:pPr>
        <w:ind w:left="40" w:right="299"/>
        <w:spacing w:after="0" w:line="244" w:lineRule="auto"/>
        <w:rPr>
          <w:sz w:val="20"/>
          <w:szCs w:val="20"/>
          <w:color w:val="auto"/>
        </w:rPr>
      </w:pPr>
      <w:r>
        <w:rPr>
          <w:rFonts w:ascii="Arial" w:cs="Arial" w:eastAsia="Arial" w:hAnsi="Arial"/>
          <w:sz w:val="16"/>
          <w:szCs w:val="16"/>
          <w:color w:val="auto"/>
        </w:rPr>
        <w:t>In the event that a termination under the NSA or the MNSA were to occur, our Wireless subscribers may need to obtain a new device, a new SIM card or receive a software update to continue receiving Wireless services from us. These required measures could cause significant disruption to our Wireless subscriber base which could result in, among other things, a significant increase in our churn rate. A termination of either the NSA or the MNSA, respectively, could result in significant financial and operational challenges to mitigate such termination, and there can be no assurances that any attempts to mitigate a termination event would be successful on an acceptable timeframe or at all.</w:t>
      </w:r>
    </w:p>
    <w:p>
      <w:pPr>
        <w:spacing w:after="0" w:line="150" w:lineRule="exact"/>
        <w:rPr>
          <w:sz w:val="20"/>
          <w:szCs w:val="20"/>
          <w:color w:val="auto"/>
        </w:rPr>
      </w:pPr>
    </w:p>
    <w:p>
      <w:pPr>
        <w:ind w:left="40" w:right="139"/>
        <w:spacing w:after="0" w:line="260" w:lineRule="auto"/>
        <w:rPr>
          <w:sz w:val="20"/>
          <w:szCs w:val="20"/>
          <w:color w:val="auto"/>
        </w:rPr>
      </w:pPr>
      <w:r>
        <w:rPr>
          <w:rFonts w:ascii="Arial" w:cs="Arial" w:eastAsia="Arial" w:hAnsi="Arial"/>
          <w:sz w:val="16"/>
          <w:szCs w:val="16"/>
          <w:b w:val="1"/>
          <w:bCs w:val="1"/>
          <w:i w:val="1"/>
          <w:iCs w:val="1"/>
          <w:color w:val="auto"/>
        </w:rPr>
        <w:t>We compete with the MNOs whose networks we partially rely on to provide wireless services to our customers, and they may seek to limit, reduce or terminate our network access to the extent that it becomes competitively advantageous to do so.</w:t>
      </w:r>
    </w:p>
    <w:p>
      <w:pPr>
        <w:spacing w:after="0" w:line="126" w:lineRule="exact"/>
        <w:rPr>
          <w:sz w:val="20"/>
          <w:szCs w:val="20"/>
          <w:color w:val="auto"/>
        </w:rPr>
      </w:pPr>
    </w:p>
    <w:p>
      <w:pPr>
        <w:ind w:left="40" w:right="159"/>
        <w:spacing w:after="0" w:line="242" w:lineRule="auto"/>
        <w:rPr>
          <w:sz w:val="20"/>
          <w:szCs w:val="20"/>
          <w:color w:val="auto"/>
        </w:rPr>
      </w:pPr>
      <w:r>
        <w:rPr>
          <w:rFonts w:ascii="Arial" w:cs="Arial" w:eastAsia="Arial" w:hAnsi="Arial"/>
          <w:sz w:val="16"/>
          <w:szCs w:val="16"/>
          <w:color w:val="auto"/>
        </w:rPr>
        <w:t>We are able to offer wireless services to our customers through the 5G Network, and through our existing agreements with AT&amp;T and T-Mobile, both of whom are competitors of ours. While our agreements with AT&amp;T and T-Mobile had ten and seven-year terms from the date of signing, respectively, to the extent that either network service provider experiences, among other things, network capacity challenges, it is possible that our subscribers could be de-prioritized for access to those networks. Further, AT&amp;T and/or T-Mobile may decide not to renew their agreements with us at acceptable rates, or at all or impose other obligations that we are unable or unwilling to accept. Any reduction in, or loss of, access to those networks in the future could significantly impact our ability to provide services to our subscribers and in turn have a material adverse effect on our business, financial condition and results of operations.</w:t>
      </w:r>
    </w:p>
    <w:p>
      <w:pPr>
        <w:spacing w:after="0" w:line="152" w:lineRule="exact"/>
        <w:rPr>
          <w:sz w:val="20"/>
          <w:szCs w:val="20"/>
          <w:color w:val="auto"/>
        </w:rPr>
      </w:pPr>
    </w:p>
    <w:p>
      <w:pPr>
        <w:ind w:left="40" w:right="319"/>
        <w:spacing w:after="0" w:line="283" w:lineRule="auto"/>
        <w:rPr>
          <w:sz w:val="20"/>
          <w:szCs w:val="20"/>
          <w:color w:val="auto"/>
        </w:rPr>
      </w:pPr>
      <w:r>
        <w:rPr>
          <w:rFonts w:ascii="Arial" w:cs="Arial" w:eastAsia="Arial" w:hAnsi="Arial"/>
          <w:sz w:val="16"/>
          <w:szCs w:val="16"/>
          <w:b w:val="1"/>
          <w:bCs w:val="1"/>
          <w:i w:val="1"/>
          <w:iCs w:val="1"/>
          <w:color w:val="auto"/>
        </w:rPr>
        <w:t>Changes in how network operators handle and charge for access to data that travels across their networks could adversely impact our Pay-TV business.</w:t>
      </w:r>
    </w:p>
    <w:p>
      <w:pPr>
        <w:spacing w:after="0" w:line="109"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color w:val="auto"/>
        </w:rPr>
        <w:t>With respect to our Pay-TV business, we rely upon the ability of consumers to access our SLING TV services and certain DISH TV functionality through the Internet. If network operators block, restrict, slow-down or throttle or otherwise impair access to our services over their networks, our business could be negatively affected. To the extent that network operators implement usage-based pricing including, but not limited to, meaningful bandwidth caps, or otherwise try to monetize access to their networks by data providers, we could incur greater operating expenses and our SLING TV subscriber count could be negatively impacted.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119"/>
        <w:spacing w:after="0" w:line="242" w:lineRule="auto"/>
        <w:rPr>
          <w:sz w:val="20"/>
          <w:szCs w:val="20"/>
          <w:color w:val="auto"/>
        </w:rPr>
      </w:pPr>
      <w:r>
        <w:rPr>
          <w:rFonts w:ascii="Arial" w:cs="Arial" w:eastAsia="Arial" w:hAnsi="Arial"/>
          <w:sz w:val="16"/>
          <w:szCs w:val="16"/>
          <w:color w:val="auto"/>
        </w:rPr>
        <w:t>Furthermore, to the extent network operators create tiers of Internet access service and either charge us for or prohibit us from being available through these tiers, our SLING TV business could be negatively impacted. In addition, many network operators that provide consumers with broadband service also provide these consumers with video programming, and these network operators may have an incentive to use their network infrastructure in a manner adverse to our continued growth and success. These risks may be exacerbated to the extent network operators are able to provide preferential treatment to their data, including, for example, by offering wireless subscribers access to owned or preferred video content over the Internet without counting against a subscriber’s monthly data caps, which may give an unfair advantage to the network operator’s own or partners video content.</w:t>
      </w:r>
    </w:p>
    <w:p>
      <w:pPr>
        <w:spacing w:after="0" w:line="150" w:lineRule="exact"/>
        <w:rPr>
          <w:sz w:val="20"/>
          <w:szCs w:val="20"/>
          <w:color w:val="auto"/>
        </w:rPr>
      </w:pPr>
    </w:p>
    <w:p>
      <w:pPr>
        <w:ind w:left="40" w:right="499"/>
        <w:spacing w:after="0" w:line="275" w:lineRule="auto"/>
        <w:rPr>
          <w:sz w:val="20"/>
          <w:szCs w:val="20"/>
          <w:color w:val="auto"/>
        </w:rPr>
      </w:pPr>
      <w:r>
        <w:rPr>
          <w:rFonts w:ascii="Arial" w:cs="Arial" w:eastAsia="Arial" w:hAnsi="Arial"/>
          <w:sz w:val="16"/>
          <w:szCs w:val="16"/>
          <w:color w:val="auto"/>
        </w:rPr>
        <w:t>We cannot predict with any certainty the impact to our business that may result from changes in how network operators handle and charge for access to data that travels across their networks.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Economic weakness and uncertainty may adversely affect our ability to grow or maintain our business.</w:t>
      </w:r>
    </w:p>
    <w:p>
      <w:pPr>
        <w:spacing w:after="0" w:line="177" w:lineRule="exact"/>
        <w:rPr>
          <w:sz w:val="20"/>
          <w:szCs w:val="20"/>
          <w:color w:val="auto"/>
        </w:rPr>
      </w:pPr>
    </w:p>
    <w:p>
      <w:pPr>
        <w:ind w:left="40" w:right="179"/>
        <w:spacing w:after="0" w:line="275" w:lineRule="auto"/>
        <w:rPr>
          <w:sz w:val="20"/>
          <w:szCs w:val="20"/>
          <w:color w:val="auto"/>
        </w:rPr>
      </w:pPr>
      <w:r>
        <w:rPr>
          <w:rFonts w:ascii="Arial" w:cs="Arial" w:eastAsia="Arial" w:hAnsi="Arial"/>
          <w:sz w:val="16"/>
          <w:szCs w:val="16"/>
          <w:color w:val="auto"/>
        </w:rPr>
        <w:t>Our ability to grow or maintain our business may be adversely affected by economic weakness and uncertainty, which could result in the following:</w:t>
      </w:r>
    </w:p>
    <w:p>
      <w:pPr>
        <w:spacing w:after="0" w:line="123" w:lineRule="exact"/>
        <w:rPr>
          <w:sz w:val="20"/>
          <w:szCs w:val="20"/>
          <w:color w:val="auto"/>
        </w:rPr>
      </w:pPr>
    </w:p>
    <w:p>
      <w:pPr>
        <w:ind w:left="660" w:right="79" w:hanging="292"/>
        <w:spacing w:after="0" w:line="238" w:lineRule="auto"/>
        <w:tabs>
          <w:tab w:leader="none" w:pos="6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Fewer subscriber activations and increased subscriber churn rate. </w:t>
      </w:r>
      <w:r>
        <w:rPr>
          <w:rFonts w:ascii="Arial" w:cs="Arial" w:eastAsia="Arial" w:hAnsi="Arial"/>
          <w:sz w:val="16"/>
          <w:szCs w:val="16"/>
          <w:color w:val="auto"/>
        </w:rPr>
        <w:t>We could face fewer subscriber activations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increased subscriber churn rate due to, among other things: (i) certain economic factors that impact consumers, including, among others, inflation, rising interest rates, a potential downturn in the housing market in the United States (including a decline in housing starts) and higher unemployment, which could lead to a lack of consumer confidence and lower discretionary spending; (ii) increased price competition for our products and services; and (iii) the potential loss of independent third-party retailers, who generate a meaningful percentage of our gross new DISH TV and Wireless subscriber activations, because many of them are small businesses that are more susceptible to the negative effects of economic weakness. In particular, our DISH TV churn rate and Wireless churn rate may increase with respect to subscribers who purchase our lower tier programming packages and Wireless services, and who may be more sensitive to economic weakness.</w:t>
      </w:r>
    </w:p>
    <w:p>
      <w:pPr>
        <w:spacing w:after="0" w:line="5" w:lineRule="exact"/>
        <w:rPr>
          <w:rFonts w:ascii="Times New Roman" w:cs="Times New Roman" w:eastAsia="Times New Roman" w:hAnsi="Times New Roman"/>
          <w:sz w:val="16"/>
          <w:szCs w:val="16"/>
          <w:color w:val="auto"/>
        </w:rPr>
      </w:pPr>
    </w:p>
    <w:p>
      <w:pPr>
        <w:ind w:left="660" w:right="139" w:hanging="292"/>
        <w:spacing w:after="0" w:line="245" w:lineRule="auto"/>
        <w:tabs>
          <w:tab w:leader="none" w:pos="6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Higher subscriber acquisition and retention costs</w:t>
      </w:r>
      <w:r>
        <w:rPr>
          <w:rFonts w:ascii="Arial" w:cs="Arial" w:eastAsia="Arial" w:hAnsi="Arial"/>
          <w:sz w:val="16"/>
          <w:szCs w:val="16"/>
          <w:color w:val="auto"/>
        </w:rPr>
        <w:t>. Our profits may be adversely affected by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subscriber acquisition and retention costs necessary to attract and retain high-quality subscribers during a period of economic weakness.</w:t>
      </w:r>
    </w:p>
    <w:p>
      <w:pPr>
        <w:spacing w:after="0" w:line="146" w:lineRule="exact"/>
        <w:rPr>
          <w:sz w:val="20"/>
          <w:szCs w:val="20"/>
          <w:color w:val="auto"/>
        </w:rPr>
      </w:pPr>
    </w:p>
    <w:p>
      <w:pPr>
        <w:ind w:left="40" w:right="339"/>
        <w:spacing w:after="0" w:line="243" w:lineRule="auto"/>
        <w:rPr>
          <w:sz w:val="20"/>
          <w:szCs w:val="20"/>
          <w:color w:val="auto"/>
        </w:rPr>
      </w:pPr>
      <w:r>
        <w:rPr>
          <w:rFonts w:ascii="Arial" w:cs="Arial" w:eastAsia="Arial" w:hAnsi="Arial"/>
          <w:sz w:val="16"/>
          <w:szCs w:val="16"/>
          <w:color w:val="auto"/>
        </w:rPr>
        <w:t>We are also subject to inflationary cost pressures, and if inflation continues or worsens, it could negatively impact us by increasing, among other things, our operating expenses. Inflation may lead to cost increases in multiple areas across our business, for example, rises in the prices of raw materials and manufactured goods, increased energy rates, as well as increased wage pressures and other expenses related to our labor, programming and other costs. While we attempt to increase our revenue to offset increases in costs, there is no assurance that we will be able to do so on an acceptable timeline or at all. Therefore, costs could rise faster than associated revenue, thereby resulting in a negative impact on our operating results, cash flows and liquidity.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right="319"/>
        <w:spacing w:after="0" w:line="283" w:lineRule="auto"/>
        <w:rPr>
          <w:sz w:val="20"/>
          <w:szCs w:val="20"/>
          <w:color w:val="auto"/>
        </w:rPr>
      </w:pPr>
      <w:r>
        <w:rPr>
          <w:rFonts w:ascii="Arial" w:cs="Arial" w:eastAsia="Arial" w:hAnsi="Arial"/>
          <w:sz w:val="16"/>
          <w:szCs w:val="16"/>
          <w:b w:val="1"/>
          <w:bCs w:val="1"/>
          <w:i w:val="1"/>
          <w:iCs w:val="1"/>
          <w:color w:val="auto"/>
        </w:rPr>
        <w:t>We are facing increasing competition which could impact demand for, and result in, increasing pricing pressures with respect to, our products and services.</w:t>
      </w:r>
    </w:p>
    <w:p>
      <w:pPr>
        <w:spacing w:after="0" w:line="109"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Our Broadband and Satellite Services segment operates in an intensely competitive, consumer- and enterprise-driven and rapidly changing environment and competes with a growing number of companies that provide similar products and services to consumer and enterprise customers. There can be no assurance that we will be able to effectively compete against our competitors due to, among other factors, their significant resources and operating history. Material competitive risks to our business include, but are not limited to, the following:</w:t>
      </w:r>
    </w:p>
    <w:p>
      <w:pPr>
        <w:spacing w:after="0" w:line="146" w:lineRule="exact"/>
        <w:rPr>
          <w:sz w:val="20"/>
          <w:szCs w:val="20"/>
          <w:color w:val="auto"/>
        </w:rPr>
      </w:pPr>
    </w:p>
    <w:p>
      <w:pPr>
        <w:ind w:left="640" w:hanging="284"/>
        <w:spacing w:after="0"/>
        <w:tabs>
          <w:tab w:leader="none" w:pos="6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new or different technology compared to our offerings;</w:t>
      </w:r>
    </w:p>
    <w:p>
      <w:pPr>
        <w:spacing w:after="0" w:line="24"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or new competitors entering the same markets we serve;</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 funding for competing products and services, reducing demand for our products and services; and</w:t>
      </w:r>
    </w:p>
    <w:p>
      <w:pPr>
        <w:spacing w:after="0" w:line="8" w:lineRule="exact"/>
        <w:rPr>
          <w:rFonts w:ascii="Times New Roman" w:cs="Times New Roman" w:eastAsia="Times New Roman" w:hAnsi="Times New Roman"/>
          <w:sz w:val="16"/>
          <w:szCs w:val="16"/>
          <w:color w:val="auto"/>
        </w:rPr>
      </w:pPr>
    </w:p>
    <w:p>
      <w:pPr>
        <w:ind w:left="640" w:right="399" w:hanging="284"/>
        <w:spacing w:after="0" w:line="254" w:lineRule="auto"/>
        <w:tabs>
          <w:tab w:leader="none" w:pos="6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competitive pressures to provide enhanced functionality for the same or lower price with each new generation of technology.</w:t>
      </w:r>
    </w:p>
    <w:p>
      <w:pPr>
        <w:spacing w:after="0" w:line="140" w:lineRule="exact"/>
        <w:rPr>
          <w:sz w:val="20"/>
          <w:szCs w:val="20"/>
          <w:color w:val="auto"/>
        </w:rPr>
      </w:pPr>
    </w:p>
    <w:p>
      <w:pPr>
        <w:ind w:left="40" w:right="239"/>
        <w:spacing w:after="0" w:line="283" w:lineRule="auto"/>
        <w:rPr>
          <w:sz w:val="20"/>
          <w:szCs w:val="20"/>
          <w:color w:val="auto"/>
        </w:rPr>
      </w:pPr>
      <w:r>
        <w:rPr>
          <w:rFonts w:ascii="Arial" w:cs="Arial" w:eastAsia="Arial" w:hAnsi="Arial"/>
          <w:sz w:val="16"/>
          <w:szCs w:val="16"/>
          <w:b w:val="1"/>
          <w:bCs w:val="1"/>
          <w:i w:val="1"/>
          <w:iCs w:val="1"/>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09"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color w:val="auto"/>
        </w:rPr>
        <w:t>In order to grow and remain competitive, we will need to adapt to changes in available technology, including, but not limited to, artificial intelligence and machine learning, continually invest in our 5G Network Deployment, increase 5G Network capacity, enhance our existing service offerings and introduce new offerings to meet our current and potential subscribers’ changing service demands. Enhancing our 5G Network, including, but not limited to, our ongoing 5G Network Deployment, is subject to risks related to, among other things, equipment choices, network deployment and management and service offerings. In addition, 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Therefore, we generally serve as the overall system integrator.</w:t>
      </w:r>
    </w:p>
    <w:p>
      <w:pPr>
        <w:spacing w:after="0" w:line="152" w:lineRule="exact"/>
        <w:rPr>
          <w:sz w:val="20"/>
          <w:szCs w:val="20"/>
          <w:color w:val="auto"/>
        </w:rPr>
      </w:pPr>
    </w:p>
    <w:p>
      <w:pPr>
        <w:ind w:left="40" w:right="139"/>
        <w:spacing w:after="0" w:line="244" w:lineRule="auto"/>
        <w:rPr>
          <w:sz w:val="20"/>
          <w:szCs w:val="20"/>
          <w:color w:val="auto"/>
        </w:rPr>
      </w:pPr>
      <w:r>
        <w:rPr>
          <w:rFonts w:ascii="Arial" w:cs="Arial" w:eastAsia="Arial" w:hAnsi="Arial"/>
          <w:sz w:val="16"/>
          <w:szCs w:val="16"/>
          <w:color w:val="auto"/>
        </w:rPr>
        <w:t>As a result, adopting new and sophisticated technologies may result in implementation issues, such as scheduling and supplier delays, unexpected or increased costs, technological constraints, regulatory permitting issues, actual or perceived subscriber dissatisfaction and other issues that could cause delays in launching new technological capabilities, which in turn could result in significant costs or reduce the anticipated benefits of the upgrades. If our new services fail to retain or gain acceptance in the marketplace or if costs associated with these services are higher than anticipated, this could have a material adverse effect on our operating results.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Operational and Service Delivery Risks</w:t>
      </w:r>
    </w:p>
    <w:p>
      <w:pPr>
        <w:spacing w:after="0" w:line="181" w:lineRule="exact"/>
        <w:rPr>
          <w:sz w:val="20"/>
          <w:szCs w:val="20"/>
          <w:color w:val="auto"/>
        </w:rPr>
      </w:pPr>
    </w:p>
    <w:p>
      <w:pPr>
        <w:ind w:left="40" w:right="239"/>
        <w:spacing w:after="0" w:line="283" w:lineRule="auto"/>
        <w:rPr>
          <w:sz w:val="20"/>
          <w:szCs w:val="20"/>
          <w:color w:val="auto"/>
        </w:rPr>
      </w:pPr>
      <w:r>
        <w:rPr>
          <w:rFonts w:ascii="Arial" w:cs="Arial" w:eastAsia="Arial" w:hAnsi="Arial"/>
          <w:sz w:val="16"/>
          <w:szCs w:val="16"/>
          <w:b w:val="1"/>
          <w:bCs w:val="1"/>
          <w:i w:val="1"/>
          <w:iCs w:val="1"/>
          <w:color w:val="auto"/>
        </w:rPr>
        <w:t>Any deterioration in our operational performance and subscriber satisfaction could adversely affect our business, financial condition and results of operations.</w:t>
      </w:r>
    </w:p>
    <w:p>
      <w:pPr>
        <w:spacing w:after="0" w:line="109" w:lineRule="exact"/>
        <w:rPr>
          <w:sz w:val="20"/>
          <w:szCs w:val="20"/>
          <w:color w:val="auto"/>
        </w:rPr>
      </w:pPr>
    </w:p>
    <w:p>
      <w:pPr>
        <w:ind w:left="40" w:right="219"/>
        <w:spacing w:after="0" w:line="244" w:lineRule="auto"/>
        <w:rPr>
          <w:sz w:val="20"/>
          <w:szCs w:val="20"/>
          <w:color w:val="auto"/>
        </w:rPr>
      </w:pPr>
      <w:r>
        <w:rPr>
          <w:rFonts w:ascii="Arial" w:cs="Arial" w:eastAsia="Arial" w:hAnsi="Arial"/>
          <w:sz w:val="16"/>
          <w:szCs w:val="16"/>
          <w:color w:val="auto"/>
        </w:rPr>
        <w:t>If our operational performance and subscriber satisfaction with respect to our Pay-TV, Wireless, and/or Broadband and Satellite Services businesses were to deteriorate, we may experience a decrease in subscriber activations and an increase in our subscriber churn rate, which could have a material adverse effect on our business, financial condition and results of operations. To improve our operational performance, we continue to make investments in staffing, training, information systems and other initiatives, primarily in our call center and in-home service operations, and our Broadband and Satellite Services and Wireless business operations.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color w:val="auto"/>
        </w:rPr>
        <w:t>These investments are intended to, among other things, help combat inefficiencies introduced by the increasing complexity of our business, improve subscriber satisfaction, reduce subscriber churn, increase productivity and allow us to scale better over the long run. We cannot, however, be certain that our spending will ultimately be successful in improving our operational performance, and if unsuccessful, we may have to incur higher costs to improve our operational performance. While we believe that such costs will be outweighed by longer-term benefits, there can be no assurance when or if we will realize these benefits at all.</w:t>
      </w:r>
    </w:p>
    <w:p>
      <w:pPr>
        <w:spacing w:after="0" w:line="150" w:lineRule="exact"/>
        <w:rPr>
          <w:sz w:val="20"/>
          <w:szCs w:val="20"/>
          <w:color w:val="auto"/>
        </w:rPr>
      </w:pPr>
    </w:p>
    <w:p>
      <w:pPr>
        <w:ind w:left="40" w:right="459"/>
        <w:spacing w:after="0" w:line="283" w:lineRule="auto"/>
        <w:rPr>
          <w:sz w:val="20"/>
          <w:szCs w:val="20"/>
          <w:color w:val="auto"/>
        </w:rPr>
      </w:pPr>
      <w:r>
        <w:rPr>
          <w:rFonts w:ascii="Arial" w:cs="Arial" w:eastAsia="Arial" w:hAnsi="Arial"/>
          <w:sz w:val="16"/>
          <w:szCs w:val="16"/>
          <w:b w:val="1"/>
          <w:bCs w:val="1"/>
          <w:i w:val="1"/>
          <w:iCs w:val="1"/>
          <w:color w:val="auto"/>
        </w:rPr>
        <w:t>If our subscriber activations decrease, or if our subscriber churn rate, subscriber acquisition costs or retention costs increase, our financial performance will be adversely affected.</w:t>
      </w:r>
    </w:p>
    <w:p>
      <w:pPr>
        <w:spacing w:after="0" w:line="109" w:lineRule="exact"/>
        <w:rPr>
          <w:sz w:val="20"/>
          <w:szCs w:val="20"/>
          <w:color w:val="auto"/>
        </w:rPr>
      </w:pPr>
    </w:p>
    <w:p>
      <w:pPr>
        <w:ind w:left="40" w:right="139"/>
        <w:spacing w:after="0" w:line="244" w:lineRule="auto"/>
        <w:rPr>
          <w:sz w:val="20"/>
          <w:szCs w:val="20"/>
          <w:color w:val="auto"/>
        </w:rPr>
      </w:pPr>
      <w:r>
        <w:rPr>
          <w:rFonts w:ascii="Arial" w:cs="Arial" w:eastAsia="Arial" w:hAnsi="Arial"/>
          <w:sz w:val="16"/>
          <w:szCs w:val="16"/>
          <w:color w:val="auto"/>
        </w:rPr>
        <w:t>We may incur increased costs to acquire new subscribers and retain existing subscribers to some or all of our Pay-TV, Wireless or Broadband and Satellite Services businesses. For example, with respect to our Pay-TV business, our gross new DISH TV subscriber activations, net DISH TV subscriber additions, and DISH TV churn rate continue to be negatively impacted by stricter subscriber acquisition and retention policies for our DISH TV subscribers, including, but not limited to, higher quality subscribers. Retention costs with respect to our DISH TV services may be driven higher by, among other things, increased upgrades of existing subscribers’ equipment.</w:t>
      </w:r>
    </w:p>
    <w:p>
      <w:pPr>
        <w:spacing w:after="0" w:line="330" w:lineRule="exact"/>
        <w:rPr>
          <w:sz w:val="20"/>
          <w:szCs w:val="20"/>
          <w:color w:val="auto"/>
        </w:rPr>
      </w:pPr>
    </w:p>
    <w:p>
      <w:pPr>
        <w:ind w:left="40" w:right="179"/>
        <w:spacing w:after="0" w:line="244" w:lineRule="auto"/>
        <w:rPr>
          <w:sz w:val="20"/>
          <w:szCs w:val="20"/>
          <w:color w:val="auto"/>
        </w:rPr>
      </w:pPr>
      <w:r>
        <w:rPr>
          <w:rFonts w:ascii="Arial" w:cs="Arial" w:eastAsia="Arial" w:hAnsi="Arial"/>
          <w:sz w:val="16"/>
          <w:szCs w:val="16"/>
          <w:color w:val="auto"/>
        </w:rPr>
        <w:t>Although we expect to continue to incur expenses, such as providing retention credits and other subscriber acquisition and retention expenses, including, but not limited to, device subsidies and upgrade discounts, to attract and retain subscribers, there can be no assurance that our efforts will generate new subscribers or result in a lower churn rate. Our subscriber acquisition costs and our subscriber retention costs can vary significantly from period to period and can cause material variability to our net income (loss) and free cash flow. Any material increase in subscriber acquisition or retention costs from current levels could have a material adverse effect on our business, financial condition and results of operations.</w:t>
      </w:r>
    </w:p>
    <w:p>
      <w:pPr>
        <w:spacing w:after="0" w:line="150" w:lineRule="exact"/>
        <w:rPr>
          <w:sz w:val="20"/>
          <w:szCs w:val="20"/>
          <w:color w:val="auto"/>
        </w:rPr>
      </w:pPr>
    </w:p>
    <w:p>
      <w:pPr>
        <w:ind w:left="40" w:right="139"/>
        <w:spacing w:after="0" w:line="283" w:lineRule="auto"/>
        <w:rPr>
          <w:sz w:val="20"/>
          <w:szCs w:val="20"/>
          <w:color w:val="auto"/>
        </w:rPr>
      </w:pPr>
      <w:r>
        <w:rPr>
          <w:rFonts w:ascii="Arial" w:cs="Arial" w:eastAsia="Arial" w:hAnsi="Arial"/>
          <w:sz w:val="16"/>
          <w:szCs w:val="16"/>
          <w:b w:val="1"/>
          <w:bCs w:val="1"/>
          <w:i w:val="1"/>
          <w:iCs w:val="1"/>
          <w:color w:val="auto"/>
        </w:rPr>
        <w:t>With respect to our Pay-TV business, programming expenses are increasing, which may adversely affect our future financial condition and results of operations.</w:t>
      </w:r>
    </w:p>
    <w:p>
      <w:pPr>
        <w:spacing w:after="0" w:line="109"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auto"/>
        </w:rPr>
        <w:t>Our programming costs represent a significant component of our total expense and we expect these costs to continue to increase on a per subscriber basis. The pay-TV industry has continued to experience an increase in the cost of programming, especially local broadcast channels and sports programming. In addition, certain programming costs are rising at a much faster rate than wages or inflation. These factors may be exacerbated by, among other factors, the increasing trend of consolidation in the media industry, partnerships between companies that offer pay-TV services and programmers and increased direct-to-consumer offerings of both exclusive and non-exclusive content, which may further increase our programming expenses. Our ability to compete successfully will depend, among other things, on our ability to continue to obtain desirable programming and deliver it to our subscribers at competitive prices.</w:t>
      </w:r>
    </w:p>
    <w:p>
      <w:pPr>
        <w:spacing w:after="0" w:line="150" w:lineRule="exact"/>
        <w:rPr>
          <w:sz w:val="20"/>
          <w:szCs w:val="20"/>
          <w:color w:val="auto"/>
        </w:rPr>
      </w:pPr>
    </w:p>
    <w:p>
      <w:pPr>
        <w:ind w:left="40" w:right="259"/>
        <w:spacing w:after="0" w:line="249" w:lineRule="auto"/>
        <w:rPr>
          <w:sz w:val="20"/>
          <w:szCs w:val="20"/>
          <w:color w:val="auto"/>
        </w:rPr>
      </w:pPr>
      <w:r>
        <w:rPr>
          <w:rFonts w:ascii="Arial" w:cs="Arial" w:eastAsia="Arial" w:hAnsi="Arial"/>
          <w:sz w:val="16"/>
          <w:szCs w:val="16"/>
          <w:color w:val="auto"/>
        </w:rPr>
        <w:t>In addition, increases in programming costs cause us to increase the rates that we charge our Pay-TV subscribers, which could in turn cause our existing Pay-TV subscribers to disconnect service. Therefore, we may be unable to pass increased programming costs on to our subscribers, which could have a material adverse effect on our business, financial condition and results of operations.</w:t>
      </w:r>
    </w:p>
    <w:p>
      <w:pPr>
        <w:spacing w:after="0" w:line="146" w:lineRule="exact"/>
        <w:rPr>
          <w:sz w:val="20"/>
          <w:szCs w:val="20"/>
          <w:color w:val="auto"/>
        </w:rPr>
      </w:pPr>
    </w:p>
    <w:p>
      <w:pPr>
        <w:ind w:left="40" w:right="99"/>
        <w:spacing w:after="0" w:line="260" w:lineRule="auto"/>
        <w:rPr>
          <w:sz w:val="20"/>
          <w:szCs w:val="20"/>
          <w:color w:val="auto"/>
        </w:rPr>
      </w:pPr>
      <w:r>
        <w:rPr>
          <w:rFonts w:ascii="Arial" w:cs="Arial" w:eastAsia="Arial" w:hAnsi="Arial"/>
          <w:sz w:val="16"/>
          <w:szCs w:val="16"/>
          <w:b w:val="1"/>
          <w:bCs w:val="1"/>
          <w:i w:val="1"/>
          <w:iCs w:val="1"/>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26" w:lineRule="exact"/>
        <w:rPr>
          <w:sz w:val="20"/>
          <w:szCs w:val="20"/>
          <w:color w:val="auto"/>
        </w:rPr>
      </w:pPr>
    </w:p>
    <w:p>
      <w:pPr>
        <w:ind w:left="40" w:right="179"/>
        <w:spacing w:after="0" w:line="249" w:lineRule="auto"/>
        <w:rPr>
          <w:sz w:val="20"/>
          <w:szCs w:val="20"/>
          <w:color w:val="auto"/>
        </w:rPr>
      </w:pPr>
      <w:r>
        <w:rPr>
          <w:rFonts w:ascii="Arial" w:cs="Arial" w:eastAsia="Arial" w:hAnsi="Arial"/>
          <w:sz w:val="16"/>
          <w:szCs w:val="16"/>
          <w:color w:val="auto"/>
        </w:rPr>
        <w:t>We depend on certain third parties to provide us with programming services. Our programming agreements have remaining terms ranging from less than one to up to several years and contain various renewal, expiration and/or termination provisions. We may not be able to renew these agreements on acceptable terms or at all, and these agreements may be terminated prior to expiration of their original terms.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99"/>
        <w:spacing w:after="0" w:line="256" w:lineRule="auto"/>
        <w:rPr>
          <w:sz w:val="20"/>
          <w:szCs w:val="20"/>
          <w:color w:val="auto"/>
        </w:rPr>
      </w:pPr>
      <w:r>
        <w:rPr>
          <w:rFonts w:ascii="Arial" w:cs="Arial" w:eastAsia="Arial" w:hAnsi="Arial"/>
          <w:sz w:val="16"/>
          <w:szCs w:val="16"/>
          <w:color w:val="auto"/>
        </w:rPr>
        <w:t>In addition, our ability to provide services under these agreements and negotiate acceptable terms depends on, among other things, the number of Pay-TV subscribers we have, our actual, perceived or anticipated financial condition and our negotiating power against each programmer, which can vary depending on the size and scale of such programmer.</w:t>
      </w:r>
    </w:p>
    <w:p>
      <w:pPr>
        <w:spacing w:after="0" w:line="137"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auto"/>
        </w:rPr>
        <w:t>Negotiations over programming carriage contracts are generally contentious, and certain programmers have, in the past, limited our access to their programming in connection with those negotiations and the scheduled expiration of their programming carriage contracts with us. In recent years, our net Pay-TV subscriber additions have been negatively impacted as a result of programming interruptions and threatened programming interruptions in connection with the scheduled expiration of programming carriage contracts with content providers. In addition, certain content providers have begun making a greater percentage of their content available as a stand-alone product available direct-to-consumer and acceleration of this trend may result in lower net Pay-TV subscriber additions, higher net Pay-TV subscriber losses and increased DISH TV churn rate.</w:t>
      </w:r>
    </w:p>
    <w:p>
      <w:pPr>
        <w:spacing w:after="0" w:line="150" w:lineRule="exact"/>
        <w:rPr>
          <w:sz w:val="20"/>
          <w:szCs w:val="20"/>
          <w:color w:val="auto"/>
        </w:rPr>
      </w:pPr>
    </w:p>
    <w:p>
      <w:pPr>
        <w:ind w:left="40" w:right="219"/>
        <w:spacing w:after="0" w:line="249" w:lineRule="auto"/>
        <w:rPr>
          <w:sz w:val="20"/>
          <w:szCs w:val="20"/>
          <w:color w:val="auto"/>
        </w:rPr>
      </w:pPr>
      <w:r>
        <w:rPr>
          <w:rFonts w:ascii="Arial" w:cs="Arial" w:eastAsia="Arial" w:hAnsi="Arial"/>
          <w:sz w:val="16"/>
          <w:szCs w:val="16"/>
          <w:color w:val="auto"/>
        </w:rPr>
        <w:t>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44"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We typically have a few programming contracts with major content providers up for renewal each year and if we are unable to renew any of these agreements on acceptable terms or at all, or the other parties terminate the agreements, there can be no assurance that we would be able to obtain substitute programming, or that such substitute programming would be comparable in quality or cost to our existing programming. In addition, failure to obtain access to certain programming or loss of access to programming, particularly programming provided by major content providers and/or programming popular with our subscribers, could have a material adverse effect on our business, financial condition and results of operations, including, among other things, our net Pay-TV subscriber additions. Our programming signals in our Pay-TV business are subject to theft, and we are vulnerable to other forms of fraud that could require significant expenditures to remedy. Increases in theft of our signal or our competitors’ signals could, in addition to reducing gross new DISH TV subscriber activations, also cause our DISH TV churn rate to increase.</w:t>
      </w:r>
    </w:p>
    <w:p>
      <w:pPr>
        <w:spacing w:after="0" w:line="151" w:lineRule="exact"/>
        <w:rPr>
          <w:sz w:val="20"/>
          <w:szCs w:val="20"/>
          <w:color w:val="auto"/>
        </w:rPr>
      </w:pPr>
    </w:p>
    <w:p>
      <w:pPr>
        <w:ind w:left="40" w:right="79"/>
        <w:spacing w:after="0" w:line="283" w:lineRule="auto"/>
        <w:rPr>
          <w:sz w:val="20"/>
          <w:szCs w:val="20"/>
          <w:color w:val="auto"/>
        </w:rPr>
      </w:pPr>
      <w:r>
        <w:rPr>
          <w:rFonts w:ascii="Arial" w:cs="Arial" w:eastAsia="Arial" w:hAnsi="Arial"/>
          <w:sz w:val="16"/>
          <w:szCs w:val="16"/>
          <w:b w:val="1"/>
          <w:bCs w:val="1"/>
          <w:i w:val="1"/>
          <w:iCs w:val="1"/>
          <w:color w:val="auto"/>
        </w:rPr>
        <w:t>We may not be able to obtain necessary retransmission consent agreements at acceptable rates, or at all, from local network stations.</w:t>
      </w:r>
    </w:p>
    <w:p>
      <w:pPr>
        <w:spacing w:after="0" w:line="109"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auto"/>
        </w:rPr>
        <w:t>The Copyright Act generally gives satellite companies a statutory copyright license to retransmit local broadcast channels by satellite back into the market from which they originated, subject to obtaining the retransmission consent of local broadcast television stations that do not elect “must carry” status, as required by the Communications Act. If we fail to reach retransmission consent agreements with such broadcasters, we cannot carry their signals. This could have an adverse effect on our strategy to compete with cable and other satellite companies that provide local signals. While we have generally been able to reach retransmission consent agreements with most of these local network stations, from time to time there are stations with which we have not been able to reach an agreement, resulting in the removal of their channels primarily from our DISH TV lineup. There can be no assurance that we will secure these agreements or that we will secure new agreements on acceptable terms, or at all, upon the expiration of our current retransmission consent agreements, some of which are short-term.</w:t>
      </w:r>
    </w:p>
    <w:p>
      <w:pPr>
        <w:spacing w:after="0" w:line="149"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auto"/>
        </w:rPr>
        <w:t>In recent years, national broadcasters have used their ownership of certain local broadcast stations to require us to carry additional cable programming in exchange for retransmission consent of their local broadcast stations. These requirements may place constraints on available capacity on our satellites for other programming. Furthermore, the rates we are charged for retransmitting local channels have been increasing substantially and may exceed our ability to increase our prices to our subscribers, which could have a material adverse effect on our business, financial condition and results of operations.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right="379"/>
        <w:spacing w:after="0" w:line="283" w:lineRule="auto"/>
        <w:rPr>
          <w:sz w:val="20"/>
          <w:szCs w:val="20"/>
          <w:color w:val="auto"/>
        </w:rPr>
      </w:pPr>
      <w:r>
        <w:rPr>
          <w:rFonts w:ascii="Arial" w:cs="Arial" w:eastAsia="Arial" w:hAnsi="Arial"/>
          <w:sz w:val="16"/>
          <w:szCs w:val="16"/>
          <w:b w:val="1"/>
          <w:bCs w:val="1"/>
          <w:i w:val="1"/>
          <w:iCs w:val="1"/>
          <w:color w:val="auto"/>
        </w:rPr>
        <w:t>We have limited satellite capacity and failures or reduced capacity could adversely affect our business, financial condition and results of operations.</w:t>
      </w:r>
    </w:p>
    <w:p>
      <w:pPr>
        <w:spacing w:after="0" w:line="109" w:lineRule="exact"/>
        <w:rPr>
          <w:sz w:val="20"/>
          <w:szCs w:val="20"/>
          <w:color w:val="auto"/>
        </w:rPr>
      </w:pPr>
    </w:p>
    <w:p>
      <w:pPr>
        <w:ind w:left="40" w:right="239"/>
        <w:spacing w:after="0" w:line="249" w:lineRule="auto"/>
        <w:rPr>
          <w:sz w:val="20"/>
          <w:szCs w:val="20"/>
          <w:color w:val="auto"/>
        </w:rPr>
      </w:pPr>
      <w:r>
        <w:rPr>
          <w:rFonts w:ascii="Arial" w:cs="Arial" w:eastAsia="Arial" w:hAnsi="Arial"/>
          <w:sz w:val="16"/>
          <w:szCs w:val="16"/>
          <w:color w:val="auto"/>
        </w:rPr>
        <w:t>Operation of our Pay-TV and Broadband and Satellite Services businesses requires that we have adequate satellite transmission capacity for the programming and services we offer. While we generally have had in-orbit satellite capacity sufficient to transmit our existing channels and provide satellite internet coverage and some backup capacity to recover the transmission of certain critical programming and coverage, our backup capacity is limited.</w:t>
      </w:r>
    </w:p>
    <w:p>
      <w:pPr>
        <w:spacing w:after="0" w:line="144"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auto"/>
        </w:rPr>
        <w:t>Our ability to earn revenue from our Pay-TV and Broadband and Satellite Services businesses depends on, among other things, the usefulness of our owned and leased satellites, each of which has a limited useful life. A number of factors affect the useful lives of the satellites, including, among other things, the quality of their construction, the durability of their component parts, the ability to continue to maintain proper orbits and control over the satellites’ functions, the efficiency of the launch vehicles used and the remaining on-board fuel following in-orbit insertion. Generally, the minimum design life of each of our owned and leased satellites ranges from 12 to 15 years. We can provide no assurance, however, as to the actual useful lives of any of these satellites. Our operating results could be adversely affected if the useful life of any of our owned or leased satellites was significantly shorter than the minimum design life.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Item 1A. Risk Factors – Risks Related to our Satellites”</w:t>
      </w:r>
      <w:r>
        <w:rPr>
          <w:rFonts w:ascii="Arial" w:cs="Arial" w:eastAsia="Arial" w:hAnsi="Arial"/>
          <w:sz w:val="16"/>
          <w:szCs w:val="16"/>
          <w:color w:val="auto"/>
        </w:rPr>
        <w:t xml:space="preserve"> in this Annual Report on Form 10-K for further information.</w:t>
      </w:r>
    </w:p>
    <w:p>
      <w:pPr>
        <w:spacing w:after="0" w:line="181" w:lineRule="exact"/>
        <w:rPr>
          <w:sz w:val="20"/>
          <w:szCs w:val="20"/>
          <w:color w:val="auto"/>
        </w:rPr>
      </w:pPr>
    </w:p>
    <w:p>
      <w:pPr>
        <w:jc w:val="both"/>
        <w:ind w:left="40" w:right="79"/>
        <w:spacing w:after="0" w:line="260" w:lineRule="auto"/>
        <w:rPr>
          <w:sz w:val="20"/>
          <w:szCs w:val="20"/>
          <w:color w:val="auto"/>
        </w:rPr>
      </w:pPr>
      <w:r>
        <w:rPr>
          <w:rFonts w:ascii="Arial" w:cs="Arial" w:eastAsia="Arial" w:hAnsi="Arial"/>
          <w:sz w:val="16"/>
          <w:szCs w:val="16"/>
          <w:b w:val="1"/>
          <w:bCs w:val="1"/>
          <w:i w:val="1"/>
          <w:iCs w:val="1"/>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26"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Extreme weather has the potential to directly damage our network facilities and other infrastructure and/or disrupt our ability to build and maintain portions of our network and could potentially disrupt suppliers’ ability to, among other things, provide the products and services we require to support our operations. Any such disruption could delay our 5G Network Deployment plans, interrupt service for our customers, increase our costs and have a negative effect on our operating results and financial condition. The potential physical effects of extreme weather, such as storms, floods, fires, freezing conditions, sea-level rise and other adverse weather events could negatively affect our operations and infrastructure and, as a result, our financial results. Operational impacts resulting from extreme weather, such as, among other things, damage to our 5G Network infrastructure, could result in increased costs and loss of revenue. We could be required to incur significant costs to improve the resiliency of our infrastructure and otherwise prepare for, respond to and mitigate such weather events. It is impossible to accurately predict the materiality of any potential losses or costs associated with extreme weather.</w:t>
      </w:r>
    </w:p>
    <w:p>
      <w:pPr>
        <w:spacing w:after="0" w:line="151" w:lineRule="exact"/>
        <w:rPr>
          <w:sz w:val="20"/>
          <w:szCs w:val="20"/>
          <w:color w:val="auto"/>
        </w:rPr>
      </w:pPr>
    </w:p>
    <w:p>
      <w:pPr>
        <w:ind w:left="40" w:right="99"/>
        <w:spacing w:after="0" w:line="283" w:lineRule="auto"/>
        <w:rPr>
          <w:sz w:val="20"/>
          <w:szCs w:val="20"/>
          <w:color w:val="auto"/>
        </w:rPr>
      </w:pPr>
      <w:r>
        <w:rPr>
          <w:rFonts w:ascii="Arial" w:cs="Arial" w:eastAsia="Arial" w:hAnsi="Arial"/>
          <w:sz w:val="16"/>
          <w:szCs w:val="16"/>
          <w:b w:val="1"/>
          <w:bCs w:val="1"/>
          <w:i w:val="1"/>
          <w:iCs w:val="1"/>
          <w:color w:val="auto"/>
        </w:rPr>
        <w:t>Our failure to effectively invest in, introduce and implement new competitive products and services could cause our products and services to become obsolete and could negatively impact our business.</w:t>
      </w:r>
    </w:p>
    <w:p>
      <w:pPr>
        <w:spacing w:after="0" w:line="109" w:lineRule="exact"/>
        <w:rPr>
          <w:sz w:val="20"/>
          <w:szCs w:val="20"/>
          <w:color w:val="auto"/>
        </w:rPr>
      </w:pPr>
    </w:p>
    <w:p>
      <w:pPr>
        <w:ind w:left="40" w:right="99"/>
        <w:spacing w:after="0" w:line="244" w:lineRule="auto"/>
        <w:rPr>
          <w:sz w:val="20"/>
          <w:szCs w:val="20"/>
          <w:color w:val="auto"/>
        </w:rPr>
      </w:pPr>
      <w:r>
        <w:rPr>
          <w:rFonts w:ascii="Arial" w:cs="Arial" w:eastAsia="Arial" w:hAnsi="Arial"/>
          <w:sz w:val="16"/>
          <w:szCs w:val="16"/>
          <w:color w:val="auto"/>
        </w:rPr>
        <w:t>Technology in the pay-TV, wireless and broadband and satellite services industries changes rapidly as new technologies are developed, which could cause our products and services to become obsolete. We and our suppliers may not be able to keep pace with technological developments. Our operating results are dependent to a significant extent upon our ability to continue to introduce new products and services, to upgrade existing products and services on a timely basis and to reduce costs of our existing products and services. We may not be able to successfully identify new product or service opportunities or develop and market these opportunities in a timely or cost-effective manner.</w:t>
      </w:r>
    </w:p>
    <w:p>
      <w:pPr>
        <w:spacing w:after="0" w:line="148"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The research and development of new, technologically advanced products is a complex and uncertain process requiring high levels of innovation and investment. The success of new product and service development depends on many factors, including among others, the following: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179" w:hanging="292"/>
        <w:spacing w:after="0" w:line="246" w:lineRule="auto"/>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difficulties and delays in the development, production, timely completion, testing and marketing of products and services;</w:t>
      </w:r>
    </w:p>
    <w:p>
      <w:pPr>
        <w:spacing w:after="0" w:line="1" w:lineRule="exact"/>
        <w:rPr>
          <w:rFonts w:ascii="Times New Roman" w:cs="Times New Roman" w:eastAsia="Times New Roman" w:hAnsi="Times New Roman"/>
          <w:sz w:val="16"/>
          <w:szCs w:val="16"/>
          <w:color w:val="auto"/>
        </w:rPr>
      </w:pPr>
    </w:p>
    <w:p>
      <w:pPr>
        <w:ind w:left="660" w:hanging="292"/>
        <w:spacing w:after="0"/>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the products and services;</w:t>
      </w:r>
    </w:p>
    <w:p>
      <w:pPr>
        <w:spacing w:after="0" w:line="8" w:lineRule="exact"/>
        <w:rPr>
          <w:rFonts w:ascii="Times New Roman" w:cs="Times New Roman" w:eastAsia="Times New Roman" w:hAnsi="Times New Roman"/>
          <w:sz w:val="16"/>
          <w:szCs w:val="16"/>
          <w:color w:val="auto"/>
        </w:rPr>
      </w:pPr>
    </w:p>
    <w:p>
      <w:pPr>
        <w:ind w:left="660" w:hanging="292"/>
        <w:spacing w:after="0"/>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proper identification of subscriber needs and subscriber acceptance of products and services;</w:t>
      </w:r>
    </w:p>
    <w:p>
      <w:pPr>
        <w:spacing w:after="0" w:line="8" w:lineRule="exact"/>
        <w:rPr>
          <w:rFonts w:ascii="Times New Roman" w:cs="Times New Roman" w:eastAsia="Times New Roman" w:hAnsi="Times New Roman"/>
          <w:sz w:val="16"/>
          <w:szCs w:val="16"/>
          <w:color w:val="auto"/>
        </w:rPr>
      </w:pPr>
    </w:p>
    <w:p>
      <w:pPr>
        <w:ind w:left="660" w:hanging="292"/>
        <w:spacing w:after="0"/>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development of, approval of and compliance with industry standards;</w:t>
      </w:r>
    </w:p>
    <w:p>
      <w:pPr>
        <w:spacing w:after="0" w:line="8" w:lineRule="exact"/>
        <w:rPr>
          <w:rFonts w:ascii="Times New Roman" w:cs="Times New Roman" w:eastAsia="Times New Roman" w:hAnsi="Times New Roman"/>
          <w:sz w:val="16"/>
          <w:szCs w:val="16"/>
          <w:color w:val="auto"/>
        </w:rPr>
      </w:pPr>
    </w:p>
    <w:p>
      <w:pPr>
        <w:ind w:left="660" w:hanging="292"/>
        <w:spacing w:after="0"/>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 of resources we must devote to the development of new technologies; and</w:t>
      </w:r>
    </w:p>
    <w:p>
      <w:pPr>
        <w:spacing w:after="0" w:line="8" w:lineRule="exact"/>
        <w:rPr>
          <w:rFonts w:ascii="Times New Roman" w:cs="Times New Roman" w:eastAsia="Times New Roman" w:hAnsi="Times New Roman"/>
          <w:sz w:val="16"/>
          <w:szCs w:val="16"/>
          <w:color w:val="auto"/>
        </w:rPr>
      </w:pPr>
    </w:p>
    <w:p>
      <w:pPr>
        <w:ind w:left="660" w:hanging="292"/>
        <w:spacing w:after="0"/>
        <w:tabs>
          <w:tab w:leader="none" w:pos="66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ability to differentiate our products and services and compete with other companies in the same markets.</w:t>
      </w:r>
    </w:p>
    <w:p>
      <w:pPr>
        <w:spacing w:after="0" w:line="174" w:lineRule="exact"/>
        <w:rPr>
          <w:sz w:val="20"/>
          <w:szCs w:val="20"/>
          <w:color w:val="auto"/>
        </w:rPr>
      </w:pPr>
    </w:p>
    <w:p>
      <w:pPr>
        <w:ind w:left="40" w:right="159"/>
        <w:spacing w:after="0" w:line="243" w:lineRule="auto"/>
        <w:rPr>
          <w:sz w:val="20"/>
          <w:szCs w:val="20"/>
          <w:color w:val="auto"/>
        </w:rPr>
      </w:pPr>
      <w:r>
        <w:rPr>
          <w:rFonts w:ascii="Arial" w:cs="Arial" w:eastAsia="Arial" w:hAnsi="Arial"/>
          <w:sz w:val="16"/>
          <w:szCs w:val="16"/>
          <w:color w:val="auto"/>
        </w:rPr>
        <w:t>If the new technologies on which we focus our research and development investments fail to achieve acceptance in the marketplace, our competitive position could be negatively impacted, causing a reduction in our revenues and earnings. For example, our competitors could use proprietary technologies that are perceived by the market as being superior. In addition, delays in the delivery of components or other unforeseen problems associated with our technology may occur that could materially and adversely affect our ability to generate revenue, offer new products and services and remain competitive. Furthermore, after we have incurred substantial costs, one or more of the products or services under our development, or under development by one or more of our strategic partners, could become obsolete prior to it being widely adopted.</w:t>
      </w:r>
    </w:p>
    <w:p>
      <w:pPr>
        <w:spacing w:after="0" w:line="148" w:lineRule="exact"/>
        <w:rPr>
          <w:sz w:val="20"/>
          <w:szCs w:val="20"/>
          <w:color w:val="auto"/>
        </w:rPr>
      </w:pPr>
    </w:p>
    <w:p>
      <w:pPr>
        <w:ind w:left="40" w:right="199"/>
        <w:spacing w:after="0" w:line="249" w:lineRule="auto"/>
        <w:rPr>
          <w:sz w:val="20"/>
          <w:szCs w:val="20"/>
          <w:color w:val="auto"/>
        </w:rPr>
      </w:pPr>
      <w:r>
        <w:rPr>
          <w:rFonts w:ascii="Arial" w:cs="Arial" w:eastAsia="Arial" w:hAnsi="Arial"/>
          <w:sz w:val="16"/>
          <w:szCs w:val="16"/>
          <w:color w:val="auto"/>
        </w:rPr>
        <w:t>If our products and services are not competitive or perceived as not competitive, our business could suffer and our financial performance could be negatively impacted. Our products and services may also experience quality problems, including, but not limited to, outages and service slowdowns, from time to time. If the quality of our products and services does not meet our subscribers’ expectations, then our business, and ultimately our reputation, could be negatively impacted.</w:t>
      </w:r>
    </w:p>
    <w:p>
      <w:pPr>
        <w:spacing w:after="0" w:line="146" w:lineRule="exact"/>
        <w:rPr>
          <w:sz w:val="20"/>
          <w:szCs w:val="20"/>
          <w:color w:val="auto"/>
        </w:rPr>
      </w:pPr>
    </w:p>
    <w:p>
      <w:pPr>
        <w:ind w:left="40" w:right="99"/>
        <w:spacing w:after="0" w:line="283" w:lineRule="auto"/>
        <w:rPr>
          <w:sz w:val="20"/>
          <w:szCs w:val="20"/>
          <w:color w:val="auto"/>
        </w:rPr>
      </w:pPr>
      <w:r>
        <w:rPr>
          <w:rFonts w:ascii="Arial" w:cs="Arial" w:eastAsia="Arial" w:hAnsi="Arial"/>
          <w:sz w:val="16"/>
          <w:szCs w:val="16"/>
          <w:b w:val="1"/>
          <w:bCs w:val="1"/>
          <w:i w:val="1"/>
          <w:iCs w:val="1"/>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09" w:lineRule="exact"/>
        <w:rPr>
          <w:sz w:val="20"/>
          <w:szCs w:val="20"/>
          <w:color w:val="auto"/>
        </w:rPr>
      </w:pPr>
    </w:p>
    <w:p>
      <w:pPr>
        <w:ind w:left="40" w:right="59"/>
        <w:spacing w:after="0" w:line="242" w:lineRule="auto"/>
        <w:rPr>
          <w:sz w:val="20"/>
          <w:szCs w:val="20"/>
          <w:color w:val="auto"/>
        </w:rPr>
      </w:pPr>
      <w:r>
        <w:rPr>
          <w:rFonts w:ascii="Arial" w:cs="Arial" w:eastAsia="Arial" w:hAnsi="Arial"/>
          <w:sz w:val="16"/>
          <w:szCs w:val="16"/>
          <w:color w:val="auto"/>
        </w:rPr>
        <w:t>Historically, we have contracted with and rely on a single vendor or a limited number of vendors to provide certain key products or services to us such as information technology support, billing systems, security access devices and many components that we provide to subscribers in order to deliver services from our Pay-TV, Wireless and Broadband or Satellite Services businesses. We also rely on a limited number of vendors to supply our wireless devices and wireless network equipment used in connection with our 5G Network Deployment. If these vendors are unable to meet our needs because, among other things, they fail to perform adequately, are no longer in business, are experiencing shortages or supply chain issues or discontinue a certain product or service we need, our business, financial condition and results of operations may be adversely affected.</w:t>
      </w:r>
    </w:p>
    <w:p>
      <w:pPr>
        <w:spacing w:after="0" w:line="150" w:lineRule="exact"/>
        <w:rPr>
          <w:sz w:val="20"/>
          <w:szCs w:val="20"/>
          <w:color w:val="auto"/>
        </w:rPr>
      </w:pPr>
    </w:p>
    <w:p>
      <w:pPr>
        <w:ind w:left="40" w:right="199"/>
        <w:spacing w:after="0" w:line="249" w:lineRule="auto"/>
        <w:rPr>
          <w:sz w:val="20"/>
          <w:szCs w:val="20"/>
          <w:color w:val="auto"/>
        </w:rPr>
      </w:pPr>
      <w:r>
        <w:rPr>
          <w:rFonts w:ascii="Arial" w:cs="Arial" w:eastAsia="Arial" w:hAnsi="Arial"/>
          <w:sz w:val="16"/>
          <w:szCs w:val="16"/>
          <w:color w:val="auto"/>
        </w:rPr>
        <w:t>We have experienced in the past and may continue to experience shortages driven by raw material availability (which may be negatively impacted by, among other things, trade protection policies such as tariffs and or/escalating trade tensions, particularly with countries in Asia), manufacturing capacity, labor shortages, industry allocations, natural disasters, logistical delays and significant changes in the financial or business conditions of its suppliers that negatively impact our operations.</w:t>
      </w:r>
    </w:p>
    <w:p>
      <w:pPr>
        <w:spacing w:after="0" w:line="144"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While alternative sources for these products and services exist, we may not be able to develop these alternative sources quickly and cost-effectively, or at all, which could materially impair our ability to timely deliver our products to our subscribers or operate our business. Furthermore, our vendors may request changes in pricing, payment terms or other contractual obligations between the parties, which could require us to make substantial additional investments or find alternative arrangements.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right="119"/>
        <w:spacing w:after="0" w:line="283" w:lineRule="auto"/>
        <w:rPr>
          <w:sz w:val="20"/>
          <w:szCs w:val="20"/>
          <w:color w:val="auto"/>
        </w:rPr>
      </w:pPr>
      <w:r>
        <w:rPr>
          <w:rFonts w:ascii="Arial" w:cs="Arial" w:eastAsia="Arial" w:hAnsi="Arial"/>
          <w:sz w:val="16"/>
          <w:szCs w:val="16"/>
          <w:b w:val="1"/>
          <w:bCs w:val="1"/>
          <w:i w:val="1"/>
          <w:iCs w:val="1"/>
          <w:color w:val="auto"/>
        </w:rPr>
        <w:t>We depend on independent third parties to solicit orders for our services that represent a meaningful percentage of our total gross new subscriber activations.</w:t>
      </w:r>
    </w:p>
    <w:p>
      <w:pPr>
        <w:spacing w:after="0" w:line="109"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While we offer products and services through direct sales channels, a meaningful percentage of our total gross new subscriber activations are generated through independent third parties such as small retailers, direct marketing groups, local and regional consumer electronics stores, nationwide retailers and telecommunications companies. Most of our independent third-party retailers are not exclusive to us and some of our independent third-party retailers may favor our competitors’ products and services over ours based on the relative financial arrangements associated with marketing our products and services and those of our competitors. Furthermore, most of these independent third-party retailers are significantly smaller than we are and may be more susceptible to economic weaknesses that make it more difficult for them to operate profitably. From time to time, we may adjust the economic terms of agreements with our independent third-party retailers to, among other things, further align our interests with theirs. It may be difficult to better align our interests with our independent third-party retailers because of their capital and liquidity constraints. In addition, any changes we may make may not result in the intended benefits on an acceptable timeline or at all and as a result, negatively affect our operating results. Loss of these relationships could have an adverse effect on our subscriber base and certain of our other key operating metrics because we may not be able to develop comparable alternative distribution channels.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Human Capital</w:t>
      </w:r>
    </w:p>
    <w:p>
      <w:pPr>
        <w:spacing w:after="0" w:line="181" w:lineRule="exact"/>
        <w:rPr>
          <w:sz w:val="20"/>
          <w:szCs w:val="20"/>
          <w:color w:val="auto"/>
        </w:rPr>
      </w:pPr>
    </w:p>
    <w:p>
      <w:pPr>
        <w:ind w:left="40" w:right="399"/>
        <w:spacing w:after="0" w:line="283" w:lineRule="auto"/>
        <w:rPr>
          <w:sz w:val="20"/>
          <w:szCs w:val="20"/>
          <w:color w:val="auto"/>
        </w:rPr>
      </w:pPr>
      <w:r>
        <w:rPr>
          <w:rFonts w:ascii="Arial" w:cs="Arial" w:eastAsia="Arial" w:hAnsi="Arial"/>
          <w:sz w:val="16"/>
          <w:szCs w:val="16"/>
          <w:b w:val="1"/>
          <w:bCs w:val="1"/>
          <w:i w:val="1"/>
          <w:iCs w:val="1"/>
          <w:color w:val="auto"/>
        </w:rPr>
        <w:t>We rely on highly skilled personnel for our business, and any inability to hire and retain key personnel or to hire qualified personnel may negatively affect our business, financial condition and results of operations.</w:t>
      </w:r>
    </w:p>
    <w:p>
      <w:pPr>
        <w:spacing w:after="0" w:line="109" w:lineRule="exact"/>
        <w:rPr>
          <w:sz w:val="20"/>
          <w:szCs w:val="20"/>
          <w:color w:val="auto"/>
        </w:rPr>
      </w:pPr>
    </w:p>
    <w:p>
      <w:pPr>
        <w:ind w:left="40" w:right="219"/>
        <w:spacing w:after="0" w:line="244" w:lineRule="auto"/>
        <w:rPr>
          <w:sz w:val="20"/>
          <w:szCs w:val="20"/>
          <w:color w:val="auto"/>
        </w:rPr>
      </w:pPr>
      <w:r>
        <w:rPr>
          <w:rFonts w:ascii="Arial" w:cs="Arial" w:eastAsia="Arial" w:hAnsi="Arial"/>
          <w:sz w:val="16"/>
          <w:szCs w:val="16"/>
          <w:color w:val="auto"/>
        </w:rPr>
        <w:t>We believe that our future success depends to a significant extent upon the performance of Mr. Charles W. Ergen, our Chairman, and certain other key executives. The loss of Mr. Ergen or certain other key executives, the ability to effectively provide for the succession of our senior management or the ability of Mr. Ergen or such other key executives to devote sufficient time and effort to our businesses could have a material adverse effect on our business, financial condition and results of operations. Although some of our key executives may have agreements relating to their equity compensation that limit their ability to work for or consult with competitors, we generally do not have employment agreements with them.</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business growth and customer retention strategies rely in part on the work of technically skilled employees.</w:t>
      </w:r>
    </w:p>
    <w:p>
      <w:pPr>
        <w:spacing w:after="0" w:line="177" w:lineRule="exact"/>
        <w:rPr>
          <w:sz w:val="20"/>
          <w:szCs w:val="20"/>
          <w:color w:val="auto"/>
        </w:rPr>
      </w:pPr>
    </w:p>
    <w:p>
      <w:pPr>
        <w:jc w:val="both"/>
        <w:ind w:left="40" w:right="199"/>
        <w:spacing w:after="0" w:line="243" w:lineRule="auto"/>
        <w:rPr>
          <w:sz w:val="20"/>
          <w:szCs w:val="20"/>
          <w:color w:val="auto"/>
        </w:rPr>
      </w:pPr>
      <w:r>
        <w:rPr>
          <w:rFonts w:ascii="Arial" w:cs="Arial" w:eastAsia="Arial" w:hAnsi="Arial"/>
          <w:sz w:val="16"/>
          <w:szCs w:val="16"/>
          <w:color w:val="auto"/>
        </w:rPr>
        <w:t>Our response to technological developments depends, to a significant degree, on the work of technically skilled employees. In addition, we have made and will continue to make significant investments in, among other things, research, development and marketing for new products, services, satellites and related technologies, as well as entry into new business areas.</w:t>
      </w:r>
    </w:p>
    <w:p>
      <w:pPr>
        <w:spacing w:after="0" w:line="2" w:lineRule="exact"/>
        <w:rPr>
          <w:sz w:val="20"/>
          <w:szCs w:val="20"/>
          <w:color w:val="auto"/>
        </w:rPr>
      </w:pPr>
    </w:p>
    <w:p>
      <w:pPr>
        <w:ind w:left="40" w:right="139"/>
        <w:spacing w:after="0" w:line="239" w:lineRule="auto"/>
        <w:rPr>
          <w:sz w:val="20"/>
          <w:szCs w:val="20"/>
          <w:color w:val="auto"/>
        </w:rPr>
      </w:pPr>
      <w:r>
        <w:rPr>
          <w:rFonts w:ascii="Arial" w:cs="Arial" w:eastAsia="Arial" w:hAnsi="Arial"/>
          <w:sz w:val="16"/>
          <w:szCs w:val="16"/>
          <w:color w:val="auto"/>
        </w:rPr>
        <w:t>Investments in new technologies, satellites and business areas are inherently dependent on these technically skilled employees as well. Competition for the services of such employees has become more intense as demand for these types of employees grows. We compete with other companies for these employees and although we strive to attract, retain, motivate and manage these employees, we may not succeed in these respects. Additionally, if we were to lose certain key technically skilled employees, the loss of knowledge and intellectual capital might have an adverse impact on our business. Furthermore, we believe that our Wireless business, including, but not limited to, our ability to complete our 5G Network Deployment, is dependent on our ability to identify, hire, develop, motivate and retain a team of highly skilled personnel with knowledge of the wireless industry. Our Wireless business will be adversely affected if we fail to effectively hire, develop, motivate and retain highly skilled personnel with knowledge of the wireless industry.</w:t>
      </w:r>
    </w:p>
    <w:p>
      <w:pPr>
        <w:spacing w:after="0" w:line="150"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auto"/>
        </w:rPr>
        <w:t>The success of our business is also dependent on our ability to recruit engineers and other professionals, including those who are citizens of other countries. Immigration laws in the U.S. and other countries in which we operate are subject to legislative and regulatory changes, as well as variations in the standards of application and enforcement due to, among other things, political forces and economic conditions.</w:t>
      </w: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99"/>
        <w:spacing w:after="0" w:line="256" w:lineRule="auto"/>
        <w:rPr>
          <w:sz w:val="20"/>
          <w:szCs w:val="20"/>
          <w:color w:val="auto"/>
        </w:rPr>
      </w:pPr>
      <w:r>
        <w:rPr>
          <w:rFonts w:ascii="Arial" w:cs="Arial" w:eastAsia="Arial" w:hAnsi="Arial"/>
          <w:sz w:val="16"/>
          <w:szCs w:val="16"/>
          <w:color w:val="auto"/>
        </w:rPr>
        <w:t>It is difficult to predict the political and economic events that could affect immigration laws, or the restrictive impact they could have on obtaining or renewing work visas for our professionals. If immigration laws are changed or if new and more restrictive government regulations are enacted or increased, our access to qualified and skilled professionals may be limited.</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Satellites</w:t>
      </w:r>
    </w:p>
    <w:p>
      <w:pPr>
        <w:spacing w:after="0" w:line="181" w:lineRule="exact"/>
        <w:rPr>
          <w:sz w:val="20"/>
          <w:szCs w:val="20"/>
          <w:color w:val="auto"/>
        </w:rPr>
      </w:pPr>
    </w:p>
    <w:p>
      <w:pPr>
        <w:ind w:left="40" w:right="359"/>
        <w:spacing w:after="0" w:line="283" w:lineRule="auto"/>
        <w:rPr>
          <w:sz w:val="20"/>
          <w:szCs w:val="20"/>
          <w:color w:val="auto"/>
        </w:rPr>
      </w:pPr>
      <w:r>
        <w:rPr>
          <w:rFonts w:ascii="Arial" w:cs="Arial" w:eastAsia="Arial" w:hAnsi="Arial"/>
          <w:sz w:val="16"/>
          <w:szCs w:val="16"/>
          <w:b w:val="1"/>
          <w:bCs w:val="1"/>
          <w:i w:val="1"/>
          <w:iCs w:val="1"/>
          <w:color w:val="auto"/>
        </w:rPr>
        <w:t>Our owned and leased satellites in orbit are subject to significant operational and environmental risks that could limit our ability to utilize these satellites.</w:t>
      </w:r>
    </w:p>
    <w:p>
      <w:pPr>
        <w:spacing w:after="0" w:line="109" w:lineRule="exact"/>
        <w:rPr>
          <w:sz w:val="20"/>
          <w:szCs w:val="20"/>
          <w:color w:val="auto"/>
        </w:rPr>
      </w:pPr>
    </w:p>
    <w:p>
      <w:pPr>
        <w:ind w:left="40" w:right="279"/>
        <w:spacing w:after="0" w:line="243" w:lineRule="auto"/>
        <w:rPr>
          <w:sz w:val="20"/>
          <w:szCs w:val="20"/>
          <w:color w:val="auto"/>
        </w:rPr>
      </w:pPr>
      <w:r>
        <w:rPr>
          <w:rFonts w:ascii="Arial" w:cs="Arial" w:eastAsia="Arial" w:hAnsi="Arial"/>
          <w:sz w:val="16"/>
          <w:szCs w:val="16"/>
          <w:color w:val="auto"/>
        </w:rPr>
        <w:t>Satellites are subject to significant operational risks while in orbit. These risks include, but are not limited to, malfunctions, commonly referred to as anomalies, which have occurred and may occur in the future in our satellites and the satellites of other operators. Any single anomaly could materially and adversely affect our ability to utilize the satellite. Anomalies may also reduce, among other things,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We may not be able to prevent or mitigate the impacts of anomalies in the future.</w:t>
      </w:r>
    </w:p>
    <w:p>
      <w:pPr>
        <w:spacing w:after="0" w:line="148" w:lineRule="exact"/>
        <w:rPr>
          <w:sz w:val="20"/>
          <w:szCs w:val="20"/>
          <w:color w:val="auto"/>
        </w:rPr>
      </w:pPr>
    </w:p>
    <w:p>
      <w:pPr>
        <w:ind w:left="40" w:right="199"/>
        <w:spacing w:after="0" w:line="256" w:lineRule="auto"/>
        <w:rPr>
          <w:sz w:val="20"/>
          <w:szCs w:val="20"/>
          <w:color w:val="auto"/>
        </w:rPr>
      </w:pPr>
      <w:r>
        <w:rPr>
          <w:rFonts w:ascii="Arial" w:cs="Arial" w:eastAsia="Arial" w:hAnsi="Arial"/>
          <w:sz w:val="16"/>
          <w:szCs w:val="16"/>
          <w:color w:val="auto"/>
        </w:rPr>
        <w:t>Meteoroid events, decommissioned satellites, increased solar activity and other adverse events also pose a potential threat to all in-orbit satellites. We may be required to perform maneuvers to avoid collisions and these maneuvers may prove unsuccessful or could reduce the useful life of the satellite through the expenditure of fuel to perform these maneuvers.</w:t>
      </w:r>
    </w:p>
    <w:p>
      <w:pPr>
        <w:spacing w:after="0" w:line="137" w:lineRule="exact"/>
        <w:rPr>
          <w:sz w:val="20"/>
          <w:szCs w:val="20"/>
          <w:color w:val="auto"/>
        </w:rPr>
      </w:pPr>
    </w:p>
    <w:p>
      <w:pPr>
        <w:jc w:val="both"/>
        <w:ind w:left="40" w:right="299"/>
        <w:spacing w:after="0" w:line="256" w:lineRule="auto"/>
        <w:rPr>
          <w:sz w:val="20"/>
          <w:szCs w:val="20"/>
          <w:color w:val="auto"/>
        </w:rPr>
      </w:pPr>
      <w:r>
        <w:rPr>
          <w:rFonts w:ascii="Arial" w:cs="Arial" w:eastAsia="Arial" w:hAnsi="Arial"/>
          <w:sz w:val="16"/>
          <w:szCs w:val="16"/>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w:t>
      </w:r>
    </w:p>
    <w:p>
      <w:pPr>
        <w:spacing w:after="0" w:line="137" w:lineRule="exact"/>
        <w:rPr>
          <w:sz w:val="20"/>
          <w:szCs w:val="20"/>
          <w:color w:val="auto"/>
        </w:rPr>
      </w:pPr>
    </w:p>
    <w:p>
      <w:pPr>
        <w:ind w:left="40" w:right="239"/>
        <w:spacing w:after="0" w:line="256" w:lineRule="auto"/>
        <w:rPr>
          <w:sz w:val="20"/>
          <w:szCs w:val="20"/>
          <w:color w:val="auto"/>
        </w:rPr>
      </w:pPr>
      <w:r>
        <w:rPr>
          <w:rFonts w:ascii="Arial" w:cs="Arial" w:eastAsia="Arial" w:hAnsi="Arial"/>
          <w:sz w:val="16"/>
          <w:szCs w:val="16"/>
          <w:color w:val="auto"/>
        </w:rPr>
        <w:t>We generally do not carry in-orbit insurance on our satellites or payloads because we have assessed that the cost of insurance is not economical relative to the risk of failures. If one or more of our in-orbit uninsured satellites or payloads fail, we could be required to record significant impairment charges for the satellite or payload.</w:t>
      </w:r>
    </w:p>
    <w:p>
      <w:pPr>
        <w:spacing w:after="0" w:line="139" w:lineRule="exact"/>
        <w:rPr>
          <w:sz w:val="20"/>
          <w:szCs w:val="20"/>
          <w:color w:val="auto"/>
        </w:rPr>
      </w:pPr>
    </w:p>
    <w:p>
      <w:pPr>
        <w:ind w:left="40" w:right="199"/>
        <w:spacing w:after="0" w:line="260" w:lineRule="auto"/>
        <w:rPr>
          <w:sz w:val="20"/>
          <w:szCs w:val="20"/>
          <w:color w:val="auto"/>
        </w:rPr>
      </w:pPr>
      <w:r>
        <w:rPr>
          <w:rFonts w:ascii="Arial" w:cs="Arial" w:eastAsia="Arial" w:hAnsi="Arial"/>
          <w:sz w:val="16"/>
          <w:szCs w:val="16"/>
          <w:b w:val="1"/>
          <w:bCs w:val="1"/>
          <w:i w:val="1"/>
          <w:iCs w:val="1"/>
          <w:color w:val="auto"/>
        </w:rPr>
        <w:t>Our satellites under construction are subject to risks related to, among other things, construction, technology, regulations and launch that could limit our ability to utilize these satellites, increase costs and adversely affect our business.</w:t>
      </w:r>
    </w:p>
    <w:p>
      <w:pPr>
        <w:spacing w:after="0" w:line="126" w:lineRule="exact"/>
        <w:rPr>
          <w:sz w:val="20"/>
          <w:szCs w:val="20"/>
          <w:color w:val="auto"/>
        </w:rPr>
      </w:pPr>
    </w:p>
    <w:p>
      <w:pPr>
        <w:ind w:left="40" w:right="59"/>
        <w:spacing w:after="0" w:line="238" w:lineRule="auto"/>
        <w:rPr>
          <w:sz w:val="20"/>
          <w:szCs w:val="20"/>
          <w:color w:val="auto"/>
        </w:rPr>
      </w:pPr>
      <w:r>
        <w:rPr>
          <w:rFonts w:ascii="Arial" w:cs="Arial" w:eastAsia="Arial" w:hAnsi="Arial"/>
          <w:sz w:val="16"/>
          <w:szCs w:val="16"/>
          <w:color w:val="auto"/>
        </w:rPr>
        <w:t>Satellite construction and launch are subject to significant risks, including, but not limited to, manufacturing and delivery delays, anomalies, launch failure and incorrect orbital placement. The technologies in our satellite designs are very complex and difficulties in constructing our designs could result in delays in the deployment of our satellites or increased or unanticipated costs. There can be no assurance that the technologies in our existing satellites or in new satellites that we design, acquire and build will work as we expect, will not become obsolete, that we will realize any or all of the anticipated benefits of our satellite designs or our new satellites and/or that we will obtain all regulatory approvals required to operate our new or acquired satellites on an acceptable timeline, or at all. Launch anomalies and failures can result in significant delays in the deployment of satellites because of the need both to construct replacement satellites, which can take significant amounts of time and to obtain other launch opportunities. Such significant delays have and could in the future materially affect, among other things, our business, our ability to meet regulatory or contractual required milestones, the availability and our use of other or replacement satellite resources and our ability to provide services to customers.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In addition, we generally do not carry in-orbit insurance on our satellites or payloads because we have assessed that the cost of insurance is not economical relative to the risk of failures.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99"/>
        <w:spacing w:after="0" w:line="275" w:lineRule="auto"/>
        <w:rPr>
          <w:sz w:val="20"/>
          <w:szCs w:val="20"/>
          <w:color w:val="auto"/>
        </w:rPr>
      </w:pPr>
      <w:r>
        <w:rPr>
          <w:rFonts w:ascii="Arial" w:cs="Arial" w:eastAsia="Arial" w:hAnsi="Arial"/>
          <w:sz w:val="16"/>
          <w:szCs w:val="16"/>
          <w:color w:val="auto"/>
        </w:rPr>
        <w:t>If we do obtain launch or in-orbit insurance, it may not cover the full cost of constructing and launching or replacing a satellite nor fully cover our losses in the event of a launch failure or significant degradation.</w:t>
      </w:r>
    </w:p>
    <w:p>
      <w:pPr>
        <w:spacing w:after="0" w:line="125" w:lineRule="exact"/>
        <w:rPr>
          <w:sz w:val="20"/>
          <w:szCs w:val="20"/>
          <w:color w:val="auto"/>
        </w:rPr>
      </w:pPr>
    </w:p>
    <w:p>
      <w:pPr>
        <w:ind w:left="40" w:right="559"/>
        <w:spacing w:after="0" w:line="283" w:lineRule="auto"/>
        <w:rPr>
          <w:sz w:val="20"/>
          <w:szCs w:val="20"/>
          <w:color w:val="auto"/>
        </w:rPr>
      </w:pPr>
      <w:r>
        <w:rPr>
          <w:rFonts w:ascii="Arial" w:cs="Arial" w:eastAsia="Arial" w:hAnsi="Arial"/>
          <w:sz w:val="16"/>
          <w:szCs w:val="16"/>
          <w:b w:val="1"/>
          <w:bCs w:val="1"/>
          <w:i w:val="1"/>
          <w:iCs w:val="1"/>
          <w:color w:val="auto"/>
        </w:rPr>
        <w:t>Our use of certain satellites is often dependent on satellite coordination agreements, which may be difficult to obtain.</w:t>
      </w:r>
    </w:p>
    <w:p>
      <w:pPr>
        <w:spacing w:after="0" w:line="109" w:lineRule="exact"/>
        <w:rPr>
          <w:sz w:val="20"/>
          <w:szCs w:val="20"/>
          <w:color w:val="auto"/>
        </w:rPr>
      </w:pPr>
    </w:p>
    <w:p>
      <w:pPr>
        <w:ind w:left="40" w:right="199"/>
        <w:spacing w:after="0" w:line="249" w:lineRule="auto"/>
        <w:rPr>
          <w:sz w:val="20"/>
          <w:szCs w:val="20"/>
          <w:color w:val="auto"/>
        </w:rPr>
      </w:pPr>
      <w:r>
        <w:rPr>
          <w:rFonts w:ascii="Arial" w:cs="Arial" w:eastAsia="Arial" w:hAnsi="Arial"/>
          <w:sz w:val="16"/>
          <w:szCs w:val="16"/>
          <w:color w:val="auto"/>
        </w:rPr>
        <w:t>Satellite operators are required to enter into international spectrum coordination agreements with other affected satellite operators and must be approved by the relevant governments. If a required agreement cannot be negotiated, we may have to operate the applicable satellite(s) in a manner that does not cause harmful radio frequency interference with the affected satellite. If we cannot do so, we may have to cease operating such satellite(s) at the affected orbital locations.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face interference from other services sharing satellite spectrum</w:t>
      </w:r>
      <w:r>
        <w:rPr>
          <w:rFonts w:ascii="Arial" w:cs="Arial" w:eastAsia="Arial" w:hAnsi="Arial"/>
          <w:sz w:val="16"/>
          <w:szCs w:val="16"/>
          <w:i w:val="1"/>
          <w:iCs w:val="1"/>
          <w:color w:val="auto"/>
        </w:rPr>
        <w:t>.</w:t>
      </w:r>
    </w:p>
    <w:p>
      <w:pPr>
        <w:spacing w:after="0" w:line="177"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color w:val="auto"/>
        </w:rPr>
        <w:t>The FCC and other national, state, local and international regulators have adopted rules or may adopt rules in the future that require us to share spectrum on a basis with other radio services. There can be no assurance that these operations would not interfere with our operations and adversely affect our business. In the event that the FCC and/or another regulator determines that our spectrum interferes with another service, we may be required to, among other things, find or develop a solution. We cannot make any assurance that we will be able to do so on an acceptable timeline or at all, or that such solution will not adversely affect our business.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Products and Technology</w:t>
      </w:r>
    </w:p>
    <w:p>
      <w:pPr>
        <w:spacing w:after="0" w:line="181" w:lineRule="exact"/>
        <w:rPr>
          <w:sz w:val="20"/>
          <w:szCs w:val="20"/>
          <w:color w:val="auto"/>
        </w:rPr>
      </w:pPr>
    </w:p>
    <w:p>
      <w:pPr>
        <w:ind w:left="40" w:right="119"/>
        <w:spacing w:after="0" w:line="283" w:lineRule="auto"/>
        <w:rPr>
          <w:sz w:val="20"/>
          <w:szCs w:val="20"/>
          <w:color w:val="auto"/>
        </w:rPr>
      </w:pPr>
      <w:r>
        <w:rPr>
          <w:rFonts w:ascii="Arial" w:cs="Arial" w:eastAsia="Arial" w:hAnsi="Arial"/>
          <w:sz w:val="16"/>
          <w:szCs w:val="16"/>
          <w:b w:val="1"/>
          <w:bCs w:val="1"/>
          <w:i w:val="1"/>
          <w:iCs w:val="1"/>
          <w:color w:val="auto"/>
        </w:rPr>
        <w:t>Our business depends on certain intellectual property rights and on not infringing the intellectual property rights of others.</w:t>
      </w:r>
    </w:p>
    <w:p>
      <w:pPr>
        <w:spacing w:after="0" w:line="109"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of intellectual property infringement by third parties could require that we enter into royalty or licensing agreements on unfavorable terms, incur substantial monetary liability or be enjoined preliminarily or permanently from further use of the intellectual property in question or from the continuation of our business as currently conducted, which could require us to change our business practices or limit our ability to compete effectively or could have an adverse effect on our results of operations.</w:t>
      </w:r>
    </w:p>
    <w:p>
      <w:pPr>
        <w:spacing w:after="0" w:line="148"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Even if we believe any such challenges or claims are without merit, they can be time consuming and costly to defend and divert management’s attention and resources away from our business. Moreover, because of the rapid pace of technological change, we rely on technologies developed by or licensed from third parties, and if we are unable to obtain or continue to obtain licenses from these third parties on reasonable terms or at all, our business, financial condition and results of operations could be adversely affected.</w:t>
      </w:r>
    </w:p>
    <w:p>
      <w:pPr>
        <w:spacing w:after="0" w:line="146" w:lineRule="exact"/>
        <w:rPr>
          <w:sz w:val="20"/>
          <w:szCs w:val="20"/>
          <w:color w:val="auto"/>
        </w:rPr>
      </w:pPr>
    </w:p>
    <w:p>
      <w:pPr>
        <w:ind w:left="40" w:right="119"/>
        <w:spacing w:after="0" w:line="243" w:lineRule="auto"/>
        <w:rPr>
          <w:sz w:val="20"/>
          <w:szCs w:val="20"/>
          <w:color w:val="auto"/>
        </w:rPr>
      </w:pPr>
      <w:r>
        <w:rPr>
          <w:rFonts w:ascii="Arial" w:cs="Arial" w:eastAsia="Arial" w:hAnsi="Arial"/>
          <w:sz w:val="16"/>
          <w:szCs w:val="16"/>
          <w:color w:val="auto"/>
        </w:rPr>
        <w:t>In addition, we work with certain third parties such as vendors, contractors and suppliers for the development and manufacture of components that are integrated into our products and services, and our products and services may contain technologies provided to us by these third parties or other third parties. We may have little or no ability to determine in advance whether any such technology infringes the intellectual property rights of others. Our vendors, contractors and suppliers may not be required to indemnify us if a claim of infringement is asserted against us, license the potential infringing technology from other third parties or they may be required to indemnify us only up to a maximum amount, above which we would be responsible for any further costs or damages.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99"/>
        <w:spacing w:after="0" w:line="243" w:lineRule="auto"/>
        <w:rPr>
          <w:sz w:val="20"/>
          <w:szCs w:val="20"/>
          <w:color w:val="auto"/>
        </w:rPr>
      </w:pPr>
      <w:r>
        <w:rPr>
          <w:rFonts w:ascii="Arial" w:cs="Arial" w:eastAsia="Arial" w:hAnsi="Arial"/>
          <w:sz w:val="16"/>
          <w:szCs w:val="16"/>
          <w:color w:val="auto"/>
        </w:rPr>
        <w:t>Legal challenges to these intellectual property rights may impair our ability to use the products, services and technologies that we need in order to operate our business and may materially and adversely affect our business, financial condition and results of operations. Furthermore, our digital content offerings depend in part on effective digital rights management technology to control access to digital content. If the digital rights management technology that we use is compromised or otherwise malfunctions, content providers may be unwilling to provide access to their content. Changes in the copyright laws or how such laws may be interpreted could impact our ability to deliver content and provide certain features and functionality, particularly over the Internet.</w:t>
      </w:r>
    </w:p>
    <w:p>
      <w:pPr>
        <w:spacing w:after="0" w:line="150" w:lineRule="exact"/>
        <w:rPr>
          <w:sz w:val="20"/>
          <w:szCs w:val="20"/>
          <w:color w:val="auto"/>
        </w:rPr>
      </w:pPr>
    </w:p>
    <w:p>
      <w:pPr>
        <w:ind w:left="40" w:right="359"/>
        <w:spacing w:after="0" w:line="283" w:lineRule="auto"/>
        <w:rPr>
          <w:sz w:val="20"/>
          <w:szCs w:val="20"/>
          <w:color w:val="auto"/>
        </w:rPr>
      </w:pPr>
      <w:r>
        <w:rPr>
          <w:rFonts w:ascii="Arial" w:cs="Arial" w:eastAsia="Arial" w:hAnsi="Arial"/>
          <w:sz w:val="16"/>
          <w:szCs w:val="16"/>
          <w:b w:val="1"/>
          <w:bCs w:val="1"/>
          <w:i w:val="1"/>
          <w:iCs w:val="1"/>
          <w:color w:val="auto"/>
        </w:rPr>
        <w:t>We are, and may become, party to various lawsuits which, if adversely decided, could have a significant adverse impact on our business, particularly lawsuits regarding intellectual property.</w:t>
      </w:r>
    </w:p>
    <w:p>
      <w:pPr>
        <w:spacing w:after="0" w:line="109" w:lineRule="exact"/>
        <w:rPr>
          <w:sz w:val="20"/>
          <w:szCs w:val="20"/>
          <w:color w:val="auto"/>
        </w:rPr>
      </w:pPr>
    </w:p>
    <w:p>
      <w:pPr>
        <w:ind w:left="40" w:right="79"/>
        <w:spacing w:after="0" w:line="239" w:lineRule="auto"/>
        <w:rPr>
          <w:sz w:val="20"/>
          <w:szCs w:val="20"/>
          <w:color w:val="auto"/>
        </w:rPr>
      </w:pPr>
      <w:r>
        <w:rPr>
          <w:rFonts w:ascii="Arial" w:cs="Arial" w:eastAsia="Arial" w:hAnsi="Arial"/>
          <w:sz w:val="16"/>
          <w:szCs w:val="16"/>
          <w:color w:val="auto"/>
        </w:rPr>
        <w:t>We are, and may become, subject to various legal proceedings and claims which arise in the ordinary course of business, including, among other things, intellectual property disputes. Many entities, including some of our competitors, have or may in the future obtain patents and other intellectual property rights that may cover or affect products or services related to those that we offer. In general, if a court determines that one or more of our products or services infringes on intellectual property held by others, we may be required to cease developing or marketing those products or services, to obtain licenses from the holders of the intellectual property at a material cost or to redesign those products or services in such a way as to avoid infringing the intellectual property. If those intellectual property rights are held by a competitor, we may be unable to obtain the intellectual property at any price, which could adversely affect our competitive position. See “</w:t>
      </w:r>
      <w:r>
        <w:rPr>
          <w:rFonts w:ascii="Arial" w:cs="Arial" w:eastAsia="Arial" w:hAnsi="Arial"/>
          <w:sz w:val="16"/>
          <w:szCs w:val="16"/>
          <w:i w:val="1"/>
          <w:iCs w:val="1"/>
          <w:color w:val="auto"/>
        </w:rPr>
        <w:t>Item 1. Business – Patents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Intellectual Property” </w:t>
      </w:r>
      <w:r>
        <w:rPr>
          <w:rFonts w:ascii="Arial" w:cs="Arial" w:eastAsia="Arial" w:hAnsi="Arial"/>
          <w:sz w:val="16"/>
          <w:szCs w:val="16"/>
          <w:color w:val="auto"/>
        </w:rPr>
        <w:t>in this Annual Report on Form 10-K for further information. We may not be aware of all</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rights that our services or the products used in connection with our services may potentially infringe. In addition, patent applications in the United States are confidential until the Patent and Trademark Office either publishes the application or issues a patent (whichever arises first). Therefore, it is difficult to evaluate the extent to which our services or the products used in connection with our services may infringe claims contained in pending patent applications. Furthermore, it is sometimes not possible to determine definitively whether a claim of infringement is valid.</w:t>
      </w:r>
    </w:p>
    <w:p>
      <w:pPr>
        <w:spacing w:after="0" w:line="160" w:lineRule="exact"/>
        <w:rPr>
          <w:sz w:val="20"/>
          <w:szCs w:val="20"/>
          <w:color w:val="auto"/>
        </w:rPr>
      </w:pPr>
    </w:p>
    <w:p>
      <w:pPr>
        <w:ind w:left="40" w:right="379"/>
        <w:spacing w:after="0" w:line="283" w:lineRule="auto"/>
        <w:rPr>
          <w:sz w:val="20"/>
          <w:szCs w:val="20"/>
          <w:color w:val="auto"/>
        </w:rPr>
      </w:pPr>
      <w:r>
        <w:rPr>
          <w:rFonts w:ascii="Arial" w:cs="Arial" w:eastAsia="Arial" w:hAnsi="Arial"/>
          <w:sz w:val="16"/>
          <w:szCs w:val="16"/>
          <w:b w:val="1"/>
          <w:bCs w:val="1"/>
          <w:i w:val="1"/>
          <w:i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09"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Our products and networks we deploy are highly complex, and some may contain defects when first introduced or when new versions or enhancements are released, despite testing and our quality control procedures. Defects may also occur in components and products that we purchase from third parties. In addition, many of our products and network services are designed to interface with our customers’ existing networks, each of which has different specifications and utilizes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in a timely manner or at all. The occurrence of, and failure to remedy, any defects, errors or failures in our products or network services could materially affect our business. In addition, 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As a result, any defect or other problem may adversely affect our business, financial condition and results of operations.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Cybersecurity</w:t>
      </w:r>
    </w:p>
    <w:p>
      <w:pPr>
        <w:spacing w:after="0" w:line="181" w:lineRule="exact"/>
        <w:rPr>
          <w:sz w:val="20"/>
          <w:szCs w:val="20"/>
          <w:color w:val="auto"/>
        </w:rPr>
      </w:pPr>
    </w:p>
    <w:p>
      <w:pPr>
        <w:jc w:val="both"/>
        <w:ind w:left="40" w:right="339"/>
        <w:spacing w:after="0" w:line="260" w:lineRule="auto"/>
        <w:rPr>
          <w:sz w:val="20"/>
          <w:szCs w:val="20"/>
          <w:color w:val="auto"/>
        </w:rPr>
      </w:pPr>
      <w:r>
        <w:rPr>
          <w:rFonts w:ascii="Arial" w:cs="Arial" w:eastAsia="Arial" w:hAnsi="Arial"/>
          <w:sz w:val="16"/>
          <w:szCs w:val="16"/>
          <w:b w:val="1"/>
          <w:bCs w:val="1"/>
          <w:i w:val="1"/>
          <w:iCs w:val="1"/>
          <w:color w:val="auto"/>
        </w:rPr>
        <w:t>Any failure or inadequacy of our information technology infrastructure and communications systems or those of third parties that we use in our operations, including, without limitation, those caused by cyber-attacks or other malicious activities, could disrupt or harm our business.</w:t>
      </w:r>
    </w:p>
    <w:p>
      <w:pPr>
        <w:spacing w:after="0" w:line="126" w:lineRule="exact"/>
        <w:rPr>
          <w:sz w:val="20"/>
          <w:szCs w:val="20"/>
          <w:color w:val="auto"/>
        </w:rPr>
      </w:pPr>
    </w:p>
    <w:p>
      <w:pPr>
        <w:ind w:left="40" w:right="99"/>
        <w:spacing w:after="0" w:line="242" w:lineRule="auto"/>
        <w:rPr>
          <w:sz w:val="20"/>
          <w:szCs w:val="20"/>
          <w:color w:val="auto"/>
        </w:rPr>
      </w:pPr>
      <w:r>
        <w:rPr>
          <w:rFonts w:ascii="Arial" w:cs="Arial" w:eastAsia="Arial" w:hAnsi="Arial"/>
          <w:sz w:val="16"/>
          <w:szCs w:val="16"/>
          <w:color w:val="auto"/>
        </w:rPr>
        <w:t>The capacity, reliability and security of our information technology hardware and software infrastructure (including, but not limited to, our billing systems) and communications systems, or those of third parties that we use in our operations, are important to the operation of our business, which has in the past and would in the future suffer in the event of system failures or cyber-attacks. Likewise, our ability to expand and update our information technology infrastructure in response to, among other things, our growth and changing needs is important to the continued implementation of our new service offering initiatives. Our inability to expand or upgrade our technology infrastructure could have adverse consequences, which could include, among other things, the delayed implementation of new service offerings, service or billing interruptions and the diversion of management and developmental resources.</w:t>
      </w:r>
    </w:p>
    <w:p>
      <w:pPr>
        <w:spacing w:after="0" w:line="150" w:lineRule="exact"/>
        <w:rPr>
          <w:sz w:val="20"/>
          <w:szCs w:val="20"/>
          <w:color w:val="auto"/>
        </w:rPr>
      </w:pPr>
    </w:p>
    <w:p>
      <w:pPr>
        <w:ind w:left="40" w:right="99"/>
        <w:spacing w:after="0" w:line="243" w:lineRule="auto"/>
        <w:rPr>
          <w:sz w:val="20"/>
          <w:szCs w:val="20"/>
          <w:color w:val="auto"/>
        </w:rPr>
      </w:pPr>
      <w:r>
        <w:rPr>
          <w:rFonts w:ascii="Arial" w:cs="Arial" w:eastAsia="Arial" w:hAnsi="Arial"/>
          <w:sz w:val="16"/>
          <w:szCs w:val="16"/>
          <w:color w:val="auto"/>
        </w:rPr>
        <w:t>We rely on certain third parties for developing key components of our information technology and communications systems and ongoing service, all of which affect our Pay-TV, Wireless and Broadband and Satellite Services businesses. Some of our key systems and operations, including, but not limited to, those supplied by certain third-party providers, are not fully redundant and our disaster recovery planning cannot account for all eventualities. Interruption and/or failure of any of these systems could, among other things, disrupt our operations, interrupt our services, result in significant financial expenditures and damage our reputation, thus adversely impacting our ability to provide our services, retain our current subscribers and attract new Pay-TV, Wireless, and Broadband subscribers and complete our 5G Network Deployment.</w:t>
      </w:r>
    </w:p>
    <w:p>
      <w:pPr>
        <w:spacing w:after="0" w:line="148"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auto"/>
        </w:rPr>
        <w:t>In addition,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These protective measures may not be sufficient for all eventualities and may themselves be vulnerable to hacking, malfeasance, system error or other irregularities.</w:t>
      </w:r>
    </w:p>
    <w:p>
      <w:pPr>
        <w:spacing w:after="0" w:line="150" w:lineRule="exact"/>
        <w:rPr>
          <w:sz w:val="20"/>
          <w:szCs w:val="20"/>
          <w:color w:val="auto"/>
        </w:rPr>
      </w:pPr>
    </w:p>
    <w:p>
      <w:pPr>
        <w:ind w:left="40" w:right="59"/>
        <w:spacing w:after="0"/>
        <w:rPr>
          <w:sz w:val="20"/>
          <w:szCs w:val="20"/>
          <w:color w:val="auto"/>
        </w:rPr>
      </w:pPr>
      <w:r>
        <w:rPr>
          <w:rFonts w:ascii="Arial" w:cs="Arial" w:eastAsia="Arial" w:hAnsi="Arial"/>
          <w:sz w:val="16"/>
          <w:szCs w:val="16"/>
          <w:color w:val="auto"/>
        </w:rPr>
        <w:t>For example, certain parties may attempt to fraudulently induce employees or subscribers into disclosing usernames, passwords or other sensitive information, which may in turn be used to access our information technology systems. In addition, third-party providers of some of our key systems may also experience interruptions to their information technology hardware and software infrastructure and communications systems that could adversely impact us and over which we may have limited or no control. We may obtain certain confidential, proprietary and personal information about our subscribers, personnel and vendors, and may provide this information to third parties in connection with our business. If one or more of such interruptions or failures occur to us or our third-party providers, it potentially could jeopardize such information and other information processed and stored in, and transmitted through, our or our third-party providers’ information technology hardware and software infrastructure and communications systems, or otherwise cause interruptions or malfunctions in our operations, which could result in, among other things, lawsuits, government claims, investigations or proceedings, significant losses or reputational damage. Due to the fast-moving pace of technology, it may be difficult to detect, contain and remediate every such event on an acceptable timeline or at all.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119"/>
        <w:spacing w:after="0" w:line="242" w:lineRule="auto"/>
        <w:rPr>
          <w:sz w:val="20"/>
          <w:szCs w:val="20"/>
          <w:color w:val="auto"/>
        </w:rPr>
      </w:pPr>
      <w:r>
        <w:rPr>
          <w:rFonts w:ascii="Arial" w:cs="Arial" w:eastAsia="Arial" w:hAnsi="Arial"/>
          <w:sz w:val="16"/>
          <w:szCs w:val="16"/>
          <w:color w:val="auto"/>
        </w:rPr>
        <w:t>Our 5G Network Deployment utilizes an O-RAN architecture, which is designed to, among other things, incorporate components sourced from various third-party suppliers. Generally, these third-party suppliers do not ensure that their products will integrate with components provided by other third-party suppliers. As a result, we generally serve as the overall system integrator. We may be required to expend significant additional resources to modify our protective measures or to investigate and remediate vulnerabilities or other exposures, and we may be subject to financial losses. In addition, this may divert management’s attention and resources away from our business, and therefore adversely affect our business. Furthermore, the amount and scope of insurance we maintain may not cover all expenses related to such activities or all types of claims that may arise.</w:t>
      </w:r>
    </w:p>
    <w:p>
      <w:pPr>
        <w:spacing w:after="0" w:line="150" w:lineRule="exact"/>
        <w:rPr>
          <w:sz w:val="20"/>
          <w:szCs w:val="20"/>
          <w:color w:val="auto"/>
        </w:rPr>
      </w:pPr>
    </w:p>
    <w:p>
      <w:pPr>
        <w:ind w:left="40" w:right="179"/>
        <w:spacing w:after="0" w:line="243" w:lineRule="auto"/>
        <w:rPr>
          <w:sz w:val="20"/>
          <w:szCs w:val="20"/>
          <w:color w:val="auto"/>
        </w:rPr>
      </w:pPr>
      <w:r>
        <w:rPr>
          <w:rFonts w:ascii="Arial" w:cs="Arial" w:eastAsia="Arial" w:hAnsi="Arial"/>
          <w:sz w:val="16"/>
          <w:szCs w:val="16"/>
          <w:color w:val="auto"/>
        </w:rPr>
        <w:t>As a result of the increasing awareness concerning the importance of safeguarding personal information, the potential misuse of such information and legislation that has been adopted or is being considered regarding the protection, privacy and security of personal information, the potential liability associated with information-related risks is increasing, particularly for businesses like ours that handle personal subscriber data. The occurrence of any network or information system related events or security breaches could have a material adverse effect on, among other things, our reputation, business, financial condition and results of operations. Significant incidents could result in a disruption of our operations, subscriber dissatisfaction, damage to our reputation or a loss of subscribers and revenues.</w:t>
      </w:r>
    </w:p>
    <w:p>
      <w:pPr>
        <w:spacing w:after="0" w:line="150" w:lineRule="exact"/>
        <w:rPr>
          <w:sz w:val="20"/>
          <w:szCs w:val="20"/>
          <w:color w:val="auto"/>
        </w:rPr>
      </w:pPr>
    </w:p>
    <w:p>
      <w:pPr>
        <w:ind w:left="40" w:right="559"/>
        <w:spacing w:after="0" w:line="283" w:lineRule="auto"/>
        <w:rPr>
          <w:sz w:val="20"/>
          <w:szCs w:val="20"/>
          <w:color w:val="auto"/>
        </w:rPr>
      </w:pPr>
      <w:r>
        <w:rPr>
          <w:rFonts w:ascii="Arial" w:cs="Arial" w:eastAsia="Arial" w:hAnsi="Arial"/>
          <w:sz w:val="16"/>
          <w:szCs w:val="16"/>
          <w:b w:val="1"/>
          <w:bCs w:val="1"/>
          <w:i w:val="1"/>
          <w:iCs w:val="1"/>
          <w:color w:val="auto"/>
        </w:rPr>
        <w:t>We have experienced and may experience in the future cyber-attacks and other attempts to gain unauthorized access to our systems on a consistent basis.</w:t>
      </w:r>
    </w:p>
    <w:p>
      <w:pPr>
        <w:spacing w:after="0" w:line="109"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color w:val="auto"/>
        </w:rPr>
        <w:t>We have experienced and may experience in the future security issues, whether due to, among other things, insider error or malfeasance or system errors or vulnerabilities in our or our third parties’ systems, which could result in, among other things, substantial legal and financial exposure, government inquiries and enforcement actions, litigation, diversion of management time and attention from our existing businesses and unfavorable media coverage. We may be unable to anticipate or detect attacks or vulnerabilities or implement adequate preventative measures on an acceptable timeframe or at all. Attacks and security issues could also compromise trade secrets and other sensitive information.</w:t>
      </w:r>
    </w:p>
    <w:p>
      <w:pPr>
        <w:spacing w:after="0" w:line="148"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We are subject to persistent cybersecurity threats to our networks and systems. Although we take protective measures designed to secure our information technology systems and endeavor to modify such protective measures as circumstances warrant, our information technology hardware and software infrastructure and communications systems, or those of third parties that we use in our operations, may be vulnerable to a variety of interruptions, including, without limitation, natural disasters, terrorist attacks, telecommunications failures, cyber-attacks and other malicious activities such as unauthorized access, physical or electronic break-ins, misuse, computer viruses or other malicious code, computer denial of service attacks and other events that could disrupt or harm our business. The protective measures we take may not be sufficient for all eventualities and may themselves be vulnerable to hacking, malfeasance, system error or other irregularities. For example, certain parties may attempt to fraudulently induce employees or subscribers into disclosing usernames, passwords or other sensitive information, which may in turn be used to access our information technology systems.</w:t>
      </w:r>
    </w:p>
    <w:p>
      <w:pPr>
        <w:spacing w:after="0" w:line="149" w:lineRule="exact"/>
        <w:rPr>
          <w:sz w:val="20"/>
          <w:szCs w:val="20"/>
          <w:color w:val="auto"/>
        </w:rPr>
      </w:pPr>
    </w:p>
    <w:p>
      <w:pPr>
        <w:ind w:left="40" w:right="239"/>
        <w:spacing w:after="0" w:line="241" w:lineRule="auto"/>
        <w:rPr>
          <w:sz w:val="20"/>
          <w:szCs w:val="20"/>
          <w:color w:val="auto"/>
        </w:rPr>
      </w:pPr>
      <w:r>
        <w:rPr>
          <w:rFonts w:ascii="Arial" w:cs="Arial" w:eastAsia="Arial" w:hAnsi="Arial"/>
          <w:sz w:val="16"/>
          <w:szCs w:val="16"/>
          <w:color w:val="auto"/>
        </w:rPr>
        <w:t>In addition, cybersecurity threat actors are increasingly sophisticated through various techniques that involve social engineering and/or misrepresentation. Techniques used in cyber-attacks to obtain unauthorized access to, disable or sabotage information technology systems are increasingly diverse and sophisticated, including as a result of emerging technologies, such as artificial intelligence and machine learning. Data breaches and other cybersecurity events have become increasingly commonplace, including as a result of the intensification of state-sponsored cyber-attacks during periods of geopolitical conflict. Various events described above have occurred in the past and may occur in the future. Although impacts of past events have been immaterial, the impacts of such events in the future may be material, including, but not limited to, increase in our DISH TV and Wireless churn rates, reduced new subscriber activations and reputational harm which could increase or accelerate any of the above risks.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right="299"/>
        <w:spacing w:after="0" w:line="283" w:lineRule="auto"/>
        <w:rPr>
          <w:sz w:val="20"/>
          <w:szCs w:val="20"/>
          <w:color w:val="auto"/>
        </w:rPr>
      </w:pPr>
      <w:r>
        <w:rPr>
          <w:rFonts w:ascii="Arial" w:cs="Arial" w:eastAsia="Arial" w:hAnsi="Arial"/>
          <w:sz w:val="16"/>
          <w:szCs w:val="16"/>
          <w:b w:val="1"/>
          <w:bCs w:val="1"/>
          <w:i w:val="1"/>
          <w:iCs w:val="1"/>
          <w:color w:val="auto"/>
        </w:rPr>
        <w:t>The confidentiality, integrity and availability of our services and products depends on the continuing operation of our information technology and other enabling systems.</w:t>
      </w:r>
    </w:p>
    <w:p>
      <w:pPr>
        <w:spacing w:after="0" w:line="109" w:lineRule="exact"/>
        <w:rPr>
          <w:sz w:val="20"/>
          <w:szCs w:val="20"/>
          <w:color w:val="auto"/>
        </w:rPr>
      </w:pPr>
    </w:p>
    <w:p>
      <w:pPr>
        <w:ind w:left="40" w:right="99"/>
        <w:spacing w:after="0" w:line="243" w:lineRule="auto"/>
        <w:rPr>
          <w:sz w:val="20"/>
          <w:szCs w:val="20"/>
          <w:color w:val="auto"/>
        </w:rPr>
      </w:pPr>
      <w:r>
        <w:rPr>
          <w:rFonts w:ascii="Arial" w:cs="Arial" w:eastAsia="Arial" w:hAnsi="Arial"/>
          <w:sz w:val="16"/>
          <w:szCs w:val="16"/>
          <w:color w:val="auto"/>
        </w:rPr>
        <w:t>Our systems are vulnerable to damage, intrusion or disruption from, among other things, criminal and/or terrorist attacks, telecommunications failures, computer viruses, ransomware attacks, digital denial of service attacks, phishing and/or other attempts to injure or maliciously access our systems. Some of our systems are not fully redundant and disaster recovery planning cannot account for all possibilities. In addition, our products and services are highly technical and complex and may contain errors or vulnerabilities, which could result in interruptions in or failure of our services or systems. Failure to respond, mitigate and/or remedy any cyber-attack or other information technology failure on a timely basis or at all, could materially affect our business.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international businesses expose us to additional risks that could harm our business.</w:t>
      </w:r>
    </w:p>
    <w:p>
      <w:pPr>
        <w:spacing w:after="0" w:line="177" w:lineRule="exact"/>
        <w:rPr>
          <w:sz w:val="20"/>
          <w:szCs w:val="20"/>
          <w:color w:val="auto"/>
        </w:rPr>
      </w:pPr>
    </w:p>
    <w:p>
      <w:pPr>
        <w:ind w:left="40" w:right="159"/>
        <w:spacing w:after="0" w:line="244" w:lineRule="auto"/>
        <w:rPr>
          <w:sz w:val="20"/>
          <w:szCs w:val="20"/>
          <w:color w:val="auto"/>
        </w:rPr>
      </w:pPr>
      <w:r>
        <w:rPr>
          <w:rFonts w:ascii="Arial" w:cs="Arial" w:eastAsia="Arial" w:hAnsi="Arial"/>
          <w:sz w:val="16"/>
          <w:szCs w:val="16"/>
          <w:color w:val="auto"/>
        </w:rPr>
        <w:t>Our Broadband and Satellite Services businesses have international operations. In addition to risks described elsewhere herein, the different regions and countries in which we operate our businesses outside of the U.S. expose us to increased risks due to different privacy and cyber-related laws in each of these locations. The same cyber-related issue could have different consequences depending on, among other factors, the region or country of occurrence, the laws applicable in each case and the different levels of enforcement by regulatory and governmental authorities in each jurisdiction. These risks include, but are not limited to, the following:</w:t>
      </w:r>
    </w:p>
    <w:p>
      <w:pPr>
        <w:spacing w:after="0" w:line="148" w:lineRule="exact"/>
        <w:rPr>
          <w:sz w:val="20"/>
          <w:szCs w:val="20"/>
          <w:color w:val="auto"/>
        </w:rPr>
      </w:pPr>
    </w:p>
    <w:p>
      <w:pPr>
        <w:ind w:left="640" w:right="179" w:hanging="284"/>
        <w:spacing w:after="0" w:line="243" w:lineRule="auto"/>
        <w:tabs>
          <w:tab w:leader="none" w:pos="6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data privacy and security concerns relating to our technology and practices could, among other things, damage our reputation, cause us to incur significant liability and deter current and potential users or customers from using our products and services;</w:t>
      </w:r>
    </w:p>
    <w:p>
      <w:pPr>
        <w:ind w:left="640" w:right="179" w:hanging="284"/>
        <w:spacing w:after="0" w:line="236" w:lineRule="auto"/>
        <w:tabs>
          <w:tab w:leader="none" w:pos="6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software bugs or defects, security breaches and attacks on our systems could result in the improper disclosure of our user data which could harm, among other things, our business reputation and result in legal and/or government action;</w:t>
      </w:r>
    </w:p>
    <w:p>
      <w:pPr>
        <w:spacing w:after="0" w:line="1" w:lineRule="exact"/>
        <w:rPr>
          <w:rFonts w:ascii="Times New Roman" w:cs="Times New Roman" w:eastAsia="Times New Roman" w:hAnsi="Times New Roman"/>
          <w:sz w:val="16"/>
          <w:szCs w:val="16"/>
          <w:color w:val="auto"/>
        </w:rPr>
      </w:pPr>
    </w:p>
    <w:p>
      <w:pPr>
        <w:ind w:left="640" w:right="219" w:hanging="284"/>
        <w:spacing w:after="0" w:line="236" w:lineRule="auto"/>
        <w:tabs>
          <w:tab w:leader="none" w:pos="6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concerns about our practices about the collection, use, disclosure or security of personal information or other data-privacy-related matters, even if unsubstantiated, could harm our reputation and financial condition;</w:t>
      </w:r>
    </w:p>
    <w:p>
      <w:pPr>
        <w:ind w:left="640" w:hanging="284"/>
        <w:spacing w:after="0"/>
        <w:tabs>
          <w:tab w:leader="none" w:pos="6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our policies and practices may change over time as expectations regarding privacy and data change.</w:t>
      </w:r>
    </w:p>
    <w:p>
      <w:pPr>
        <w:spacing w:after="0" w:line="176" w:lineRule="exact"/>
        <w:rPr>
          <w:sz w:val="20"/>
          <w:szCs w:val="20"/>
          <w:color w:val="auto"/>
        </w:rPr>
      </w:pPr>
    </w:p>
    <w:p>
      <w:pPr>
        <w:ind w:left="40" w:right="559"/>
        <w:spacing w:after="0" w:line="283" w:lineRule="auto"/>
        <w:rPr>
          <w:sz w:val="20"/>
          <w:szCs w:val="20"/>
          <w:color w:val="auto"/>
        </w:rPr>
      </w:pPr>
      <w:r>
        <w:rPr>
          <w:rFonts w:ascii="Arial" w:cs="Arial" w:eastAsia="Arial" w:hAnsi="Arial"/>
          <w:sz w:val="16"/>
          <w:szCs w:val="16"/>
          <w:b w:val="1"/>
          <w:bCs w:val="1"/>
          <w:i w:val="1"/>
          <w:iCs w:val="1"/>
          <w:color w:val="auto"/>
        </w:rPr>
        <w:t>Our ongoing investments in security will likely continue to identify new vulnerabilities within our services and products.</w:t>
      </w:r>
    </w:p>
    <w:p>
      <w:pPr>
        <w:spacing w:after="0" w:line="109"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In addition to our efforts to, among other things, mitigate the risk of cyber-attacks and improve our products and services, we are making significant investments to assure that our products are resistant to compromise. As a result of these efforts, we could discover new vulnerabilities within our products and systems that would be undesirable for our users and customers. We have discovered and remediated, and may discover new vulnerabilities due to the scale of activities on our platforms, and may not be able to mitigate or fix such vulnerabilities on acceptable timeframes or at all, due to other factors, including, but not limited to, issues outside of our control such as natural disasters/climate change such as sea level rise, drought, flooding, wildfires, increased storm severity, power loss, and we may be notified of such vulnerabilities via third parties. Any of the foregoing developments may, among other things, negatively affect user and customer trust, harm our reputation and brands and adversely affect our business and financial results.</w:t>
      </w:r>
    </w:p>
    <w:p>
      <w:pPr>
        <w:spacing w:after="0" w:line="152" w:lineRule="exact"/>
        <w:rPr>
          <w:sz w:val="20"/>
          <w:szCs w:val="20"/>
          <w:color w:val="auto"/>
        </w:rPr>
      </w:pPr>
    </w:p>
    <w:p>
      <w:pPr>
        <w:ind w:left="40" w:right="319"/>
        <w:spacing w:after="0" w:line="275" w:lineRule="auto"/>
        <w:rPr>
          <w:sz w:val="20"/>
          <w:szCs w:val="20"/>
          <w:color w:val="auto"/>
        </w:rPr>
      </w:pPr>
      <w:r>
        <w:rPr>
          <w:rFonts w:ascii="Arial" w:cs="Arial" w:eastAsia="Arial" w:hAnsi="Arial"/>
          <w:sz w:val="16"/>
          <w:szCs w:val="16"/>
          <w:color w:val="auto"/>
        </w:rPr>
        <w:t>Any such developments may also subject us to litigation and regulatory inquiries, which could result in monetary penalties and damages, distract management’s time and attention and lead to enhanced regulatory oversight.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Acquisition and Capital Structure Risks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have substantial debt outstanding and may incur additional debt.</w:t>
      </w:r>
    </w:p>
    <w:p>
      <w:pPr>
        <w:spacing w:after="0" w:line="177" w:lineRule="exact"/>
        <w:rPr>
          <w:sz w:val="20"/>
          <w:szCs w:val="20"/>
          <w:color w:val="auto"/>
        </w:rPr>
      </w:pPr>
    </w:p>
    <w:p>
      <w:pPr>
        <w:ind w:left="40" w:right="59"/>
        <w:spacing w:after="0" w:line="256" w:lineRule="auto"/>
        <w:rPr>
          <w:sz w:val="20"/>
          <w:szCs w:val="20"/>
          <w:color w:val="auto"/>
        </w:rPr>
      </w:pPr>
      <w:r>
        <w:rPr>
          <w:rFonts w:ascii="Arial" w:cs="Arial" w:eastAsia="Arial" w:hAnsi="Arial"/>
          <w:sz w:val="16"/>
          <w:szCs w:val="16"/>
          <w:color w:val="auto"/>
        </w:rPr>
        <w:t>As of December 31, 2024, our total debt, finance lease and other obligations (including current portion) outstanding, including the debt of our subsidiaries, was $26.603 billion. Our debt levels could have significant consequences, including, but not limited to;</w:t>
      </w:r>
    </w:p>
    <w:p>
      <w:pPr>
        <w:spacing w:after="0" w:line="137" w:lineRule="exact"/>
        <w:rPr>
          <w:sz w:val="20"/>
          <w:szCs w:val="20"/>
          <w:color w:val="auto"/>
        </w:rPr>
      </w:pPr>
    </w:p>
    <w:p>
      <w:pPr>
        <w:ind w:left="660" w:hanging="292"/>
        <w:spacing w:after="0"/>
        <w:tabs>
          <w:tab w:leader="none" w:pos="6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making it more difficult to satisfy our obligations;</w:t>
      </w:r>
    </w:p>
    <w:p>
      <w:pPr>
        <w:spacing w:after="0" w:line="24" w:lineRule="exact"/>
        <w:rPr>
          <w:rFonts w:ascii="Times New Roman" w:cs="Times New Roman" w:eastAsia="Times New Roman" w:hAnsi="Times New Roman"/>
          <w:sz w:val="16"/>
          <w:szCs w:val="16"/>
          <w:color w:val="auto"/>
        </w:rPr>
      </w:pPr>
    </w:p>
    <w:p>
      <w:pPr>
        <w:ind w:left="660" w:hanging="292"/>
        <w:spacing w:after="0"/>
        <w:tabs>
          <w:tab w:leader="none" w:pos="6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 dilutive effect on our outstanding equity capital or future earnings;</w:t>
      </w:r>
    </w:p>
    <w:p>
      <w:pPr>
        <w:spacing w:after="0" w:line="8" w:lineRule="exact"/>
        <w:rPr>
          <w:rFonts w:ascii="Times New Roman" w:cs="Times New Roman" w:eastAsia="Times New Roman" w:hAnsi="Times New Roman"/>
          <w:sz w:val="16"/>
          <w:szCs w:val="16"/>
          <w:color w:val="auto"/>
        </w:rPr>
      </w:pPr>
    </w:p>
    <w:p>
      <w:pPr>
        <w:ind w:left="660" w:right="119" w:hanging="292"/>
        <w:spacing w:after="0" w:line="236" w:lineRule="auto"/>
        <w:tabs>
          <w:tab w:leader="none" w:pos="6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increasing our vulnerability to general adverse economic conditions, including, but not limited to, changes in interest rates;</w:t>
      </w:r>
    </w:p>
    <w:p>
      <w:pPr>
        <w:jc w:val="both"/>
        <w:ind w:left="660" w:right="99" w:hanging="292"/>
        <w:spacing w:after="0" w:line="236" w:lineRule="auto"/>
        <w:tabs>
          <w:tab w:leader="none" w:pos="6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requiring us to devote a substantial portion of our cash to make interest and principal payments on our debt, thereby reducing the amount of cash available for other purposes. As a result, we would have limited financial and operating flexibility to changing economic and competitive conditions;</w:t>
      </w:r>
    </w:p>
    <w:p>
      <w:pPr>
        <w:spacing w:after="0" w:line="1" w:lineRule="exact"/>
        <w:rPr>
          <w:rFonts w:ascii="Times New Roman" w:cs="Times New Roman" w:eastAsia="Times New Roman" w:hAnsi="Times New Roman"/>
          <w:sz w:val="16"/>
          <w:szCs w:val="16"/>
          <w:color w:val="auto"/>
        </w:rPr>
      </w:pPr>
    </w:p>
    <w:p>
      <w:pPr>
        <w:ind w:left="660" w:right="59" w:hanging="292"/>
        <w:spacing w:after="0" w:line="236" w:lineRule="auto"/>
        <w:tabs>
          <w:tab w:leader="none" w:pos="6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limiting our ability to raise additional debt because it may be more difficult for us to obtain debt financing on attractive terms or at all; and</w:t>
      </w:r>
    </w:p>
    <w:p>
      <w:pPr>
        <w:ind w:left="660" w:right="319" w:hanging="292"/>
        <w:spacing w:after="0" w:line="254" w:lineRule="auto"/>
        <w:tabs>
          <w:tab w:leader="none" w:pos="6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placing us at a disadvantage compared to our competitors that are less leveraged or can borrow funds at a lower interest rate.</w:t>
      </w:r>
    </w:p>
    <w:p>
      <w:pPr>
        <w:spacing w:after="0" w:line="138" w:lineRule="exact"/>
        <w:rPr>
          <w:sz w:val="20"/>
          <w:szCs w:val="20"/>
          <w:color w:val="auto"/>
        </w:rPr>
      </w:pPr>
    </w:p>
    <w:p>
      <w:pPr>
        <w:ind w:left="40" w:right="59"/>
        <w:spacing w:after="0" w:line="256" w:lineRule="auto"/>
        <w:rPr>
          <w:sz w:val="20"/>
          <w:szCs w:val="20"/>
          <w:color w:val="auto"/>
        </w:rPr>
      </w:pPr>
      <w:r>
        <w:rPr>
          <w:rFonts w:ascii="Arial" w:cs="Arial" w:eastAsia="Arial" w:hAnsi="Arial"/>
          <w:sz w:val="16"/>
          <w:szCs w:val="16"/>
          <w:color w:val="auto"/>
        </w:rPr>
        <w:t>In addition, we may incur additional debt in the future. The terms of the indentures relating to our senior notes, senior secured notes and our convertible notes permit us to incur additional debt. If new debt is added to our current debt levels, the risks we now face could intensify.</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222222"/>
        </w:rPr>
        <w:t>We depend upon our subsidiaries’ earnings to make payments on our indebtedness.</w:t>
      </w:r>
    </w:p>
    <w:p>
      <w:pPr>
        <w:spacing w:after="0" w:line="177" w:lineRule="exact"/>
        <w:rPr>
          <w:sz w:val="20"/>
          <w:szCs w:val="20"/>
          <w:color w:val="auto"/>
        </w:rPr>
      </w:pPr>
    </w:p>
    <w:p>
      <w:pPr>
        <w:ind w:left="40" w:right="59"/>
        <w:spacing w:after="0" w:line="242" w:lineRule="auto"/>
        <w:rPr>
          <w:sz w:val="20"/>
          <w:szCs w:val="20"/>
          <w:color w:val="auto"/>
        </w:rPr>
      </w:pPr>
      <w:r>
        <w:rPr>
          <w:rFonts w:ascii="Arial" w:cs="Arial" w:eastAsia="Arial" w:hAnsi="Arial"/>
          <w:sz w:val="16"/>
          <w:szCs w:val="16"/>
          <w:color w:val="222222"/>
        </w:rPr>
        <w:t>Since we are a holding company and our operations are conducted through our subsidiaries, our ability to service our debt obligations may depend upon the earnings of our operating subsidiaries and their ability to distribute cash or other property to us. We have few assets of significance other than the capital stock of our subsidiaries. Furthermore, creditors of our subsidiaries will have a superior claim to certain of our subsidiaries’ assets. In addition, our subsidiaries’ ability to make any payments to us will depend on, among other factors, their earnings, the terms of their indebtedness, business and tax considerations and legal restrictions. We cannot assure you that our subsidiaries will be able to pay dividends or that our subsidiaries will be able to otherwise distribute funds to us in an amount sufficient to pay the principal of or interest on the indebtedness owed by us.</w:t>
      </w:r>
    </w:p>
    <w:p>
      <w:pPr>
        <w:spacing w:after="0" w:line="152" w:lineRule="exact"/>
        <w:rPr>
          <w:sz w:val="20"/>
          <w:szCs w:val="20"/>
          <w:color w:val="auto"/>
        </w:rPr>
      </w:pPr>
    </w:p>
    <w:p>
      <w:pPr>
        <w:ind w:left="40" w:right="179"/>
        <w:spacing w:after="0" w:line="283" w:lineRule="auto"/>
        <w:rPr>
          <w:sz w:val="20"/>
          <w:szCs w:val="20"/>
          <w:color w:val="auto"/>
        </w:rPr>
      </w:pPr>
      <w:r>
        <w:rPr>
          <w:rFonts w:ascii="Arial" w:cs="Arial" w:eastAsia="Arial" w:hAnsi="Arial"/>
          <w:sz w:val="16"/>
          <w:szCs w:val="16"/>
          <w:b w:val="1"/>
          <w:bCs w:val="1"/>
          <w:i w:val="1"/>
          <w:iCs w:val="1"/>
          <w:color w:val="auto"/>
        </w:rPr>
        <w:t>We have made substantial investments to acquire certain wireless spectrum licenses and other related assets, and may be unable to realize a return on these assets.</w:t>
      </w:r>
    </w:p>
    <w:p>
      <w:pPr>
        <w:spacing w:after="0" w:line="109" w:lineRule="exact"/>
        <w:rPr>
          <w:sz w:val="20"/>
          <w:szCs w:val="20"/>
          <w:color w:val="auto"/>
        </w:rPr>
      </w:pPr>
    </w:p>
    <w:p>
      <w:pPr>
        <w:ind w:left="40" w:right="79" w:hanging="6"/>
        <w:spacing w:after="0" w:line="241" w:lineRule="auto"/>
        <w:rPr>
          <w:sz w:val="20"/>
          <w:szCs w:val="20"/>
          <w:color w:val="auto"/>
        </w:rPr>
      </w:pPr>
      <w:r>
        <w:rPr>
          <w:rFonts w:ascii="Arial" w:cs="Arial" w:eastAsia="Arial" w:hAnsi="Arial"/>
          <w:sz w:val="16"/>
          <w:szCs w:val="16"/>
          <w:color w:val="auto"/>
        </w:rPr>
        <w:t>We have invested a total of over $30 billion to acquire certain Wireless spectrum licenses. 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color w:val="auto"/>
        </w:rPr>
        <w:t>There is no assurance that the FCC will find our 5G Network Deployment sufficient to meet the build-out requirements to which our Wireless spectrum licenses are subject. Failure to comply with FCC build-out requirements and/or renewal requirements in a given license area could result in, among other things, acceleration of the build-out deadlines or revocation of the license for that license area. The revocation of a material portion of our Wireless spectrum licenses would have a significant material adverse effect on our 5G Network Deployment and our future business, results of operations and financial condition.</w:t>
      </w:r>
    </w:p>
    <w:p>
      <w:pPr>
        <w:spacing w:after="0" w:line="148" w:lineRule="exact"/>
        <w:rPr>
          <w:sz w:val="20"/>
          <w:szCs w:val="20"/>
          <w:color w:val="auto"/>
        </w:rPr>
      </w:pPr>
    </w:p>
    <w:p>
      <w:pPr>
        <w:ind w:left="40" w:right="99" w:hanging="6"/>
        <w:spacing w:after="0" w:line="246" w:lineRule="auto"/>
        <w:rPr>
          <w:sz w:val="20"/>
          <w:szCs w:val="20"/>
          <w:color w:val="auto"/>
        </w:rPr>
      </w:pPr>
      <w:r>
        <w:rPr>
          <w:rFonts w:ascii="Arial" w:cs="Arial" w:eastAsia="Arial" w:hAnsi="Arial"/>
          <w:sz w:val="16"/>
          <w:szCs w:val="16"/>
          <w:color w:val="auto"/>
        </w:rPr>
        <w:t>We may need to raise additional capital in the future, which may not be available on favorable terms or at all, to fund the efforts described above,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w:t>
      </w:r>
    </w:p>
    <w:p>
      <w:pPr>
        <w:spacing w:after="0" w:line="146" w:lineRule="exact"/>
        <w:rPr>
          <w:sz w:val="20"/>
          <w:szCs w:val="20"/>
          <w:color w:val="auto"/>
        </w:rPr>
      </w:pPr>
    </w:p>
    <w:p>
      <w:pPr>
        <w:ind w:left="40" w:right="179"/>
        <w:spacing w:after="0" w:line="275" w:lineRule="auto"/>
        <w:rPr>
          <w:sz w:val="20"/>
          <w:szCs w:val="20"/>
          <w:color w:val="auto"/>
        </w:rPr>
      </w:pPr>
      <w:r>
        <w:rPr>
          <w:rFonts w:ascii="Arial" w:cs="Arial" w:eastAsia="Arial" w:hAnsi="Arial"/>
          <w:sz w:val="16"/>
          <w:szCs w:val="16"/>
          <w:color w:val="auto"/>
        </w:rPr>
        <w:t>Furthermore, the fair values of wireless spectrum licenses may vary significantly in the future. In particular, valuation swings could occur if:</w:t>
      </w:r>
    </w:p>
    <w:p>
      <w:pPr>
        <w:spacing w:after="0" w:line="123" w:lineRule="exact"/>
        <w:rPr>
          <w:sz w:val="20"/>
          <w:szCs w:val="20"/>
          <w:color w:val="auto"/>
        </w:rPr>
      </w:pPr>
    </w:p>
    <w:p>
      <w:pPr>
        <w:ind w:left="660" w:right="579" w:hanging="292"/>
        <w:spacing w:after="0" w:line="246" w:lineRule="auto"/>
        <w:tabs>
          <w:tab w:leader="none" w:pos="661"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consolidation in the wireless industry allows or requires wireless carriers to sell significant portions of their wireless spectrum holdings, which could in turn reduce the value of our spectrum holdings;</w:t>
      </w:r>
    </w:p>
    <w:p>
      <w:pPr>
        <w:spacing w:after="0" w:line="1" w:lineRule="exact"/>
        <w:rPr>
          <w:rFonts w:ascii="Times New Roman" w:cs="Times New Roman" w:eastAsia="Times New Roman" w:hAnsi="Times New Roman"/>
          <w:sz w:val="16"/>
          <w:szCs w:val="16"/>
          <w:color w:val="auto"/>
        </w:rPr>
      </w:pPr>
    </w:p>
    <w:p>
      <w:pPr>
        <w:ind w:left="660" w:hanging="292"/>
        <w:spacing w:after="0"/>
        <w:tabs>
          <w:tab w:leader="none" w:pos="6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sale of spectrum by one or more wireless providers occurs;</w:t>
      </w:r>
    </w:p>
    <w:p>
      <w:pPr>
        <w:spacing w:after="0" w:line="8" w:lineRule="exact"/>
        <w:rPr>
          <w:rFonts w:ascii="Times New Roman" w:cs="Times New Roman" w:eastAsia="Times New Roman" w:hAnsi="Times New Roman"/>
          <w:sz w:val="16"/>
          <w:szCs w:val="16"/>
          <w:color w:val="auto"/>
        </w:rPr>
      </w:pPr>
    </w:p>
    <w:p>
      <w:pPr>
        <w:ind w:left="660" w:right="59" w:hanging="292"/>
        <w:spacing w:after="0" w:line="236" w:lineRule="auto"/>
        <w:tabs>
          <w:tab w:leader="none" w:pos="661"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FCC pursues certain policies designed to increase the number of wireless spectrum licenses available in each of our markets; or</w:t>
      </w:r>
    </w:p>
    <w:p>
      <w:pPr>
        <w:ind w:left="660" w:hanging="292"/>
        <w:spacing w:after="0"/>
        <w:tabs>
          <w:tab w:leader="none" w:pos="6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FCC conducts additional wireless spectrum auctions.</w:t>
      </w:r>
    </w:p>
    <w:p>
      <w:pPr>
        <w:spacing w:after="0" w:line="174"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If the fair value of our Wireless spectrum licenses were to decline significantly, the value of these licenses could be subject to impairment charges. We assess potential impairments to our indefinite-lived intangible assets annually or more often if indicators of impairment arise to determine whether there is evidence that indicates an impairment condition may exist.</w:t>
      </w:r>
    </w:p>
    <w:p>
      <w:pPr>
        <w:spacing w:after="0" w:line="137"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We capitalize our interest expense associated with the acquisition or construction of certain assets including, among others, our Wireless spectrum licenses. This capitalized interest increases the carrying amount of these licenses for purposes of impairment testing, under which we consider whether it is more likely than not that the fair value of these licenses exceeds the carrying amount of these licenses. An increase in the carrying amount of these licenses combined with other changes in circumstances and/or market conditions could result in an increased risk of an impairment of these licenses in the future, and an impairment of these assets may have a material adverse effect on our business, results of operations and financial condition.</w:t>
      </w:r>
    </w:p>
    <w:p>
      <w:pPr>
        <w:spacing w:after="0" w:line="150" w:lineRule="exact"/>
        <w:rPr>
          <w:sz w:val="20"/>
          <w:szCs w:val="20"/>
          <w:color w:val="auto"/>
        </w:rPr>
      </w:pPr>
    </w:p>
    <w:p>
      <w:pPr>
        <w:jc w:val="both"/>
        <w:ind w:left="40" w:right="299"/>
        <w:spacing w:after="0" w:line="260" w:lineRule="auto"/>
        <w:rPr>
          <w:sz w:val="20"/>
          <w:szCs w:val="20"/>
          <w:color w:val="auto"/>
        </w:rPr>
      </w:pPr>
      <w:r>
        <w:rPr>
          <w:rFonts w:ascii="Arial" w:cs="Arial" w:eastAsia="Arial" w:hAnsi="Arial"/>
          <w:sz w:val="16"/>
          <w:szCs w:val="16"/>
          <w:b w:val="1"/>
          <w:bCs w:val="1"/>
          <w:i w:val="1"/>
          <w:iCs w:val="1"/>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-200660</wp:posOffset>
            </wp:positionV>
            <wp:extent cx="2857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75" cy="7620"/>
                    </a:xfrm>
                    <a:prstGeom prst="rect">
                      <a:avLst/>
                    </a:prstGeom>
                    <a:noFill/>
                  </pic:spPr>
                </pic:pic>
              </a:graphicData>
            </a:graphic>
          </wp:anchor>
        </w:drawing>
      </w:r>
    </w:p>
    <w:p>
      <w:pPr>
        <w:spacing w:after="0" w:line="106" w:lineRule="exact"/>
        <w:rPr>
          <w:sz w:val="20"/>
          <w:szCs w:val="20"/>
          <w:color w:val="auto"/>
        </w:rPr>
      </w:pPr>
    </w:p>
    <w:p>
      <w:pPr>
        <w:ind w:left="40" w:right="219"/>
        <w:spacing w:after="0" w:line="243" w:lineRule="auto"/>
        <w:rPr>
          <w:sz w:val="20"/>
          <w:szCs w:val="20"/>
          <w:color w:val="auto"/>
        </w:rPr>
      </w:pPr>
      <w:r>
        <w:rPr>
          <w:rFonts w:ascii="Arial" w:cs="Arial" w:eastAsia="Arial" w:hAnsi="Arial"/>
          <w:sz w:val="16"/>
          <w:szCs w:val="16"/>
          <w:color w:val="auto"/>
        </w:rPr>
        <w:t>Our future success may depend on opportunities to buy or otherwise invest in other businesses or technologies that could complement, enhance or expand our current business or products or that might otherwise offer us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color w:val="auto"/>
        </w:rPr>
        <w:t>We may be unable to obtain in the anticipated time frame, or at all, any regulatory approvals required to complete proposed acquisitions and other strategic transactions. Furthermore, the conditions imposed for obtaining any necessary approvals could delay the completion of such transactions for a significant period of time or prevent them from occurring at all. We may not be able to complete such transactions, and such transactions, if executed, pose significant risks and could have a negative effect on our operations. Any transactions that we are able to identify and complete may involve a number of risks, including, but not limited to:</w:t>
      </w:r>
    </w:p>
    <w:p>
      <w:pPr>
        <w:spacing w:after="0" w:line="148" w:lineRule="exact"/>
        <w:rPr>
          <w:sz w:val="20"/>
          <w:szCs w:val="20"/>
          <w:color w:val="auto"/>
        </w:rPr>
      </w:pPr>
    </w:p>
    <w:p>
      <w:pPr>
        <w:ind w:left="640" w:hanging="284"/>
        <w:spacing w:after="0"/>
        <w:tabs>
          <w:tab w:leader="none" w:pos="6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risks associated with developing and constructing new satellites;</w:t>
      </w:r>
    </w:p>
    <w:p>
      <w:pPr>
        <w:spacing w:after="0" w:line="24" w:lineRule="exact"/>
        <w:rPr>
          <w:rFonts w:ascii="Times New Roman" w:cs="Times New Roman" w:eastAsia="Times New Roman" w:hAnsi="Times New Roman"/>
          <w:sz w:val="16"/>
          <w:szCs w:val="16"/>
          <w:color w:val="auto"/>
        </w:rPr>
      </w:pPr>
    </w:p>
    <w:p>
      <w:pPr>
        <w:ind w:left="660" w:hanging="292"/>
        <w:spacing w:after="0"/>
        <w:tabs>
          <w:tab w:leader="none" w:pos="660" w:val="left"/>
        </w:tabs>
        <w:numPr>
          <w:ilvl w:val="1"/>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diversion of management’s attention from our existing business onto a strategic initiative;</w:t>
      </w:r>
    </w:p>
    <w:p>
      <w:pPr>
        <w:spacing w:after="0" w:line="8" w:lineRule="exact"/>
        <w:rPr>
          <w:rFonts w:ascii="Times New Roman" w:cs="Times New Roman" w:eastAsia="Times New Roman" w:hAnsi="Times New Roman"/>
          <w:sz w:val="16"/>
          <w:szCs w:val="16"/>
          <w:color w:val="auto"/>
        </w:rPr>
      </w:pPr>
    </w:p>
    <w:p>
      <w:pPr>
        <w:ind w:left="660" w:right="239" w:hanging="292"/>
        <w:spacing w:after="0" w:line="236" w:lineRule="auto"/>
        <w:tabs>
          <w:tab w:leader="none" w:pos="660" w:val="left"/>
        </w:tabs>
        <w:numPr>
          <w:ilvl w:val="1"/>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possible adverse effects on our and our targets’ and partners’ business, financial condition or operating results during the integration process;</w:t>
      </w:r>
    </w:p>
    <w:p>
      <w:pPr>
        <w:ind w:left="660" w:right="179" w:hanging="292"/>
        <w:spacing w:after="0" w:line="236" w:lineRule="auto"/>
        <w:tabs>
          <w:tab w:leader="none" w:pos="660" w:val="left"/>
        </w:tabs>
        <w:numPr>
          <w:ilvl w:val="1"/>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high degree of risk inherent in these transactions, which could become substantial over time, and higher exposure to significant financial losses if the underlying ventures are not successful on an acceptable timeline or at all;</w:t>
      </w:r>
    </w:p>
    <w:p>
      <w:pPr>
        <w:spacing w:after="0" w:line="1" w:lineRule="exact"/>
        <w:rPr>
          <w:rFonts w:ascii="Times New Roman" w:cs="Times New Roman" w:eastAsia="Times New Roman" w:hAnsi="Times New Roman"/>
          <w:sz w:val="16"/>
          <w:szCs w:val="16"/>
          <w:color w:val="auto"/>
        </w:rPr>
      </w:pPr>
    </w:p>
    <w:p>
      <w:pPr>
        <w:ind w:left="660" w:hanging="292"/>
        <w:spacing w:after="0"/>
        <w:tabs>
          <w:tab w:leader="none" w:pos="660" w:val="left"/>
        </w:tabs>
        <w:numPr>
          <w:ilvl w:val="1"/>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possible inability to achieve the intended objectives of the transaction;</w:t>
      </w:r>
    </w:p>
    <w:p>
      <w:pPr>
        <w:spacing w:after="0" w:line="8" w:lineRule="exact"/>
        <w:rPr>
          <w:rFonts w:ascii="Times New Roman" w:cs="Times New Roman" w:eastAsia="Times New Roman" w:hAnsi="Times New Roman"/>
          <w:sz w:val="16"/>
          <w:szCs w:val="16"/>
          <w:color w:val="auto"/>
        </w:rPr>
      </w:pPr>
    </w:p>
    <w:p>
      <w:pPr>
        <w:ind w:left="660" w:right="139" w:hanging="292"/>
        <w:spacing w:after="0" w:line="236" w:lineRule="auto"/>
        <w:tabs>
          <w:tab w:leader="none" w:pos="660" w:val="left"/>
        </w:tabs>
        <w:numPr>
          <w:ilvl w:val="1"/>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risks associated with complying with contractual provisions and regulations applicable to the acquired business, which may cause us to incur substantial expenses;</w:t>
      </w:r>
    </w:p>
    <w:p>
      <w:pPr>
        <w:ind w:left="660" w:hanging="292"/>
        <w:spacing w:after="0"/>
        <w:tabs>
          <w:tab w:leader="none" w:pos="660" w:val="left"/>
        </w:tabs>
        <w:numPr>
          <w:ilvl w:val="1"/>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disruption of relationships with employees, vendors or customers; and</w:t>
      </w:r>
    </w:p>
    <w:p>
      <w:pPr>
        <w:spacing w:after="0" w:line="8" w:lineRule="exact"/>
        <w:rPr>
          <w:rFonts w:ascii="Times New Roman" w:cs="Times New Roman" w:eastAsia="Times New Roman" w:hAnsi="Times New Roman"/>
          <w:sz w:val="16"/>
          <w:szCs w:val="16"/>
          <w:color w:val="auto"/>
        </w:rPr>
      </w:pPr>
    </w:p>
    <w:p>
      <w:pPr>
        <w:ind w:left="660" w:hanging="292"/>
        <w:spacing w:after="0"/>
        <w:tabs>
          <w:tab w:leader="none" w:pos="660" w:val="left"/>
        </w:tabs>
        <w:numPr>
          <w:ilvl w:val="1"/>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risks associated with foreign and international operations and/or investments or dispositions.</w:t>
      </w:r>
    </w:p>
    <w:p>
      <w:pPr>
        <w:spacing w:after="0" w:line="174" w:lineRule="exact"/>
        <w:rPr>
          <w:sz w:val="20"/>
          <w:szCs w:val="20"/>
          <w:color w:val="auto"/>
        </w:rPr>
      </w:pPr>
    </w:p>
    <w:p>
      <w:pPr>
        <w:jc w:val="both"/>
        <w:ind w:left="40" w:right="379"/>
        <w:spacing w:after="0" w:line="249" w:lineRule="auto"/>
        <w:rPr>
          <w:sz w:val="20"/>
          <w:szCs w:val="20"/>
          <w:color w:val="auto"/>
        </w:rPr>
      </w:pPr>
      <w:r>
        <w:rPr>
          <w:rFonts w:ascii="Arial" w:cs="Arial" w:eastAsia="Arial" w:hAnsi="Arial"/>
          <w:sz w:val="16"/>
          <w:szCs w:val="16"/>
          <w:color w:val="auto"/>
        </w:rPr>
        <w:t>In addition, we may not be able to successfully or profitably integrate, operate, maintain and manage our newly acquired operations or employees on an acceptable timeline or at all. We may not be able to maintain uniform standards, controls, procedures and policies, and this may lead to, among other things, operational inefficiencies. In addition, the integration process may strain our financial and managerial controls and reporting systems and procedures.</w:t>
      </w:r>
    </w:p>
    <w:p>
      <w:pPr>
        <w:spacing w:after="0" w:line="144" w:lineRule="exact"/>
        <w:rPr>
          <w:sz w:val="20"/>
          <w:szCs w:val="20"/>
          <w:color w:val="auto"/>
        </w:rPr>
      </w:pPr>
    </w:p>
    <w:p>
      <w:pPr>
        <w:ind w:left="40" w:right="359"/>
        <w:spacing w:after="0" w:line="256" w:lineRule="auto"/>
        <w:rPr>
          <w:sz w:val="20"/>
          <w:szCs w:val="20"/>
          <w:color w:val="auto"/>
        </w:rPr>
      </w:pPr>
      <w:r>
        <w:rPr>
          <w:rFonts w:ascii="Arial" w:cs="Arial" w:eastAsia="Arial" w:hAnsi="Arial"/>
          <w:sz w:val="16"/>
          <w:szCs w:val="16"/>
          <w:color w:val="auto"/>
        </w:rPr>
        <w:t>New acquisitions, joint ventures and other transactions may require the commitment of significant capital that would otherwise be directed to investments in our existing business. To pursue acquisitions and other strategic transactions, we may need to raise additional capital in the future, which may not be available on favorable terms or at all.</w:t>
      </w:r>
    </w:p>
    <w:p>
      <w:pPr>
        <w:spacing w:after="0" w:line="137" w:lineRule="exact"/>
        <w:rPr>
          <w:sz w:val="20"/>
          <w:szCs w:val="20"/>
          <w:color w:val="auto"/>
        </w:rPr>
      </w:pPr>
    </w:p>
    <w:p>
      <w:pPr>
        <w:ind w:left="40" w:right="199"/>
        <w:spacing w:after="0" w:line="246" w:lineRule="auto"/>
        <w:rPr>
          <w:sz w:val="20"/>
          <w:szCs w:val="20"/>
          <w:color w:val="auto"/>
        </w:rPr>
      </w:pPr>
      <w:r>
        <w:rPr>
          <w:rFonts w:ascii="Arial" w:cs="Arial" w:eastAsia="Arial" w:hAnsi="Arial"/>
          <w:sz w:val="16"/>
          <w:szCs w:val="16"/>
          <w:color w:val="auto"/>
        </w:rPr>
        <w:t>In addition to committing capital to complete the acquisitions, substantial capital may be required to operate the acquired businesses following their acquisition. These acquisitions may result in significant financial losses if the intended objectives of the transactions are not achieved. Some of the businesses that we have acquired have experienced significant operating and financial challenges in their recent history, which in some cases resulted in these businesses commencing bankruptcy proceedings prior to our acquisition. We may acquire similar businesses in the future.</w:t>
      </w:r>
    </w:p>
    <w:p>
      <w:pPr>
        <w:spacing w:after="0" w:line="146" w:lineRule="exact"/>
        <w:rPr>
          <w:sz w:val="20"/>
          <w:szCs w:val="20"/>
          <w:color w:val="auto"/>
        </w:rPr>
      </w:pPr>
    </w:p>
    <w:p>
      <w:pPr>
        <w:ind w:left="40" w:right="379"/>
        <w:spacing w:after="0" w:line="256" w:lineRule="auto"/>
        <w:rPr>
          <w:sz w:val="20"/>
          <w:szCs w:val="20"/>
          <w:color w:val="auto"/>
        </w:rPr>
      </w:pPr>
      <w:r>
        <w:rPr>
          <w:rFonts w:ascii="Arial" w:cs="Arial" w:eastAsia="Arial" w:hAnsi="Arial"/>
          <w:sz w:val="16"/>
          <w:szCs w:val="16"/>
          <w:color w:val="auto"/>
        </w:rPr>
        <w:t>There is no assurance that we will be able to successfully address the challenges and risks encountered by these businesses following their acquisition. If we are unable to successfully address these challenges and risks, our business, financial condition and/or results of operations may suffer.</w:t>
      </w:r>
    </w:p>
    <w:p>
      <w:pPr>
        <w:spacing w:after="0" w:line="139" w:lineRule="exact"/>
        <w:rPr>
          <w:sz w:val="20"/>
          <w:szCs w:val="20"/>
          <w:color w:val="auto"/>
        </w:rPr>
      </w:pPr>
    </w:p>
    <w:p>
      <w:pPr>
        <w:ind w:left="40" w:right="119"/>
        <w:spacing w:after="0" w:line="283" w:lineRule="auto"/>
        <w:rPr>
          <w:sz w:val="20"/>
          <w:szCs w:val="20"/>
          <w:color w:val="auto"/>
        </w:rPr>
      </w:pPr>
      <w:r>
        <w:rPr>
          <w:rFonts w:ascii="Arial" w:cs="Arial" w:eastAsia="Arial" w:hAnsi="Arial"/>
          <w:sz w:val="16"/>
          <w:szCs w:val="16"/>
          <w:b w:val="1"/>
          <w:bCs w:val="1"/>
          <w:i w:val="1"/>
          <w:iCs w:val="1"/>
          <w:color w:val="auto"/>
        </w:rPr>
        <w:t>We may need additional capital, which may not be available on favorable terms or at all, to fund current obligations, continue investing in our business and to finance acquisitions and other strategic transactions.</w:t>
      </w:r>
    </w:p>
    <w:p>
      <w:pPr>
        <w:spacing w:after="0" w:line="109"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Weakness in the equity markets could make it difficult for us to raise equity financing without incurring substantial dilution to our existing shareholders. Adverse changes in the credit markets including, but not limited to, rising interest rates and macro-economic conditions, could increase our borrowing costs and/or make it more difficult for us to obtain financing for our operations or for us to refinance existing indebtedness on favorable terms.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159"/>
        <w:spacing w:after="0" w:line="275" w:lineRule="auto"/>
        <w:rPr>
          <w:sz w:val="20"/>
          <w:szCs w:val="20"/>
          <w:color w:val="auto"/>
        </w:rPr>
      </w:pPr>
      <w:r>
        <w:rPr>
          <w:rFonts w:ascii="Arial" w:cs="Arial" w:eastAsia="Arial" w:hAnsi="Arial"/>
          <w:sz w:val="16"/>
          <w:szCs w:val="16"/>
          <w:color w:val="auto"/>
        </w:rPr>
        <w:t>Continued or prolonged higher interest rates could increase our cost of capital and require us to devote a higher percentage of our cash flow to interest payments, which could have a material adverse effect on our financial results.</w:t>
      </w:r>
    </w:p>
    <w:p>
      <w:pPr>
        <w:spacing w:after="0" w:line="123" w:lineRule="exact"/>
        <w:rPr>
          <w:sz w:val="20"/>
          <w:szCs w:val="20"/>
          <w:color w:val="auto"/>
        </w:rPr>
      </w:pPr>
    </w:p>
    <w:p>
      <w:pPr>
        <w:ind w:left="40" w:right="179"/>
        <w:spacing w:after="0" w:line="244" w:lineRule="auto"/>
        <w:rPr>
          <w:sz w:val="20"/>
          <w:szCs w:val="20"/>
          <w:color w:val="auto"/>
        </w:rPr>
      </w:pPr>
      <w:r>
        <w:rPr>
          <w:rFonts w:ascii="Arial" w:cs="Arial" w:eastAsia="Arial" w:hAnsi="Arial"/>
          <w:sz w:val="16"/>
          <w:szCs w:val="16"/>
          <w:color w:val="auto"/>
        </w:rPr>
        <w:t>In addition, economic weakness, weak results of operations or other factors may limit our ability to, among other things, generate sufficient internal cash to fund investments, capital expenditures, acquisitions and other strategic transactions, as well as to fund ongoing operations and service our debt. We may be unable to generate cash flows from operating activities sufficient to pay the principal, premium, if any, and interest on our debt and other obligations. If we are unable to service our debt and other obligations from cash flows from operating activities, we may need to refinance or restructure all or a portion of such obligations prior to maturity.</w:t>
      </w:r>
    </w:p>
    <w:p>
      <w:pPr>
        <w:spacing w:after="0" w:line="148" w:lineRule="exact"/>
        <w:rPr>
          <w:sz w:val="20"/>
          <w:szCs w:val="20"/>
          <w:color w:val="auto"/>
        </w:rPr>
      </w:pPr>
    </w:p>
    <w:p>
      <w:pPr>
        <w:ind w:left="40" w:right="239"/>
        <w:spacing w:after="0" w:line="249" w:lineRule="auto"/>
        <w:rPr>
          <w:sz w:val="20"/>
          <w:szCs w:val="20"/>
          <w:color w:val="auto"/>
        </w:rPr>
      </w:pPr>
      <w:r>
        <w:rPr>
          <w:rFonts w:ascii="Arial" w:cs="Arial" w:eastAsia="Arial" w:hAnsi="Arial"/>
          <w:sz w:val="16"/>
          <w:szCs w:val="16"/>
          <w:color w:val="auto"/>
        </w:rPr>
        <w:t>Any refinancing or restructuring could have a material adverse effect on our business, results of operations and/or financial condition. In addition, we cannot guarantee that any refinancing or restructuring would sufficiently meet any debt or other obligations then due. If we do not pay interest or otherwise fulfill our debt obligations when due, our business, cash flows, results of operations and financial condition would be materially adversely impacted.</w:t>
      </w:r>
    </w:p>
    <w:p>
      <w:pPr>
        <w:spacing w:after="0" w:line="144" w:lineRule="exact"/>
        <w:rPr>
          <w:sz w:val="20"/>
          <w:szCs w:val="20"/>
          <w:color w:val="auto"/>
        </w:rPr>
      </w:pPr>
    </w:p>
    <w:p>
      <w:pPr>
        <w:ind w:left="40" w:right="219"/>
        <w:spacing w:after="0" w:line="249" w:lineRule="auto"/>
        <w:rPr>
          <w:sz w:val="20"/>
          <w:szCs w:val="20"/>
          <w:color w:val="auto"/>
        </w:rPr>
      </w:pPr>
      <w:r>
        <w:rPr>
          <w:rFonts w:ascii="Arial" w:cs="Arial" w:eastAsia="Arial" w:hAnsi="Arial"/>
          <w:sz w:val="16"/>
          <w:szCs w:val="16"/>
          <w:color w:val="auto"/>
        </w:rPr>
        <w:t>Furthermore, our borrowing costs can be affected by short and long-term debt ratings assigned by independent rating agencies, which are based, in significant part, on, among other factors, our performance as measured by their credit metrics. A decrease in these ratings would likely increase our cost of borrowing and/or make it more difficult for us to obtain financing.</w:t>
      </w:r>
    </w:p>
    <w:p>
      <w:pPr>
        <w:spacing w:after="0" w:line="144"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color w:val="auto"/>
        </w:rPr>
        <w:t>A severe disruption in the global financial markets could impact some of the financial institutions with which we do business, and such instability could also affect our access to financing. As a result, these conditions could make it difficult for us to accurately forecast and plan future business activities because we may not have access to funding sources necessary for us to pursue organic and strategic business development opportunities.</w:t>
      </w:r>
    </w:p>
    <w:p>
      <w:pPr>
        <w:spacing w:after="0" w:line="146" w:lineRule="exact"/>
        <w:rPr>
          <w:sz w:val="20"/>
          <w:szCs w:val="20"/>
          <w:color w:val="auto"/>
        </w:rPr>
      </w:pPr>
    </w:p>
    <w:p>
      <w:pPr>
        <w:ind w:left="40" w:right="719"/>
        <w:spacing w:after="0" w:line="283" w:lineRule="auto"/>
        <w:rPr>
          <w:sz w:val="20"/>
          <w:szCs w:val="20"/>
          <w:color w:val="auto"/>
        </w:rPr>
      </w:pPr>
      <w:r>
        <w:rPr>
          <w:rFonts w:ascii="Arial" w:cs="Arial" w:eastAsia="Arial" w:hAnsi="Arial"/>
          <w:sz w:val="16"/>
          <w:szCs w:val="16"/>
          <w:b w:val="1"/>
          <w:bCs w:val="1"/>
          <w:i w:val="1"/>
          <w:iCs w:val="1"/>
          <w:color w:val="auto"/>
        </w:rPr>
        <w:t>The conditional conversion features of our convertible notes, if triggered, may adversely affect our financial condition.</w:t>
      </w:r>
    </w:p>
    <w:p>
      <w:pPr>
        <w:spacing w:after="0" w:line="109"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color w:val="auto"/>
        </w:rPr>
        <w:t>In the event the conditional conversion features of the convertible Notes are triggered, holders of these instruments will be entitled to convert their convertible notes at any time during specified periods at their option. If one or more holders elect to convert their convertible notes, unless we elect to satisfy our conversion obligation by delivering solely shares of our Class A common stock, we would be required to make cash payments to satisfy all or a portion of our conversion obligation based on the conversion rate, which could adversely affect our liquidity.</w:t>
      </w:r>
    </w:p>
    <w:p>
      <w:pPr>
        <w:spacing w:after="0" w:line="146" w:lineRule="exact"/>
        <w:rPr>
          <w:sz w:val="20"/>
          <w:szCs w:val="20"/>
          <w:color w:val="auto"/>
        </w:rPr>
      </w:pPr>
    </w:p>
    <w:p>
      <w:pPr>
        <w:ind w:left="40" w:right="199"/>
        <w:spacing w:after="0" w:line="256" w:lineRule="auto"/>
        <w:rPr>
          <w:sz w:val="20"/>
          <w:szCs w:val="20"/>
          <w:color w:val="auto"/>
        </w:rPr>
      </w:pPr>
      <w:r>
        <w:rPr>
          <w:rFonts w:ascii="Arial" w:cs="Arial" w:eastAsia="Arial" w:hAnsi="Arial"/>
          <w:sz w:val="16"/>
          <w:szCs w:val="16"/>
          <w:color w:val="auto"/>
        </w:rPr>
        <w:t>In addition, even if holders do not elect to convert their convertible notes, we could be required under applicable accounting rules to reclassify all or a portion of the outstanding principal of the convertible notes as a current rather than long-term liability, which could result in a material reduction of our net working capital.</w:t>
      </w:r>
    </w:p>
    <w:p>
      <w:pPr>
        <w:spacing w:after="0" w:line="139" w:lineRule="exact"/>
        <w:rPr>
          <w:sz w:val="20"/>
          <w:szCs w:val="20"/>
          <w:color w:val="auto"/>
        </w:rPr>
      </w:pPr>
    </w:p>
    <w:p>
      <w:pPr>
        <w:ind w:left="40" w:right="199"/>
        <w:spacing w:after="0" w:line="283" w:lineRule="auto"/>
        <w:rPr>
          <w:sz w:val="20"/>
          <w:szCs w:val="20"/>
          <w:color w:val="auto"/>
        </w:rPr>
      </w:pPr>
      <w:r>
        <w:rPr>
          <w:rFonts w:ascii="Arial" w:cs="Arial" w:eastAsia="Arial" w:hAnsi="Arial"/>
          <w:sz w:val="16"/>
          <w:szCs w:val="16"/>
          <w:b w:val="1"/>
          <w:bCs w:val="1"/>
          <w:i w:val="1"/>
          <w:iCs w:val="1"/>
          <w:color w:val="auto"/>
        </w:rPr>
        <w:t>From time to time a portion of our investment portfolio may be invested in securities that have limited liquidity and may not be immediately accessible to support our financing needs.</w:t>
      </w:r>
    </w:p>
    <w:p>
      <w:pPr>
        <w:spacing w:after="0" w:line="109" w:lineRule="exact"/>
        <w:rPr>
          <w:sz w:val="20"/>
          <w:szCs w:val="20"/>
          <w:color w:val="auto"/>
        </w:rPr>
      </w:pPr>
    </w:p>
    <w:p>
      <w:pPr>
        <w:ind w:left="40" w:right="59"/>
        <w:spacing w:after="0" w:line="243" w:lineRule="auto"/>
        <w:rPr>
          <w:sz w:val="20"/>
          <w:szCs w:val="20"/>
          <w:color w:val="auto"/>
        </w:rPr>
      </w:pPr>
      <w:r>
        <w:rPr>
          <w:rFonts w:ascii="Arial" w:cs="Arial" w:eastAsia="Arial" w:hAnsi="Arial"/>
          <w:sz w:val="16"/>
          <w:szCs w:val="16"/>
          <w:color w:val="auto"/>
        </w:rPr>
        <w:t>From time to time a portion of our investment portfolio may be invested in strategic investments, and as a result, a portion of our portfolio may have restricted liquidity. If the credit ratings of these securities deteriorate or there is a lack of liquidity in the marketplace, we may be required to record impairment charges. Moreover, the uncertainty of domestic and global financial markets can greatly affect the volatility and value of our marketable investment securities. In addition, a portion of our investment portfolio may include strategic and financial investments in debt and equity securities of public companies that are highly speculative and that may experience volatility. Typically, these investments are concentrated in a small number of companies.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199"/>
        <w:spacing w:after="0" w:line="244" w:lineRule="auto"/>
        <w:rPr>
          <w:sz w:val="20"/>
          <w:szCs w:val="20"/>
          <w:color w:val="auto"/>
        </w:rPr>
      </w:pPr>
      <w:r>
        <w:rPr>
          <w:rFonts w:ascii="Arial" w:cs="Arial" w:eastAsia="Arial" w:hAnsi="Arial"/>
          <w:sz w:val="16"/>
          <w:szCs w:val="16"/>
          <w:color w:val="auto"/>
        </w:rPr>
        <w:t>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The concentration of these investments as a percentage of our overall investment portfolio fluctuates from time to time based on, among other things, the size of our investment portfolio and our ability to liquidate these investments.</w:t>
      </w:r>
    </w:p>
    <w:p>
      <w:pPr>
        <w:spacing w:after="0" w:line="148"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color w:val="auto"/>
        </w:rPr>
        <w:t>In addition, because our portfolio may be concentrated in a limited number of companies, we may experience a significant loss if any of these companies, among other things, defaults on its obligations, performs poorly, does not generate adequate cash flow to fund its operations, is unable to obtain necessary financing on acceptable terms, or at all, or files for bankruptcy, or if the sectors in which these companies operate experience a market downturn. To the extent we require access to funds, we may need to sell these securities under unfavorable market conditions, record impairment charges and fall short of our financing needs.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Covenants in our and our subsidiaries’ Indentures restrict our business in many ways.</w:t>
      </w:r>
    </w:p>
    <w:p>
      <w:pPr>
        <w:spacing w:after="0" w:line="177" w:lineRule="exact"/>
        <w:rPr>
          <w:sz w:val="20"/>
          <w:szCs w:val="20"/>
          <w:color w:val="auto"/>
        </w:rPr>
      </w:pPr>
    </w:p>
    <w:p>
      <w:pPr>
        <w:ind w:left="40" w:right="299"/>
        <w:spacing w:after="0" w:line="275" w:lineRule="auto"/>
        <w:rPr>
          <w:sz w:val="20"/>
          <w:szCs w:val="20"/>
          <w:color w:val="auto"/>
        </w:rPr>
      </w:pPr>
      <w:r>
        <w:rPr>
          <w:rFonts w:ascii="Arial" w:cs="Arial" w:eastAsia="Arial" w:hAnsi="Arial"/>
          <w:sz w:val="16"/>
          <w:szCs w:val="16"/>
          <w:color w:val="auto"/>
        </w:rPr>
        <w:t>There are restrictive covenants in our and our subsidiaries’ Indentures that restrict us and our subsidiaries (as applicable), under certain circumstances, from taking certain actions such as, among other things:</w:t>
      </w:r>
    </w:p>
    <w:p>
      <w:pPr>
        <w:spacing w:after="0" w:line="123" w:lineRule="exact"/>
        <w:rPr>
          <w:sz w:val="20"/>
          <w:szCs w:val="20"/>
          <w:color w:val="auto"/>
        </w:rPr>
      </w:pPr>
    </w:p>
    <w:p>
      <w:pPr>
        <w:ind w:left="640" w:hanging="284"/>
        <w:spacing w:after="0"/>
        <w:tabs>
          <w:tab w:leader="none" w:pos="6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incur or guarantee additional debt;</w:t>
      </w:r>
    </w:p>
    <w:p>
      <w:pPr>
        <w:spacing w:after="0" w:line="24" w:lineRule="exact"/>
        <w:rPr>
          <w:rFonts w:ascii="Times New Roman" w:cs="Times New Roman" w:eastAsia="Times New Roman" w:hAnsi="Times New Roman"/>
          <w:sz w:val="16"/>
          <w:szCs w:val="16"/>
          <w:color w:val="auto"/>
        </w:rPr>
      </w:pPr>
    </w:p>
    <w:p>
      <w:pPr>
        <w:ind w:left="640" w:right="459" w:hanging="284"/>
        <w:spacing w:after="0" w:line="236" w:lineRule="auto"/>
        <w:tabs>
          <w:tab w:leader="none" w:pos="6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allow to exist certain restrictions on certain subsidiaries’ ability to pay dividends, make distributions, make other payments or transfer assets;</w:t>
      </w:r>
    </w:p>
    <w:p>
      <w:pPr>
        <w:ind w:left="640" w:right="559" w:hanging="284"/>
        <w:spacing w:after="0" w:line="236" w:lineRule="auto"/>
        <w:tabs>
          <w:tab w:leader="none" w:pos="6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restrict our ability to make investments or make other payments in respect of our equity securities or our other indebtedness;</w:t>
      </w:r>
    </w:p>
    <w:p>
      <w:pPr>
        <w:ind w:left="640" w:right="179" w:hanging="284"/>
        <w:spacing w:after="0" w:line="236" w:lineRule="auto"/>
        <w:tabs>
          <w:tab w:leader="none" w:pos="6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limit our ability to incur indebtedness that is senior to, equal or subordinate to certain Indebtedness, or to engage in certain sale/leaseback transactions;</w:t>
      </w:r>
    </w:p>
    <w:p>
      <w:pPr>
        <w:ind w:left="640" w:hanging="284"/>
        <w:spacing w:after="0"/>
        <w:tabs>
          <w:tab w:leader="none" w:pos="6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enter into certain transactions with affiliates;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merge or consolidate with another company;</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restrict our ability to repurchase or prepay any other of our securities or other indebtedness;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restrict our ability to enter into highly leveraged transactions;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incur liens; and</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restrict guarantors’ ability to engage in new activities.</w:t>
      </w:r>
    </w:p>
    <w:p>
      <w:pPr>
        <w:spacing w:after="0" w:line="174"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Our ability to, among other things, recapitalize, incur additional debt, secure existing or future debt or take a number of other actions may be limited by the terms of our Indentures, business and tax considerations and legal restrictions, including, but not limited to, repurchasing indebtedness or capital stock or paying dividends and could have the effect of diminishing our ability to make payments on our outstanding Indebtedness when due.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the Regulation of Our Business</w:t>
      </w:r>
    </w:p>
    <w:p>
      <w:pPr>
        <w:spacing w:after="0" w:line="181" w:lineRule="exact"/>
        <w:rPr>
          <w:sz w:val="20"/>
          <w:szCs w:val="20"/>
          <w:color w:val="auto"/>
        </w:rPr>
      </w:pPr>
    </w:p>
    <w:p>
      <w:pPr>
        <w:ind w:left="40" w:right="239"/>
        <w:spacing w:after="0" w:line="283" w:lineRule="auto"/>
        <w:rPr>
          <w:sz w:val="20"/>
          <w:szCs w:val="20"/>
          <w:color w:val="auto"/>
        </w:rPr>
      </w:pPr>
      <w:r>
        <w:rPr>
          <w:rFonts w:ascii="Arial" w:cs="Arial" w:eastAsia="Arial" w:hAnsi="Arial"/>
          <w:sz w:val="16"/>
          <w:szCs w:val="16"/>
          <w:b w:val="1"/>
          <w:bCs w:val="1"/>
          <w:i w:val="1"/>
          <w:iCs w:val="1"/>
          <w:color w:val="auto"/>
        </w:rPr>
        <w:t>Our services depend on FCC licenses that can expire or be revoked or modified and applications for FCC licenses that may not be granted.</w:t>
      </w:r>
    </w:p>
    <w:p>
      <w:pPr>
        <w:spacing w:after="0" w:line="109" w:lineRule="exact"/>
        <w:rPr>
          <w:sz w:val="20"/>
          <w:szCs w:val="20"/>
          <w:color w:val="auto"/>
        </w:rPr>
      </w:pPr>
    </w:p>
    <w:p>
      <w:pPr>
        <w:ind w:left="40" w:right="319"/>
        <w:spacing w:after="0" w:line="243" w:lineRule="auto"/>
        <w:rPr>
          <w:sz w:val="20"/>
          <w:szCs w:val="20"/>
          <w:color w:val="auto"/>
        </w:rPr>
      </w:pPr>
      <w:r>
        <w:rPr>
          <w:rFonts w:ascii="Arial" w:cs="Arial" w:eastAsia="Arial" w:hAnsi="Arial"/>
          <w:sz w:val="16"/>
          <w:szCs w:val="16"/>
          <w:color w:val="auto"/>
        </w:rPr>
        <w:t>If the FCC were to cancel, revoke, suspend, restrict, significantly condition, or fail to renew any of our licenses or authorizations, or fail to grant our applications for FCC licenses that we may file from time to time, it could have a material adverse effect on our business, financial condition and results of operations. As an example, a loss of a frequency authorization would reduce the amount of spectrum available to us, potentially reducing the amount of DISH TV, Wireless and/or Broadband and Satellite Services offerings available to our subscribers. The materiality of such a loss of authorizations would vary based upon, among other things, the location of the frequency used or the availability of replacement spectrum.</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40" w:right="159"/>
        <w:spacing w:after="0" w:line="256" w:lineRule="auto"/>
        <w:rPr>
          <w:sz w:val="20"/>
          <w:szCs w:val="20"/>
          <w:color w:val="auto"/>
        </w:rPr>
      </w:pPr>
      <w:r>
        <w:rPr>
          <w:rFonts w:ascii="Arial" w:cs="Arial" w:eastAsia="Arial" w:hAnsi="Arial"/>
          <w:sz w:val="16"/>
          <w:szCs w:val="16"/>
          <w:color w:val="auto"/>
        </w:rPr>
        <w:t>In addition, Congress and other Administrative and Regulatory agencies often consider and enact legislation that affects us and FCC proceedings to implement the Communications Act and enforce its regulations are ongoing. We cannot predict the outcomes of these legislative or regulatory proceedings or their effect on our business.</w:t>
      </w:r>
    </w:p>
    <w:p>
      <w:pPr>
        <w:spacing w:after="0" w:line="137" w:lineRule="exact"/>
        <w:rPr>
          <w:sz w:val="20"/>
          <w:szCs w:val="20"/>
          <w:color w:val="auto"/>
        </w:rPr>
      </w:pPr>
    </w:p>
    <w:p>
      <w:pPr>
        <w:ind w:left="40" w:right="159"/>
        <w:spacing w:after="0" w:line="243" w:lineRule="auto"/>
        <w:rPr>
          <w:sz w:val="20"/>
          <w:szCs w:val="20"/>
          <w:color w:val="auto"/>
        </w:rPr>
      </w:pPr>
      <w:r>
        <w:rPr>
          <w:rFonts w:ascii="Arial" w:cs="Arial" w:eastAsia="Arial" w:hAnsi="Arial"/>
          <w:sz w:val="16"/>
          <w:szCs w:val="16"/>
          <w:color w:val="auto"/>
        </w:rPr>
        <w:t>Wireless services and our Wireless spectrum licenses are subject to regulation by the FCC and, depending on the jurisdiction, other federal, state and local, as well as international, governmental authorities and regulatory agencies, including, among other things, regulations governing the licensing, construction, operation, sale and interconnection arrangements of wireless telecommunications systems. In particular, the FCC imposes significant regulation on licensees of wireless spectrum with respect to, among others, how radio spectrum is used by licensees, the nature of the services that licensees may offer and how the services may be offered, and resolution of issues of interference between spectrum bands. The FCC grants wireless licenses for terms of generally 10-12 years that are subject to renewal or revocation.</w:t>
      </w:r>
    </w:p>
    <w:p>
      <w:pPr>
        <w:spacing w:after="0" w:line="148" w:lineRule="exact"/>
        <w:rPr>
          <w:sz w:val="20"/>
          <w:szCs w:val="20"/>
          <w:color w:val="auto"/>
        </w:rPr>
      </w:pPr>
    </w:p>
    <w:p>
      <w:pPr>
        <w:ind w:left="40" w:right="259"/>
        <w:spacing w:after="0" w:line="249" w:lineRule="auto"/>
        <w:rPr>
          <w:sz w:val="20"/>
          <w:szCs w:val="20"/>
          <w:color w:val="auto"/>
        </w:rPr>
      </w:pPr>
      <w:r>
        <w:rPr>
          <w:rFonts w:ascii="Arial" w:cs="Arial" w:eastAsia="Arial" w:hAnsi="Arial"/>
          <w:sz w:val="16"/>
          <w:szCs w:val="16"/>
          <w:color w:val="auto"/>
        </w:rPr>
        <w:t>There can be no assurances that our Wireless spectrum licenses will be renewed. Failure to comply with FCC build-out requirements in a given license area may result in acceleration of other build-out requirements or in the modification, cancellation, or non-renewal of licenses. See Note 15 in the Notes to our Consolidated Financial Statements in this Annual Report on Form 10-K for further information.</w:t>
      </w:r>
    </w:p>
    <w:p>
      <w:pPr>
        <w:spacing w:after="0" w:line="146" w:lineRule="exact"/>
        <w:rPr>
          <w:sz w:val="20"/>
          <w:szCs w:val="20"/>
          <w:color w:val="auto"/>
        </w:rPr>
      </w:pPr>
    </w:p>
    <w:p>
      <w:pPr>
        <w:ind w:left="40" w:right="179"/>
        <w:spacing w:after="0" w:line="283" w:lineRule="auto"/>
        <w:rPr>
          <w:sz w:val="20"/>
          <w:szCs w:val="20"/>
          <w:color w:val="auto"/>
        </w:rPr>
      </w:pPr>
      <w:r>
        <w:rPr>
          <w:rFonts w:ascii="Arial" w:cs="Arial" w:eastAsia="Arial" w:hAnsi="Arial"/>
          <w:sz w:val="16"/>
          <w:szCs w:val="16"/>
          <w:b w:val="1"/>
          <w:bCs w:val="1"/>
          <w:i w:val="1"/>
          <w:iCs w:val="1"/>
          <w:color w:val="auto"/>
        </w:rPr>
        <w:t>The risk of non-compliance with laws and regulations, including, but not limited to, the risk of changes to laws and regulations, could adversely affect our business.</w:t>
      </w:r>
    </w:p>
    <w:p>
      <w:pPr>
        <w:spacing w:after="0" w:line="109" w:lineRule="exact"/>
        <w:rPr>
          <w:sz w:val="20"/>
          <w:szCs w:val="20"/>
          <w:color w:val="auto"/>
        </w:rPr>
      </w:pPr>
    </w:p>
    <w:p>
      <w:pPr>
        <w:ind w:left="40" w:right="79"/>
        <w:spacing w:after="0" w:line="244" w:lineRule="auto"/>
        <w:rPr>
          <w:sz w:val="20"/>
          <w:szCs w:val="20"/>
          <w:color w:val="auto"/>
        </w:rPr>
      </w:pPr>
      <w:r>
        <w:rPr>
          <w:rFonts w:ascii="Arial" w:cs="Arial" w:eastAsia="Arial" w:hAnsi="Arial"/>
          <w:sz w:val="16"/>
          <w:szCs w:val="16"/>
          <w:color w:val="auto"/>
        </w:rPr>
        <w:t>Our business is regulated by numerous governmental agencies and other regulatory bodies, both domestically and internationally. Also, our international operations are subject to the laws and regulations of many different jurisdictions that may differ significantly from U.S. laws and regulations. Violations of these laws and regulations could result in fines or penalties or other sanctions which could have a material adverse impact on our business. Additionally, our ability to operate and grow our business depends on laws and regulations that govern the frequency bands and/or orbital locations we operate in or may operate in in the future.</w:t>
      </w:r>
    </w:p>
    <w:p>
      <w:pPr>
        <w:spacing w:after="0" w:line="148" w:lineRule="exact"/>
        <w:rPr>
          <w:sz w:val="20"/>
          <w:szCs w:val="20"/>
          <w:color w:val="auto"/>
        </w:rPr>
      </w:pPr>
    </w:p>
    <w:p>
      <w:pPr>
        <w:jc w:val="both"/>
        <w:ind w:left="40" w:right="159"/>
        <w:spacing w:after="0" w:line="243" w:lineRule="auto"/>
        <w:rPr>
          <w:sz w:val="20"/>
          <w:szCs w:val="20"/>
          <w:color w:val="auto"/>
        </w:rPr>
      </w:pPr>
      <w:r>
        <w:rPr>
          <w:rFonts w:ascii="Arial" w:cs="Arial" w:eastAsia="Arial" w:hAnsi="Arial"/>
          <w:sz w:val="16"/>
          <w:szCs w:val="16"/>
          <w:color w:val="auto"/>
        </w:rPr>
        <w:t xml:space="preserve">These laws and regulations are subject to the administrative and political process and do change from time to time. </w:t>
      </w:r>
      <w:r>
        <w:rPr>
          <w:rFonts w:ascii="Arial" w:cs="Arial" w:eastAsia="Arial" w:hAnsi="Arial"/>
          <w:sz w:val="16"/>
          <w:szCs w:val="16"/>
          <w:color w:val="222222"/>
        </w:rPr>
        <w:t>We may</w:t>
      </w:r>
      <w:r>
        <w:rPr>
          <w:rFonts w:ascii="Arial" w:cs="Arial" w:eastAsia="Arial" w:hAnsi="Arial"/>
          <w:sz w:val="16"/>
          <w:szCs w:val="16"/>
          <w:color w:val="auto"/>
        </w:rPr>
        <w:t xml:space="preserve"> </w:t>
      </w:r>
      <w:r>
        <w:rPr>
          <w:rFonts w:ascii="Arial" w:cs="Arial" w:eastAsia="Arial" w:hAnsi="Arial"/>
          <w:sz w:val="16"/>
          <w:szCs w:val="16"/>
          <w:color w:val="222222"/>
        </w:rPr>
        <w:t>be affected by changes to government leadership and policy changes resulting from new leaders. We have been subject to such changes in the past and may be subject to such changes in the future and those changes may negatively impact</w:t>
      </w:r>
    </w:p>
    <w:p>
      <w:pPr>
        <w:spacing w:after="0" w:line="2" w:lineRule="exact"/>
        <w:rPr>
          <w:sz w:val="20"/>
          <w:szCs w:val="20"/>
          <w:color w:val="auto"/>
        </w:rPr>
      </w:pPr>
    </w:p>
    <w:p>
      <w:pPr>
        <w:ind w:left="40" w:right="239"/>
        <w:spacing w:after="0" w:line="242" w:lineRule="auto"/>
        <w:rPr>
          <w:sz w:val="20"/>
          <w:szCs w:val="20"/>
          <w:color w:val="auto"/>
        </w:rPr>
      </w:pPr>
      <w:r>
        <w:rPr>
          <w:rFonts w:ascii="Arial" w:cs="Arial" w:eastAsia="Arial" w:hAnsi="Arial"/>
          <w:sz w:val="16"/>
          <w:szCs w:val="16"/>
          <w:color w:val="222222"/>
        </w:rPr>
        <w:t xml:space="preserve">us, including but not limited to, the addition of new regulations, the modification or rescission of past regulations which may be favorable and the increase or decrease of government programs which us or our subscribers may be recipients. </w:t>
      </w:r>
      <w:r>
        <w:rPr>
          <w:rFonts w:ascii="Arial" w:cs="Arial" w:eastAsia="Arial" w:hAnsi="Arial"/>
          <w:sz w:val="16"/>
          <w:szCs w:val="16"/>
          <w:color w:val="000000"/>
        </w:rPr>
        <w:t>Our</w:t>
      </w:r>
      <w:r>
        <w:rPr>
          <w:rFonts w:ascii="Arial" w:cs="Arial" w:eastAsia="Arial" w:hAnsi="Arial"/>
          <w:sz w:val="16"/>
          <w:szCs w:val="16"/>
          <w:color w:val="222222"/>
        </w:rPr>
        <w:t xml:space="preserve"> </w:t>
      </w:r>
      <w:r>
        <w:rPr>
          <w:rFonts w:ascii="Arial" w:cs="Arial" w:eastAsia="Arial" w:hAnsi="Arial"/>
          <w:sz w:val="16"/>
          <w:szCs w:val="16"/>
          <w:color w:val="000000"/>
        </w:rPr>
        <w:t>business could suffer a material adverse impact if laws and regulations change and we are not able to adapt to these changes efficiently.</w:t>
      </w:r>
    </w:p>
    <w:p>
      <w:pPr>
        <w:spacing w:after="0" w:line="150"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auto"/>
        </w:rPr>
        <w:t>Additionally, we are subject to emerging and evolving regulatory requirements and frameworks regarding environmental, social and governance matters, including, but not limited to, potential new or revised disclosure rules proposed by the SEC and recently enacted or proposed legislation in jurisdictions such as California. The ultimate scope of these regulations may change as they are finalized, and they may not be uniform across jurisdictions. Meeting these obligations may require significant investments of time, capital and personnel.</w:t>
      </w:r>
    </w:p>
    <w:p>
      <w:pPr>
        <w:spacing w:after="0" w:line="148" w:lineRule="exact"/>
        <w:rPr>
          <w:sz w:val="20"/>
          <w:szCs w:val="20"/>
          <w:color w:val="auto"/>
        </w:rPr>
      </w:pPr>
    </w:p>
    <w:p>
      <w:pPr>
        <w:ind w:left="40" w:right="559"/>
        <w:spacing w:after="0" w:line="283" w:lineRule="auto"/>
        <w:rPr>
          <w:sz w:val="20"/>
          <w:szCs w:val="20"/>
          <w:color w:val="auto"/>
        </w:rPr>
      </w:pPr>
      <w:r>
        <w:rPr>
          <w:rFonts w:ascii="Arial" w:cs="Arial" w:eastAsia="Arial" w:hAnsi="Arial"/>
          <w:sz w:val="16"/>
          <w:szCs w:val="16"/>
          <w:b w:val="1"/>
          <w:bCs w:val="1"/>
          <w:i w:val="1"/>
          <w:iCs w:val="1"/>
          <w:color w:val="auto"/>
        </w:rPr>
        <w:t>If our internal controls are not effective, our business, our stock price and investor confidence in our financial results may be adversely affected.</w:t>
      </w:r>
    </w:p>
    <w:p>
      <w:pPr>
        <w:spacing w:after="0" w:line="109" w:lineRule="exact"/>
        <w:rPr>
          <w:sz w:val="20"/>
          <w:szCs w:val="20"/>
          <w:color w:val="auto"/>
        </w:rPr>
      </w:pPr>
    </w:p>
    <w:p>
      <w:pPr>
        <w:ind w:left="40" w:right="79"/>
        <w:spacing w:after="0" w:line="239" w:lineRule="auto"/>
        <w:rPr>
          <w:sz w:val="20"/>
          <w:szCs w:val="20"/>
          <w:color w:val="auto"/>
        </w:rPr>
      </w:pPr>
      <w:r>
        <w:rPr>
          <w:rFonts w:ascii="Arial" w:cs="Arial" w:eastAsia="Arial" w:hAnsi="Arial"/>
          <w:sz w:val="16"/>
          <w:szCs w:val="16"/>
          <w:color w:val="auto"/>
        </w:rPr>
        <w:t>We periodically evaluate and test our internal control over financial reporting to satisfy the requirements of Section 404 of the Sarbanes-Oxley Act. Our management has concluded that our internal control over financial reporting was effective as of December 31, 2024. We depend on our third-party vendors’ internal controls and rely on these controls when evaluating the effectiveness of our internal controls. If in the future we are unable to report that our internal control over financial reporting is effective (or if our auditors do not agree with our assessment of the effectiveness of, or are unable to express an opinion on, our internal control over financial reporting), investors, subscribers and business partners could lose confidence in the accuracy of our financial reports, which could in turn have a material adverse effect on our business.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are controlled by one principal stockholder who is our Chairman.</w:t>
      </w:r>
    </w:p>
    <w:p>
      <w:pPr>
        <w:spacing w:after="0" w:line="177" w:lineRule="exact"/>
        <w:rPr>
          <w:sz w:val="20"/>
          <w:szCs w:val="20"/>
          <w:color w:val="auto"/>
        </w:rPr>
      </w:pPr>
    </w:p>
    <w:p>
      <w:pPr>
        <w:ind w:left="40" w:right="79"/>
        <w:spacing w:after="0" w:line="239" w:lineRule="auto"/>
        <w:rPr>
          <w:sz w:val="20"/>
          <w:szCs w:val="20"/>
          <w:color w:val="auto"/>
        </w:rPr>
      </w:pPr>
      <w:r>
        <w:rPr>
          <w:rFonts w:ascii="Arial" w:cs="Arial" w:eastAsia="Arial" w:hAnsi="Arial"/>
          <w:sz w:val="16"/>
          <w:szCs w:val="16"/>
          <w:color w:val="auto"/>
        </w:rPr>
        <w:t>Charles W. Ergen, our Chairman, beneficially owns approximately 51.7% of our total equity securities (assuming conversion of the Class B common stock beneficially owned by Mr. Ergen into Class A common stock and giving effect to the exercise of options held by Mr. Ergen that are either currently exercisable as of, or may become exercisable within 60 days) and beneficially owns approximately 90.6% of the total voting power of all classes of shares (assuming no conversion of any Class B common stock and giving effect to the exercise of options held by Mr. Ergen that are either currently exercisable as of, or may become exercisable within 60 days). Through his beneficial ownership of our equity securities, Mr. Ergen has the ability to elect a majority of our directors and to control all other matters requiring the approval of our stockholders. As a result of Mr. Ergen’s voting power, we are a “controlled company” as defined in the NASDAQ listing rules and, therefore, are not subject to NASDAQ requirements that would otherwise require us to have (i) a majority of independent directors; (ii) a nominating committee composed solely of independent directors; (iii) compensation of our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the Board of Directors selection, either by a majority of the independent directors or a nominating committee composed solely of independent directors.</w:t>
      </w:r>
    </w:p>
    <w:p>
      <w:pPr>
        <w:spacing w:after="0" w:line="156"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Pursuant to the Amended Support Agreement (which was signed as part of the Merger), Mr. Ergen and the other Ergen Stockholders have agreed not to vote, or cause or direct to be voted, the shares of EchoStar Class A Common Stock owned by them, other than with respect to any matter presented to the holders of EchoStar Class A Common Stock on which holders of EchoStar Class B Common Stock are not entitled to vote, for three years following the closing of the Merger. As a result, Mr. Ergen’s effective total voting power is approximately 89.6%.</w:t>
      </w:r>
    </w:p>
    <w:p>
      <w:pPr>
        <w:spacing w:after="0" w:line="148" w:lineRule="exact"/>
        <w:rPr>
          <w:sz w:val="20"/>
          <w:szCs w:val="20"/>
          <w:color w:val="auto"/>
        </w:rPr>
      </w:pPr>
    </w:p>
    <w:p>
      <w:pPr>
        <w:ind w:left="40" w:right="159"/>
        <w:spacing w:after="0" w:line="283" w:lineRule="auto"/>
        <w:rPr>
          <w:sz w:val="20"/>
          <w:szCs w:val="20"/>
          <w:color w:val="auto"/>
        </w:rPr>
      </w:pPr>
      <w:r>
        <w:rPr>
          <w:rFonts w:ascii="Arial" w:cs="Arial" w:eastAsia="Arial" w:hAnsi="Arial"/>
          <w:sz w:val="16"/>
          <w:szCs w:val="16"/>
          <w:b w:val="1"/>
          <w:bCs w:val="1"/>
          <w:i w:val="1"/>
          <w:iCs w:val="1"/>
          <w:color w:val="auto"/>
        </w:rPr>
        <w:t>It may be difficult for a third-party to acquire us, even if doing so may be beneficial to our shareholders, because of our capital structure.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Certain provisions of our articles of incorporation and bylaws may discourage, delay or prevent a change in control of our</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Company that a shareholder may consider favorable. These provisions include the following:</w:t>
      </w:r>
    </w:p>
    <w:p>
      <w:pPr>
        <w:spacing w:after="0" w:line="163" w:lineRule="exact"/>
        <w:rPr>
          <w:sz w:val="20"/>
          <w:szCs w:val="20"/>
          <w:color w:val="auto"/>
        </w:rPr>
      </w:pPr>
    </w:p>
    <w:p>
      <w:pPr>
        <w:ind w:left="640" w:right="79" w:hanging="284"/>
        <w:spacing w:after="0" w:line="241" w:lineRule="auto"/>
        <w:tabs>
          <w:tab w:leader="none" w:pos="6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 capital structure with multiple classes of common stock: a Class A that entitles the holders to one vote per share; a Class B that entitles the holders to ten votes per share; a Class C that entitles the holders to one vote per share, except upon a change in control of our company in which case the holders of Class C are entitled to ten votes per share; and a non-voting Class D;</w:t>
      </w:r>
    </w:p>
    <w:p>
      <w:pPr>
        <w:spacing w:after="0" w:line="2" w:lineRule="exact"/>
        <w:rPr>
          <w:rFonts w:ascii="Times New Roman" w:cs="Times New Roman" w:eastAsia="Times New Roman" w:hAnsi="Times New Roman"/>
          <w:sz w:val="16"/>
          <w:szCs w:val="16"/>
          <w:color w:val="auto"/>
        </w:rPr>
      </w:pPr>
    </w:p>
    <w:p>
      <w:pPr>
        <w:ind w:left="640" w:right="419" w:hanging="284"/>
        <w:spacing w:after="0" w:line="236" w:lineRule="auto"/>
        <w:tabs>
          <w:tab w:leader="none" w:pos="6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authorizes the issuance of “blank check” preferred stock, which could be issued by our Board of Directors to increase the number of outstanding shares and thwart a takeover attempt;</w:t>
      </w:r>
    </w:p>
    <w:p>
      <w:pPr>
        <w:ind w:left="640" w:hanging="284"/>
        <w:spacing w:after="0"/>
        <w:tabs>
          <w:tab w:leader="none" w:pos="6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limiting who may call special meetings of shareholders; and</w:t>
      </w:r>
    </w:p>
    <w:p>
      <w:pPr>
        <w:spacing w:after="0" w:line="8" w:lineRule="exact"/>
        <w:rPr>
          <w:rFonts w:ascii="Times New Roman" w:cs="Times New Roman" w:eastAsia="Times New Roman" w:hAnsi="Times New Roman"/>
          <w:sz w:val="16"/>
          <w:szCs w:val="16"/>
          <w:color w:val="auto"/>
        </w:rPr>
      </w:pPr>
    </w:p>
    <w:p>
      <w:pPr>
        <w:ind w:left="640" w:right="479" w:hanging="284"/>
        <w:spacing w:after="0" w:line="254" w:lineRule="auto"/>
        <w:tabs>
          <w:tab w:leader="none" w:pos="6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establishing advance notice requirements for nominations of candidates for election to our Board of Directors or for proposing matters that can be acted upon by shareholders at shareholder meetings.</w:t>
      </w:r>
    </w:p>
    <w:p>
      <w:pPr>
        <w:spacing w:after="0" w:line="138" w:lineRule="exact"/>
        <w:rPr>
          <w:sz w:val="20"/>
          <w:szCs w:val="20"/>
          <w:color w:val="auto"/>
        </w:rPr>
      </w:pPr>
    </w:p>
    <w:p>
      <w:pPr>
        <w:ind w:left="40" w:right="59"/>
        <w:spacing w:after="0" w:line="256" w:lineRule="auto"/>
        <w:rPr>
          <w:sz w:val="20"/>
          <w:szCs w:val="20"/>
          <w:color w:val="auto"/>
        </w:rPr>
      </w:pPr>
      <w:r>
        <w:rPr>
          <w:rFonts w:ascii="Arial" w:cs="Arial" w:eastAsia="Arial" w:hAnsi="Arial"/>
          <w:sz w:val="16"/>
          <w:szCs w:val="16"/>
          <w:color w:val="auto"/>
        </w:rPr>
        <w:t>As discussed above, Mr. Ergen beneficially owns approximately 51.7% of our total equity securities and approximately 90.6% of the total voting power of all classes of shares and such ownership may make it impractical for any third-party to obtain control of us.</w:t>
      </w:r>
    </w:p>
    <w:p>
      <w:pPr>
        <w:spacing w:after="0" w:line="137" w:lineRule="exact"/>
        <w:rPr>
          <w:sz w:val="20"/>
          <w:szCs w:val="20"/>
          <w:color w:val="auto"/>
        </w:rPr>
      </w:pPr>
    </w:p>
    <w:p>
      <w:pPr>
        <w:ind w:left="40" w:right="279"/>
        <w:spacing w:after="0" w:line="256" w:lineRule="auto"/>
        <w:rPr>
          <w:sz w:val="20"/>
          <w:szCs w:val="20"/>
          <w:color w:val="auto"/>
        </w:rPr>
      </w:pPr>
      <w:r>
        <w:rPr>
          <w:rFonts w:ascii="Arial" w:cs="Arial" w:eastAsia="Arial" w:hAnsi="Arial"/>
          <w:sz w:val="16"/>
          <w:szCs w:val="16"/>
          <w:color w:val="auto"/>
        </w:rPr>
        <w:t>In addition, pursuant to our articles of incorporation we have a significant amount of authorized and unissued stock that would allow our Board of Directors to issue shares to persons friendly to current management, thereby protecting the continuity of management, or which could be used to dilute the stock ownership of persons seeking to obtain control of us.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right="119"/>
        <w:spacing w:after="0" w:line="283" w:lineRule="auto"/>
        <w:rPr>
          <w:sz w:val="20"/>
          <w:szCs w:val="20"/>
          <w:color w:val="auto"/>
        </w:rPr>
      </w:pPr>
      <w:r>
        <w:rPr>
          <w:rFonts w:ascii="Arial" w:cs="Arial" w:eastAsia="Arial" w:hAnsi="Arial"/>
          <w:sz w:val="16"/>
          <w:szCs w:val="16"/>
          <w:b w:val="1"/>
          <w:bCs w:val="1"/>
          <w:i w:val="1"/>
          <w:iCs w:val="1"/>
          <w:color w:val="222222"/>
        </w:rPr>
        <w:t>Future issuances of our Class A common stock and hedging activities may depress the trading price of our Class A common stock.</w:t>
      </w:r>
    </w:p>
    <w:p>
      <w:pPr>
        <w:spacing w:after="0" w:line="109"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222222"/>
        </w:rPr>
        <w:t>Any issuance of equity securities, including the issuance of shares of Class A common stock upon conversion of our convertible notes, could dilute the interests of our existing stockholders, and could substantially decrease the trading price of our Class A common stock. We may issue equity securities in the future for a number of reasons, including to finance our operations and business strategy (including in connection with acquisitions, strategic collaborations or other transactions), to adjust our ratio of debt to equity, to satisfy our obligations upon the exercise of outstanding warrants or options or for other reasons. A substantial number of shares of our Class A common stock is reserved for issuance upon the exercise of stock options and settlement of restricted share units and stock units. In addition, the price of our Class A common stock could also be affected by possible sales of our Class A common stock, including sales by investors who view our convertible notes as a more attractive means of equity participation in our company and by hedging or arbitrage trading activity that we expect to develop involving our Class A common stock.</w:t>
      </w:r>
    </w:p>
    <w:p>
      <w:pPr>
        <w:spacing w:after="0" w:line="151" w:lineRule="exact"/>
        <w:rPr>
          <w:sz w:val="20"/>
          <w:szCs w:val="20"/>
          <w:color w:val="auto"/>
        </w:rPr>
      </w:pPr>
    </w:p>
    <w:p>
      <w:pPr>
        <w:jc w:val="both"/>
        <w:ind w:left="40" w:right="459"/>
        <w:spacing w:after="0" w:line="260" w:lineRule="auto"/>
        <w:rPr>
          <w:sz w:val="20"/>
          <w:szCs w:val="20"/>
          <w:color w:val="auto"/>
        </w:rPr>
      </w:pPr>
      <w:r>
        <w:rPr>
          <w:rFonts w:ascii="Arial" w:cs="Arial" w:eastAsia="Arial" w:hAnsi="Arial"/>
          <w:sz w:val="16"/>
          <w:szCs w:val="16"/>
          <w:b w:val="1"/>
          <w:bCs w:val="1"/>
          <w:i w:val="1"/>
          <w:iCs w:val="1"/>
          <w:color w:val="222222"/>
        </w:rPr>
        <w:t>Our Class A common stock price and trading volume has been and may continue to be volatile or may decline regardless of our operating performance, which could cause purchasers of our Class A common stock to incur substantial losses.</w:t>
      </w:r>
    </w:p>
    <w:p>
      <w:pPr>
        <w:spacing w:after="0" w:line="138" w:lineRule="exact"/>
        <w:rPr>
          <w:sz w:val="20"/>
          <w:szCs w:val="20"/>
          <w:color w:val="auto"/>
        </w:rPr>
      </w:pPr>
    </w:p>
    <w:p>
      <w:pPr>
        <w:ind w:left="40" w:right="199"/>
        <w:spacing w:after="0" w:line="246" w:lineRule="auto"/>
        <w:rPr>
          <w:sz w:val="20"/>
          <w:szCs w:val="20"/>
          <w:color w:val="auto"/>
        </w:rPr>
      </w:pPr>
      <w:r>
        <w:rPr>
          <w:rFonts w:ascii="Arial" w:cs="Arial" w:eastAsia="Arial" w:hAnsi="Arial"/>
          <w:sz w:val="16"/>
          <w:szCs w:val="16"/>
          <w:color w:val="auto"/>
        </w:rPr>
        <w:t>Volatility in the market price of our Class A common stock may prevent you from being able to sell your shares at or above the price you paid for them. The market price of our Class A common stock has fluctuated, and may continue to fluctuate widely due to many factors, some of which may be beyond our control. Many factors may cause the market price of our Class A common stock to fluctuate significantly, including those described elsewhere in this “Risk Factors” section as well as the following:</w:t>
      </w:r>
    </w:p>
    <w:p>
      <w:pPr>
        <w:spacing w:after="0" w:line="146" w:lineRule="exact"/>
        <w:rPr>
          <w:sz w:val="20"/>
          <w:szCs w:val="20"/>
          <w:color w:val="auto"/>
        </w:rPr>
      </w:pPr>
    </w:p>
    <w:p>
      <w:pPr>
        <w:ind w:left="640" w:hanging="284"/>
        <w:spacing w:after="0"/>
        <w:tabs>
          <w:tab w:leader="none" w:pos="640" w:val="left"/>
        </w:tabs>
        <w:numPr>
          <w:ilvl w:val="0"/>
          <w:numId w:val="26"/>
        </w:numPr>
        <w:rPr>
          <w:rFonts w:ascii="Times New Roman" w:cs="Times New Roman" w:eastAsia="Times New Roman" w:hAnsi="Times New Roman"/>
          <w:sz w:val="16"/>
          <w:szCs w:val="16"/>
          <w:color w:val="222222"/>
        </w:rPr>
      </w:pPr>
      <w:r>
        <w:rPr>
          <w:rFonts w:ascii="Arial" w:cs="Arial" w:eastAsia="Arial" w:hAnsi="Arial"/>
          <w:sz w:val="16"/>
          <w:szCs w:val="16"/>
          <w:color w:val="auto"/>
        </w:rPr>
        <w:t>pandemics, crises or disasters;</w:t>
      </w:r>
    </w:p>
    <w:p>
      <w:pPr>
        <w:spacing w:after="0" w:line="24" w:lineRule="exact"/>
        <w:rPr>
          <w:rFonts w:ascii="Times New Roman" w:cs="Times New Roman" w:eastAsia="Times New Roman" w:hAnsi="Times New Roman"/>
          <w:sz w:val="16"/>
          <w:szCs w:val="16"/>
          <w:color w:val="222222"/>
        </w:rPr>
      </w:pPr>
    </w:p>
    <w:p>
      <w:pPr>
        <w:ind w:left="640" w:right="539" w:hanging="284"/>
        <w:spacing w:after="0" w:line="236" w:lineRule="auto"/>
        <w:tabs>
          <w:tab w:leader="none" w:pos="640" w:val="left"/>
        </w:tabs>
        <w:numPr>
          <w:ilvl w:val="0"/>
          <w:numId w:val="26"/>
        </w:numPr>
        <w:rPr>
          <w:rFonts w:ascii="Times New Roman" w:cs="Times New Roman" w:eastAsia="Times New Roman" w:hAnsi="Times New Roman"/>
          <w:sz w:val="16"/>
          <w:szCs w:val="16"/>
          <w:color w:val="222222"/>
        </w:rPr>
      </w:pPr>
      <w:r>
        <w:rPr>
          <w:rFonts w:ascii="Arial" w:cs="Arial" w:eastAsia="Arial" w:hAnsi="Arial"/>
          <w:sz w:val="16"/>
          <w:szCs w:val="16"/>
          <w:color w:val="auto"/>
        </w:rPr>
        <w:t>our operating and financial performance and prospects; our quarterly or annual earnings or those of other companies in our industry compared to market expectations; future announcements or press coverage concerning our business or our competitors’ businesses;</w:t>
      </w:r>
    </w:p>
    <w:p>
      <w:pPr>
        <w:spacing w:after="0" w:line="1" w:lineRule="exact"/>
        <w:rPr>
          <w:rFonts w:ascii="Times New Roman" w:cs="Times New Roman" w:eastAsia="Times New Roman" w:hAnsi="Times New Roman"/>
          <w:sz w:val="16"/>
          <w:szCs w:val="16"/>
          <w:color w:val="222222"/>
        </w:rPr>
      </w:pPr>
    </w:p>
    <w:p>
      <w:pPr>
        <w:ind w:left="1220" w:hanging="283"/>
        <w:spacing w:after="0"/>
        <w:tabs>
          <w:tab w:leader="none" w:pos="1220" w:val="left"/>
        </w:tabs>
        <w:numPr>
          <w:ilvl w:val="1"/>
          <w:numId w:val="26"/>
        </w:numPr>
        <w:rPr>
          <w:rFonts w:ascii="Times New Roman" w:cs="Times New Roman" w:eastAsia="Times New Roman" w:hAnsi="Times New Roman"/>
          <w:sz w:val="16"/>
          <w:szCs w:val="16"/>
          <w:color w:val="222222"/>
        </w:rPr>
      </w:pPr>
      <w:r>
        <w:rPr>
          <w:rFonts w:ascii="Arial" w:cs="Arial" w:eastAsia="Arial" w:hAnsi="Arial"/>
          <w:sz w:val="16"/>
          <w:szCs w:val="16"/>
          <w:color w:val="auto"/>
        </w:rPr>
        <w:t>•the public’s reaction to our press releases, other public announcements and filings with the SEC;</w:t>
      </w:r>
    </w:p>
    <w:p>
      <w:pPr>
        <w:spacing w:after="0" w:line="8" w:lineRule="exact"/>
        <w:rPr>
          <w:rFonts w:ascii="Times New Roman" w:cs="Times New Roman" w:eastAsia="Times New Roman" w:hAnsi="Times New Roman"/>
          <w:sz w:val="16"/>
          <w:szCs w:val="16"/>
          <w:color w:val="222222"/>
        </w:rPr>
      </w:pPr>
    </w:p>
    <w:p>
      <w:pPr>
        <w:ind w:left="1220" w:hanging="283"/>
        <w:spacing w:after="0"/>
        <w:tabs>
          <w:tab w:leader="none" w:pos="1220" w:val="left"/>
        </w:tabs>
        <w:numPr>
          <w:ilvl w:val="1"/>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•the size of our public float;</w:t>
      </w:r>
    </w:p>
    <w:p>
      <w:pPr>
        <w:spacing w:after="0" w:line="8" w:lineRule="exact"/>
        <w:rPr>
          <w:rFonts w:ascii="Times New Roman" w:cs="Times New Roman" w:eastAsia="Times New Roman" w:hAnsi="Times New Roman"/>
          <w:sz w:val="16"/>
          <w:szCs w:val="16"/>
          <w:color w:val="auto"/>
        </w:rPr>
      </w:pPr>
    </w:p>
    <w:p>
      <w:pPr>
        <w:ind w:left="1220" w:right="979" w:hanging="283"/>
        <w:spacing w:after="0" w:line="236" w:lineRule="auto"/>
        <w:tabs>
          <w:tab w:leader="none" w:pos="1220" w:val="left"/>
        </w:tabs>
        <w:numPr>
          <w:ilvl w:val="1"/>
          <w:numId w:val="26"/>
        </w:numPr>
        <w:rPr>
          <w:rFonts w:ascii="Times New Roman" w:cs="Times New Roman" w:eastAsia="Times New Roman" w:hAnsi="Times New Roman"/>
          <w:sz w:val="16"/>
          <w:szCs w:val="16"/>
          <w:color w:val="222222"/>
        </w:rPr>
      </w:pPr>
      <w:r>
        <w:rPr>
          <w:rFonts w:ascii="Arial" w:cs="Arial" w:eastAsia="Arial" w:hAnsi="Arial"/>
          <w:sz w:val="16"/>
          <w:szCs w:val="16"/>
          <w:color w:val="auto"/>
        </w:rPr>
        <w:t>•coverage by or changes in financial estimates by securities analysts or failure to meet their expectations;</w:t>
      </w:r>
    </w:p>
    <w:p>
      <w:pPr>
        <w:ind w:left="1220" w:hanging="283"/>
        <w:spacing w:after="0"/>
        <w:tabs>
          <w:tab w:leader="none" w:pos="1220" w:val="left"/>
        </w:tabs>
        <w:numPr>
          <w:ilvl w:val="1"/>
          <w:numId w:val="26"/>
        </w:numPr>
        <w:rPr>
          <w:rFonts w:ascii="Times New Roman" w:cs="Times New Roman" w:eastAsia="Times New Roman" w:hAnsi="Times New Roman"/>
          <w:sz w:val="16"/>
          <w:szCs w:val="16"/>
          <w:color w:val="222222"/>
        </w:rPr>
      </w:pPr>
      <w:r>
        <w:rPr>
          <w:rFonts w:ascii="Arial" w:cs="Arial" w:eastAsia="Arial" w:hAnsi="Arial"/>
          <w:sz w:val="16"/>
          <w:szCs w:val="16"/>
          <w:color w:val="auto"/>
        </w:rPr>
        <w:t>•market and industry perception of our success, or lack thereof, in pursuing our business strategies;</w:t>
      </w:r>
    </w:p>
    <w:p>
      <w:pPr>
        <w:spacing w:after="0" w:line="8" w:lineRule="exact"/>
        <w:rPr>
          <w:rFonts w:ascii="Times New Roman" w:cs="Times New Roman" w:eastAsia="Times New Roman" w:hAnsi="Times New Roman"/>
          <w:sz w:val="16"/>
          <w:szCs w:val="16"/>
          <w:color w:val="222222"/>
        </w:rPr>
      </w:pPr>
    </w:p>
    <w:p>
      <w:pPr>
        <w:ind w:left="1220" w:hanging="283"/>
        <w:spacing w:after="0"/>
        <w:tabs>
          <w:tab w:leader="none" w:pos="1220" w:val="left"/>
        </w:tabs>
        <w:numPr>
          <w:ilvl w:val="1"/>
          <w:numId w:val="26"/>
        </w:numPr>
        <w:rPr>
          <w:rFonts w:ascii="Times New Roman" w:cs="Times New Roman" w:eastAsia="Times New Roman" w:hAnsi="Times New Roman"/>
          <w:sz w:val="16"/>
          <w:szCs w:val="16"/>
          <w:color w:val="222222"/>
        </w:rPr>
      </w:pPr>
      <w:r>
        <w:rPr>
          <w:rFonts w:ascii="Arial" w:cs="Arial" w:eastAsia="Arial" w:hAnsi="Arial"/>
          <w:sz w:val="16"/>
          <w:szCs w:val="16"/>
          <w:color w:val="auto"/>
        </w:rPr>
        <w:t>•strategic actions by us or our competitors, such as acquisitions or restructurings;</w:t>
      </w:r>
    </w:p>
    <w:p>
      <w:pPr>
        <w:spacing w:after="0" w:line="8" w:lineRule="exact"/>
        <w:rPr>
          <w:rFonts w:ascii="Times New Roman" w:cs="Times New Roman" w:eastAsia="Times New Roman" w:hAnsi="Times New Roman"/>
          <w:sz w:val="16"/>
          <w:szCs w:val="16"/>
          <w:color w:val="222222"/>
        </w:rPr>
      </w:pPr>
    </w:p>
    <w:p>
      <w:pPr>
        <w:ind w:left="1220" w:hanging="283"/>
        <w:spacing w:after="0"/>
        <w:tabs>
          <w:tab w:leader="none" w:pos="1220" w:val="left"/>
        </w:tabs>
        <w:numPr>
          <w:ilvl w:val="1"/>
          <w:numId w:val="26"/>
        </w:numPr>
        <w:rPr>
          <w:rFonts w:ascii="Times New Roman" w:cs="Times New Roman" w:eastAsia="Times New Roman" w:hAnsi="Times New Roman"/>
          <w:sz w:val="16"/>
          <w:szCs w:val="16"/>
          <w:color w:val="222222"/>
        </w:rPr>
      </w:pPr>
      <w:r>
        <w:rPr>
          <w:rFonts w:ascii="Arial" w:cs="Arial" w:eastAsia="Arial" w:hAnsi="Arial"/>
          <w:sz w:val="16"/>
          <w:szCs w:val="16"/>
          <w:color w:val="auto"/>
        </w:rPr>
        <w:t>•changes in laws or regulations which adversely affect our industry or us;</w:t>
      </w:r>
    </w:p>
    <w:p>
      <w:pPr>
        <w:spacing w:after="0" w:line="8" w:lineRule="exact"/>
        <w:rPr>
          <w:rFonts w:ascii="Times New Roman" w:cs="Times New Roman" w:eastAsia="Times New Roman" w:hAnsi="Times New Roman"/>
          <w:sz w:val="16"/>
          <w:szCs w:val="16"/>
          <w:color w:val="222222"/>
        </w:rPr>
      </w:pPr>
    </w:p>
    <w:p>
      <w:pPr>
        <w:ind w:left="1220" w:hanging="283"/>
        <w:spacing w:after="0"/>
        <w:tabs>
          <w:tab w:leader="none" w:pos="1220" w:val="left"/>
        </w:tabs>
        <w:numPr>
          <w:ilvl w:val="1"/>
          <w:numId w:val="26"/>
        </w:numPr>
        <w:rPr>
          <w:rFonts w:ascii="Times New Roman" w:cs="Times New Roman" w:eastAsia="Times New Roman" w:hAnsi="Times New Roman"/>
          <w:sz w:val="16"/>
          <w:szCs w:val="16"/>
          <w:color w:val="222222"/>
        </w:rPr>
      </w:pPr>
      <w:r>
        <w:rPr>
          <w:rFonts w:ascii="Arial" w:cs="Arial" w:eastAsia="Arial" w:hAnsi="Arial"/>
          <w:sz w:val="16"/>
          <w:szCs w:val="16"/>
          <w:color w:val="auto"/>
        </w:rPr>
        <w:t>•changes in accounting standards, policies, guidance, interpretations or principles;</w:t>
      </w:r>
    </w:p>
    <w:p>
      <w:pPr>
        <w:spacing w:after="0" w:line="8" w:lineRule="exact"/>
        <w:rPr>
          <w:rFonts w:ascii="Times New Roman" w:cs="Times New Roman" w:eastAsia="Times New Roman" w:hAnsi="Times New Roman"/>
          <w:sz w:val="16"/>
          <w:szCs w:val="16"/>
          <w:color w:val="222222"/>
        </w:rPr>
      </w:pPr>
    </w:p>
    <w:p>
      <w:pPr>
        <w:ind w:left="1220" w:hanging="283"/>
        <w:spacing w:after="0"/>
        <w:tabs>
          <w:tab w:leader="none" w:pos="1220" w:val="left"/>
        </w:tabs>
        <w:numPr>
          <w:ilvl w:val="1"/>
          <w:numId w:val="26"/>
        </w:numPr>
        <w:rPr>
          <w:rFonts w:ascii="Times New Roman" w:cs="Times New Roman" w:eastAsia="Times New Roman" w:hAnsi="Times New Roman"/>
          <w:sz w:val="16"/>
          <w:szCs w:val="16"/>
          <w:color w:val="222222"/>
        </w:rPr>
      </w:pPr>
      <w:r>
        <w:rPr>
          <w:rFonts w:ascii="Arial" w:cs="Arial" w:eastAsia="Arial" w:hAnsi="Arial"/>
          <w:sz w:val="16"/>
          <w:szCs w:val="16"/>
          <w:color w:val="auto"/>
        </w:rPr>
        <w:t>•changes in senior management or key personnel;</w:t>
      </w:r>
    </w:p>
    <w:p>
      <w:pPr>
        <w:spacing w:after="0" w:line="8" w:lineRule="exact"/>
        <w:rPr>
          <w:rFonts w:ascii="Times New Roman" w:cs="Times New Roman" w:eastAsia="Times New Roman" w:hAnsi="Times New Roman"/>
          <w:sz w:val="16"/>
          <w:szCs w:val="16"/>
          <w:color w:val="222222"/>
        </w:rPr>
      </w:pPr>
    </w:p>
    <w:p>
      <w:pPr>
        <w:ind w:left="1220" w:right="479" w:hanging="283"/>
        <w:spacing w:after="0" w:line="236" w:lineRule="auto"/>
        <w:tabs>
          <w:tab w:leader="none" w:pos="1220" w:val="left"/>
        </w:tabs>
        <w:numPr>
          <w:ilvl w:val="1"/>
          <w:numId w:val="26"/>
        </w:numPr>
        <w:rPr>
          <w:rFonts w:ascii="Times New Roman" w:cs="Times New Roman" w:eastAsia="Times New Roman" w:hAnsi="Times New Roman"/>
          <w:sz w:val="16"/>
          <w:szCs w:val="16"/>
          <w:color w:val="222222"/>
        </w:rPr>
      </w:pPr>
      <w:r>
        <w:rPr>
          <w:rFonts w:ascii="Arial" w:cs="Arial" w:eastAsia="Arial" w:hAnsi="Arial"/>
          <w:sz w:val="16"/>
          <w:szCs w:val="16"/>
          <w:color w:val="auto"/>
        </w:rPr>
        <w:t>•issuances, exchanges or sales, or expected issuances, exchanges or sales of our capital stock or other securities;</w:t>
      </w:r>
    </w:p>
    <w:p>
      <w:pPr>
        <w:ind w:left="1220" w:hanging="283"/>
        <w:spacing w:after="0"/>
        <w:tabs>
          <w:tab w:leader="none" w:pos="1220" w:val="left"/>
        </w:tabs>
        <w:numPr>
          <w:ilvl w:val="1"/>
          <w:numId w:val="26"/>
        </w:numPr>
        <w:rPr>
          <w:rFonts w:ascii="Times New Roman" w:cs="Times New Roman" w:eastAsia="Times New Roman" w:hAnsi="Times New Roman"/>
          <w:sz w:val="16"/>
          <w:szCs w:val="16"/>
          <w:color w:val="222222"/>
        </w:rPr>
      </w:pPr>
      <w:r>
        <w:rPr>
          <w:rFonts w:ascii="Arial" w:cs="Arial" w:eastAsia="Arial" w:hAnsi="Arial"/>
          <w:sz w:val="16"/>
          <w:szCs w:val="16"/>
          <w:color w:val="auto"/>
        </w:rPr>
        <w:t>•adverse resolution of new or pending litigation against us; and</w:t>
      </w:r>
    </w:p>
    <w:p>
      <w:pPr>
        <w:spacing w:after="0" w:line="8" w:lineRule="exact"/>
        <w:rPr>
          <w:rFonts w:ascii="Times New Roman" w:cs="Times New Roman" w:eastAsia="Times New Roman" w:hAnsi="Times New Roman"/>
          <w:sz w:val="16"/>
          <w:szCs w:val="16"/>
          <w:color w:val="222222"/>
        </w:rPr>
      </w:pPr>
    </w:p>
    <w:p>
      <w:pPr>
        <w:ind w:left="1220" w:right="459" w:hanging="283"/>
        <w:spacing w:after="0" w:line="245" w:lineRule="auto"/>
        <w:tabs>
          <w:tab w:leader="none" w:pos="1220" w:val="left"/>
        </w:tabs>
        <w:numPr>
          <w:ilvl w:val="1"/>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general market, economic and political conditions in the United States and global economies or financial markets, including, but not limited to, those resulting from natural disasters, terrorist attacks, acts of war and responses to such events.</w:t>
      </w:r>
    </w:p>
    <w:p>
      <w:pPr>
        <w:spacing w:after="0" w:line="146"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auto"/>
        </w:rPr>
        <w:t>As a result, volatility in the market price and trading volume of our Class A common stock may prevent investors from being able to sell their shares of Class A common stock at or above their purchase price, or at all. These fluctuations may be unrelated or disproportionate to our operating performance or prospects and may materially reduce the market price of our Class A common stock. If the market price of our Class A common stock experiences significant volatility, including substantial decreases, you could incur a substantial or complete loss on your investment.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General Risks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Sociopolitical volatility and polarization may adversely affect our business operations and reputation.</w:t>
      </w:r>
    </w:p>
    <w:p>
      <w:pPr>
        <w:spacing w:after="0" w:line="177"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auto"/>
        </w:rPr>
        <w:t>The current sociopolitical environment is characterized by deep complexity, volatility and polarization on various social and political issues. The increasing intersection of technology and politics has led to rapid and unpredictable shifts in public sentiment. Social media and digital platforms have amplified the voices of various stakeholders, creating the potential for swift change in public opinion and stronger reactions to corporate actions. As a company that sells products and services across the nation to millions of customers, these dynamics increase the risk of negative government and customer reactions, including, but not limited to, potential reputational damage, boycotts and shifts in consumer behavior that could adversely affect our brand, sales and profitability. Our ability to respond effectively, sensitively and authentically to the expectations and concerns of our customers, employees and other stakeholders is key to mitigating these risks. If we are unable to manage these challenges effectively, there may be adverse impacts to our business, reputation, financial condition and operating results.</w:t>
      </w:r>
    </w:p>
    <w:p>
      <w:pPr>
        <w:spacing w:after="0" w:line="151" w:lineRule="exact"/>
        <w:rPr>
          <w:sz w:val="20"/>
          <w:szCs w:val="20"/>
          <w:color w:val="auto"/>
        </w:rPr>
      </w:pPr>
    </w:p>
    <w:p>
      <w:pPr>
        <w:ind w:left="40" w:right="79"/>
        <w:spacing w:after="0" w:line="252" w:lineRule="auto"/>
        <w:rPr>
          <w:sz w:val="20"/>
          <w:szCs w:val="20"/>
          <w:color w:val="auto"/>
        </w:rPr>
      </w:pPr>
      <w:r>
        <w:rPr>
          <w:rFonts w:ascii="Arial" w:cs="Arial" w:eastAsia="Arial" w:hAnsi="Arial"/>
          <w:sz w:val="16"/>
          <w:szCs w:val="16"/>
          <w:b w:val="1"/>
          <w:bCs w:val="1"/>
          <w:i w:val="1"/>
          <w:iCs w:val="1"/>
          <w:color w:val="auto"/>
        </w:rPr>
        <w:t>Our articles of incorporation designate the Eighth Judicial District Court of Clark County of the State of Nevada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33"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color w:val="auto"/>
        </w:rPr>
        <w:t>Any person purchasing or otherwise acquiring any interest in any shares of our capital stock shall be deemed to have notice of and to have consented to this provision of our articles of incorporation. This choice of forum provision may limit our stockholders’ ability to bring certain claims, including, but not limited to, claims against our directors, officers or employees, in a judicial forum that the stockholder finds favorable and therefore the choice of forum provision may discourage lawsuits or increase costs with respect to such claims.</w:t>
      </w:r>
    </w:p>
    <w:p>
      <w:pPr>
        <w:spacing w:after="0" w:line="148" w:lineRule="exact"/>
        <w:rPr>
          <w:sz w:val="20"/>
          <w:szCs w:val="20"/>
          <w:color w:val="auto"/>
        </w:rPr>
      </w:pPr>
    </w:p>
    <w:p>
      <w:pPr>
        <w:ind w:left="40" w:right="959"/>
        <w:spacing w:after="0" w:line="480" w:lineRule="auto"/>
        <w:rPr>
          <w:sz w:val="20"/>
          <w:szCs w:val="20"/>
          <w:color w:val="auto"/>
        </w:rPr>
      </w:pPr>
      <w:r>
        <w:rPr>
          <w:rFonts w:ascii="Arial" w:cs="Arial" w:eastAsia="Arial" w:hAnsi="Arial"/>
          <w:sz w:val="16"/>
          <w:szCs w:val="16"/>
          <w:b w:val="1"/>
          <w:bCs w:val="1"/>
          <w:i w:val="1"/>
          <w:iCs w:val="1"/>
          <w:color w:val="auto"/>
        </w:rPr>
        <w:t xml:space="preserve">We may face other risks described from time to time in periodic and current reports we file with the SEC. </w:t>
      </w:r>
      <w:r>
        <w:rPr>
          <w:rFonts w:ascii="Arial" w:cs="Arial" w:eastAsia="Arial" w:hAnsi="Arial"/>
          <w:sz w:val="16"/>
          <w:szCs w:val="16"/>
          <w:b w:val="1"/>
          <w:bCs w:val="1"/>
          <w:color w:val="auto"/>
        </w:rPr>
        <w:t>Item 1B. UNRESOLVED STAFF COMMENTS</w:t>
      </w:r>
    </w:p>
    <w:p>
      <w:pPr>
        <w:ind w:left="40"/>
        <w:spacing w:after="0"/>
        <w:rPr>
          <w:sz w:val="20"/>
          <w:szCs w:val="20"/>
          <w:color w:val="auto"/>
        </w:rPr>
      </w:pPr>
      <w:r>
        <w:rPr>
          <w:rFonts w:ascii="Arial" w:cs="Arial" w:eastAsia="Arial" w:hAnsi="Arial"/>
          <w:sz w:val="16"/>
          <w:szCs w:val="16"/>
          <w:color w:val="auto"/>
        </w:rPr>
        <w:t>None.</w:t>
      </w:r>
    </w:p>
    <w:p>
      <w:pPr>
        <w:spacing w:after="0" w:line="17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6"/>
          <w:szCs w:val="16"/>
          <w:b w:val="1"/>
          <w:bCs w:val="1"/>
          <w:color w:val="auto"/>
        </w:rPr>
        <w:t>Item 1C.</w:t>
        <w:tab/>
        <w:t>CYBERSECURITY</w:t>
      </w:r>
    </w:p>
    <w:p>
      <w:pPr>
        <w:spacing w:after="0" w:line="179" w:lineRule="exact"/>
        <w:rPr>
          <w:sz w:val="20"/>
          <w:szCs w:val="20"/>
          <w:color w:val="auto"/>
        </w:rPr>
      </w:pPr>
    </w:p>
    <w:p>
      <w:pPr>
        <w:jc w:val="both"/>
        <w:ind w:left="40" w:right="159"/>
        <w:spacing w:after="0" w:line="242" w:lineRule="auto"/>
        <w:rPr>
          <w:sz w:val="20"/>
          <w:szCs w:val="20"/>
          <w:color w:val="auto"/>
        </w:rPr>
      </w:pPr>
      <w:r>
        <w:rPr>
          <w:rFonts w:ascii="Arial" w:cs="Arial" w:eastAsia="Arial" w:hAnsi="Arial"/>
          <w:sz w:val="16"/>
          <w:szCs w:val="16"/>
          <w:color w:val="auto"/>
        </w:rPr>
        <w:t>We recognize the importance of assessing, identifying, reviewing and managing material risks associated with cybersecurity threats, as such term is defined in Item 106(a) of Regulation S-K. These risks include, among other things: operational and legal risks including intellectual property theft or loss, fraud, extortion, harm to employees or customers and violation of data privacy or security laws. Our framework is informed in part by the National Institute of Standards and Technology (NIST)</w:t>
      </w:r>
    </w:p>
    <w:p>
      <w:pPr>
        <w:ind w:left="40" w:right="219"/>
        <w:spacing w:after="0" w:line="255" w:lineRule="auto"/>
        <w:rPr>
          <w:sz w:val="20"/>
          <w:szCs w:val="20"/>
          <w:color w:val="auto"/>
        </w:rPr>
      </w:pPr>
      <w:r>
        <w:rPr>
          <w:rFonts w:ascii="Arial" w:cs="Arial" w:eastAsia="Arial" w:hAnsi="Arial"/>
          <w:sz w:val="16"/>
          <w:szCs w:val="16"/>
          <w:color w:val="auto"/>
        </w:rPr>
        <w:t>Cybersecurity Framework, although this does not imply that we meet all technical standards, specifications or requirements under NIST.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259"/>
        <w:spacing w:after="0" w:line="244" w:lineRule="auto"/>
        <w:rPr>
          <w:sz w:val="20"/>
          <w:szCs w:val="20"/>
          <w:color w:val="auto"/>
        </w:rPr>
      </w:pPr>
      <w:r>
        <w:rPr>
          <w:rFonts w:ascii="Arial" w:cs="Arial" w:eastAsia="Arial" w:hAnsi="Arial"/>
          <w:sz w:val="16"/>
          <w:szCs w:val="16"/>
          <w:color w:val="auto"/>
        </w:rPr>
        <w:t>We have an enterprise-wide information security program designed to identify, protect against, detect, respond to and recover from cybersecurity risks, threats and events. Our cyber risk management system contributes significantly to the overall resilience and integrity of our business by, among other things, integrating the risk identification process in all major company initiatives and deployment processes, implementing a unified approach to managing both digital and traditional business risks, making continuous improvements and regularly reporting to management and the Board of Directors as a whole to ensure accountability.</w:t>
      </w:r>
    </w:p>
    <w:p>
      <w:pPr>
        <w:spacing w:after="0" w:line="148"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color w:val="auto"/>
        </w:rPr>
        <w:t>We regularly assess risks from cybersecurity and technology threats and monitor our information systems for potential vulnerabilities. We and certain third parties conduct regular reviews and tests of our information security program and also leverage, among other things, audits, tabletop exercises, penetration and vulnerability testing, cybersecurity maturity assessments, simulations and other exercises to evaluate the effectiveness of our information security program and improve our security measures and planning. In addition, we evaluate third-party risks and perform third-party risk management to assess, identify and mitigate risks from third parties such as vendors, suppliers and other business partners.</w:t>
      </w:r>
    </w:p>
    <w:p>
      <w:pPr>
        <w:spacing w:after="0" w:line="148" w:lineRule="exact"/>
        <w:rPr>
          <w:sz w:val="20"/>
          <w:szCs w:val="20"/>
          <w:color w:val="auto"/>
        </w:rPr>
      </w:pPr>
    </w:p>
    <w:p>
      <w:pPr>
        <w:ind w:left="40" w:right="159"/>
        <w:spacing w:after="0" w:line="256" w:lineRule="auto"/>
        <w:rPr>
          <w:sz w:val="20"/>
          <w:szCs w:val="20"/>
          <w:color w:val="auto"/>
        </w:rPr>
      </w:pPr>
      <w:r>
        <w:rPr>
          <w:rFonts w:ascii="Arial" w:cs="Arial" w:eastAsia="Arial" w:hAnsi="Arial"/>
          <w:sz w:val="16"/>
          <w:szCs w:val="16"/>
          <w:color w:val="auto"/>
        </w:rPr>
        <w:t>We have experienced cyber-attacks or other malicious activities that disrupted our business in the past. Any future failure or disruption of our information technology infrastructure and communications systems or those of third parties that we use in our operations could harm our business in the future.</w:t>
      </w:r>
    </w:p>
    <w:p>
      <w:pPr>
        <w:spacing w:after="0" w:line="137" w:lineRule="exact"/>
        <w:rPr>
          <w:sz w:val="20"/>
          <w:szCs w:val="20"/>
          <w:color w:val="auto"/>
        </w:rPr>
      </w:pPr>
    </w:p>
    <w:p>
      <w:pPr>
        <w:ind w:left="40" w:right="179"/>
        <w:spacing w:after="0" w:line="249" w:lineRule="auto"/>
        <w:rPr>
          <w:sz w:val="20"/>
          <w:szCs w:val="20"/>
          <w:color w:val="auto"/>
        </w:rPr>
      </w:pPr>
      <w:r>
        <w:rPr>
          <w:rFonts w:ascii="Arial" w:cs="Arial" w:eastAsia="Arial" w:hAnsi="Arial"/>
          <w:sz w:val="16"/>
          <w:szCs w:val="16"/>
          <w:color w:val="auto"/>
        </w:rPr>
        <w:t>We describe whether and how risks from identified cybersecurity threats, including, but not limited to, as a result of any previous cybersecurity incidents, have materially affected or are reasonably likely to materially affect us, including our business strategy, results of operations or financial condition included as part of our risk factor disclosures at Item 1A of this Annual Report on Form 10-K.</w:t>
      </w:r>
    </w:p>
    <w:p>
      <w:pPr>
        <w:spacing w:after="0" w:line="144" w:lineRule="exact"/>
        <w:rPr>
          <w:sz w:val="20"/>
          <w:szCs w:val="20"/>
          <w:color w:val="auto"/>
        </w:rPr>
      </w:pPr>
    </w:p>
    <w:p>
      <w:pPr>
        <w:ind w:left="40" w:right="59"/>
        <w:spacing w:after="0" w:line="243" w:lineRule="auto"/>
        <w:rPr>
          <w:sz w:val="20"/>
          <w:szCs w:val="20"/>
          <w:color w:val="auto"/>
        </w:rPr>
      </w:pPr>
      <w:r>
        <w:rPr>
          <w:rFonts w:ascii="Arial" w:cs="Arial" w:eastAsia="Arial" w:hAnsi="Arial"/>
          <w:sz w:val="16"/>
          <w:szCs w:val="16"/>
          <w:color w:val="auto"/>
        </w:rPr>
        <w:t>The Chief Information Security Officer (“CISO”) leads our information security organization responsible for overseeing our information security program. Our CISO has over 25 years of experience in various roles involving information security, including risk management and security leadership. Team members who support our information security program have relevant education, professional certifications and industry experience, including but not limited to, holding similar positions at large technology companies. The team provides regular reports, no less frequently than monthly, to senior management and other relevant teams, including, but not limited to, the Chief Executive Officer (“CEO”), Chief Operating Officer (“COO”), Chief Information Officer (“CIO”) and Chief Legal Officer (“CLO”).</w:t>
      </w:r>
    </w:p>
    <w:p>
      <w:pPr>
        <w:spacing w:after="0" w:line="148" w:lineRule="exact"/>
        <w:rPr>
          <w:sz w:val="20"/>
          <w:szCs w:val="20"/>
          <w:color w:val="auto"/>
        </w:rPr>
      </w:pPr>
    </w:p>
    <w:p>
      <w:pPr>
        <w:ind w:left="40" w:right="199"/>
        <w:spacing w:after="0" w:line="241" w:lineRule="auto"/>
        <w:rPr>
          <w:sz w:val="20"/>
          <w:szCs w:val="20"/>
          <w:color w:val="auto"/>
        </w:rPr>
      </w:pPr>
      <w:r>
        <w:rPr>
          <w:rFonts w:ascii="Arial" w:cs="Arial" w:eastAsia="Arial" w:hAnsi="Arial"/>
          <w:sz w:val="16"/>
          <w:szCs w:val="16"/>
          <w:color w:val="auto"/>
        </w:rPr>
        <w:t>Preparation for and, where possible prevention of cybersecurity incidents involves regular and structured briefings to key management on risk remediation measures that should be taken to decrease, among other things, the likelihood and severability of incidents and to mitigate and manage their effects. The CEO, COO, CIO, CLO and other members of management receive detailed updates on cybersecurity risks on a regular basis, no less frequently than monthly, or when significant risks or incidents are identified. These briefings enable the management team to, among other things, stay informed of the latest threats, assess the effectiveness of current security measures and make timely decisions on strategic security initiatives. In addition, the Board of Directors is regularly briefed, no less frequently than quarterly, on cybersecurity risks as part of its oversight functions and to ensure that cybersecurity practices align with the company’s overall risk management framework and business objectives.</w:t>
      </w:r>
    </w:p>
    <w:p>
      <w:pPr>
        <w:spacing w:after="0" w:line="152" w:lineRule="exact"/>
        <w:rPr>
          <w:sz w:val="20"/>
          <w:szCs w:val="20"/>
          <w:color w:val="auto"/>
        </w:rPr>
      </w:pPr>
    </w:p>
    <w:p>
      <w:pPr>
        <w:ind w:left="40" w:right="719"/>
        <w:spacing w:after="0" w:line="275" w:lineRule="auto"/>
        <w:rPr>
          <w:sz w:val="20"/>
          <w:szCs w:val="20"/>
          <w:color w:val="auto"/>
        </w:rPr>
      </w:pPr>
      <w:r>
        <w:rPr>
          <w:rFonts w:ascii="Arial" w:cs="Arial" w:eastAsia="Arial" w:hAnsi="Arial"/>
          <w:sz w:val="16"/>
          <w:szCs w:val="16"/>
          <w:color w:val="auto"/>
        </w:rPr>
        <w:t>We anticipate that we will continue to evaluate and address as needed our cybersecurity risk management, policies, structure, strategies and governance to meet our needs.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sets forth certain information concerning our principal properties related to our business segments.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Segment(s)</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506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Using Property</w:t>
            </w:r>
          </w:p>
        </w:tc>
        <w:tc>
          <w:tcPr>
            <w:tcW w:w="1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Leased</w:t>
            </w:r>
          </w:p>
        </w:tc>
        <w:tc>
          <w:tcPr>
            <w:tcW w:w="40" w:type="dxa"/>
            <w:vAlign w:val="bottom"/>
            <w:tcBorders>
              <w:bottom w:val="single" w:sz="8" w:color="CCEEFF"/>
            </w:tcBorders>
          </w:tcPr>
          <w:p>
            <w:pPr>
              <w:spacing w:after="0"/>
              <w:rPr>
                <w:sz w:val="13"/>
                <w:szCs w:val="13"/>
                <w:color w:val="auto"/>
              </w:rPr>
            </w:pPr>
          </w:p>
        </w:tc>
      </w:tr>
      <w:tr>
        <w:trPr>
          <w:trHeight w:val="162"/>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headquarters, Englewood, Colorado</w:t>
            </w: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All</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X</w:t>
            </w: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2"/>
        </w:trPr>
        <w:tc>
          <w:tcPr>
            <w:tcW w:w="5220" w:type="dxa"/>
            <w:vAlign w:val="bottom"/>
            <w:gridSpan w:val="2"/>
          </w:tcPr>
          <w:p>
            <w:pPr>
              <w:spacing w:after="0"/>
              <w:rPr>
                <w:sz w:val="20"/>
                <w:szCs w:val="20"/>
                <w:color w:val="auto"/>
              </w:rPr>
            </w:pPr>
            <w:r>
              <w:rPr>
                <w:rFonts w:ascii="Arial" w:cs="Arial" w:eastAsia="Arial" w:hAnsi="Arial"/>
                <w:sz w:val="13"/>
                <w:szCs w:val="13"/>
                <w:color w:val="auto"/>
              </w:rPr>
              <w:t>General offices, Littleton, Colorado</w:t>
            </w:r>
          </w:p>
        </w:tc>
        <w:tc>
          <w:tcPr>
            <w:tcW w:w="2400" w:type="dxa"/>
            <w:vAlign w:val="bottom"/>
            <w:gridSpan w:val="2"/>
          </w:tcPr>
          <w:p>
            <w:pPr>
              <w:jc w:val="center"/>
              <w:ind w:right="140"/>
              <w:spacing w:after="0"/>
              <w:rPr>
                <w:sz w:val="20"/>
                <w:szCs w:val="20"/>
                <w:color w:val="auto"/>
              </w:rPr>
            </w:pPr>
            <w:r>
              <w:rPr>
                <w:rFonts w:ascii="Arial" w:cs="Arial" w:eastAsia="Arial" w:hAnsi="Arial"/>
                <w:sz w:val="13"/>
                <w:szCs w:val="13"/>
                <w:color w:val="auto"/>
              </w:rPr>
              <w:t>Wireless</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X</w:t>
            </w:r>
          </w:p>
        </w:tc>
      </w:tr>
      <w:tr>
        <w:trPr>
          <w:trHeight w:val="137"/>
        </w:trPr>
        <w:tc>
          <w:tcPr>
            <w:tcW w:w="52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General offices, engineering offices, network and manufacturing operations and shared</w:t>
            </w:r>
          </w:p>
        </w:tc>
        <w:tc>
          <w:tcPr>
            <w:tcW w:w="2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3"/>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hubs, Germantown, Maryland</w:t>
            </w: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8"/>
              </w:rPr>
              <w:t>Broadband and Satellite Services</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X</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2"/>
        </w:trPr>
        <w:tc>
          <w:tcPr>
            <w:tcW w:w="5220" w:type="dxa"/>
            <w:vAlign w:val="bottom"/>
            <w:gridSpan w:val="2"/>
          </w:tcPr>
          <w:p>
            <w:pPr>
              <w:spacing w:after="0"/>
              <w:rPr>
                <w:sz w:val="20"/>
                <w:szCs w:val="20"/>
                <w:color w:val="auto"/>
              </w:rPr>
            </w:pPr>
            <w:r>
              <w:rPr>
                <w:rFonts w:ascii="Arial" w:cs="Arial" w:eastAsia="Arial" w:hAnsi="Arial"/>
                <w:sz w:val="13"/>
                <w:szCs w:val="13"/>
                <w:color w:val="auto"/>
              </w:rPr>
              <w:t>General offices and warehouse, Griesheim, Germany</w:t>
            </w:r>
          </w:p>
        </w:tc>
        <w:tc>
          <w:tcPr>
            <w:tcW w:w="2400" w:type="dxa"/>
            <w:vAlign w:val="bottom"/>
            <w:gridSpan w:val="2"/>
          </w:tcPr>
          <w:p>
            <w:pPr>
              <w:jc w:val="center"/>
              <w:ind w:right="140"/>
              <w:spacing w:after="0"/>
              <w:rPr>
                <w:sz w:val="20"/>
                <w:szCs w:val="20"/>
                <w:color w:val="auto"/>
              </w:rPr>
            </w:pPr>
            <w:r>
              <w:rPr>
                <w:rFonts w:ascii="Arial" w:cs="Arial" w:eastAsia="Arial" w:hAnsi="Arial"/>
                <w:sz w:val="13"/>
                <w:szCs w:val="13"/>
                <w:color w:val="auto"/>
                <w:w w:val="98"/>
              </w:rPr>
              <w:t>Broadband and Satellite Services</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color w:val="auto"/>
              </w:rPr>
              <w:t>X</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Customer call center, warehouse, service, and remanufacturing center, El Paso, Texas</w:t>
            </w: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Pay-TV</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X</w:t>
            </w: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2"/>
        </w:trPr>
        <w:tc>
          <w:tcPr>
            <w:tcW w:w="5220" w:type="dxa"/>
            <w:vAlign w:val="bottom"/>
            <w:gridSpan w:val="2"/>
          </w:tcPr>
          <w:p>
            <w:pPr>
              <w:spacing w:after="0"/>
              <w:rPr>
                <w:sz w:val="20"/>
                <w:szCs w:val="20"/>
                <w:color w:val="auto"/>
              </w:rPr>
            </w:pPr>
            <w:r>
              <w:rPr>
                <w:rFonts w:ascii="Arial" w:cs="Arial" w:eastAsia="Arial" w:hAnsi="Arial"/>
                <w:sz w:val="13"/>
                <w:szCs w:val="13"/>
                <w:color w:val="auto"/>
              </w:rPr>
              <w:t>Data center, gateways, equipment and operations, Cheyenne, Wyoming</w:t>
            </w:r>
          </w:p>
        </w:tc>
        <w:tc>
          <w:tcPr>
            <w:tcW w:w="240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All</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color w:val="auto"/>
              </w:rPr>
              <w:t>X</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Digital broadcast operations center, Cheyenne, Wyoming</w:t>
            </w: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Pay-TV</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X</w:t>
            </w: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37"/>
        </w:trPr>
        <w:tc>
          <w:tcPr>
            <w:tcW w:w="5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rPr>
              <w:t>Pay-TV/Broadband and Satellite</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5220" w:type="dxa"/>
            <w:vAlign w:val="bottom"/>
            <w:gridSpan w:val="2"/>
          </w:tcPr>
          <w:p>
            <w:pPr>
              <w:spacing w:after="0"/>
              <w:rPr>
                <w:sz w:val="20"/>
                <w:szCs w:val="20"/>
                <w:color w:val="auto"/>
              </w:rPr>
            </w:pPr>
            <w:r>
              <w:rPr>
                <w:rFonts w:ascii="Arial" w:cs="Arial" w:eastAsia="Arial" w:hAnsi="Arial"/>
                <w:sz w:val="13"/>
                <w:szCs w:val="13"/>
                <w:color w:val="auto"/>
              </w:rPr>
              <w:t>Digital broadcast operations center and gateways, Gilbert, Arizona</w:t>
            </w:r>
          </w:p>
        </w:tc>
        <w:tc>
          <w:tcPr>
            <w:tcW w:w="2400" w:type="dxa"/>
            <w:vAlign w:val="bottom"/>
            <w:gridSpan w:val="2"/>
          </w:tcPr>
          <w:p>
            <w:pPr>
              <w:jc w:val="center"/>
              <w:ind w:right="140"/>
              <w:spacing w:after="0"/>
              <w:rPr>
                <w:sz w:val="20"/>
                <w:szCs w:val="20"/>
                <w:color w:val="auto"/>
              </w:rPr>
            </w:pPr>
            <w:r>
              <w:rPr>
                <w:rFonts w:ascii="Arial" w:cs="Arial" w:eastAsia="Arial" w:hAnsi="Arial"/>
                <w:sz w:val="13"/>
                <w:szCs w:val="13"/>
                <w:color w:val="auto"/>
              </w:rPr>
              <w:t>Services</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color w:val="auto"/>
              </w:rPr>
              <w:t>X</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2"/>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Engineering offices and service center, Englewood, Colorado</w:t>
            </w:r>
          </w:p>
        </w:tc>
        <w:tc>
          <w:tcPr>
            <w:tcW w:w="24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Pay-TV</w:t>
            </w:r>
          </w:p>
        </w:tc>
        <w:tc>
          <w:tcPr>
            <w:tcW w:w="7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X</w:t>
            </w: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2"/>
        </w:trPr>
        <w:tc>
          <w:tcPr>
            <w:tcW w:w="5220" w:type="dxa"/>
            <w:vAlign w:val="bottom"/>
            <w:gridSpan w:val="2"/>
          </w:tcPr>
          <w:p>
            <w:pPr>
              <w:spacing w:after="0"/>
              <w:rPr>
                <w:sz w:val="20"/>
                <w:szCs w:val="20"/>
                <w:color w:val="auto"/>
              </w:rPr>
            </w:pPr>
            <w:r>
              <w:rPr>
                <w:rFonts w:ascii="Arial" w:cs="Arial" w:eastAsia="Arial" w:hAnsi="Arial"/>
                <w:sz w:val="13"/>
                <w:szCs w:val="13"/>
                <w:color w:val="auto"/>
              </w:rPr>
              <w:t>Warehouse, Denver, Colorado</w:t>
            </w:r>
          </w:p>
        </w:tc>
        <w:tc>
          <w:tcPr>
            <w:tcW w:w="2400" w:type="dxa"/>
            <w:vAlign w:val="bottom"/>
            <w:gridSpan w:val="2"/>
          </w:tcPr>
          <w:p>
            <w:pPr>
              <w:jc w:val="center"/>
              <w:ind w:right="140"/>
              <w:spacing w:after="0"/>
              <w:rPr>
                <w:sz w:val="20"/>
                <w:szCs w:val="20"/>
                <w:color w:val="auto"/>
              </w:rPr>
            </w:pPr>
            <w:r>
              <w:rPr>
                <w:rFonts w:ascii="Arial" w:cs="Arial" w:eastAsia="Arial" w:hAnsi="Arial"/>
                <w:sz w:val="13"/>
                <w:szCs w:val="13"/>
                <w:color w:val="auto"/>
                <w:w w:val="96"/>
              </w:rPr>
              <w:t>Pay-TV</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color w:val="auto"/>
              </w:rPr>
              <w:t>X</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Warehouse and distribution center, Spartanburg, South Carolina</w:t>
            </w:r>
          </w:p>
        </w:tc>
        <w:tc>
          <w:tcPr>
            <w:tcW w:w="24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9"/>
              </w:rPr>
              <w:t>Pay-TV/Wireless</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X</w:t>
            </w:r>
          </w:p>
        </w:tc>
      </w:tr>
      <w:tr>
        <w:trPr>
          <w:trHeight w:val="182"/>
        </w:trPr>
        <w:tc>
          <w:tcPr>
            <w:tcW w:w="5220" w:type="dxa"/>
            <w:vAlign w:val="bottom"/>
            <w:gridSpan w:val="2"/>
          </w:tcPr>
          <w:p>
            <w:pPr>
              <w:spacing w:after="0"/>
              <w:rPr>
                <w:sz w:val="20"/>
                <w:szCs w:val="20"/>
                <w:color w:val="auto"/>
              </w:rPr>
            </w:pPr>
            <w:r>
              <w:rPr>
                <w:rFonts w:ascii="Arial" w:cs="Arial" w:eastAsia="Arial" w:hAnsi="Arial"/>
                <w:sz w:val="13"/>
                <w:szCs w:val="13"/>
                <w:color w:val="auto"/>
              </w:rPr>
              <w:t>Warehouse and distribution center, Denver, Colorado</w:t>
            </w:r>
          </w:p>
        </w:tc>
        <w:tc>
          <w:tcPr>
            <w:tcW w:w="2400" w:type="dxa"/>
            <w:vAlign w:val="bottom"/>
            <w:gridSpan w:val="2"/>
          </w:tcPr>
          <w:p>
            <w:pPr>
              <w:jc w:val="center"/>
              <w:ind w:right="160"/>
              <w:spacing w:after="0"/>
              <w:rPr>
                <w:sz w:val="20"/>
                <w:szCs w:val="20"/>
                <w:color w:val="auto"/>
              </w:rPr>
            </w:pPr>
            <w:r>
              <w:rPr>
                <w:rFonts w:ascii="Arial" w:cs="Arial" w:eastAsia="Arial" w:hAnsi="Arial"/>
                <w:sz w:val="13"/>
                <w:szCs w:val="13"/>
                <w:color w:val="auto"/>
                <w:w w:val="99"/>
              </w:rPr>
              <w:t>Pay-TV/Wireless</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X</w:t>
            </w:r>
          </w:p>
        </w:tc>
      </w:tr>
      <w:tr>
        <w:trPr>
          <w:trHeight w:val="182"/>
        </w:trPr>
        <w:tc>
          <w:tcPr>
            <w:tcW w:w="5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Warehouse and distribution center, Atlanta, Georgia</w:t>
            </w:r>
          </w:p>
        </w:tc>
        <w:tc>
          <w:tcPr>
            <w:tcW w:w="24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9"/>
              </w:rPr>
              <w:t>Pay-TV/Wireless</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1"/>
              </w:rPr>
              <w:t>X</w:t>
            </w:r>
          </w:p>
        </w:tc>
      </w:tr>
    </w:tbl>
    <w:p>
      <w:pPr>
        <w:spacing w:after="0" w:line="165" w:lineRule="exact"/>
        <w:rPr>
          <w:sz w:val="20"/>
          <w:szCs w:val="20"/>
          <w:color w:val="auto"/>
        </w:rPr>
      </w:pPr>
    </w:p>
    <w:p>
      <w:pPr>
        <w:ind w:left="40" w:right="119"/>
        <w:spacing w:after="0" w:line="242" w:lineRule="auto"/>
        <w:rPr>
          <w:sz w:val="20"/>
          <w:szCs w:val="20"/>
          <w:color w:val="auto"/>
        </w:rPr>
      </w:pPr>
      <w:r>
        <w:rPr>
          <w:rFonts w:ascii="Arial" w:cs="Arial" w:eastAsia="Arial" w:hAnsi="Arial"/>
          <w:sz w:val="16"/>
          <w:szCs w:val="16"/>
          <w:color w:val="auto"/>
        </w:rPr>
        <w:t>In addition to the principal properties listed above, we operate numerous facilities for, among other things, our in-home service operations, customer call centers, digital broadcast operations centers strategically located in regions throughout the United States, manufacturing and testing facilities, shared hubs, regional network management centers and backup network operation and control centers. We also have several general offices in foreign countries. Furthermore, our Pay-TV segment owns or leases capacity on nine satellites, which are a major component of our DISH TV services and our Broadband and Satellite Services segment currently owns or leases capacity on nine satellites, which are a major component of the Broadband and Satellite Services segment. See Note 8 in the Notes to our Consolidated Financial Statements in this Annual Report on Form 10-K for further information.</w:t>
      </w:r>
    </w:p>
    <w:p>
      <w:pPr>
        <w:spacing w:after="0" w:line="150"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79" w:lineRule="exact"/>
        <w:rPr>
          <w:sz w:val="20"/>
          <w:szCs w:val="20"/>
          <w:color w:val="auto"/>
        </w:rPr>
      </w:pPr>
    </w:p>
    <w:p>
      <w:pPr>
        <w:ind w:left="40" w:right="539"/>
        <w:spacing w:after="0" w:line="275" w:lineRule="auto"/>
        <w:rPr>
          <w:sz w:val="20"/>
          <w:szCs w:val="20"/>
          <w:color w:val="auto"/>
        </w:rPr>
      </w:pPr>
      <w:r>
        <w:rPr>
          <w:rFonts w:ascii="Arial" w:cs="Arial" w:eastAsia="Arial" w:hAnsi="Arial"/>
          <w:sz w:val="16"/>
          <w:szCs w:val="16"/>
          <w:color w:val="auto"/>
        </w:rPr>
        <w:t>See Note 15 in the Notes to our Consolidated Financial Statements in this Annual Report on Form 10-K for information regarding certain legal proceedings in which we are involved.</w:t>
      </w:r>
    </w:p>
    <w:p>
      <w:pPr>
        <w:spacing w:after="0" w:line="123"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191" w:lineRule="exact"/>
        <w:rPr>
          <w:sz w:val="20"/>
          <w:szCs w:val="20"/>
          <w:color w:val="auto"/>
        </w:rPr>
      </w:pPr>
    </w:p>
    <w:p>
      <w:pPr>
        <w:ind w:left="860" w:right="439" w:hanging="810"/>
        <w:spacing w:after="0" w:line="286" w:lineRule="auto"/>
        <w:tabs>
          <w:tab w:leader="none" w:pos="8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Market Information</w:t>
      </w:r>
    </w:p>
    <w:p>
      <w:pPr>
        <w:spacing w:after="0" w:line="179" w:lineRule="exact"/>
        <w:rPr>
          <w:sz w:val="20"/>
          <w:szCs w:val="20"/>
          <w:color w:val="auto"/>
        </w:rPr>
      </w:pPr>
    </w:p>
    <w:p>
      <w:pPr>
        <w:ind w:left="40" w:right="439"/>
        <w:spacing w:after="0" w:line="243" w:lineRule="auto"/>
        <w:rPr>
          <w:sz w:val="20"/>
          <w:szCs w:val="20"/>
          <w:color w:val="auto"/>
        </w:rPr>
      </w:pPr>
      <w:r>
        <w:rPr>
          <w:rFonts w:ascii="Arial" w:cs="Arial" w:eastAsia="Arial" w:hAnsi="Arial"/>
          <w:sz w:val="16"/>
          <w:szCs w:val="16"/>
          <w:color w:val="auto"/>
        </w:rPr>
        <w:t>Our Class A common stock is quoted on the Nasdaq Global Select Market under the symbol “SATS.” As of February 20, 2025, there were approximately 8,441 holders of record of our Class A common stock, not including stockholders who beneficially own Class A common stock held in nominee or street name. As of February 20, 2025, all of the</w:t>
      </w:r>
    </w:p>
    <w:p>
      <w:pPr>
        <w:spacing w:after="0" w:line="2" w:lineRule="exact"/>
        <w:rPr>
          <w:sz w:val="20"/>
          <w:szCs w:val="20"/>
          <w:color w:val="auto"/>
        </w:rPr>
      </w:pPr>
    </w:p>
    <w:p>
      <w:pPr>
        <w:ind w:left="40" w:right="299"/>
        <w:spacing w:after="0" w:line="236" w:lineRule="auto"/>
        <w:rPr>
          <w:sz w:val="20"/>
          <w:szCs w:val="20"/>
          <w:color w:val="auto"/>
        </w:rPr>
      </w:pPr>
      <w:r>
        <w:rPr>
          <w:rFonts w:ascii="Arial" w:cs="Arial" w:eastAsia="Arial" w:hAnsi="Arial"/>
          <w:sz w:val="16"/>
          <w:szCs w:val="16"/>
          <w:color w:val="auto"/>
        </w:rPr>
        <w:t>131,348,468 outstanding shares of our Class B common stock were beneficially held by Charles W. Ergen, our Chairman, and by certain entities established by Mr. Ergen for the benefit of his family. There is currently no trading market for our Class B common stock.</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Dividends</w:t>
      </w:r>
    </w:p>
    <w:p>
      <w:pPr>
        <w:spacing w:after="0" w:line="179" w:lineRule="exact"/>
        <w:rPr>
          <w:sz w:val="20"/>
          <w:szCs w:val="20"/>
          <w:color w:val="auto"/>
        </w:rPr>
      </w:pPr>
    </w:p>
    <w:p>
      <w:pPr>
        <w:jc w:val="both"/>
        <w:ind w:left="40" w:right="339"/>
        <w:spacing w:after="0" w:line="246" w:lineRule="auto"/>
        <w:rPr>
          <w:sz w:val="20"/>
          <w:szCs w:val="20"/>
          <w:color w:val="auto"/>
        </w:rPr>
      </w:pPr>
      <w:r>
        <w:rPr>
          <w:rFonts w:ascii="Arial" w:cs="Arial" w:eastAsia="Arial" w:hAnsi="Arial"/>
          <w:sz w:val="16"/>
          <w:szCs w:val="16"/>
          <w:color w:val="auto"/>
        </w:rPr>
        <w:t>We have not paid any cash dividends on our common stock in the past two years. We currently do not intend to declare dividends on our common stock. Payment of any future dividends will depend upon our earnings, capital requirements, contractual restrictions and other factors the Board of Directors considers appropriate. Our ability to declare dividends is affected by the covenants in our and our subsidiaries’ indentures. See Note 10 in the Notes to our Consolidated Financial Statements in this Annual Report on Form 10-K for further information.</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79" w:lineRule="exact"/>
        <w:rPr>
          <w:sz w:val="20"/>
          <w:szCs w:val="20"/>
          <w:color w:val="auto"/>
        </w:rPr>
      </w:pPr>
    </w:p>
    <w:p>
      <w:pPr>
        <w:ind w:left="40" w:right="259"/>
        <w:spacing w:after="0" w:line="275"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Item 12. Security Ownership of Certain Beneficial Owners and Management and Related Stockholder Matters</w:t>
      </w:r>
      <w:r>
        <w:rPr>
          <w:rFonts w:ascii="Arial" w:cs="Arial" w:eastAsia="Arial" w:hAnsi="Arial"/>
          <w:sz w:val="16"/>
          <w:szCs w:val="16"/>
          <w:color w:val="auto"/>
        </w:rPr>
        <w:t>” in this Annual Report on Form 10-K.</w:t>
      </w:r>
    </w:p>
    <w:p>
      <w:pPr>
        <w:spacing w:after="0" w:line="123" w:lineRule="exact"/>
        <w:rPr>
          <w:sz w:val="20"/>
          <w:szCs w:val="20"/>
          <w:color w:val="auto"/>
        </w:rPr>
      </w:pPr>
    </w:p>
    <w:p>
      <w:pPr>
        <w:ind w:left="40" w:right="3579"/>
        <w:spacing w:after="0" w:line="473" w:lineRule="auto"/>
        <w:rPr>
          <w:sz w:val="20"/>
          <w:szCs w:val="20"/>
          <w:color w:val="auto"/>
        </w:rPr>
      </w:pPr>
      <w:r>
        <w:rPr>
          <w:rFonts w:ascii="Arial" w:cs="Arial" w:eastAsia="Arial" w:hAnsi="Arial"/>
          <w:sz w:val="16"/>
          <w:szCs w:val="16"/>
          <w:b w:val="1"/>
          <w:bCs w:val="1"/>
          <w:color w:val="auto"/>
        </w:rPr>
        <w:t xml:space="preserve">Purchases of Equity Securities by the Issuer and Affiliated Purchasers </w:t>
      </w:r>
      <w:r>
        <w:rPr>
          <w:rFonts w:ascii="Arial" w:cs="Arial" w:eastAsia="Arial" w:hAnsi="Arial"/>
          <w:sz w:val="16"/>
          <w:szCs w:val="16"/>
          <w:b w:val="1"/>
          <w:bCs w:val="1"/>
          <w:i w:val="1"/>
          <w:iCs w:val="1"/>
          <w:color w:val="auto"/>
        </w:rPr>
        <w:t>Exchange Offer</w:t>
      </w:r>
    </w:p>
    <w:p>
      <w:pPr>
        <w:spacing w:after="0" w:line="1" w:lineRule="exact"/>
        <w:rPr>
          <w:sz w:val="20"/>
          <w:szCs w:val="20"/>
          <w:color w:val="auto"/>
        </w:rPr>
      </w:pPr>
    </w:p>
    <w:p>
      <w:pPr>
        <w:ind w:left="40" w:right="159"/>
        <w:spacing w:after="0" w:line="243" w:lineRule="auto"/>
        <w:rPr>
          <w:sz w:val="20"/>
          <w:szCs w:val="20"/>
          <w:color w:val="auto"/>
        </w:rPr>
      </w:pPr>
      <w:r>
        <w:rPr>
          <w:rFonts w:ascii="Arial" w:cs="Arial" w:eastAsia="Arial" w:hAnsi="Arial"/>
          <w:sz w:val="16"/>
          <w:szCs w:val="16"/>
          <w:color w:val="auto"/>
        </w:rPr>
        <w:t>On March 4, 2024, we commenced a tender offer to eligible employees (which excludes our co-founders and the non-employee members of our Board of Directors) to exchange eligible stock options (which excludes the Ergen 2020 Performance Award) for new options as detailed in our Schedule TO filed March 4, 2024 with the Securities and Exchange Commission (the “Exchange Offer”), to, among other things, further align employee incentives with the current market. The Exchange Offer expired on April 1, 2024 and we accepted for exchange approximately 7 million stock options. As a result of the Exchange Offer, during the second quarter of 2024, the exercise price of approximately 6 million new stock options, affecting approximately 1,000 eligible employees, was adjusted to $14.04.</w:t>
      </w:r>
    </w:p>
    <w:p>
      <w:pPr>
        <w:spacing w:after="0" w:line="148" w:lineRule="exact"/>
        <w:rPr>
          <w:sz w:val="20"/>
          <w:szCs w:val="20"/>
          <w:color w:val="auto"/>
        </w:rPr>
      </w:pPr>
    </w:p>
    <w:p>
      <w:pPr>
        <w:ind w:left="40" w:right="159"/>
        <w:spacing w:after="0" w:line="256" w:lineRule="auto"/>
        <w:rPr>
          <w:sz w:val="20"/>
          <w:szCs w:val="20"/>
          <w:color w:val="auto"/>
        </w:rPr>
      </w:pPr>
      <w:r>
        <w:rPr>
          <w:rFonts w:ascii="Arial" w:cs="Arial" w:eastAsia="Arial" w:hAnsi="Arial"/>
          <w:sz w:val="16"/>
          <w:szCs w:val="16"/>
          <w:color w:val="222222"/>
        </w:rPr>
        <w:t>The new stock options were offered in reliance of the exemption from registration under Section 3(a)(9) of the Securities Act of 1933, as amended. For details on the terms of the new options, see Item 4 of our Schedule TO Tender Offer Statement dated March 4, 2024 and filed with the SEC on March 4, 2024.</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222222"/>
        </w:rPr>
        <w:t>PIPE Shares</w:t>
      </w:r>
    </w:p>
    <w:p>
      <w:pPr>
        <w:spacing w:after="0" w:line="177" w:lineRule="exact"/>
        <w:rPr>
          <w:sz w:val="20"/>
          <w:szCs w:val="20"/>
          <w:color w:val="auto"/>
        </w:rPr>
      </w:pPr>
    </w:p>
    <w:p>
      <w:pPr>
        <w:ind w:left="40" w:right="159"/>
        <w:spacing w:after="0" w:line="243" w:lineRule="auto"/>
        <w:rPr>
          <w:sz w:val="20"/>
          <w:szCs w:val="20"/>
          <w:color w:val="auto"/>
        </w:rPr>
      </w:pPr>
      <w:r>
        <w:rPr>
          <w:rFonts w:ascii="Arial" w:cs="Arial" w:eastAsia="Arial" w:hAnsi="Arial"/>
          <w:sz w:val="16"/>
          <w:szCs w:val="16"/>
          <w:color w:val="222222"/>
        </w:rPr>
        <w:t>On September 30, 2024, we entered into subscription agreements with certain accredited investors including CONX (the “PIPE Investors” and the subscription agreements, the “Subscription Agreements”), pursuant to which the PIPE Investors agreed to purchase an aggregate of 14.265 million shares (the “PIPE Shares”) of our Class A Common Stock at a purchase price of $28.04 per share, for an aggregate cash purchase price of approximately $400 million (such investment, the “PIPE Investment”). The portion of the PIPE Investment represented by the CONX Subscription Agreement represented an agreement to purchase from us an aggregate of 1.551 million shares of our Class A Common Stock for an aggregate cash purchase price of approximately $43.5 million. The PIPE Shares were issued and settled on November 12, 2024.</w:t>
      </w:r>
    </w:p>
    <w:p>
      <w:pPr>
        <w:spacing w:after="0" w:line="148" w:lineRule="exact"/>
        <w:rPr>
          <w:sz w:val="20"/>
          <w:szCs w:val="20"/>
          <w:color w:val="auto"/>
        </w:rPr>
      </w:pPr>
    </w:p>
    <w:p>
      <w:pPr>
        <w:ind w:left="40" w:right="59"/>
        <w:spacing w:after="0" w:line="256" w:lineRule="auto"/>
        <w:rPr>
          <w:sz w:val="20"/>
          <w:szCs w:val="20"/>
          <w:color w:val="auto"/>
        </w:rPr>
      </w:pPr>
      <w:r>
        <w:rPr>
          <w:rFonts w:ascii="Arial" w:cs="Arial" w:eastAsia="Arial" w:hAnsi="Arial"/>
          <w:sz w:val="16"/>
          <w:szCs w:val="16"/>
          <w:color w:val="222222"/>
        </w:rPr>
        <w:t>The PIPE Shares will not be registered under the Securities Act of 1933, as amended (the “Securities Act”), in reliance on the exemption from registration provided by Section 4(a)(2) of the Securities Act and/or Regulation D promulgated thereunder. We relied on this exemption from registration based in part on representations made by the PIPE Investors.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Stock Repurchase Program</w:t>
      </w:r>
    </w:p>
    <w:p>
      <w:pPr>
        <w:spacing w:after="0" w:line="177"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The following table provides information regarding purchases of our Class A common stock made by us for the period from October 1, 2024 through December 31, 2024.</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Total Number of</w:t>
            </w:r>
          </w:p>
        </w:tc>
        <w:tc>
          <w:tcPr>
            <w:tcW w:w="100" w:type="dxa"/>
            <w:vAlign w:val="bottom"/>
          </w:tcPr>
          <w:p>
            <w:pPr>
              <w:spacing w:after="0"/>
              <w:rPr>
                <w:sz w:val="13"/>
                <w:szCs w:val="13"/>
                <w:color w:val="auto"/>
              </w:rPr>
            </w:pPr>
          </w:p>
        </w:tc>
        <w:tc>
          <w:tcPr>
            <w:tcW w:w="1540" w:type="dxa"/>
            <w:vAlign w:val="bottom"/>
          </w:tcPr>
          <w:p>
            <w:pPr>
              <w:jc w:val="center"/>
              <w:ind w:right="15"/>
              <w:spacing w:after="0"/>
              <w:rPr>
                <w:sz w:val="20"/>
                <w:szCs w:val="20"/>
                <w:color w:val="auto"/>
              </w:rPr>
            </w:pPr>
            <w:r>
              <w:rPr>
                <w:rFonts w:ascii="Arial" w:cs="Arial" w:eastAsia="Arial" w:hAnsi="Arial"/>
                <w:sz w:val="13"/>
                <w:szCs w:val="13"/>
                <w:b w:val="1"/>
                <w:bCs w:val="1"/>
                <w:color w:val="auto"/>
                <w:w w:val="99"/>
              </w:rPr>
              <w:t>Maximum Approximate</w:t>
            </w:r>
          </w:p>
        </w:tc>
      </w:tr>
      <w:tr>
        <w:trPr>
          <w:trHeight w:val="145"/>
        </w:trPr>
        <w:tc>
          <w:tcPr>
            <w:tcW w:w="2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left="175"/>
              <w:spacing w:after="0" w:line="146" w:lineRule="exact"/>
              <w:rPr>
                <w:sz w:val="20"/>
                <w:szCs w:val="20"/>
                <w:color w:val="auto"/>
              </w:rPr>
            </w:pPr>
            <w:r>
              <w:rPr>
                <w:rFonts w:ascii="Arial" w:cs="Arial" w:eastAsia="Arial" w:hAnsi="Arial"/>
                <w:sz w:val="13"/>
                <w:szCs w:val="13"/>
                <w:b w:val="1"/>
                <w:bCs w:val="1"/>
                <w:color w:val="auto"/>
                <w:w w:val="96"/>
              </w:rPr>
              <w:t>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2"/>
                <w:szCs w:val="12"/>
                <w:color w:val="auto"/>
              </w:rPr>
            </w:pPr>
          </w:p>
        </w:tc>
        <w:tc>
          <w:tcPr>
            <w:tcW w:w="1540" w:type="dxa"/>
            <w:vAlign w:val="bottom"/>
          </w:tcPr>
          <w:p>
            <w:pPr>
              <w:jc w:val="center"/>
              <w:ind w:right="35"/>
              <w:spacing w:after="0" w:line="146" w:lineRule="exact"/>
              <w:rPr>
                <w:sz w:val="20"/>
                <w:szCs w:val="20"/>
                <w:color w:val="auto"/>
              </w:rPr>
            </w:pPr>
            <w:r>
              <w:rPr>
                <w:rFonts w:ascii="Arial" w:cs="Arial" w:eastAsia="Arial" w:hAnsi="Arial"/>
                <w:sz w:val="13"/>
                <w:szCs w:val="13"/>
                <w:b w:val="1"/>
                <w:bCs w:val="1"/>
                <w:color w:val="auto"/>
                <w:w w:val="98"/>
              </w:rPr>
              <w:t>Dollar Value of Shares</w:t>
            </w:r>
          </w:p>
        </w:tc>
      </w:tr>
      <w:tr>
        <w:trPr>
          <w:trHeight w:val="145"/>
        </w:trPr>
        <w:tc>
          <w:tcPr>
            <w:tcW w:w="2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left="175"/>
              <w:spacing w:after="0" w:line="146"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97"/>
              </w:rPr>
              <w:t>Average</w:t>
            </w:r>
          </w:p>
        </w:tc>
        <w:tc>
          <w:tcPr>
            <w:tcW w:w="14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7"/>
              </w:rPr>
              <w:t>as Part of Publicly</w:t>
            </w:r>
          </w:p>
        </w:tc>
        <w:tc>
          <w:tcPr>
            <w:tcW w:w="100" w:type="dxa"/>
            <w:vAlign w:val="bottom"/>
          </w:tcPr>
          <w:p>
            <w:pPr>
              <w:spacing w:after="0"/>
              <w:rPr>
                <w:sz w:val="12"/>
                <w:szCs w:val="12"/>
                <w:color w:val="auto"/>
              </w:rPr>
            </w:pPr>
          </w:p>
        </w:tc>
        <w:tc>
          <w:tcPr>
            <w:tcW w:w="1540" w:type="dxa"/>
            <w:vAlign w:val="bottom"/>
          </w:tcPr>
          <w:p>
            <w:pPr>
              <w:jc w:val="center"/>
              <w:ind w:right="15"/>
              <w:spacing w:after="0" w:line="146" w:lineRule="exact"/>
              <w:rPr>
                <w:sz w:val="20"/>
                <w:szCs w:val="20"/>
                <w:color w:val="auto"/>
              </w:rPr>
            </w:pPr>
            <w:r>
              <w:rPr>
                <w:rFonts w:ascii="Arial" w:cs="Arial" w:eastAsia="Arial" w:hAnsi="Arial"/>
                <w:sz w:val="13"/>
                <w:szCs w:val="13"/>
                <w:b w:val="1"/>
                <w:bCs w:val="1"/>
                <w:color w:val="auto"/>
                <w:w w:val="98"/>
              </w:rPr>
              <w:t>that May Yet be</w:t>
            </w:r>
          </w:p>
        </w:tc>
      </w:tr>
      <w:tr>
        <w:trPr>
          <w:trHeight w:val="145"/>
        </w:trPr>
        <w:tc>
          <w:tcPr>
            <w:tcW w:w="2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left="175"/>
              <w:spacing w:after="0" w:line="146" w:lineRule="exact"/>
              <w:rPr>
                <w:sz w:val="20"/>
                <w:szCs w:val="20"/>
                <w:color w:val="auto"/>
              </w:rPr>
            </w:pPr>
            <w:r>
              <w:rPr>
                <w:rFonts w:ascii="Arial" w:cs="Arial" w:eastAsia="Arial" w:hAnsi="Arial"/>
                <w:sz w:val="13"/>
                <w:szCs w:val="13"/>
                <w:b w:val="1"/>
                <w:bCs w:val="1"/>
                <w:color w:val="auto"/>
                <w:w w:val="96"/>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98"/>
              </w:rPr>
              <w:t>Price Paid</w:t>
            </w:r>
          </w:p>
        </w:tc>
        <w:tc>
          <w:tcPr>
            <w:tcW w:w="14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7"/>
              </w:rPr>
              <w:t>Announced</w:t>
            </w:r>
          </w:p>
        </w:tc>
        <w:tc>
          <w:tcPr>
            <w:tcW w:w="100" w:type="dxa"/>
            <w:vAlign w:val="bottom"/>
          </w:tcPr>
          <w:p>
            <w:pPr>
              <w:spacing w:after="0"/>
              <w:rPr>
                <w:sz w:val="12"/>
                <w:szCs w:val="12"/>
                <w:color w:val="auto"/>
              </w:rPr>
            </w:pPr>
          </w:p>
        </w:tc>
        <w:tc>
          <w:tcPr>
            <w:tcW w:w="1540" w:type="dxa"/>
            <w:vAlign w:val="bottom"/>
          </w:tcPr>
          <w:p>
            <w:pPr>
              <w:jc w:val="center"/>
              <w:ind w:right="15"/>
              <w:spacing w:after="0" w:line="146" w:lineRule="exact"/>
              <w:rPr>
                <w:sz w:val="20"/>
                <w:szCs w:val="20"/>
                <w:color w:val="auto"/>
              </w:rPr>
            </w:pPr>
            <w:r>
              <w:rPr>
                <w:rFonts w:ascii="Arial" w:cs="Arial" w:eastAsia="Arial" w:hAnsi="Arial"/>
                <w:sz w:val="13"/>
                <w:szCs w:val="13"/>
                <w:b w:val="1"/>
                <w:bCs w:val="1"/>
                <w:color w:val="auto"/>
                <w:w w:val="99"/>
              </w:rPr>
              <w:t>Purchased Under the</w:t>
            </w:r>
          </w:p>
        </w:tc>
      </w:tr>
      <w:tr>
        <w:trPr>
          <w:trHeight w:val="153"/>
        </w:trPr>
        <w:tc>
          <w:tcPr>
            <w:tcW w:w="2800" w:type="dxa"/>
            <w:vAlign w:val="bottom"/>
            <w:gridSpan w:val="3"/>
          </w:tcPr>
          <w:p>
            <w:pPr>
              <w:spacing w:after="0"/>
              <w:rPr>
                <w:sz w:val="20"/>
                <w:szCs w:val="20"/>
                <w:color w:val="auto"/>
              </w:rPr>
            </w:pPr>
            <w:r>
              <w:rPr>
                <w:rFonts w:ascii="Arial" w:cs="Arial" w:eastAsia="Arial" w:hAnsi="Arial"/>
                <w:sz w:val="13"/>
                <w:szCs w:val="13"/>
                <w:b w:val="1"/>
                <w:bCs w:val="1"/>
                <w:color w:val="auto"/>
              </w:rPr>
              <w:t>Period</w:t>
            </w:r>
          </w:p>
        </w:tc>
        <w:tc>
          <w:tcPr>
            <w:tcW w:w="1060" w:type="dxa"/>
            <w:vAlign w:val="bottom"/>
          </w:tcPr>
          <w:p>
            <w:pPr>
              <w:jc w:val="center"/>
              <w:ind w:left="175"/>
              <w:spacing w:after="0"/>
              <w:rPr>
                <w:sz w:val="20"/>
                <w:szCs w:val="20"/>
                <w:color w:val="auto"/>
              </w:rPr>
            </w:pPr>
            <w:r>
              <w:rPr>
                <w:rFonts w:ascii="Arial" w:cs="Arial" w:eastAsia="Arial" w:hAnsi="Arial"/>
                <w:sz w:val="13"/>
                <w:szCs w:val="13"/>
                <w:b w:val="1"/>
                <w:bCs w:val="1"/>
                <w:color w:val="auto"/>
                <w:w w:val="99"/>
              </w:rPr>
              <w:t>Purchased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9"/>
              </w:rPr>
              <w:t>per Share</w:t>
            </w:r>
          </w:p>
        </w:tc>
        <w:tc>
          <w:tcPr>
            <w:tcW w:w="1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Programs</w:t>
            </w:r>
          </w:p>
        </w:tc>
        <w:tc>
          <w:tcPr>
            <w:tcW w:w="100" w:type="dxa"/>
            <w:vAlign w:val="bottom"/>
          </w:tcPr>
          <w:p>
            <w:pPr>
              <w:spacing w:after="0"/>
              <w:rPr>
                <w:sz w:val="13"/>
                <w:szCs w:val="13"/>
                <w:color w:val="auto"/>
              </w:rPr>
            </w:pPr>
          </w:p>
        </w:tc>
        <w:tc>
          <w:tcPr>
            <w:tcW w:w="1540" w:type="dxa"/>
            <w:vAlign w:val="bottom"/>
          </w:tcPr>
          <w:p>
            <w:pPr>
              <w:jc w:val="center"/>
              <w:ind w:right="35"/>
              <w:spacing w:after="0"/>
              <w:rPr>
                <w:sz w:val="20"/>
                <w:szCs w:val="20"/>
                <w:color w:val="auto"/>
              </w:rPr>
            </w:pPr>
            <w:r>
              <w:rPr>
                <w:rFonts w:ascii="Arial" w:cs="Arial" w:eastAsia="Arial" w:hAnsi="Arial"/>
                <w:sz w:val="13"/>
                <w:szCs w:val="13"/>
                <w:b w:val="1"/>
                <w:bCs w:val="1"/>
                <w:color w:val="auto"/>
                <w:w w:val="99"/>
              </w:rPr>
              <w:t>Programs (1)</w:t>
            </w:r>
          </w:p>
        </w:tc>
      </w:tr>
      <w:tr>
        <w:trPr>
          <w:trHeight w:val="137"/>
        </w:trPr>
        <w:tc>
          <w:tcPr>
            <w:tcW w:w="2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ind w:left="420"/>
              <w:spacing w:after="0" w:line="138" w:lineRule="exact"/>
              <w:rPr>
                <w:sz w:val="20"/>
                <w:szCs w:val="20"/>
                <w:color w:val="auto"/>
              </w:rPr>
            </w:pPr>
            <w:r>
              <w:rPr>
                <w:rFonts w:ascii="Arial" w:cs="Arial" w:eastAsia="Arial" w:hAnsi="Arial"/>
                <w:sz w:val="13"/>
                <w:szCs w:val="13"/>
                <w:color w:val="auto"/>
                <w:w w:val="87"/>
              </w:rPr>
              <w:t>(In thousands,</w:t>
            </w:r>
          </w:p>
        </w:tc>
        <w:tc>
          <w:tcPr>
            <w:tcW w:w="160" w:type="dxa"/>
            <w:vAlign w:val="bottom"/>
          </w:tcPr>
          <w:p>
            <w:pPr>
              <w:spacing w:after="0"/>
              <w:rPr>
                <w:sz w:val="11"/>
                <w:szCs w:val="11"/>
                <w:color w:val="auto"/>
              </w:rPr>
            </w:pPr>
          </w:p>
        </w:tc>
        <w:tc>
          <w:tcPr>
            <w:tcW w:w="132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color w:val="auto"/>
              </w:rPr>
              <w:t>except share data)</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r>
      <w:tr>
        <w:trPr>
          <w:trHeight w:val="145"/>
        </w:trPr>
        <w:tc>
          <w:tcPr>
            <w:tcW w:w="2800" w:type="dxa"/>
            <w:vAlign w:val="bottom"/>
            <w:gridSpan w:val="3"/>
            <w:shd w:val="clear" w:color="auto" w:fill="CCEEFF"/>
          </w:tcPr>
          <w:p>
            <w:pPr>
              <w:spacing w:after="0" w:line="146" w:lineRule="exact"/>
              <w:rPr>
                <w:sz w:val="20"/>
                <w:szCs w:val="20"/>
                <w:color w:val="auto"/>
              </w:rPr>
            </w:pPr>
            <w:r>
              <w:rPr>
                <w:rFonts w:ascii="Arial" w:cs="Arial" w:eastAsia="Arial" w:hAnsi="Arial"/>
                <w:sz w:val="13"/>
                <w:szCs w:val="13"/>
                <w:color w:val="auto"/>
              </w:rPr>
              <w:t>October 1, 2024 - October 31, 2024</w:t>
            </w:r>
          </w:p>
        </w:tc>
        <w:tc>
          <w:tcPr>
            <w:tcW w:w="10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80"/>
              <w:spacing w:after="0" w:line="14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5"/>
              <w:spacing w:after="0" w:line="146" w:lineRule="exact"/>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ind w:left="1000"/>
              <w:spacing w:after="0" w:line="146"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ind w:left="116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1,000,000</w:t>
            </w:r>
          </w:p>
        </w:tc>
      </w:tr>
      <w:tr>
        <w:trPr>
          <w:trHeight w:val="145"/>
        </w:trPr>
        <w:tc>
          <w:tcPr>
            <w:tcW w:w="2800" w:type="dxa"/>
            <w:vAlign w:val="bottom"/>
            <w:gridSpan w:val="3"/>
          </w:tcPr>
          <w:p>
            <w:pPr>
              <w:spacing w:after="0" w:line="146" w:lineRule="exact"/>
              <w:rPr>
                <w:sz w:val="20"/>
                <w:szCs w:val="20"/>
                <w:color w:val="auto"/>
              </w:rPr>
            </w:pPr>
            <w:r>
              <w:rPr>
                <w:rFonts w:ascii="Arial" w:cs="Arial" w:eastAsia="Arial" w:hAnsi="Arial"/>
                <w:sz w:val="13"/>
                <w:szCs w:val="13"/>
                <w:color w:val="auto"/>
              </w:rPr>
              <w:t>November 1, 2024 - November 30, 2024</w:t>
            </w:r>
          </w:p>
        </w:tc>
        <w:tc>
          <w:tcPr>
            <w:tcW w:w="1060" w:type="dxa"/>
            <w:vAlign w:val="bottom"/>
          </w:tcPr>
          <w:p>
            <w:pPr>
              <w:spacing w:after="0"/>
              <w:rPr>
                <w:sz w:val="12"/>
                <w:szCs w:val="12"/>
                <w:color w:val="auto"/>
              </w:rPr>
            </w:pPr>
          </w:p>
        </w:tc>
        <w:tc>
          <w:tcPr>
            <w:tcW w:w="400" w:type="dxa"/>
            <w:vAlign w:val="bottom"/>
            <w:gridSpan w:val="2"/>
          </w:tcPr>
          <w:p>
            <w:pPr>
              <w:ind w:left="80"/>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jc w:val="right"/>
              <w:ind w:right="75"/>
              <w:spacing w:after="0" w:line="146" w:lineRule="exact"/>
              <w:rPr>
                <w:sz w:val="20"/>
                <w:szCs w:val="20"/>
                <w:color w:val="auto"/>
              </w:rPr>
            </w:pPr>
            <w:r>
              <w:rPr>
                <w:rFonts w:ascii="Arial" w:cs="Arial" w:eastAsia="Arial" w:hAnsi="Arial"/>
                <w:sz w:val="13"/>
                <w:szCs w:val="13"/>
                <w:color w:val="auto"/>
                <w:w w:val="82"/>
              </w:rPr>
              <w:t>$</w:t>
            </w:r>
          </w:p>
        </w:tc>
        <w:tc>
          <w:tcPr>
            <w:tcW w:w="1320" w:type="dxa"/>
            <w:vAlign w:val="bottom"/>
            <w:gridSpan w:val="2"/>
          </w:tcPr>
          <w:p>
            <w:pPr>
              <w:ind w:left="1000"/>
              <w:spacing w:after="0" w:line="146" w:lineRule="exact"/>
              <w:rPr>
                <w:sz w:val="20"/>
                <w:szCs w:val="20"/>
                <w:color w:val="auto"/>
              </w:rPr>
            </w:pPr>
            <w:r>
              <w:rPr>
                <w:rFonts w:ascii="Arial" w:cs="Arial" w:eastAsia="Arial" w:hAnsi="Arial"/>
                <w:sz w:val="13"/>
                <w:szCs w:val="13"/>
                <w:color w:val="auto"/>
              </w:rPr>
              <w:t>—</w:t>
            </w:r>
          </w:p>
        </w:tc>
        <w:tc>
          <w:tcPr>
            <w:tcW w:w="1480" w:type="dxa"/>
            <w:vAlign w:val="bottom"/>
            <w:gridSpan w:val="2"/>
          </w:tcPr>
          <w:p>
            <w:pPr>
              <w:ind w:left="116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line="146" w:lineRule="exact"/>
              <w:rPr>
                <w:sz w:val="20"/>
                <w:szCs w:val="20"/>
                <w:color w:val="auto"/>
              </w:rPr>
            </w:pPr>
            <w:r>
              <w:rPr>
                <w:rFonts w:ascii="Arial" w:cs="Arial" w:eastAsia="Arial" w:hAnsi="Arial"/>
                <w:sz w:val="13"/>
                <w:szCs w:val="13"/>
                <w:color w:val="auto"/>
              </w:rPr>
              <w:t>1,000,000</w:t>
            </w:r>
          </w:p>
        </w:tc>
      </w:tr>
      <w:tr>
        <w:trPr>
          <w:trHeight w:val="145"/>
        </w:trPr>
        <w:tc>
          <w:tcPr>
            <w:tcW w:w="2800" w:type="dxa"/>
            <w:vAlign w:val="bottom"/>
            <w:gridSpan w:val="3"/>
            <w:shd w:val="clear" w:color="auto" w:fill="CCEEFF"/>
          </w:tcPr>
          <w:p>
            <w:pPr>
              <w:spacing w:after="0" w:line="146" w:lineRule="exact"/>
              <w:rPr>
                <w:sz w:val="20"/>
                <w:szCs w:val="20"/>
                <w:color w:val="auto"/>
              </w:rPr>
            </w:pPr>
            <w:r>
              <w:rPr>
                <w:rFonts w:ascii="Arial" w:cs="Arial" w:eastAsia="Arial" w:hAnsi="Arial"/>
                <w:sz w:val="13"/>
                <w:szCs w:val="13"/>
                <w:color w:val="auto"/>
              </w:rPr>
              <w:t>December 1, 2024 - December 31, 2024</w:t>
            </w:r>
          </w:p>
        </w:tc>
        <w:tc>
          <w:tcPr>
            <w:tcW w:w="10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80"/>
              <w:spacing w:after="0" w:line="146"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5"/>
              <w:spacing w:after="0" w:line="146" w:lineRule="exact"/>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ind w:left="1000"/>
              <w:spacing w:after="0" w:line="146"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CEEFF"/>
          </w:tcPr>
          <w:p>
            <w:pPr>
              <w:ind w:left="116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1,000,000</w:t>
            </w:r>
          </w:p>
        </w:tc>
      </w:tr>
      <w:tr>
        <w:trPr>
          <w:trHeight w:val="137"/>
        </w:trPr>
        <w:tc>
          <w:tcPr>
            <w:tcW w:w="28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Total</w:t>
            </w:r>
          </w:p>
        </w:tc>
        <w:tc>
          <w:tcPr>
            <w:tcW w:w="10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ind w:left="80"/>
              <w:spacing w:after="0" w:line="13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75"/>
              <w:spacing w:after="0" w:line="138" w:lineRule="exact"/>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ind w:left="1000"/>
              <w:spacing w:after="0" w:line="13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320" w:type="dxa"/>
            <w:vAlign w:val="bottom"/>
            <w:tcBorders>
              <w:top w:val="single" w:sz="8" w:color="auto"/>
              <w:bottom w:val="single" w:sz="8" w:color="auto"/>
            </w:tcBorders>
          </w:tcPr>
          <w:p>
            <w:pPr>
              <w:ind w:left="1160"/>
              <w:spacing w:after="0" w:line="13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15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1,000,000</w:t>
            </w:r>
          </w:p>
        </w:tc>
      </w:tr>
      <w:tr>
        <w:trPr>
          <w:trHeight w:val="20"/>
        </w:trPr>
        <w:tc>
          <w:tcPr>
            <w:tcW w:w="2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77"/>
        </w:trPr>
        <w:tc>
          <w:tcPr>
            <w:tcW w:w="224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r>
    </w:tbl>
    <w:p>
      <w:pPr>
        <w:spacing w:after="0" w:line="56" w:lineRule="exact"/>
        <w:rPr>
          <w:sz w:val="20"/>
          <w:szCs w:val="20"/>
          <w:color w:val="auto"/>
        </w:rPr>
      </w:pPr>
    </w:p>
    <w:p>
      <w:pPr>
        <w:ind w:left="340" w:right="59" w:hanging="298"/>
        <w:spacing w:after="0" w:line="24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October 25, 2024, our Board of Directors authorized stock repurchases of up to $1.0 billion of our outstanding Class A common stock through and including December 31, 2025. Purchases under our repurchase program may be made through open market purchases, privately negotiated transactions, or Rule 10b5-1 trading plans, subject to market conditions and other factors. We may elect not to purchase the maximum amount of shares allowable under this program and we may also enter into additional share repurchase programs authorized by our Board of Directors.</w:t>
      </w:r>
    </w:p>
    <w:p>
      <w:pPr>
        <w:spacing w:after="0" w:line="146"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0" w:right="979" w:hanging="810"/>
        <w:spacing w:after="0" w:line="286" w:lineRule="auto"/>
        <w:tabs>
          <w:tab w:leader="none" w:pos="84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ind w:left="40" w:right="159"/>
        <w:spacing w:after="0"/>
        <w:rPr>
          <w:sz w:val="20"/>
          <w:szCs w:val="20"/>
          <w:color w:val="auto"/>
        </w:rPr>
      </w:pPr>
      <w:r>
        <w:rPr>
          <w:rFonts w:ascii="Arial" w:cs="Arial" w:eastAsia="Arial" w:hAnsi="Arial"/>
          <w:sz w:val="16"/>
          <w:szCs w:val="16"/>
          <w:i w:val="1"/>
          <w:iCs w:val="1"/>
          <w:color w:val="auto"/>
        </w:rPr>
        <w:t>You should read the following management’s discussion and analysis of our financial condition and results of operations together with the audited consolidated financial statements and notes to our financial statements included elsewhere in this Annual Report on Form 10-K. This management’s discussion and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under the caption “Item 1A. Risk Factors” and elsewhere in this Annual Report on Form 10-K. Furthermore, such forward-looking statements speak only as of the date of this Annual Report on Form 10-K and we expressly disclaim any obligation to update any forward-looking statements.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Overview</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Recent Developments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202429"/>
        </w:rPr>
        <w:t>DIRECTV Transaction</w:t>
      </w:r>
    </w:p>
    <w:p>
      <w:pPr>
        <w:spacing w:after="0" w:line="177" w:lineRule="exact"/>
        <w:rPr>
          <w:sz w:val="20"/>
          <w:szCs w:val="20"/>
          <w:color w:val="auto"/>
        </w:rPr>
      </w:pPr>
    </w:p>
    <w:p>
      <w:pPr>
        <w:ind w:left="40" w:right="499"/>
        <w:spacing w:after="0" w:line="256" w:lineRule="auto"/>
        <w:rPr>
          <w:sz w:val="20"/>
          <w:szCs w:val="20"/>
          <w:color w:val="auto"/>
        </w:rPr>
      </w:pPr>
      <w:r>
        <w:rPr>
          <w:rFonts w:ascii="Arial" w:cs="Arial" w:eastAsia="Arial" w:hAnsi="Arial"/>
          <w:sz w:val="16"/>
          <w:szCs w:val="16"/>
          <w:color w:val="202429"/>
        </w:rPr>
        <w:t>On September 29, 2024, we and DTV entered into the Purchase Agreement. Pursuant to the terms and subject to the conditions set forth in the Purchase Agreement, DTV agreed to acquire from us all of the issued and outstanding equity interests of DISH DBS, which operates our Pay-TV business.</w:t>
      </w:r>
    </w:p>
    <w:p>
      <w:pPr>
        <w:spacing w:after="0" w:line="137" w:lineRule="exact"/>
        <w:rPr>
          <w:sz w:val="20"/>
          <w:szCs w:val="20"/>
          <w:color w:val="auto"/>
        </w:rPr>
      </w:pPr>
    </w:p>
    <w:p>
      <w:pPr>
        <w:ind w:left="40" w:right="259"/>
        <w:spacing w:after="0" w:line="278" w:lineRule="auto"/>
        <w:rPr>
          <w:sz w:val="20"/>
          <w:szCs w:val="20"/>
          <w:color w:val="auto"/>
        </w:rPr>
      </w:pPr>
      <w:r>
        <w:rPr>
          <w:rFonts w:ascii="Arial" w:cs="Arial" w:eastAsia="Arial" w:hAnsi="Arial"/>
          <w:sz w:val="16"/>
          <w:szCs w:val="16"/>
          <w:color w:val="auto"/>
        </w:rPr>
        <w:t>Following written notice from DTV received on November 20, 2024, DTV terminated the Purchase Agreement effective at 11:59 pm ET on November 22, 2024 pursuant to Section 7.01(a)(iv) of the Purchase Agreement because the DISH DBS Exchange Offers were not consummated by the Exchange Offer Settlement Date (as defined in the Purchase Agreement). No termination fee or other payment was due from either party to the other as a result of the termination of the Purchase Agreement.</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Segments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currently operate three primary business segments: (1) Pay-TV; (2) Wireless; and (3) Broadband and Satellite Services.</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Historically, we reported four primary business segments: (1) Pay-TV; (2) Retail Wireless; (3) 5G Network Deployment; and</w:t>
      </w:r>
    </w:p>
    <w:p>
      <w:pPr>
        <w:ind w:left="40" w:right="459" w:firstLine="2"/>
        <w:spacing w:after="0" w:line="255" w:lineRule="auto"/>
        <w:tabs>
          <w:tab w:leader="none" w:pos="282" w:val="left"/>
        </w:tabs>
        <w:numPr>
          <w:ilvl w:val="0"/>
          <w:numId w:val="28"/>
        </w:numPr>
        <w:rPr>
          <w:rFonts w:ascii="Arial" w:cs="Arial" w:eastAsia="Arial" w:hAnsi="Arial"/>
          <w:sz w:val="16"/>
          <w:szCs w:val="16"/>
          <w:color w:val="auto"/>
        </w:rPr>
      </w:pPr>
      <w:r>
        <w:rPr>
          <w:rFonts w:ascii="Arial" w:cs="Arial" w:eastAsia="Arial" w:hAnsi="Arial"/>
          <w:sz w:val="16"/>
          <w:szCs w:val="16"/>
          <w:color w:val="auto"/>
        </w:rPr>
        <w:t>Broadband and Satellite Services. See Note 16 in the Notes to our Consolidated Financial Statements in this Annual Report on Form 10-K for further information.</w:t>
      </w:r>
    </w:p>
    <w:p>
      <w:pPr>
        <w:spacing w:after="0" w:line="138" w:lineRule="exact"/>
        <w:rPr>
          <w:sz w:val="20"/>
          <w:szCs w:val="20"/>
          <w:color w:val="auto"/>
        </w:rPr>
      </w:pPr>
    </w:p>
    <w:p>
      <w:pPr>
        <w:ind w:left="40" w:right="79"/>
        <w:spacing w:after="0" w:line="244" w:lineRule="auto"/>
        <w:rPr>
          <w:sz w:val="20"/>
          <w:szCs w:val="20"/>
          <w:color w:val="auto"/>
        </w:rPr>
      </w:pPr>
      <w:r>
        <w:rPr>
          <w:rFonts w:ascii="Arial" w:cs="Arial" w:eastAsia="Arial" w:hAnsi="Arial"/>
          <w:sz w:val="16"/>
          <w:szCs w:val="16"/>
          <w:color w:val="auto"/>
        </w:rPr>
        <w:t>Our Pay-TV segment business strategy is to be the best provider of video services in the United States by providing products with the best technology, outstanding customer service and great value. We offer Pay-TV services under the DISH® brand and the SLING® brand. We promote our Pay-TV services by providing our subscribers with a better “price-to-value” relationship and experience than those available from other subscription television service providers. We market our SLING TV services to consumers who do not subscribe to traditional satellite and cable pay-TV services, as well as to current and recent traditional pay-TV subscribers who desire a lower cost alternative.</w:t>
      </w:r>
    </w:p>
    <w:p>
      <w:pPr>
        <w:spacing w:after="0" w:line="148" w:lineRule="exact"/>
        <w:rPr>
          <w:sz w:val="20"/>
          <w:szCs w:val="20"/>
          <w:color w:val="auto"/>
        </w:rPr>
      </w:pPr>
    </w:p>
    <w:p>
      <w:pPr>
        <w:ind w:left="40" w:right="159"/>
        <w:spacing w:after="0" w:line="246" w:lineRule="auto"/>
        <w:rPr>
          <w:sz w:val="20"/>
          <w:szCs w:val="20"/>
          <w:color w:val="auto"/>
        </w:rPr>
      </w:pPr>
      <w:r>
        <w:rPr>
          <w:rFonts w:ascii="Arial" w:cs="Arial" w:eastAsia="Arial" w:hAnsi="Arial"/>
          <w:sz w:val="16"/>
          <w:szCs w:val="16"/>
          <w:color w:val="auto"/>
        </w:rPr>
        <w:t xml:space="preserve">Our Wireless segment provides Wireless communication services and products. We currently offer our Wireless services for </w:t>
      </w:r>
      <w:r>
        <w:rPr>
          <w:rFonts w:ascii="Arial" w:cs="Arial" w:eastAsia="Arial" w:hAnsi="Arial"/>
          <w:sz w:val="16"/>
          <w:szCs w:val="16"/>
          <w:color w:val="0A0A0A"/>
        </w:rPr>
        <w:t xml:space="preserve">5G VoNR </w:t>
      </w:r>
      <w:r>
        <w:rPr>
          <w:rFonts w:ascii="Arial" w:cs="Arial" w:eastAsia="Arial" w:hAnsi="Arial"/>
          <w:sz w:val="16"/>
          <w:szCs w:val="16"/>
          <w:color w:val="000000"/>
        </w:rPr>
        <w:t>to over 220 million Americans and for 5G broadband service to over 268 million Americans, as well as a</w:t>
      </w:r>
      <w:r>
        <w:rPr>
          <w:rFonts w:ascii="Arial" w:cs="Arial" w:eastAsia="Arial" w:hAnsi="Arial"/>
          <w:sz w:val="16"/>
          <w:szCs w:val="16"/>
          <w:color w:val="0A0A0A"/>
        </w:rPr>
        <w:t xml:space="preserve"> </w:t>
      </w:r>
      <w:r>
        <w:rPr>
          <w:rFonts w:ascii="Arial" w:cs="Arial" w:eastAsia="Arial" w:hAnsi="Arial"/>
          <w:sz w:val="16"/>
          <w:szCs w:val="16"/>
          <w:color w:val="000000"/>
        </w:rPr>
        <w:t>competitive portfolio of wireless devices. We offer customers value by providing choice and flexibility in our Wireless services. We offer competitive consumer plans with no annual service contracts and device financing arrangements for certain qualified subscribers.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Our Wireless segment business strategy is to expand our current target segments and profitably grow our Wireless subscriber base and commercialize and grow customer traffic on our 5G Network. We intend to grow our Wireless subscriber base by acquiring and retaining high quality subscribers with competitive offers, choice and outstanding customer service that better meet those subscribers’ needs and budget.</w:t>
      </w:r>
    </w:p>
    <w:p>
      <w:pPr>
        <w:spacing w:after="0" w:line="144" w:lineRule="exact"/>
        <w:rPr>
          <w:sz w:val="20"/>
          <w:szCs w:val="20"/>
          <w:color w:val="auto"/>
        </w:rPr>
      </w:pPr>
    </w:p>
    <w:p>
      <w:pPr>
        <w:ind w:left="40" w:right="139" w:hanging="6"/>
        <w:spacing w:after="0" w:line="243" w:lineRule="auto"/>
        <w:rPr>
          <w:sz w:val="20"/>
          <w:szCs w:val="20"/>
          <w:color w:val="auto"/>
        </w:rPr>
      </w:pPr>
      <w:r>
        <w:rPr>
          <w:rFonts w:ascii="Arial" w:cs="Arial" w:eastAsia="Arial" w:hAnsi="Arial"/>
          <w:sz w:val="16"/>
          <w:szCs w:val="16"/>
          <w:color w:val="auto"/>
        </w:rPr>
        <w:t xml:space="preserve">We are currently operating primarily as an MVNO as we continue our 5G Network Deployment and commercialize and grow customer traffic on our 5G Network. We are transitioning to an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6"/>
          <w:szCs w:val="16"/>
          <w:color w:val="0A0A0A"/>
        </w:rPr>
        <w:t>VoNR</w:t>
      </w:r>
      <w:r>
        <w:rPr>
          <w:rFonts w:ascii="Arial" w:cs="Arial" w:eastAsia="Arial" w:hAnsi="Arial"/>
          <w:sz w:val="16"/>
          <w:szCs w:val="16"/>
          <w:color w:val="auto"/>
        </w:rPr>
        <w:t xml:space="preserve">. We currently offer a broad range of premium wireless devices on our 5G Network, including the Apple iPhone 15 and newer generation iPhones. We have deployed </w:t>
      </w:r>
      <w:r>
        <w:rPr>
          <w:rFonts w:ascii="Arial" w:cs="Arial" w:eastAsia="Arial" w:hAnsi="Arial"/>
          <w:sz w:val="16"/>
          <w:szCs w:val="16"/>
          <w:color w:val="0A0A0A"/>
        </w:rPr>
        <w:t>5G</w:t>
      </w:r>
      <w:r>
        <w:rPr>
          <w:rFonts w:ascii="Arial" w:cs="Arial" w:eastAsia="Arial" w:hAnsi="Arial"/>
          <w:sz w:val="16"/>
          <w:szCs w:val="16"/>
          <w:color w:val="auto"/>
        </w:rPr>
        <w:t xml:space="preserve"> </w:t>
      </w:r>
      <w:r>
        <w:rPr>
          <w:rFonts w:ascii="Arial" w:cs="Arial" w:eastAsia="Arial" w:hAnsi="Arial"/>
          <w:sz w:val="16"/>
          <w:szCs w:val="16"/>
          <w:color w:val="0A0A0A"/>
        </w:rPr>
        <w:t xml:space="preserve">VoNR covering over 220 million Americans. </w:t>
      </w:r>
      <w:r>
        <w:rPr>
          <w:rFonts w:ascii="Arial" w:cs="Arial" w:eastAsia="Arial" w:hAnsi="Arial"/>
          <w:sz w:val="16"/>
          <w:szCs w:val="16"/>
          <w:color w:val="000000"/>
        </w:rPr>
        <w:t>Within our MVNO operations, today we depend in part on T-Mobile and AT&amp;T to</w:t>
      </w:r>
      <w:r>
        <w:rPr>
          <w:rFonts w:ascii="Arial" w:cs="Arial" w:eastAsia="Arial" w:hAnsi="Arial"/>
          <w:sz w:val="16"/>
          <w:szCs w:val="16"/>
          <w:color w:val="0A0A0A"/>
        </w:rPr>
        <w:t xml:space="preserve"> </w:t>
      </w:r>
      <w:r>
        <w:rPr>
          <w:rFonts w:ascii="Arial" w:cs="Arial" w:eastAsia="Arial" w:hAnsi="Arial"/>
          <w:sz w:val="16"/>
          <w:szCs w:val="16"/>
          <w:color w:val="000000"/>
        </w:rPr>
        <w:t>provide us with network services under the MNSA and NSA, respectively.</w:t>
      </w:r>
    </w:p>
    <w:p>
      <w:pPr>
        <w:spacing w:after="0" w:line="148" w:lineRule="exact"/>
        <w:rPr>
          <w:sz w:val="20"/>
          <w:szCs w:val="20"/>
          <w:color w:val="auto"/>
        </w:rPr>
      </w:pPr>
    </w:p>
    <w:p>
      <w:pPr>
        <w:ind w:left="40" w:right="239"/>
        <w:spacing w:after="0" w:line="256" w:lineRule="auto"/>
        <w:rPr>
          <w:sz w:val="20"/>
          <w:szCs w:val="20"/>
          <w:color w:val="auto"/>
        </w:rPr>
      </w:pPr>
      <w:r>
        <w:rPr>
          <w:rFonts w:ascii="Arial" w:cs="Arial" w:eastAsia="Arial" w:hAnsi="Arial"/>
          <w:sz w:val="16"/>
          <w:szCs w:val="16"/>
          <w:color w:val="auto"/>
        </w:rPr>
        <w:t>As part of the commercialization of our Wireless spectrum licenses through the completion of our 5G Network Deployment, we have committed to the FCC to deploy our 5G Network capable of serving increasingly larger portions of the U.S. population at different deadlines.</w:t>
      </w:r>
    </w:p>
    <w:p>
      <w:pPr>
        <w:spacing w:after="0" w:line="137" w:lineRule="exact"/>
        <w:rPr>
          <w:sz w:val="20"/>
          <w:szCs w:val="20"/>
          <w:color w:val="auto"/>
        </w:rPr>
      </w:pPr>
    </w:p>
    <w:p>
      <w:pPr>
        <w:ind w:left="60" w:right="339" w:hanging="10"/>
        <w:spacing w:after="0" w:line="249" w:lineRule="auto"/>
        <w:rPr>
          <w:sz w:val="20"/>
          <w:szCs w:val="20"/>
          <w:color w:val="auto"/>
        </w:rPr>
      </w:pPr>
      <w:r>
        <w:rPr>
          <w:rFonts w:ascii="Arial" w:cs="Arial" w:eastAsia="Arial" w:hAnsi="Arial"/>
          <w:sz w:val="16"/>
          <w:szCs w:val="16"/>
          <w:color w:val="auto"/>
        </w:rPr>
        <w:t>On September 29, 2023, the FCC confirmed we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w:t>
      </w:r>
    </w:p>
    <w:p>
      <w:pPr>
        <w:spacing w:after="0" w:line="144" w:lineRule="exact"/>
        <w:rPr>
          <w:sz w:val="20"/>
          <w:szCs w:val="20"/>
          <w:color w:val="auto"/>
        </w:rPr>
      </w:pPr>
    </w:p>
    <w:p>
      <w:pPr>
        <w:ind w:left="40" w:right="379"/>
        <w:spacing w:after="0" w:line="241" w:lineRule="auto"/>
        <w:rPr>
          <w:sz w:val="20"/>
          <w:szCs w:val="20"/>
          <w:color w:val="auto"/>
        </w:rPr>
      </w:pPr>
      <w:r>
        <w:rPr>
          <w:rFonts w:ascii="Arial" w:cs="Arial" w:eastAsia="Arial" w:hAnsi="Arial"/>
          <w:sz w:val="16"/>
          <w:szCs w:val="16"/>
          <w:color w:val="0A0A0A"/>
        </w:rPr>
        <w:t xml:space="preserve">In September 2024, the FCC conditionally granted our requests to extend the 5G deployment deadlines for certain of our </w:t>
      </w:r>
      <w:r>
        <w:rPr>
          <w:rFonts w:ascii="Arial" w:cs="Arial" w:eastAsia="Arial" w:hAnsi="Arial"/>
          <w:sz w:val="16"/>
          <w:szCs w:val="16"/>
          <w:color w:val="000000"/>
        </w:rPr>
        <w:t xml:space="preserve">Wireless spectrum licenses </w:t>
      </w:r>
      <w:r>
        <w:rPr>
          <w:rFonts w:ascii="Arial" w:cs="Arial" w:eastAsia="Arial" w:hAnsi="Arial"/>
          <w:sz w:val="16"/>
          <w:szCs w:val="16"/>
          <w:color w:val="0A0A0A"/>
        </w:rPr>
        <w:t>based on several commitments and</w:t>
      </w:r>
      <w:r>
        <w:rPr>
          <w:rFonts w:ascii="Arial" w:cs="Arial" w:eastAsia="Arial" w:hAnsi="Arial"/>
          <w:sz w:val="16"/>
          <w:szCs w:val="16"/>
          <w:color w:val="000000"/>
        </w:rPr>
        <w:t xml:space="preserve"> </w:t>
      </w:r>
      <w:r>
        <w:rPr>
          <w:rFonts w:ascii="Arial" w:cs="Arial" w:eastAsia="Arial" w:hAnsi="Arial"/>
          <w:sz w:val="16"/>
          <w:szCs w:val="16"/>
          <w:color w:val="222222"/>
        </w:rPr>
        <w:t>in a January 10, 2025 filing to the FCC</w:t>
      </w:r>
      <w:r>
        <w:rPr>
          <w:rFonts w:ascii="Arial" w:cs="Arial" w:eastAsia="Arial" w:hAnsi="Arial"/>
          <w:sz w:val="16"/>
          <w:szCs w:val="16"/>
          <w:color w:val="0A0A0A"/>
        </w:rPr>
        <w:t>,</w:t>
      </w:r>
      <w:r>
        <w:rPr>
          <w:rFonts w:ascii="Arial" w:cs="Arial" w:eastAsia="Arial" w:hAnsi="Arial"/>
          <w:sz w:val="16"/>
          <w:szCs w:val="16"/>
          <w:color w:val="000000"/>
        </w:rPr>
        <w:t xml:space="preserve"> </w:t>
      </w:r>
      <w:r>
        <w:rPr>
          <w:rFonts w:ascii="Arial" w:cs="Arial" w:eastAsia="Arial" w:hAnsi="Arial"/>
          <w:sz w:val="16"/>
          <w:szCs w:val="16"/>
          <w:color w:val="222222"/>
        </w:rPr>
        <w:t>we certified to</w:t>
      </w:r>
      <w:r>
        <w:rPr>
          <w:rFonts w:ascii="Arial" w:cs="Arial" w:eastAsia="Arial" w:hAnsi="Arial"/>
          <w:sz w:val="16"/>
          <w:szCs w:val="16"/>
          <w:color w:val="000000"/>
        </w:rPr>
        <w:t xml:space="preserve"> </w:t>
      </w:r>
      <w:r>
        <w:rPr>
          <w:rFonts w:ascii="Arial" w:cs="Arial" w:eastAsia="Arial" w:hAnsi="Arial"/>
          <w:sz w:val="16"/>
          <w:szCs w:val="16"/>
          <w:color w:val="222222"/>
        </w:rPr>
        <w:t xml:space="preserve">meeting the accelerated buildout (Commitments #2 and #3 of the Extension Request) and the nationwide 80% coverage obligations (Commitment #1 of the Extension Request) </w:t>
      </w:r>
      <w:r>
        <w:rPr>
          <w:rFonts w:ascii="Arial" w:cs="Arial" w:eastAsia="Arial" w:hAnsi="Arial"/>
          <w:sz w:val="16"/>
          <w:szCs w:val="16"/>
          <w:color w:val="000000"/>
        </w:rPr>
        <w:t>due by December 31, 2024. Thus, pursuant to the Extension</w:t>
      </w:r>
      <w:r>
        <w:rPr>
          <w:rFonts w:ascii="Arial" w:cs="Arial" w:eastAsia="Arial" w:hAnsi="Arial"/>
          <w:sz w:val="16"/>
          <w:szCs w:val="16"/>
          <w:color w:val="222222"/>
        </w:rPr>
        <w:t xml:space="preserve"> </w:t>
      </w:r>
      <w:r>
        <w:rPr>
          <w:rFonts w:ascii="Arial" w:cs="Arial" w:eastAsia="Arial" w:hAnsi="Arial"/>
          <w:sz w:val="16"/>
          <w:szCs w:val="16"/>
          <w:color w:val="000000"/>
        </w:rPr>
        <w:t xml:space="preserve">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See Note 15 in the Notes to our Consolidated Financial Statements in this Annual Report on Form 10-K </w:t>
      </w:r>
      <w:r>
        <w:rPr>
          <w:rFonts w:ascii="Arial" w:cs="Arial" w:eastAsia="Arial" w:hAnsi="Arial"/>
          <w:sz w:val="16"/>
          <w:szCs w:val="16"/>
          <w:color w:val="0A0A0A"/>
        </w:rPr>
        <w:t>for definitions and further details.</w:t>
      </w:r>
    </w:p>
    <w:p>
      <w:pPr>
        <w:spacing w:after="0" w:line="152"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Our Broadband and Satellite Services segment business strategy is to maintain and improve our leadership position and competitive advantage through development of leading-edge technologies and services marketed to selected sectors within the consumer, enterprise and government markets globally. Within our Broadband and Satellite Services segment 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airlines and government entities, including civilian and defense. Our EchoStar XXIV satellite began service in December 2023, bringing additional broadband capacity across North and South America and is an integral part of our satellite services business. We have leveraged the EchoStar XXIV to deliver satellite services to unserved and underserved consumer markets in the Americas as well as enterprise, aeronautical and government markets.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Economic Environment</w:t>
      </w:r>
    </w:p>
    <w:p>
      <w:pPr>
        <w:spacing w:after="0" w:line="179" w:lineRule="exact"/>
        <w:rPr>
          <w:sz w:val="20"/>
          <w:szCs w:val="20"/>
          <w:color w:val="auto"/>
        </w:rPr>
      </w:pPr>
    </w:p>
    <w:p>
      <w:pPr>
        <w:ind w:left="40" w:right="879"/>
        <w:spacing w:after="0" w:line="275" w:lineRule="auto"/>
        <w:rPr>
          <w:sz w:val="20"/>
          <w:szCs w:val="20"/>
          <w:color w:val="auto"/>
        </w:rPr>
      </w:pPr>
      <w:r>
        <w:rPr>
          <w:rFonts w:ascii="Arial" w:cs="Arial" w:eastAsia="Arial" w:hAnsi="Arial"/>
          <w:sz w:val="16"/>
          <w:szCs w:val="16"/>
          <w:color w:val="auto"/>
        </w:rPr>
        <w:t>During 2023 and 2024, we experienced inflationary pressures in our commodity and labor costs resulting from the macroeconomic environment in the United States, which has significantly impacted our overall operating results.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EXPLANATION OF KEY METRICS AND OTHER ITEMS</w:t>
      </w:r>
    </w:p>
    <w:p>
      <w:pPr>
        <w:spacing w:after="0" w:line="179" w:lineRule="exact"/>
        <w:rPr>
          <w:sz w:val="20"/>
          <w:szCs w:val="20"/>
          <w:color w:val="auto"/>
        </w:rPr>
      </w:pPr>
    </w:p>
    <w:p>
      <w:pPr>
        <w:ind w:left="40" w:right="299"/>
        <w:spacing w:after="0" w:line="256" w:lineRule="auto"/>
        <w:rPr>
          <w:sz w:val="20"/>
          <w:szCs w:val="20"/>
          <w:color w:val="auto"/>
        </w:rPr>
      </w:pPr>
      <w:r>
        <w:rPr>
          <w:rFonts w:ascii="Arial" w:cs="Arial" w:eastAsia="Arial" w:hAnsi="Arial"/>
          <w:sz w:val="16"/>
          <w:szCs w:val="16"/>
          <w:b w:val="1"/>
          <w:bCs w:val="1"/>
          <w:i w:val="1"/>
          <w:iCs w:val="1"/>
          <w:color w:val="auto"/>
        </w:rPr>
        <w:t>Service 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revenue” consists principally of Pay-TV and Wireless subscriber revenue, broadband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maintenance and other contracted revenue and satellite and transponder leases and services revenue. Certain of the amounts included in “Service revenue” are not recurring on a monthly basis.</w:t>
      </w:r>
    </w:p>
    <w:p>
      <w:pPr>
        <w:spacing w:after="0" w:line="137" w:lineRule="exact"/>
        <w:rPr>
          <w:sz w:val="20"/>
          <w:szCs w:val="20"/>
          <w:color w:val="auto"/>
        </w:rPr>
      </w:pPr>
    </w:p>
    <w:p>
      <w:pPr>
        <w:ind w:left="40" w:right="59"/>
        <w:spacing w:after="0" w:line="256" w:lineRule="auto"/>
        <w:rPr>
          <w:sz w:val="20"/>
          <w:szCs w:val="20"/>
          <w:color w:val="auto"/>
        </w:rPr>
      </w:pPr>
      <w:r>
        <w:rPr>
          <w:rFonts w:ascii="Arial" w:cs="Arial" w:eastAsia="Arial" w:hAnsi="Arial"/>
          <w:sz w:val="16"/>
          <w:szCs w:val="16"/>
          <w:b w:val="1"/>
          <w:bCs w:val="1"/>
          <w:i w:val="1"/>
          <w:iCs w:val="1"/>
          <w:color w:val="auto"/>
        </w:rPr>
        <w:t>Equipment sales and other 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sales and other revenue” principally includes the sale of wireless devices,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non-subsidized sales of Pay-TV equipment, the licensing of certain intellectual property and sales of broadband equipment and networks sold both in our consumer and enterprise markets.</w:t>
      </w:r>
    </w:p>
    <w:p>
      <w:pPr>
        <w:spacing w:after="0" w:line="137" w:lineRule="exact"/>
        <w:rPr>
          <w:sz w:val="20"/>
          <w:szCs w:val="20"/>
          <w:color w:val="auto"/>
        </w:rPr>
      </w:pPr>
    </w:p>
    <w:p>
      <w:pPr>
        <w:ind w:left="60" w:right="99" w:hanging="10"/>
        <w:spacing w:after="0" w:line="244" w:lineRule="auto"/>
        <w:rPr>
          <w:sz w:val="20"/>
          <w:szCs w:val="20"/>
          <w:color w:val="auto"/>
        </w:rPr>
      </w:pPr>
      <w:r>
        <w:rPr>
          <w:rFonts w:ascii="Arial" w:cs="Arial" w:eastAsia="Arial" w:hAnsi="Arial"/>
          <w:sz w:val="16"/>
          <w:szCs w:val="16"/>
          <w:b w:val="1"/>
          <w:bCs w:val="1"/>
          <w:i w:val="1"/>
          <w:iCs w:val="1"/>
          <w:color w:val="auto"/>
        </w:rPr>
        <w:t>Cost of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services” principally includes Pay-TV programming expenses and other operating costs related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Pay-TV segment, costs of Wireless services (including costs incurred under the MNSA and NSA), costs of broadband services, maintenance and other contracted services, and costs associated with satellite and transponder leases and services. Beginning on January 1, 2024, “Cost of services” includes certain direct costs related to our 5G Network Deployment, including lease expense on communication towers, transport, cloud services and other costs as a significant portion of our 5G Network was placed into service.</w:t>
      </w:r>
    </w:p>
    <w:p>
      <w:pPr>
        <w:spacing w:after="0" w:line="148" w:lineRule="exact"/>
        <w:rPr>
          <w:sz w:val="20"/>
          <w:szCs w:val="20"/>
          <w:color w:val="auto"/>
        </w:rPr>
      </w:pPr>
    </w:p>
    <w:p>
      <w:pPr>
        <w:ind w:left="60" w:right="259" w:hanging="10"/>
        <w:spacing w:after="0" w:line="243" w:lineRule="auto"/>
        <w:rPr>
          <w:sz w:val="20"/>
          <w:szCs w:val="20"/>
          <w:color w:val="auto"/>
        </w:rPr>
      </w:pPr>
      <w:r>
        <w:rPr>
          <w:rFonts w:ascii="Arial" w:cs="Arial" w:eastAsia="Arial" w:hAnsi="Arial"/>
          <w:sz w:val="16"/>
          <w:szCs w:val="16"/>
          <w:b w:val="1"/>
          <w:bCs w:val="1"/>
          <w:i w:val="1"/>
          <w:iCs w:val="1"/>
          <w:color w:val="auto"/>
        </w:rPr>
        <w:t xml:space="preserve">Cost of sales - equipment and other. </w:t>
      </w:r>
      <w:r>
        <w:rPr>
          <w:rFonts w:ascii="Arial" w:cs="Arial" w:eastAsia="Arial" w:hAnsi="Arial"/>
          <w:sz w:val="16"/>
          <w:szCs w:val="16"/>
          <w:color w:val="auto"/>
        </w:rPr>
        <w:t>“Cost of sales – equipment and other” principally includes the cost of wireless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and other related items, the cost of broadband equipment and networks, as well as costs related to the non-subsidized sales of Pay-TV equipment. Costs are generally recognized as products are delivered to customers and the related revenue is recognized. In addition, prior to January 1, 2024, “Cost of sales – equipment and other” included certain direct costs related to our 5G Network Deployment, including lease expense on communication towers, transport, cloud services and other costs, which is now included in “Cost of services” on our Consolidated Statements of Operations and Comprehensive Income (Loss).</w:t>
      </w:r>
    </w:p>
    <w:p>
      <w:pPr>
        <w:spacing w:after="0" w:line="148" w:lineRule="exact"/>
        <w:rPr>
          <w:sz w:val="20"/>
          <w:szCs w:val="20"/>
          <w:color w:val="auto"/>
        </w:rPr>
      </w:pPr>
    </w:p>
    <w:p>
      <w:pPr>
        <w:ind w:left="40" w:right="239"/>
        <w:spacing w:after="0" w:line="246" w:lineRule="auto"/>
        <w:rPr>
          <w:sz w:val="20"/>
          <w:szCs w:val="20"/>
          <w:color w:val="auto"/>
        </w:rPr>
      </w:pPr>
      <w:r>
        <w:rPr>
          <w:rFonts w:ascii="Arial" w:cs="Arial" w:eastAsia="Arial" w:hAnsi="Arial"/>
          <w:sz w:val="16"/>
          <w:szCs w:val="16"/>
          <w:b w:val="1"/>
          <w:bCs w:val="1"/>
          <w:i w:val="1"/>
          <w:iCs w:val="1"/>
          <w:color w:val="auto"/>
        </w:rPr>
        <w:t>Selling, general and administrative expenses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general and administrative expenses” consists primarily of 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170" w:lineRule="exact"/>
        <w:rPr>
          <w:sz w:val="20"/>
          <w:szCs w:val="20"/>
          <w:color w:val="auto"/>
        </w:rPr>
      </w:pPr>
    </w:p>
    <w:p>
      <w:pPr>
        <w:ind w:left="40" w:right="399"/>
        <w:spacing w:after="0" w:line="354" w:lineRule="auto"/>
        <w:rPr>
          <w:sz w:val="20"/>
          <w:szCs w:val="20"/>
          <w:color w:val="auto"/>
        </w:rPr>
      </w:pPr>
      <w:r>
        <w:rPr>
          <w:rFonts w:ascii="Arial" w:cs="Arial" w:eastAsia="Arial" w:hAnsi="Arial"/>
          <w:sz w:val="16"/>
          <w:szCs w:val="16"/>
          <w:b w:val="1"/>
          <w:bCs w:val="1"/>
          <w:i w:val="1"/>
          <w:iCs w:val="1"/>
          <w:color w:val="auto"/>
        </w:rPr>
        <w:t>Impairment of long-lived assets and goodwill</w:t>
      </w:r>
      <w:r>
        <w:rPr>
          <w:rFonts w:ascii="Arial" w:cs="Arial" w:eastAsia="Arial" w:hAnsi="Arial"/>
          <w:sz w:val="16"/>
          <w:szCs w:val="16"/>
          <w:color w:val="auto"/>
        </w:rPr>
        <w:t>. “Impairment of long-lived assets and goodwill” includes our impairment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related to our property and equipment, regulatory authorizations, goodwill and other intangible assets.</w:t>
      </w:r>
    </w:p>
    <w:p>
      <w:pPr>
        <w:spacing w:after="0" w:line="87" w:lineRule="exact"/>
        <w:rPr>
          <w:sz w:val="20"/>
          <w:szCs w:val="20"/>
          <w:color w:val="auto"/>
        </w:rPr>
      </w:pPr>
    </w:p>
    <w:p>
      <w:pPr>
        <w:ind w:left="40" w:right="379"/>
        <w:spacing w:after="0" w:line="249" w:lineRule="auto"/>
        <w:rPr>
          <w:sz w:val="20"/>
          <w:szCs w:val="20"/>
          <w:color w:val="auto"/>
        </w:rPr>
      </w:pPr>
      <w:r>
        <w:rPr>
          <w:rFonts w:ascii="Arial" w:cs="Arial" w:eastAsia="Arial" w:hAnsi="Arial"/>
          <w:sz w:val="16"/>
          <w:szCs w:val="16"/>
          <w:b w:val="1"/>
          <w:bCs w:val="1"/>
          <w:i w:val="1"/>
          <w:iCs w:val="1"/>
          <w:color w:val="auto"/>
        </w:rPr>
        <w:t xml:space="preserve">Interest expense, net of amounts capitalized. </w:t>
      </w:r>
      <w:r>
        <w:rPr>
          <w:rFonts w:ascii="Arial" w:cs="Arial" w:eastAsia="Arial" w:hAnsi="Arial"/>
          <w:sz w:val="16"/>
          <w:szCs w:val="16"/>
          <w:color w:val="auto"/>
        </w:rPr>
        <w:t>“Interest expense, net of amounts capitalized” primarily includes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44"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The main components of “Other, net” are gains and losses realized on the sale and/or conversion of marketable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non-marketable investment securities and derivative instruments, impairment of marketable and non-marketable investment securities, unrealized gains and losses from changes in fair value of certain marketable and non-marketable investment securities and derivative instruments, foreign currency transaction gains and losses, debt extinguishment gains and losses, and equity in earnings and losses of our affiliates.</w:t>
      </w:r>
    </w:p>
    <w:p>
      <w:pPr>
        <w:spacing w:after="0" w:line="146" w:lineRule="exact"/>
        <w:rPr>
          <w:sz w:val="20"/>
          <w:szCs w:val="20"/>
          <w:color w:val="auto"/>
        </w:rPr>
      </w:pPr>
    </w:p>
    <w:p>
      <w:pPr>
        <w:ind w:left="40" w:right="159"/>
        <w:spacing w:after="0" w:line="256" w:lineRule="auto"/>
        <w:rPr>
          <w:sz w:val="20"/>
          <w:szCs w:val="20"/>
          <w:color w:val="auto"/>
        </w:rPr>
      </w:pPr>
      <w:r>
        <w:rPr>
          <w:rFonts w:ascii="Arial" w:cs="Arial" w:eastAsia="Arial" w:hAnsi="Arial"/>
          <w:sz w:val="16"/>
          <w:szCs w:val="16"/>
          <w:b w:val="1"/>
          <w:bCs w:val="1"/>
          <w:i w:val="1"/>
          <w:iCs w:val="1"/>
          <w:color w:val="auto"/>
        </w:rPr>
        <w:t xml:space="preserve">Operating income before depreciation and amortization (“OIBDA”). </w:t>
      </w:r>
      <w:r>
        <w:rPr>
          <w:rFonts w:ascii="Arial" w:cs="Arial" w:eastAsia="Arial" w:hAnsi="Arial"/>
          <w:sz w:val="16"/>
          <w:szCs w:val="16"/>
          <w:color w:val="auto"/>
        </w:rPr>
        <w:t>OIBDA is defined as “Operating income (loss)” plus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This “non-GAAP measure” is reconciled to “Operating income (loss)” in our discussion of “Results of Operations” below.</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399"/>
        <w:spacing w:after="0" w:line="246" w:lineRule="auto"/>
        <w:rPr>
          <w:sz w:val="20"/>
          <w:szCs w:val="20"/>
          <w:color w:val="auto"/>
        </w:rPr>
      </w:pPr>
      <w:r>
        <w:rPr>
          <w:rFonts w:ascii="Arial" w:cs="Arial" w:eastAsia="Arial" w:hAnsi="Arial"/>
          <w:sz w:val="16"/>
          <w:szCs w:val="16"/>
          <w:b w:val="1"/>
          <w:bCs w:val="1"/>
          <w:i w:val="1"/>
          <w:iCs w:val="1"/>
          <w:color w:val="auto"/>
        </w:rPr>
        <w:t xml:space="preserve">DISH TV subscribers. </w:t>
      </w:r>
      <w:r>
        <w:rPr>
          <w:rFonts w:ascii="Arial" w:cs="Arial" w:eastAsia="Arial" w:hAnsi="Arial"/>
          <w:sz w:val="16"/>
          <w:szCs w:val="16"/>
          <w:color w:val="auto"/>
        </w:rPr>
        <w:t>We include customers obtained through direct sales, independent third-party retailers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46" w:lineRule="exact"/>
        <w:rPr>
          <w:sz w:val="20"/>
          <w:szCs w:val="20"/>
          <w:color w:val="auto"/>
        </w:rPr>
      </w:pPr>
    </w:p>
    <w:p>
      <w:pPr>
        <w:ind w:left="60" w:right="99" w:hanging="10"/>
        <w:spacing w:after="0" w:line="246" w:lineRule="auto"/>
        <w:rPr>
          <w:sz w:val="20"/>
          <w:szCs w:val="20"/>
          <w:color w:val="auto"/>
        </w:rPr>
      </w:pPr>
      <w:r>
        <w:rPr>
          <w:rFonts w:ascii="Arial" w:cs="Arial" w:eastAsia="Arial" w:hAnsi="Arial"/>
          <w:sz w:val="16"/>
          <w:szCs w:val="16"/>
          <w:b w:val="1"/>
          <w:bCs w:val="1"/>
          <w:i w:val="1"/>
          <w:iCs w:val="1"/>
          <w:color w:val="auto"/>
        </w:rPr>
        <w:t xml:space="preserve">SLING TV subscribers. </w:t>
      </w:r>
      <w:r>
        <w:rPr>
          <w:rFonts w:ascii="Arial" w:cs="Arial" w:eastAsia="Arial" w:hAnsi="Arial"/>
          <w:sz w:val="16"/>
          <w:szCs w:val="16"/>
          <w:color w:val="auto"/>
        </w:rPr>
        <w:t>We include customers obtained through direct sales and third-party marketing agreements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SLING TV subscriber count. SLING TV subscriber additions are recorded net of disconnects. SLING TV customers receiving SLING TV Freestream service, or service for no charge, under certain new subscriber promotions, are excluded from our SLING TV subscriber count. For customers who subscribe to multiple SLING TV packages, each customer is only counted as one SLING TV subscriber.</w:t>
      </w:r>
    </w:p>
    <w:p>
      <w:pPr>
        <w:spacing w:after="0" w:line="146" w:lineRule="exact"/>
        <w:rPr>
          <w:sz w:val="20"/>
          <w:szCs w:val="20"/>
          <w:color w:val="auto"/>
        </w:rPr>
      </w:pPr>
    </w:p>
    <w:p>
      <w:pPr>
        <w:ind w:left="40" w:right="239"/>
        <w:spacing w:after="0" w:line="256" w:lineRule="auto"/>
        <w:rPr>
          <w:sz w:val="20"/>
          <w:szCs w:val="20"/>
          <w:color w:val="auto"/>
        </w:rPr>
      </w:pPr>
      <w:r>
        <w:rPr>
          <w:rFonts w:ascii="Arial" w:cs="Arial" w:eastAsia="Arial" w:hAnsi="Arial"/>
          <w:sz w:val="16"/>
          <w:szCs w:val="16"/>
          <w:b w:val="1"/>
          <w:bCs w:val="1"/>
          <w:i w:val="1"/>
          <w:iCs w:val="1"/>
          <w:color w:val="auto"/>
        </w:rPr>
        <w:t xml:space="preserve">Pay-TV subscribers. </w:t>
      </w:r>
      <w:r>
        <w:rPr>
          <w:rFonts w:ascii="Arial" w:cs="Arial" w:eastAsia="Arial" w:hAnsi="Arial"/>
          <w:sz w:val="16"/>
          <w:szCs w:val="16"/>
          <w:color w:val="auto"/>
        </w:rPr>
        <w:t>Our Pay-TV subscriber count includes all DISH TV and SLING TV subscribers discussed above.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who subscribe to both our DISH TV services and our SLING TV services, each subscription is counted as a separate Pay-TV subscriber.</w:t>
      </w:r>
    </w:p>
    <w:p>
      <w:pPr>
        <w:spacing w:after="0" w:line="137"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b w:val="1"/>
          <w:bCs w:val="1"/>
          <w:i w:val="1"/>
          <w:iCs w:val="1"/>
          <w:color w:val="auto"/>
        </w:rPr>
        <w:t xml:space="preserve">Pay-TV average monthly revenue per subscriber (“Pay-TV ARPU”). </w:t>
      </w:r>
      <w:r>
        <w:rPr>
          <w:rFonts w:ascii="Arial" w:cs="Arial" w:eastAsia="Arial" w:hAnsi="Arial"/>
          <w:sz w:val="16"/>
          <w:szCs w:val="16"/>
          <w:color w:val="auto"/>
        </w:rPr>
        <w:t>We are not aware of any uniform standards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149"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b w:val="1"/>
          <w:bCs w:val="1"/>
          <w:i w:val="1"/>
          <w:iCs w:val="1"/>
          <w:color w:val="auto"/>
        </w:rPr>
        <w:t xml:space="preserve">DISH TV average monthly subscriber churn rate (“DISH TV churn rate”). </w:t>
      </w:r>
      <w:r>
        <w:rPr>
          <w:rFonts w:ascii="Arial" w:cs="Arial" w:eastAsia="Arial" w:hAnsi="Arial"/>
          <w:sz w:val="16"/>
          <w:szCs w:val="16"/>
          <w:color w:val="auto"/>
        </w:rPr>
        <w:t>We are not aware of any uniform standards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50"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b w:val="1"/>
          <w:bCs w:val="1"/>
          <w:i w:val="1"/>
          <w:iCs w:val="1"/>
          <w:color w:val="auto"/>
        </w:rPr>
        <w:t xml:space="preserve">DISH TV SAC. </w:t>
      </w:r>
      <w:r>
        <w:rPr>
          <w:rFonts w:ascii="Arial" w:cs="Arial" w:eastAsia="Arial" w:hAnsi="Arial"/>
          <w:sz w:val="16"/>
          <w:szCs w:val="16"/>
          <w:color w:val="auto"/>
        </w:rPr>
        <w:t>Subscriber acquisition cost measures are commonly used by those evaluating traditional companies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spacing w:after="0" w:line="152" w:lineRule="exact"/>
        <w:rPr>
          <w:sz w:val="20"/>
          <w:szCs w:val="20"/>
          <w:color w:val="auto"/>
        </w:rPr>
      </w:pPr>
    </w:p>
    <w:p>
      <w:pPr>
        <w:ind w:left="60" w:right="139" w:hanging="10"/>
        <w:spacing w:after="0"/>
        <w:rPr>
          <w:sz w:val="20"/>
          <w:szCs w:val="20"/>
          <w:color w:val="auto"/>
        </w:rPr>
      </w:pPr>
      <w:r>
        <w:rPr>
          <w:rFonts w:ascii="Arial" w:cs="Arial" w:eastAsia="Arial" w:hAnsi="Arial"/>
          <w:sz w:val="16"/>
          <w:szCs w:val="16"/>
          <w:b w:val="1"/>
          <w:bCs w:val="1"/>
          <w:i w:val="1"/>
          <w:iCs w:val="1"/>
          <w:color w:val="auto"/>
        </w:rPr>
        <w:t xml:space="preserve">Wireless subscribers. </w:t>
      </w:r>
      <w:r>
        <w:rPr>
          <w:rFonts w:ascii="Arial" w:cs="Arial" w:eastAsia="Arial" w:hAnsi="Arial"/>
          <w:sz w:val="16"/>
          <w:szCs w:val="16"/>
          <w:color w:val="auto"/>
        </w:rPr>
        <w:t>We include prepaid and postpaid customers obtained through direct sales, independent third-party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retailers and other independent third-party distribution relationships in our Wireless subscriber count. Our Wireless subscriber count includes all Government subsidized subscribers discussed below. Our gross new Wireless subscriber activations exclude all Government subsidized subscribers as we record these subscribers net of disconnects, as discussed below.</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right="199" w:hanging="10"/>
        <w:spacing w:after="0"/>
        <w:rPr>
          <w:sz w:val="20"/>
          <w:szCs w:val="20"/>
          <w:color w:val="auto"/>
        </w:rPr>
      </w:pPr>
      <w:r>
        <w:rPr>
          <w:rFonts w:ascii="Arial" w:cs="Arial" w:eastAsia="Arial" w:hAnsi="Arial"/>
          <w:sz w:val="16"/>
          <w:szCs w:val="16"/>
          <w:b w:val="1"/>
          <w:bCs w:val="1"/>
          <w:i w:val="1"/>
          <w:iCs w:val="1"/>
          <w:color w:val="auto"/>
        </w:rPr>
        <w:t xml:space="preserve">Government subsidized wireless subscribers and other wireless subscribers (“Government subsidized subscribers”). </w:t>
      </w:r>
      <w:r>
        <w:rPr>
          <w:rFonts w:ascii="Arial" w:cs="Arial" w:eastAsia="Arial" w:hAnsi="Arial"/>
          <w:sz w:val="16"/>
          <w:szCs w:val="16"/>
          <w:color w:val="auto"/>
        </w:rPr>
        <w:t>Our Government subsidized subscribers have different subscriber economics than our core Wireless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subscribers, including a significantly higher churn rate and lower subscriber acquisition costs. Therefore, our Government subsidized subscriber additions are recorded net of disconnects. Our Government subsidized subscriber count includes Wireless subscribers that participate in government subsidized programs, including the ACP program and Lifeline program, defined below, and other subscribers acquired under the Gen Mobile brand. The Affordable Connectivity Program (“ACP”) was a federal program offering broadband services and devices discounts to help low-income individuals that meet certain eligibility criteria. The ACP program funding concluded on June 1, 2024. The Lifeline Program is a federal program offering broadband services discounts to help low-income individuals that meet certain eligibility criteria. Certain states also offer a separate Lifeline program.</w:t>
      </w:r>
    </w:p>
    <w:p>
      <w:pPr>
        <w:spacing w:after="0" w:line="155" w:lineRule="exact"/>
        <w:rPr>
          <w:sz w:val="20"/>
          <w:szCs w:val="20"/>
          <w:color w:val="auto"/>
        </w:rPr>
      </w:pPr>
    </w:p>
    <w:p>
      <w:pPr>
        <w:ind w:left="40" w:right="139"/>
        <w:spacing w:after="0" w:line="242" w:lineRule="auto"/>
        <w:rPr>
          <w:sz w:val="20"/>
          <w:szCs w:val="20"/>
          <w:color w:val="auto"/>
        </w:rPr>
      </w:pPr>
      <w:r>
        <w:rPr>
          <w:rFonts w:ascii="Arial" w:cs="Arial" w:eastAsia="Arial" w:hAnsi="Arial"/>
          <w:sz w:val="16"/>
          <w:szCs w:val="16"/>
          <w:b w:val="1"/>
          <w:bCs w:val="1"/>
          <w:i w:val="1"/>
          <w:iCs w:val="1"/>
          <w:color w:val="auto"/>
        </w:rPr>
        <w:t xml:space="preserve">Wireless average monthly revenue per subscriber (“Wireless ARPU”). </w:t>
      </w:r>
      <w:r>
        <w:rPr>
          <w:rFonts w:ascii="Arial" w:cs="Arial" w:eastAsia="Arial" w:hAnsi="Arial"/>
          <w:sz w:val="16"/>
          <w:szCs w:val="16"/>
          <w:color w:val="auto"/>
        </w:rPr>
        <w:t>We are not aware of any uniform standards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calculating ARPU and believe presentations of ARPU may not be calculated consistently by other companies in the same or similar businesses. We calculate average monthly revenue per Wireless subscriber, or Wireless ARPU, by dividing average monthly Wireless subscriber revenue included in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w:t>
      </w:r>
    </w:p>
    <w:p>
      <w:pPr>
        <w:spacing w:after="0" w:line="150" w:lineRule="exact"/>
        <w:rPr>
          <w:sz w:val="20"/>
          <w:szCs w:val="20"/>
          <w:color w:val="auto"/>
        </w:rPr>
      </w:pPr>
    </w:p>
    <w:p>
      <w:pPr>
        <w:ind w:left="60" w:right="59" w:hanging="10"/>
        <w:spacing w:after="0" w:line="241" w:lineRule="auto"/>
        <w:rPr>
          <w:sz w:val="20"/>
          <w:szCs w:val="20"/>
          <w:color w:val="auto"/>
        </w:rPr>
      </w:pPr>
      <w:r>
        <w:rPr>
          <w:rFonts w:ascii="Arial" w:cs="Arial" w:eastAsia="Arial" w:hAnsi="Arial"/>
          <w:sz w:val="16"/>
          <w:szCs w:val="16"/>
          <w:b w:val="1"/>
          <w:bCs w:val="1"/>
          <w:i w:val="1"/>
          <w:iCs w:val="1"/>
          <w:color w:val="auto"/>
        </w:rPr>
        <w:t xml:space="preserve">Wireless average monthly subscriber churn rate (“Wireless churn rate”). </w:t>
      </w:r>
      <w:r>
        <w:rPr>
          <w:rFonts w:ascii="Arial" w:cs="Arial" w:eastAsia="Arial" w:hAnsi="Arial"/>
          <w:sz w:val="16"/>
          <w:szCs w:val="16"/>
          <w:color w:val="auto"/>
        </w:rPr>
        <w:t>We are not aware of any uniform standards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Government subsidized subscriber additions are recorded net of disconnects and therefore excluded from our calculation of our Wireless churn rate.</w:t>
      </w:r>
    </w:p>
    <w:p>
      <w:pPr>
        <w:spacing w:after="0" w:line="152" w:lineRule="exact"/>
        <w:rPr>
          <w:sz w:val="20"/>
          <w:szCs w:val="20"/>
          <w:color w:val="auto"/>
        </w:rPr>
      </w:pPr>
    </w:p>
    <w:p>
      <w:pPr>
        <w:jc w:val="both"/>
        <w:ind w:left="60" w:right="139" w:hanging="10"/>
        <w:spacing w:after="0" w:line="256" w:lineRule="auto"/>
        <w:rPr>
          <w:sz w:val="20"/>
          <w:szCs w:val="20"/>
          <w:color w:val="auto"/>
        </w:rPr>
      </w:pPr>
      <w:r>
        <w:rPr>
          <w:rFonts w:ascii="Arial" w:cs="Arial" w:eastAsia="Arial" w:hAnsi="Arial"/>
          <w:sz w:val="16"/>
          <w:szCs w:val="16"/>
          <w:b w:val="1"/>
          <w:bCs w:val="1"/>
          <w:i w:val="1"/>
          <w:iCs w:val="1"/>
          <w:color w:val="auto"/>
        </w:rPr>
        <w:t xml:space="preserve">Broadband subscribers. </w:t>
      </w:r>
      <w:r>
        <w:rPr>
          <w:rFonts w:ascii="Arial" w:cs="Arial" w:eastAsia="Arial" w:hAnsi="Arial"/>
          <w:sz w:val="16"/>
          <w:szCs w:val="16"/>
          <w:color w:val="auto"/>
        </w:rPr>
        <w:t>Subscribers include customers that subscribe to our HughesNet service, through retail, wholesale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small/medium enterprise service channels. Our Broadband subscriber count also includes ACP subscribers, as defined above.</w:t>
      </w:r>
    </w:p>
    <w:p>
      <w:pPr>
        <w:spacing w:after="0" w:line="137" w:lineRule="exact"/>
        <w:rPr>
          <w:sz w:val="20"/>
          <w:szCs w:val="20"/>
          <w:color w:val="auto"/>
        </w:rPr>
      </w:pPr>
    </w:p>
    <w:p>
      <w:pPr>
        <w:ind w:left="40" w:right="139"/>
        <w:spacing w:after="0" w:line="256" w:lineRule="auto"/>
        <w:rPr>
          <w:sz w:val="20"/>
          <w:szCs w:val="20"/>
          <w:color w:val="auto"/>
        </w:rPr>
      </w:pPr>
      <w:r>
        <w:rPr>
          <w:rFonts w:ascii="Arial" w:cs="Arial" w:eastAsia="Arial" w:hAnsi="Arial"/>
          <w:sz w:val="16"/>
          <w:szCs w:val="16"/>
          <w:b w:val="1"/>
          <w:bCs w:val="1"/>
          <w:i w:val="1"/>
          <w:iCs w:val="1"/>
          <w:color w:val="auto"/>
        </w:rPr>
        <w:t>Free cash flow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define free cash flow as “Net cash flows from operating activities” less: (i) “Purchases of property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net of “Refunds and other receipts of purchases of property and equipment,” and (ii) “Capitalized interest related to Regulatory authorizations,” as shown on our Consolidated Statements of Cash Flows.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 – Segments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Business Segments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currently operate three primary business segments: (1) Pay-TV; (2) Wireless; and (3) Broadband and Satellite Services.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and operating income (loss) by segment are shown in the table below:</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Year Ended December 31, 2024 Compared to the Year Ended December 31, 2023.</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5"/>
          </w:tcPr>
          <w:p>
            <w:pPr>
              <w:jc w:val="right"/>
              <w:ind w:right="480"/>
              <w:spacing w:after="0"/>
              <w:rPr>
                <w:sz w:val="20"/>
                <w:szCs w:val="20"/>
                <w:color w:val="auto"/>
              </w:rPr>
            </w:pPr>
            <w:r>
              <w:rPr>
                <w:rFonts w:ascii="Arial" w:cs="Arial" w:eastAsia="Arial" w:hAnsi="Arial"/>
                <w:sz w:val="15"/>
                <w:szCs w:val="15"/>
                <w:b w:val="1"/>
                <w:bCs w:val="1"/>
                <w:color w:val="auto"/>
                <w:w w:val="99"/>
              </w:rPr>
              <w:t>For the Years Ended December 31,</w:t>
            </w:r>
          </w:p>
        </w:tc>
        <w:tc>
          <w:tcPr>
            <w:tcW w:w="180" w:type="dxa"/>
            <w:vAlign w:val="bottom"/>
          </w:tcPr>
          <w:p>
            <w:pPr>
              <w:spacing w:after="0"/>
              <w:rPr>
                <w:sz w:val="16"/>
                <w:szCs w:val="16"/>
                <w:color w:val="auto"/>
              </w:rPr>
            </w:pPr>
          </w:p>
        </w:tc>
        <w:tc>
          <w:tcPr>
            <w:tcW w:w="1480" w:type="dxa"/>
            <w:vAlign w:val="bottom"/>
            <w:gridSpan w:val="3"/>
          </w:tcPr>
          <w:p>
            <w:pPr>
              <w:ind w:left="700"/>
              <w:spacing w:after="0"/>
              <w:rPr>
                <w:sz w:val="20"/>
                <w:szCs w:val="20"/>
                <w:color w:val="auto"/>
              </w:rPr>
            </w:pPr>
            <w:r>
              <w:rPr>
                <w:rFonts w:ascii="Arial" w:cs="Arial" w:eastAsia="Arial" w:hAnsi="Arial"/>
                <w:sz w:val="15"/>
                <w:szCs w:val="15"/>
                <w:b w:val="1"/>
                <w:bCs w:val="1"/>
                <w:color w:val="auto"/>
              </w:rPr>
              <w:t>Variance</w:t>
            </w:r>
          </w:p>
        </w:tc>
        <w:tc>
          <w:tcPr>
            <w:tcW w:w="720" w:type="dxa"/>
            <w:vAlign w:val="bottom"/>
          </w:tcPr>
          <w:p>
            <w:pPr>
              <w:spacing w:after="0"/>
              <w:rPr>
                <w:sz w:val="16"/>
                <w:szCs w:val="16"/>
                <w:color w:val="auto"/>
              </w:rPr>
            </w:pPr>
          </w:p>
        </w:tc>
      </w:tr>
      <w:tr>
        <w:trPr>
          <w:trHeight w:val="169"/>
        </w:trPr>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27"/>
              <w:spacing w:after="0" w:line="169" w:lineRule="exact"/>
              <w:rPr>
                <w:sz w:val="20"/>
                <w:szCs w:val="20"/>
                <w:color w:val="auto"/>
              </w:rPr>
            </w:pPr>
            <w:r>
              <w:rPr>
                <w:rFonts w:ascii="Arial" w:cs="Arial" w:eastAsia="Arial" w:hAnsi="Arial"/>
                <w:sz w:val="15"/>
                <w:szCs w:val="15"/>
                <w:b w:val="1"/>
                <w:bCs w:val="1"/>
                <w:color w:val="auto"/>
              </w:rPr>
              <w:t>2024</w:t>
            </w: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427"/>
              <w:spacing w:after="0" w:line="169" w:lineRule="exact"/>
              <w:rPr>
                <w:sz w:val="20"/>
                <w:szCs w:val="20"/>
                <w:color w:val="auto"/>
              </w:rPr>
            </w:pPr>
            <w:r>
              <w:rPr>
                <w:rFonts w:ascii="Arial" w:cs="Arial" w:eastAsia="Arial" w:hAnsi="Arial"/>
                <w:sz w:val="15"/>
                <w:szCs w:val="15"/>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3"/>
          </w:tcPr>
          <w:p>
            <w:pPr>
              <w:ind w:left="120"/>
              <w:spacing w:after="0" w:line="169" w:lineRule="exact"/>
              <w:rPr>
                <w:sz w:val="20"/>
                <w:szCs w:val="20"/>
                <w:color w:val="auto"/>
              </w:rPr>
            </w:pPr>
            <w:r>
              <w:rPr>
                <w:rFonts w:ascii="Arial" w:cs="Arial" w:eastAsia="Arial" w:hAnsi="Arial"/>
                <w:sz w:val="15"/>
                <w:szCs w:val="15"/>
                <w:b w:val="1"/>
                <w:bCs w:val="1"/>
                <w:color w:val="auto"/>
              </w:rPr>
              <w:t>Amount</w:t>
            </w:r>
          </w:p>
        </w:tc>
        <w:tc>
          <w:tcPr>
            <w:tcW w:w="720" w:type="dxa"/>
            <w:vAlign w:val="bottom"/>
            <w:tcBorders>
              <w:top w:val="single" w:sz="8" w:color="auto"/>
            </w:tcBorders>
          </w:tcPr>
          <w:p>
            <w:pPr>
              <w:jc w:val="right"/>
              <w:ind w:right="367"/>
              <w:spacing w:after="0" w:line="169" w:lineRule="exact"/>
              <w:rPr>
                <w:sz w:val="20"/>
                <w:szCs w:val="20"/>
                <w:color w:val="auto"/>
              </w:rPr>
            </w:pPr>
            <w:r>
              <w:rPr>
                <w:rFonts w:ascii="Arial" w:cs="Arial" w:eastAsia="Arial" w:hAnsi="Arial"/>
                <w:sz w:val="15"/>
                <w:szCs w:val="15"/>
                <w:b w:val="1"/>
                <w:bCs w:val="1"/>
                <w:color w:val="auto"/>
              </w:rPr>
              <w:t>%</w:t>
            </w:r>
          </w:p>
        </w:tc>
      </w:tr>
      <w:tr>
        <w:trPr>
          <w:trHeight w:val="149"/>
        </w:trPr>
        <w:tc>
          <w:tcPr>
            <w:tcW w:w="2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07"/>
              <w:spacing w:after="0" w:line="149" w:lineRule="exact"/>
              <w:rPr>
                <w:sz w:val="20"/>
                <w:szCs w:val="20"/>
                <w:color w:val="auto"/>
              </w:rPr>
            </w:pPr>
            <w:r>
              <w:rPr>
                <w:rFonts w:ascii="Arial" w:cs="Arial" w:eastAsia="Arial" w:hAnsi="Arial"/>
                <w:sz w:val="15"/>
                <w:szCs w:val="15"/>
                <w:color w:val="auto"/>
                <w:w w:val="95"/>
              </w:rPr>
              <w:t>(In thousands)</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r>
      <w:tr>
        <w:trPr>
          <w:trHeight w:val="169"/>
        </w:trPr>
        <w:tc>
          <w:tcPr>
            <w:tcW w:w="3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9"/>
        </w:trPr>
        <w:tc>
          <w:tcPr>
            <w:tcW w:w="3420" w:type="dxa"/>
            <w:vAlign w:val="bottom"/>
            <w:gridSpan w:val="2"/>
          </w:tcPr>
          <w:p>
            <w:pPr>
              <w:spacing w:after="0" w:line="169" w:lineRule="exact"/>
              <w:rPr>
                <w:sz w:val="20"/>
                <w:szCs w:val="20"/>
                <w:color w:val="auto"/>
              </w:rPr>
            </w:pPr>
            <w:r>
              <w:rPr>
                <w:rFonts w:ascii="Arial" w:cs="Arial" w:eastAsia="Arial" w:hAnsi="Arial"/>
                <w:sz w:val="15"/>
                <w:szCs w:val="15"/>
                <w:color w:val="auto"/>
              </w:rPr>
              <w:t>Pay-TV</w:t>
            </w:r>
          </w:p>
        </w:tc>
        <w:tc>
          <w:tcPr>
            <w:tcW w:w="160" w:type="dxa"/>
            <w:vAlign w:val="bottom"/>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10,688,204</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11,571,159</w:t>
            </w:r>
          </w:p>
        </w:tc>
        <w:tc>
          <w:tcPr>
            <w:tcW w:w="240" w:type="dxa"/>
            <w:vAlign w:val="bottom"/>
          </w:tcPr>
          <w:p>
            <w:pPr>
              <w:spacing w:after="0"/>
              <w:rPr>
                <w:sz w:val="14"/>
                <w:szCs w:val="14"/>
                <w:color w:val="auto"/>
              </w:rPr>
            </w:pPr>
          </w:p>
        </w:tc>
        <w:tc>
          <w:tcPr>
            <w:tcW w:w="180" w:type="dxa"/>
            <w:vAlign w:val="bottom"/>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(882,955)</w:t>
            </w:r>
          </w:p>
        </w:tc>
        <w:tc>
          <w:tcPr>
            <w:tcW w:w="2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(7.6)</w:t>
            </w:r>
          </w:p>
        </w:tc>
      </w:tr>
      <w:tr>
        <w:trPr>
          <w:trHeight w:val="169"/>
        </w:trPr>
        <w:tc>
          <w:tcPr>
            <w:tcW w:w="3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Wireless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3,607,983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3,732,160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(124,177)</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(3.3)</w:t>
            </w:r>
          </w:p>
        </w:tc>
      </w:tr>
      <w:tr>
        <w:trPr>
          <w:trHeight w:val="169"/>
        </w:trPr>
        <w:tc>
          <w:tcPr>
            <w:tcW w:w="3420" w:type="dxa"/>
            <w:vAlign w:val="bottom"/>
            <w:gridSpan w:val="2"/>
          </w:tcPr>
          <w:p>
            <w:pPr>
              <w:spacing w:after="0" w:line="169" w:lineRule="exact"/>
              <w:rPr>
                <w:sz w:val="20"/>
                <w:szCs w:val="20"/>
                <w:color w:val="auto"/>
              </w:rPr>
            </w:pPr>
            <w:r>
              <w:rPr>
                <w:rFonts w:ascii="Arial" w:cs="Arial" w:eastAsia="Arial" w:hAnsi="Arial"/>
                <w:sz w:val="15"/>
                <w:szCs w:val="15"/>
                <w:color w:val="auto"/>
              </w:rPr>
              <w:t>Broadband and Satellite Services</w:t>
            </w:r>
          </w:p>
        </w:tc>
        <w:tc>
          <w:tcPr>
            <w:tcW w:w="16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1,575,788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1,755,559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(179,771)</w:t>
            </w:r>
          </w:p>
        </w:tc>
        <w:tc>
          <w:tcPr>
            <w:tcW w:w="2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(10.2)</w:t>
            </w:r>
          </w:p>
        </w:tc>
      </w:tr>
      <w:tr>
        <w:trPr>
          <w:trHeight w:val="169"/>
        </w:trPr>
        <w:tc>
          <w:tcPr>
            <w:tcW w:w="3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Eliminations</w:t>
            </w: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(46,459)</w:t>
            </w: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(43,280)</w:t>
            </w: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(3,179)</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w:t>
            </w:r>
          </w:p>
        </w:tc>
      </w:tr>
      <w:tr>
        <w:trPr>
          <w:trHeight w:val="202"/>
        </w:trPr>
        <w:tc>
          <w:tcPr>
            <w:tcW w:w="342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b w:val="1"/>
                <w:bCs w:val="1"/>
                <w:color w:val="auto"/>
              </w:rPr>
              <w:t>Total revenue</w:t>
            </w:r>
          </w:p>
        </w:tc>
        <w:tc>
          <w:tcPr>
            <w:tcW w:w="160" w:type="dxa"/>
            <w:vAlign w:val="bottom"/>
            <w:tcBorders>
              <w:top w:val="single" w:sz="8" w:color="auto"/>
              <w:bottom w:val="single" w:sz="8" w:color="auto"/>
            </w:tcBorders>
          </w:tcPr>
          <w:p>
            <w:pPr>
              <w:jc w:val="right"/>
              <w:ind w:right="7"/>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15,825,516</w:t>
            </w: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17,015,598</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line="16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(1,190,082)</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(7.0)</w:t>
            </w:r>
          </w:p>
        </w:tc>
      </w:tr>
      <w:tr>
        <w:trPr>
          <w:trHeight w:val="146"/>
        </w:trPr>
        <w:tc>
          <w:tcPr>
            <w:tcW w:w="2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69"/>
        </w:trPr>
        <w:tc>
          <w:tcPr>
            <w:tcW w:w="34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Operating income (loss):</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9"/>
        </w:trPr>
        <w:tc>
          <w:tcPr>
            <w:tcW w:w="3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Pay-TV</w:t>
            </w: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2,647,954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2,699,810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(51,856)</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w:t>
            </w:r>
          </w:p>
        </w:tc>
      </w:tr>
      <w:tr>
        <w:trPr>
          <w:trHeight w:val="169"/>
        </w:trPr>
        <w:tc>
          <w:tcPr>
            <w:tcW w:w="3420" w:type="dxa"/>
            <w:vAlign w:val="bottom"/>
            <w:gridSpan w:val="2"/>
          </w:tcPr>
          <w:p>
            <w:pPr>
              <w:spacing w:after="0" w:line="169" w:lineRule="exact"/>
              <w:rPr>
                <w:sz w:val="20"/>
                <w:szCs w:val="20"/>
                <w:color w:val="auto"/>
              </w:rPr>
            </w:pPr>
            <w:r>
              <w:rPr>
                <w:rFonts w:ascii="Arial" w:cs="Arial" w:eastAsia="Arial" w:hAnsi="Arial"/>
                <w:sz w:val="15"/>
                <w:szCs w:val="15"/>
                <w:color w:val="auto"/>
              </w:rPr>
              <w:t>Wireless</w:t>
            </w:r>
          </w:p>
        </w:tc>
        <w:tc>
          <w:tcPr>
            <w:tcW w:w="160" w:type="dxa"/>
            <w:vAlign w:val="bottom"/>
          </w:tcPr>
          <w:p>
            <w:pPr>
              <w:spacing w:after="0"/>
              <w:rPr>
                <w:sz w:val="14"/>
                <w:szCs w:val="14"/>
                <w:color w:val="auto"/>
              </w:rPr>
            </w:pPr>
          </w:p>
        </w:tc>
        <w:tc>
          <w:tcPr>
            <w:tcW w:w="14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(2,831,906)</w:t>
            </w:r>
          </w:p>
        </w:tc>
        <w:tc>
          <w:tcPr>
            <w:tcW w:w="100" w:type="dxa"/>
            <w:vAlign w:val="bottom"/>
          </w:tcPr>
          <w:p>
            <w:pPr>
              <w:spacing w:after="0"/>
              <w:rPr>
                <w:sz w:val="14"/>
                <w:szCs w:val="14"/>
                <w:color w:val="auto"/>
              </w:rPr>
            </w:pPr>
          </w:p>
        </w:tc>
        <w:tc>
          <w:tcPr>
            <w:tcW w:w="146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(2,524,553)</w:t>
            </w:r>
          </w:p>
        </w:tc>
        <w:tc>
          <w:tcPr>
            <w:tcW w:w="180" w:type="dxa"/>
            <w:vAlign w:val="bottom"/>
          </w:tcPr>
          <w:p>
            <w:pPr>
              <w:spacing w:after="0"/>
              <w:rPr>
                <w:sz w:val="14"/>
                <w:szCs w:val="14"/>
                <w:color w:val="auto"/>
              </w:rPr>
            </w:pPr>
          </w:p>
        </w:tc>
        <w:tc>
          <w:tcPr>
            <w:tcW w:w="12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(307,353)</w:t>
            </w:r>
          </w:p>
        </w:tc>
        <w:tc>
          <w:tcPr>
            <w:tcW w:w="2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(12.2)</w:t>
            </w:r>
          </w:p>
        </w:tc>
      </w:tr>
      <w:tr>
        <w:trPr>
          <w:trHeight w:val="169"/>
        </w:trPr>
        <w:tc>
          <w:tcPr>
            <w:tcW w:w="3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Broadband and Satellite Services</w:t>
            </w:r>
          </w:p>
        </w:tc>
        <w:tc>
          <w:tcPr>
            <w:tcW w:w="1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(117,901)</w:t>
            </w: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(458,609)</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340,708</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74.3</w:t>
            </w:r>
          </w:p>
        </w:tc>
      </w:tr>
      <w:tr>
        <w:trPr>
          <w:trHeight w:val="169"/>
        </w:trPr>
        <w:tc>
          <w:tcPr>
            <w:tcW w:w="3420" w:type="dxa"/>
            <w:vAlign w:val="bottom"/>
            <w:gridSpan w:val="2"/>
          </w:tcPr>
          <w:p>
            <w:pPr>
              <w:spacing w:after="0" w:line="169" w:lineRule="exact"/>
              <w:rPr>
                <w:sz w:val="20"/>
                <w:szCs w:val="20"/>
                <w:color w:val="auto"/>
              </w:rPr>
            </w:pPr>
            <w:r>
              <w:rPr>
                <w:rFonts w:ascii="Arial" w:cs="Arial" w:eastAsia="Arial" w:hAnsi="Arial"/>
                <w:sz w:val="15"/>
                <w:szCs w:val="15"/>
                <w:color w:val="auto"/>
              </w:rPr>
              <w:t>Eliminations</w:t>
            </w:r>
          </w:p>
        </w:tc>
        <w:tc>
          <w:tcPr>
            <w:tcW w:w="160" w:type="dxa"/>
            <w:vAlign w:val="bottom"/>
          </w:tcPr>
          <w:p>
            <w:pPr>
              <w:spacing w:after="0"/>
              <w:rPr>
                <w:sz w:val="14"/>
                <w:szCs w:val="14"/>
                <w:color w:val="auto"/>
              </w:rPr>
            </w:pPr>
          </w:p>
        </w:tc>
        <w:tc>
          <w:tcPr>
            <w:tcW w:w="14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(2,217)</w:t>
            </w:r>
          </w:p>
        </w:tc>
        <w:tc>
          <w:tcPr>
            <w:tcW w:w="10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5,443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(7,660)</w:t>
            </w:r>
          </w:p>
        </w:tc>
        <w:tc>
          <w:tcPr>
            <w:tcW w:w="2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2"/>
        </w:trPr>
        <w:tc>
          <w:tcPr>
            <w:tcW w:w="3420" w:type="dxa"/>
            <w:vAlign w:val="bottom"/>
            <w:tcBorders>
              <w:top w:val="single" w:sz="8" w:color="CCEEFF"/>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operating income (loss)</w:t>
            </w:r>
          </w:p>
        </w:tc>
        <w:tc>
          <w:tcPr>
            <w:tcW w:w="160" w:type="dxa"/>
            <w:vAlign w:val="bottom"/>
            <w:tcBorders>
              <w:top w:val="single" w:sz="8" w:color="auto"/>
              <w:bottom w:val="single" w:sz="8" w:color="auto"/>
            </w:tcBorders>
            <w:shd w:val="clear" w:color="auto" w:fill="CCEEFF"/>
          </w:tcPr>
          <w:p>
            <w:pPr>
              <w:jc w:val="right"/>
              <w:ind w:right="7"/>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(304,070)</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(277,909)</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7"/>
              <w:spacing w:after="0" w:line="16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(26,161)</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(9.4)</w:t>
            </w:r>
          </w:p>
        </w:tc>
      </w:tr>
      <w:tr>
        <w:trPr>
          <w:trHeight w:val="20"/>
        </w:trPr>
        <w:tc>
          <w:tcPr>
            <w:tcW w:w="2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77"/>
        </w:trPr>
        <w:tc>
          <w:tcPr>
            <w:tcW w:w="2240" w:type="dxa"/>
            <w:vAlign w:val="bottom"/>
            <w:tcBorders>
              <w:bottom w:val="single" w:sz="8" w:color="auto"/>
            </w:tcBorders>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r>
    </w:tbl>
    <w:p>
      <w:pPr>
        <w:spacing w:after="0" w:line="56" w:lineRule="exact"/>
        <w:rPr>
          <w:sz w:val="20"/>
          <w:szCs w:val="20"/>
          <w:color w:val="auto"/>
        </w:rPr>
      </w:pPr>
    </w:p>
    <w:p>
      <w:pPr>
        <w:ind w:left="340" w:hanging="298"/>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179" w:lineRule="exact"/>
        <w:rPr>
          <w:sz w:val="20"/>
          <w:szCs w:val="20"/>
          <w:color w:val="auto"/>
        </w:rPr>
      </w:pPr>
    </w:p>
    <w:p>
      <w:pPr>
        <w:jc w:val="both"/>
        <w:ind w:left="40" w:right="499"/>
        <w:spacing w:after="0" w:line="256" w:lineRule="auto"/>
        <w:rPr>
          <w:sz w:val="20"/>
          <w:szCs w:val="20"/>
          <w:color w:val="auto"/>
        </w:rPr>
      </w:pPr>
      <w:r>
        <w:rPr>
          <w:rFonts w:ascii="Arial" w:cs="Arial" w:eastAsia="Arial" w:hAnsi="Arial"/>
          <w:sz w:val="16"/>
          <w:szCs w:val="16"/>
          <w:b w:val="1"/>
          <w:bCs w:val="1"/>
          <w:i w:val="1"/>
          <w:iCs w:val="1"/>
          <w:color w:val="auto"/>
        </w:rPr>
        <w:t xml:space="preserve">Total revenue. </w:t>
      </w:r>
      <w:r>
        <w:rPr>
          <w:rFonts w:ascii="Arial" w:cs="Arial" w:eastAsia="Arial" w:hAnsi="Arial"/>
          <w:sz w:val="16"/>
          <w:szCs w:val="16"/>
          <w:color w:val="auto"/>
        </w:rPr>
        <w:t>Our consolidated revenue totaled $15.826 billion for the year ended December 31, 2024, a decrease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$1.190 billion or 7.0% compared to the same period in 2023. The net decrease primarily resulted from the decrease in revenue from our Pay-TV, Broadband and Satellite Services, and Wireless segments.</w:t>
      </w:r>
    </w:p>
    <w:p>
      <w:pPr>
        <w:spacing w:after="0" w:line="137"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b w:val="1"/>
          <w:bCs w:val="1"/>
          <w:i w:val="1"/>
          <w:iCs w:val="1"/>
          <w:color w:val="auto"/>
        </w:rPr>
        <w:t xml:space="preserve">Total operating income (loss). </w:t>
      </w:r>
      <w:r>
        <w:rPr>
          <w:rFonts w:ascii="Arial" w:cs="Arial" w:eastAsia="Arial" w:hAnsi="Arial"/>
          <w:sz w:val="16"/>
          <w:szCs w:val="16"/>
          <w:color w:val="auto"/>
        </w:rPr>
        <w:t>Our consolidated operating loss totaled $304 million for the year ended December 31, 2024,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increase in operating loss of $26 million compared to the same period in 2023. This change primarily resulted from an increase in operating loss from our Wireless segment, a decrease in operating income from our Pay-TV segment, and a decrease in operating loss from our Broadband and Satellite Services segment.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Year Ended December 31, 2023 Compared to the Year Ended December 31, 2022.</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5"/>
          </w:tcPr>
          <w:p>
            <w:pPr>
              <w:jc w:val="right"/>
              <w:ind w:right="520"/>
              <w:spacing w:after="0"/>
              <w:rPr>
                <w:sz w:val="20"/>
                <w:szCs w:val="20"/>
                <w:color w:val="auto"/>
              </w:rPr>
            </w:pPr>
            <w:r>
              <w:rPr>
                <w:rFonts w:ascii="Arial" w:cs="Arial" w:eastAsia="Arial" w:hAnsi="Arial"/>
                <w:sz w:val="15"/>
                <w:szCs w:val="15"/>
                <w:b w:val="1"/>
                <w:bCs w:val="1"/>
                <w:color w:val="auto"/>
              </w:rPr>
              <w:t>For the Years Ended December 31,</w:t>
            </w:r>
          </w:p>
        </w:tc>
        <w:tc>
          <w:tcPr>
            <w:tcW w:w="200" w:type="dxa"/>
            <w:vAlign w:val="bottom"/>
          </w:tcPr>
          <w:p>
            <w:pPr>
              <w:spacing w:after="0"/>
              <w:rPr>
                <w:sz w:val="16"/>
                <w:szCs w:val="16"/>
                <w:color w:val="auto"/>
              </w:rPr>
            </w:pPr>
          </w:p>
        </w:tc>
        <w:tc>
          <w:tcPr>
            <w:tcW w:w="1220" w:type="dxa"/>
            <w:vAlign w:val="bottom"/>
            <w:gridSpan w:val="2"/>
          </w:tcPr>
          <w:p>
            <w:pPr>
              <w:ind w:left="620"/>
              <w:spacing w:after="0"/>
              <w:rPr>
                <w:sz w:val="20"/>
                <w:szCs w:val="20"/>
                <w:color w:val="auto"/>
              </w:rPr>
            </w:pPr>
            <w:r>
              <w:rPr>
                <w:rFonts w:ascii="Arial" w:cs="Arial" w:eastAsia="Arial" w:hAnsi="Arial"/>
                <w:sz w:val="15"/>
                <w:szCs w:val="15"/>
                <w:b w:val="1"/>
                <w:bCs w:val="1"/>
                <w:color w:val="auto"/>
                <w:w w:val="92"/>
              </w:rPr>
              <w:t>Variance</w:t>
            </w:r>
          </w:p>
        </w:tc>
        <w:tc>
          <w:tcPr>
            <w:tcW w:w="800" w:type="dxa"/>
            <w:vAlign w:val="bottom"/>
          </w:tcPr>
          <w:p>
            <w:pPr>
              <w:spacing w:after="0"/>
              <w:rPr>
                <w:sz w:val="16"/>
                <w:szCs w:val="16"/>
                <w:color w:val="auto"/>
              </w:rPr>
            </w:pPr>
          </w:p>
        </w:tc>
      </w:tr>
      <w:tr>
        <w:trPr>
          <w:trHeight w:val="169"/>
        </w:trPr>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47"/>
              <w:spacing w:after="0" w:line="169" w:lineRule="exact"/>
              <w:rPr>
                <w:sz w:val="20"/>
                <w:szCs w:val="20"/>
                <w:color w:val="auto"/>
              </w:rPr>
            </w:pPr>
            <w:r>
              <w:rPr>
                <w:rFonts w:ascii="Arial" w:cs="Arial" w:eastAsia="Arial" w:hAnsi="Arial"/>
                <w:sz w:val="15"/>
                <w:szCs w:val="15"/>
                <w:b w:val="1"/>
                <w:bCs w:val="1"/>
                <w:color w:val="auto"/>
              </w:rPr>
              <w:t>2023</w:t>
            </w: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47"/>
              <w:spacing w:after="0" w:line="169" w:lineRule="exact"/>
              <w:rPr>
                <w:sz w:val="20"/>
                <w:szCs w:val="20"/>
                <w:color w:val="auto"/>
              </w:rPr>
            </w:pPr>
            <w:r>
              <w:rPr>
                <w:rFonts w:ascii="Arial" w:cs="Arial" w:eastAsia="Arial" w:hAnsi="Arial"/>
                <w:sz w:val="15"/>
                <w:szCs w:val="15"/>
                <w:b w:val="1"/>
                <w:bCs w:val="1"/>
                <w:color w:val="auto"/>
              </w:rPr>
              <w:t>2022</w:t>
            </w: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120"/>
              <w:spacing w:after="0" w:line="169" w:lineRule="exact"/>
              <w:rPr>
                <w:sz w:val="20"/>
                <w:szCs w:val="20"/>
                <w:color w:val="auto"/>
              </w:rPr>
            </w:pPr>
            <w:r>
              <w:rPr>
                <w:rFonts w:ascii="Arial" w:cs="Arial" w:eastAsia="Arial" w:hAnsi="Arial"/>
                <w:sz w:val="15"/>
                <w:szCs w:val="15"/>
                <w:b w:val="1"/>
                <w:bCs w:val="1"/>
                <w:color w:val="auto"/>
              </w:rPr>
              <w:t>Amount</w:t>
            </w:r>
          </w:p>
        </w:tc>
        <w:tc>
          <w:tcPr>
            <w:tcW w:w="800" w:type="dxa"/>
            <w:vAlign w:val="bottom"/>
            <w:tcBorders>
              <w:top w:val="single" w:sz="8" w:color="auto"/>
            </w:tcBorders>
          </w:tcPr>
          <w:p>
            <w:pPr>
              <w:jc w:val="right"/>
              <w:ind w:right="267"/>
              <w:spacing w:after="0" w:line="169" w:lineRule="exact"/>
              <w:rPr>
                <w:sz w:val="20"/>
                <w:szCs w:val="20"/>
                <w:color w:val="auto"/>
              </w:rPr>
            </w:pPr>
            <w:r>
              <w:rPr>
                <w:rFonts w:ascii="Arial" w:cs="Arial" w:eastAsia="Arial" w:hAnsi="Arial"/>
                <w:sz w:val="15"/>
                <w:szCs w:val="15"/>
                <w:b w:val="1"/>
                <w:bCs w:val="1"/>
                <w:color w:val="auto"/>
              </w:rPr>
              <w:t>%</w:t>
            </w:r>
          </w:p>
        </w:tc>
      </w:tr>
      <w:tr>
        <w:trPr>
          <w:trHeight w:val="149"/>
        </w:trPr>
        <w:tc>
          <w:tcPr>
            <w:tcW w:w="2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227"/>
              <w:spacing w:after="0" w:line="149" w:lineRule="exact"/>
              <w:rPr>
                <w:sz w:val="20"/>
                <w:szCs w:val="20"/>
                <w:color w:val="auto"/>
              </w:rPr>
            </w:pPr>
            <w:r>
              <w:rPr>
                <w:rFonts w:ascii="Arial" w:cs="Arial" w:eastAsia="Arial" w:hAnsi="Arial"/>
                <w:sz w:val="15"/>
                <w:szCs w:val="15"/>
                <w:color w:val="auto"/>
                <w:w w:val="97"/>
              </w:rPr>
              <w:t>(In thousands)</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69"/>
        </w:trPr>
        <w:tc>
          <w:tcPr>
            <w:tcW w:w="35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9"/>
        </w:trPr>
        <w:tc>
          <w:tcPr>
            <w:tcW w:w="3500" w:type="dxa"/>
            <w:vAlign w:val="bottom"/>
            <w:gridSpan w:val="2"/>
          </w:tcPr>
          <w:p>
            <w:pPr>
              <w:spacing w:after="0" w:line="169" w:lineRule="exact"/>
              <w:rPr>
                <w:sz w:val="20"/>
                <w:szCs w:val="20"/>
                <w:color w:val="auto"/>
              </w:rPr>
            </w:pPr>
            <w:r>
              <w:rPr>
                <w:rFonts w:ascii="Arial" w:cs="Arial" w:eastAsia="Arial" w:hAnsi="Arial"/>
                <w:sz w:val="15"/>
                <w:szCs w:val="15"/>
                <w:color w:val="auto"/>
              </w:rPr>
              <w:t>Pay-TV</w:t>
            </w:r>
          </w:p>
        </w:tc>
        <w:tc>
          <w:tcPr>
            <w:tcW w:w="180" w:type="dxa"/>
            <w:vAlign w:val="bottom"/>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11,571,159</w:t>
            </w:r>
          </w:p>
        </w:tc>
        <w:tc>
          <w:tcPr>
            <w:tcW w:w="24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12,505,392</w:t>
            </w:r>
          </w:p>
        </w:tc>
        <w:tc>
          <w:tcPr>
            <w:tcW w:w="240" w:type="dxa"/>
            <w:vAlign w:val="bottom"/>
          </w:tcPr>
          <w:p>
            <w:pPr>
              <w:spacing w:after="0"/>
              <w:rPr>
                <w:sz w:val="14"/>
                <w:szCs w:val="14"/>
                <w:color w:val="auto"/>
              </w:rPr>
            </w:pPr>
          </w:p>
        </w:tc>
        <w:tc>
          <w:tcPr>
            <w:tcW w:w="200" w:type="dxa"/>
            <w:vAlign w:val="bottom"/>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(934,233)</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(7.5)</w:t>
            </w:r>
          </w:p>
        </w:tc>
      </w:tr>
      <w:tr>
        <w:trPr>
          <w:trHeight w:val="169"/>
        </w:trPr>
        <w:tc>
          <w:tcPr>
            <w:tcW w:w="35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Wireless</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3,732,160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4,180,018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(447,858)</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(10.7)</w:t>
            </w:r>
          </w:p>
        </w:tc>
      </w:tr>
      <w:tr>
        <w:trPr>
          <w:trHeight w:val="169"/>
        </w:trPr>
        <w:tc>
          <w:tcPr>
            <w:tcW w:w="3500" w:type="dxa"/>
            <w:vAlign w:val="bottom"/>
            <w:gridSpan w:val="2"/>
          </w:tcPr>
          <w:p>
            <w:pPr>
              <w:spacing w:after="0" w:line="169" w:lineRule="exact"/>
              <w:rPr>
                <w:sz w:val="20"/>
                <w:szCs w:val="20"/>
                <w:color w:val="auto"/>
              </w:rPr>
            </w:pPr>
            <w:r>
              <w:rPr>
                <w:rFonts w:ascii="Arial" w:cs="Arial" w:eastAsia="Arial" w:hAnsi="Arial"/>
                <w:sz w:val="15"/>
                <w:szCs w:val="15"/>
                <w:color w:val="auto"/>
              </w:rPr>
              <w:t>Broadband and Satellite Services</w:t>
            </w:r>
          </w:p>
        </w:tc>
        <w:tc>
          <w:tcPr>
            <w:tcW w:w="18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1,755,559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1,998,093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(242,534)</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(12.1)</w:t>
            </w:r>
          </w:p>
        </w:tc>
      </w:tr>
      <w:tr>
        <w:trPr>
          <w:trHeight w:val="169"/>
        </w:trPr>
        <w:tc>
          <w:tcPr>
            <w:tcW w:w="35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Eliminations</w:t>
            </w:r>
          </w:p>
        </w:tc>
        <w:tc>
          <w:tcPr>
            <w:tcW w:w="1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(43,280)</w:t>
            </w: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(49,257)</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5,977</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12.1</w:t>
            </w:r>
          </w:p>
        </w:tc>
      </w:tr>
      <w:tr>
        <w:trPr>
          <w:trHeight w:val="202"/>
        </w:trPr>
        <w:tc>
          <w:tcPr>
            <w:tcW w:w="350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b w:val="1"/>
                <w:bCs w:val="1"/>
                <w:color w:val="auto"/>
              </w:rPr>
              <w:t>Total revenue</w:t>
            </w:r>
          </w:p>
        </w:tc>
        <w:tc>
          <w:tcPr>
            <w:tcW w:w="180" w:type="dxa"/>
            <w:vAlign w:val="bottom"/>
            <w:tcBorders>
              <w:top w:val="single" w:sz="8" w:color="auto"/>
              <w:bottom w:val="single" w:sz="8" w:color="auto"/>
            </w:tcBorders>
          </w:tcPr>
          <w:p>
            <w:pPr>
              <w:jc w:val="right"/>
              <w:ind w:right="27"/>
              <w:spacing w:after="0" w:line="161"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17,015,598</w:t>
            </w: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18,634,246</w:t>
            </w:r>
          </w:p>
        </w:tc>
        <w:tc>
          <w:tcPr>
            <w:tcW w:w="2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line="161"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(1,618,648)</w:t>
            </w:r>
          </w:p>
        </w:tc>
        <w:tc>
          <w:tcPr>
            <w:tcW w:w="2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(8.7)</w:t>
            </w:r>
          </w:p>
        </w:tc>
      </w:tr>
      <w:tr>
        <w:trPr>
          <w:trHeight w:val="146"/>
        </w:trPr>
        <w:tc>
          <w:tcPr>
            <w:tcW w:w="2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9"/>
        </w:trPr>
        <w:tc>
          <w:tcPr>
            <w:tcW w:w="35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Operating income (loss):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9"/>
        </w:trPr>
        <w:tc>
          <w:tcPr>
            <w:tcW w:w="35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Pay-TV</w:t>
            </w:r>
          </w:p>
        </w:tc>
        <w:tc>
          <w:tcPr>
            <w:tcW w:w="1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2,699,810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2,933,898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(234,088)</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w:t>
            </w:r>
          </w:p>
        </w:tc>
      </w:tr>
      <w:tr>
        <w:trPr>
          <w:trHeight w:val="169"/>
        </w:trPr>
        <w:tc>
          <w:tcPr>
            <w:tcW w:w="3500" w:type="dxa"/>
            <w:vAlign w:val="bottom"/>
            <w:gridSpan w:val="2"/>
          </w:tcPr>
          <w:p>
            <w:pPr>
              <w:spacing w:after="0" w:line="169" w:lineRule="exact"/>
              <w:rPr>
                <w:sz w:val="20"/>
                <w:szCs w:val="20"/>
                <w:color w:val="auto"/>
              </w:rPr>
            </w:pPr>
            <w:r>
              <w:rPr>
                <w:rFonts w:ascii="Arial" w:cs="Arial" w:eastAsia="Arial" w:hAnsi="Arial"/>
                <w:sz w:val="15"/>
                <w:szCs w:val="15"/>
                <w:color w:val="auto"/>
              </w:rPr>
              <w:t>Wireless</w:t>
            </w:r>
          </w:p>
        </w:tc>
        <w:tc>
          <w:tcPr>
            <w:tcW w:w="180" w:type="dxa"/>
            <w:vAlign w:val="bottom"/>
          </w:tcPr>
          <w:p>
            <w:pPr>
              <w:spacing w:after="0"/>
              <w:rPr>
                <w:sz w:val="14"/>
                <w:szCs w:val="14"/>
                <w:color w:val="auto"/>
              </w:rPr>
            </w:pPr>
          </w:p>
        </w:tc>
        <w:tc>
          <w:tcPr>
            <w:tcW w:w="14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(2,524,553)</w:t>
            </w:r>
          </w:p>
        </w:tc>
        <w:tc>
          <w:tcPr>
            <w:tcW w:w="100" w:type="dxa"/>
            <w:vAlign w:val="bottom"/>
          </w:tcPr>
          <w:p>
            <w:pPr>
              <w:spacing w:after="0"/>
              <w:rPr>
                <w:sz w:val="14"/>
                <w:szCs w:val="14"/>
                <w:color w:val="auto"/>
              </w:rPr>
            </w:pPr>
          </w:p>
        </w:tc>
        <w:tc>
          <w:tcPr>
            <w:tcW w:w="15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(888,232)</w:t>
            </w:r>
          </w:p>
        </w:tc>
        <w:tc>
          <w:tcPr>
            <w:tcW w:w="200" w:type="dxa"/>
            <w:vAlign w:val="bottom"/>
          </w:tcPr>
          <w:p>
            <w:pPr>
              <w:spacing w:after="0"/>
              <w:rPr>
                <w:sz w:val="14"/>
                <w:szCs w:val="14"/>
                <w:color w:val="auto"/>
              </w:rPr>
            </w:pPr>
          </w:p>
        </w:tc>
        <w:tc>
          <w:tcPr>
            <w:tcW w:w="12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(1,636,321)</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35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Broadband and Satellite Services</w:t>
            </w:r>
          </w:p>
        </w:tc>
        <w:tc>
          <w:tcPr>
            <w:tcW w:w="1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(458,609)</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181,615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(640,224)</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r>
      <w:tr>
        <w:trPr>
          <w:trHeight w:val="169"/>
        </w:trPr>
        <w:tc>
          <w:tcPr>
            <w:tcW w:w="3500" w:type="dxa"/>
            <w:vAlign w:val="bottom"/>
            <w:gridSpan w:val="2"/>
          </w:tcPr>
          <w:p>
            <w:pPr>
              <w:spacing w:after="0" w:line="169" w:lineRule="exact"/>
              <w:rPr>
                <w:sz w:val="20"/>
                <w:szCs w:val="20"/>
                <w:color w:val="auto"/>
              </w:rPr>
            </w:pPr>
            <w:r>
              <w:rPr>
                <w:rFonts w:ascii="Arial" w:cs="Arial" w:eastAsia="Arial" w:hAnsi="Arial"/>
                <w:sz w:val="15"/>
                <w:szCs w:val="15"/>
                <w:color w:val="auto"/>
              </w:rPr>
              <w:t>Eliminations</w:t>
            </w:r>
          </w:p>
        </w:tc>
        <w:tc>
          <w:tcPr>
            <w:tcW w:w="18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5,443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5,557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(114)</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(2.1)</w:t>
            </w:r>
          </w:p>
        </w:tc>
      </w:tr>
      <w:tr>
        <w:trPr>
          <w:trHeight w:val="162"/>
        </w:trPr>
        <w:tc>
          <w:tcPr>
            <w:tcW w:w="3500" w:type="dxa"/>
            <w:vAlign w:val="bottom"/>
            <w:tcBorders>
              <w:top w:val="single" w:sz="8" w:color="CCEEFF"/>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operating income (loss)</w:t>
            </w:r>
          </w:p>
        </w:tc>
        <w:tc>
          <w:tcPr>
            <w:tcW w:w="180" w:type="dxa"/>
            <w:vAlign w:val="bottom"/>
            <w:tcBorders>
              <w:top w:val="single" w:sz="8" w:color="auto"/>
              <w:bottom w:val="single" w:sz="8" w:color="auto"/>
            </w:tcBorders>
            <w:shd w:val="clear" w:color="auto" w:fill="CCEEFF"/>
          </w:tcPr>
          <w:p>
            <w:pPr>
              <w:jc w:val="right"/>
              <w:ind w:right="27"/>
              <w:spacing w:after="0" w:line="161"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(277,909)</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2,232,838</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7"/>
              <w:spacing w:after="0" w:line="161"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(2,510,747)</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r>
      <w:tr>
        <w:trPr>
          <w:trHeight w:val="20"/>
        </w:trPr>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77"/>
        </w:trPr>
        <w:tc>
          <w:tcPr>
            <w:tcW w:w="2240" w:type="dxa"/>
            <w:vAlign w:val="bottom"/>
            <w:tcBorders>
              <w:bottom w:val="single" w:sz="8" w:color="auto"/>
            </w:tcBorders>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r>
    </w:tbl>
    <w:p>
      <w:pPr>
        <w:spacing w:after="0" w:line="56" w:lineRule="exact"/>
        <w:rPr>
          <w:sz w:val="20"/>
          <w:szCs w:val="20"/>
          <w:color w:val="auto"/>
        </w:rPr>
      </w:pPr>
    </w:p>
    <w:p>
      <w:pPr>
        <w:ind w:left="340" w:hanging="298"/>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179" w:lineRule="exact"/>
        <w:rPr>
          <w:sz w:val="20"/>
          <w:szCs w:val="20"/>
          <w:color w:val="auto"/>
        </w:rPr>
      </w:pPr>
    </w:p>
    <w:p>
      <w:pPr>
        <w:jc w:val="both"/>
        <w:ind w:left="40" w:right="499"/>
        <w:spacing w:after="0" w:line="256" w:lineRule="auto"/>
        <w:rPr>
          <w:sz w:val="20"/>
          <w:szCs w:val="20"/>
          <w:color w:val="auto"/>
        </w:rPr>
      </w:pPr>
      <w:r>
        <w:rPr>
          <w:rFonts w:ascii="Arial" w:cs="Arial" w:eastAsia="Arial" w:hAnsi="Arial"/>
          <w:sz w:val="16"/>
          <w:szCs w:val="16"/>
          <w:b w:val="1"/>
          <w:bCs w:val="1"/>
          <w:i w:val="1"/>
          <w:iCs w:val="1"/>
          <w:color w:val="auto"/>
        </w:rPr>
        <w:t xml:space="preserve">Total revenue. </w:t>
      </w:r>
      <w:r>
        <w:rPr>
          <w:rFonts w:ascii="Arial" w:cs="Arial" w:eastAsia="Arial" w:hAnsi="Arial"/>
          <w:sz w:val="16"/>
          <w:szCs w:val="16"/>
          <w:color w:val="auto"/>
        </w:rPr>
        <w:t>Our consolidated revenue totaled $17.016 billion for the year ended December 31, 2023, a decrease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$1.619 billion or 8.7% compared to the same period in 2022. The net decrease primarily resulted from the decrease in revenue from our Pay-TV, Wireless and Broadband and Satellite Services segments.</w:t>
      </w:r>
    </w:p>
    <w:p>
      <w:pPr>
        <w:spacing w:after="0" w:line="137"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b w:val="1"/>
          <w:bCs w:val="1"/>
          <w:i w:val="1"/>
          <w:iCs w:val="1"/>
          <w:color w:val="auto"/>
        </w:rPr>
        <w:t xml:space="preserve">Total operating income (loss). </w:t>
      </w:r>
      <w:r>
        <w:rPr>
          <w:rFonts w:ascii="Arial" w:cs="Arial" w:eastAsia="Arial" w:hAnsi="Arial"/>
          <w:sz w:val="16"/>
          <w:szCs w:val="16"/>
          <w:color w:val="auto"/>
        </w:rPr>
        <w:t>Our consolidated operating loss totaled $278 million for the year ended December 31,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income of $2.233 billion during the same period in 2022. The net decrease primarily resulted from an increase in operating loss from our Wireless segment and to a lesser extent decreases in operating income (loss) from our Broadband and Satellite Services and Pay-TV segments. The year ended December 31, 2023 was adversely impacted by impairments of goodwill of: (1) $533 million from our Broadband and Satellite Services segment; (2) $219 million from our Wireless segment; and (3) $ 6 million from our Pay-TV segment. See Note 2 in the Notes to our Consolidated Financial Statements in this Annual Report on Form 10-K for further information.</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Pay-TV Segment</w:t>
      </w:r>
    </w:p>
    <w:p>
      <w:pPr>
        <w:spacing w:after="0" w:line="177" w:lineRule="exact"/>
        <w:rPr>
          <w:sz w:val="20"/>
          <w:szCs w:val="20"/>
          <w:color w:val="auto"/>
        </w:rPr>
      </w:pPr>
    </w:p>
    <w:p>
      <w:pPr>
        <w:ind w:left="40" w:right="119"/>
        <w:spacing w:after="0" w:line="275" w:lineRule="auto"/>
        <w:rPr>
          <w:sz w:val="20"/>
          <w:szCs w:val="20"/>
          <w:color w:val="auto"/>
        </w:rPr>
      </w:pPr>
      <w:r>
        <w:rPr>
          <w:rFonts w:ascii="Arial" w:cs="Arial" w:eastAsia="Arial" w:hAnsi="Arial"/>
          <w:sz w:val="16"/>
          <w:szCs w:val="16"/>
          <w:color w:val="auto"/>
        </w:rPr>
        <w:t>We offer Pay-TV services under the DISH brand and the SLING brand. As of December 31, 2024, we had 7.778 million Pay-TV subscribers in the United States, including 5.686 million DISH TV subscribers and 2.092 million SLING TV subscribers.</w:t>
      </w:r>
    </w:p>
    <w:p>
      <w:pPr>
        <w:spacing w:after="0" w:line="123"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auto"/>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Trends in our Pay-TV Segment</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Competition</w:t>
      </w:r>
    </w:p>
    <w:p>
      <w:pPr>
        <w:spacing w:after="0" w:line="177" w:lineRule="exact"/>
        <w:rPr>
          <w:sz w:val="20"/>
          <w:szCs w:val="20"/>
          <w:color w:val="auto"/>
        </w:rPr>
      </w:pPr>
    </w:p>
    <w:p>
      <w:pPr>
        <w:ind w:left="40" w:right="99"/>
        <w:spacing w:after="0" w:line="242" w:lineRule="auto"/>
        <w:rPr>
          <w:sz w:val="20"/>
          <w:szCs w:val="20"/>
          <w:color w:val="auto"/>
        </w:rPr>
      </w:pPr>
      <w:r>
        <w:rPr>
          <w:rFonts w:ascii="Arial" w:cs="Arial" w:eastAsia="Arial" w:hAnsi="Arial"/>
          <w:sz w:val="16"/>
          <w:szCs w:val="16"/>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50" w:lineRule="exact"/>
        <w:rPr>
          <w:sz w:val="20"/>
          <w:szCs w:val="20"/>
          <w:color w:val="auto"/>
        </w:rPr>
      </w:pPr>
    </w:p>
    <w:p>
      <w:pPr>
        <w:ind w:left="40" w:right="299"/>
        <w:spacing w:after="0" w:line="256" w:lineRule="auto"/>
        <w:rPr>
          <w:sz w:val="20"/>
          <w:szCs w:val="20"/>
          <w:color w:val="auto"/>
        </w:rPr>
      </w:pPr>
      <w:r>
        <w:rPr>
          <w:rFonts w:ascii="Arial" w:cs="Arial" w:eastAsia="Arial" w:hAnsi="Arial"/>
          <w:sz w:val="16"/>
          <w:szCs w:val="16"/>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37"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44"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and Tubi and certain bundles of these offerings.</w:t>
      </w:r>
    </w:p>
    <w:p>
      <w:pPr>
        <w:spacing w:after="0" w:line="152" w:lineRule="exact"/>
        <w:rPr>
          <w:sz w:val="20"/>
          <w:szCs w:val="20"/>
          <w:color w:val="auto"/>
        </w:rPr>
      </w:pPr>
    </w:p>
    <w:p>
      <w:pPr>
        <w:jc w:val="both"/>
        <w:ind w:left="40" w:right="699"/>
        <w:spacing w:after="0" w:line="243" w:lineRule="auto"/>
        <w:rPr>
          <w:sz w:val="20"/>
          <w:szCs w:val="20"/>
          <w:color w:val="auto"/>
        </w:rPr>
      </w:pPr>
      <w:r>
        <w:rPr>
          <w:rFonts w:ascii="Arial" w:cs="Arial" w:eastAsia="Arial" w:hAnsi="Arial"/>
          <w:sz w:val="16"/>
          <w:szCs w:val="16"/>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46" w:lineRule="exact"/>
        <w:rPr>
          <w:sz w:val="20"/>
          <w:szCs w:val="20"/>
          <w:color w:val="auto"/>
        </w:rPr>
      </w:pPr>
    </w:p>
    <w:p>
      <w:pPr>
        <w:ind w:left="40" w:right="159"/>
        <w:spacing w:after="0" w:line="244" w:lineRule="auto"/>
        <w:rPr>
          <w:sz w:val="20"/>
          <w:szCs w:val="20"/>
          <w:color w:val="auto"/>
        </w:rPr>
      </w:pPr>
      <w:r>
        <w:rPr>
          <w:rFonts w:ascii="Arial" w:cs="Arial" w:eastAsia="Arial" w:hAnsi="Arial"/>
          <w:sz w:val="16"/>
          <w:szCs w:val="16"/>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and elsewhere in our public filings. These transactions may affect us adversely by, among other things, making it more difficult for us to obtain access to certain programming networks on nondiscriminatory and fair terms, or at all.</w:t>
      </w:r>
    </w:p>
    <w:p>
      <w:pPr>
        <w:spacing w:after="0" w:line="148" w:lineRule="exact"/>
        <w:rPr>
          <w:sz w:val="20"/>
          <w:szCs w:val="20"/>
          <w:color w:val="auto"/>
        </w:rPr>
      </w:pPr>
    </w:p>
    <w:p>
      <w:pPr>
        <w:ind w:left="40" w:right="159"/>
        <w:spacing w:after="0" w:line="249" w:lineRule="auto"/>
        <w:rPr>
          <w:sz w:val="20"/>
          <w:szCs w:val="20"/>
          <w:color w:val="auto"/>
        </w:rPr>
      </w:pPr>
      <w:r>
        <w:rPr>
          <w:rFonts w:ascii="Arial" w:cs="Arial" w:eastAsia="Arial" w:hAnsi="Arial"/>
          <w:sz w:val="16"/>
          <w:szCs w:val="16"/>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Programming</w:t>
      </w:r>
    </w:p>
    <w:p>
      <w:pPr>
        <w:spacing w:after="0" w:line="177" w:lineRule="exact"/>
        <w:rPr>
          <w:sz w:val="20"/>
          <w:szCs w:val="20"/>
          <w:color w:val="auto"/>
        </w:rPr>
      </w:pPr>
    </w:p>
    <w:p>
      <w:pPr>
        <w:ind w:left="40" w:right="119"/>
        <w:spacing w:after="0"/>
        <w:rPr>
          <w:sz w:val="20"/>
          <w:szCs w:val="20"/>
          <w:color w:val="auto"/>
        </w:rPr>
      </w:pPr>
      <w:r>
        <w:rPr>
          <w:rFonts w:ascii="Arial" w:cs="Arial" w:eastAsia="Arial" w:hAnsi="Arial"/>
          <w:sz w:val="16"/>
          <w:szCs w:val="16"/>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54"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146" w:lineRule="exact"/>
        <w:rPr>
          <w:sz w:val="20"/>
          <w:szCs w:val="20"/>
          <w:color w:val="auto"/>
        </w:rPr>
      </w:pPr>
    </w:p>
    <w:p>
      <w:pPr>
        <w:ind w:left="40" w:right="139"/>
        <w:spacing w:after="0" w:line="241" w:lineRule="auto"/>
        <w:rPr>
          <w:sz w:val="20"/>
          <w:szCs w:val="20"/>
          <w:color w:val="auto"/>
        </w:rPr>
      </w:pPr>
      <w:r>
        <w:rPr>
          <w:rFonts w:ascii="Arial" w:cs="Arial" w:eastAsia="Arial" w:hAnsi="Arial"/>
          <w:sz w:val="16"/>
          <w:szCs w:val="16"/>
          <w:color w:val="auto"/>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Developments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Adaptive Bitrate Streaming Patents</w:t>
      </w:r>
    </w:p>
    <w:p>
      <w:pPr>
        <w:spacing w:after="0" w:line="177" w:lineRule="exact"/>
        <w:rPr>
          <w:sz w:val="20"/>
          <w:szCs w:val="20"/>
          <w:color w:val="auto"/>
        </w:rPr>
      </w:pPr>
    </w:p>
    <w:p>
      <w:pPr>
        <w:ind w:left="40" w:right="79" w:hanging="6"/>
        <w:spacing w:after="0"/>
        <w:rPr>
          <w:sz w:val="20"/>
          <w:szCs w:val="20"/>
          <w:color w:val="auto"/>
        </w:rPr>
      </w:pPr>
      <w:r>
        <w:rPr>
          <w:rFonts w:ascii="Arial" w:cs="Arial" w:eastAsia="Arial" w:hAnsi="Arial"/>
          <w:sz w:val="16"/>
          <w:szCs w:val="16"/>
          <w:color w:val="auto"/>
        </w:rPr>
        <w:t>Through our subsidiaries, we hold dozens of issued United States and foreign patents that relate to Adaptive Bitrate Streaming. On September 9, 2022, the chief administrative law judge at the United States International Trade Commission (“ITC”) issued an Initial Determination holding that the video streaming in certain Peloton, NordicTrack and Mirror exercise equipment infringes four of those patents, and recommended that the ITC prevent the importation of the infringing products. On March 8, 2023, the ITC issued its Final Determination, which affirmed the Initial Determination for three of the four patents in all material aspects, and issued the recommended exclusion and cease and desist orders, which will become effective after a Presidential review period. On February 9, 2023, we entered into a confidential license agreement covering Mirror exercise equipment that resolves our litigation involving those products. On May 1, 2023, we entered into a $75 million license agreement covering Peloton exercise equipment that resolves our litigation involving those products. During the year ended December 31, 2023, we recorded the $75 million license agreement in “Equipment sales and other revenue” on our Consolidated Statements of Operations and Comprehensive Income (Loss). On March 6, 2024, we entered into a license agreement covering NordicTrack exercise equipment that resolves our litigation involving those products and received the initial payment.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 – Pay-TV Segment</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Year Ended December 31, 2024 Compared to the Year Ended December 31, 2023.</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0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Statements of Operations Data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gridSpan w:val="6"/>
          </w:tcPr>
          <w:p>
            <w:pPr>
              <w:jc w:val="right"/>
              <w:ind w:right="340"/>
              <w:spacing w:after="0"/>
              <w:rPr>
                <w:sz w:val="20"/>
                <w:szCs w:val="20"/>
                <w:color w:val="auto"/>
              </w:rPr>
            </w:pPr>
            <w:r>
              <w:rPr>
                <w:rFonts w:ascii="Arial" w:cs="Arial" w:eastAsia="Arial" w:hAnsi="Arial"/>
                <w:sz w:val="15"/>
                <w:szCs w:val="15"/>
                <w:b w:val="1"/>
                <w:bCs w:val="1"/>
                <w:color w:val="auto"/>
                <w:w w:val="97"/>
              </w:rPr>
              <w:t>For the Years Ended December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ind w:left="460"/>
              <w:spacing w:after="0"/>
              <w:rPr>
                <w:sz w:val="20"/>
                <w:szCs w:val="20"/>
                <w:color w:val="auto"/>
              </w:rPr>
            </w:pPr>
            <w:r>
              <w:rPr>
                <w:rFonts w:ascii="Arial" w:cs="Arial" w:eastAsia="Arial" w:hAnsi="Arial"/>
                <w:sz w:val="15"/>
                <w:szCs w:val="15"/>
                <w:b w:val="1"/>
                <w:bCs w:val="1"/>
                <w:color w:val="auto"/>
              </w:rPr>
              <w:t>Variance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87"/>
              <w:spacing w:after="0" w:line="169" w:lineRule="exact"/>
              <w:rPr>
                <w:sz w:val="20"/>
                <w:szCs w:val="20"/>
                <w:color w:val="auto"/>
              </w:rPr>
            </w:pPr>
            <w:r>
              <w:rPr>
                <w:rFonts w:ascii="Arial" w:cs="Arial" w:eastAsia="Arial" w:hAnsi="Arial"/>
                <w:sz w:val="15"/>
                <w:szCs w:val="15"/>
                <w:b w:val="1"/>
                <w:bCs w:val="1"/>
                <w:color w:val="auto"/>
              </w:rPr>
              <w:t>2024</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07"/>
              <w:spacing w:after="0" w:line="169" w:lineRule="exact"/>
              <w:rPr>
                <w:sz w:val="20"/>
                <w:szCs w:val="20"/>
                <w:color w:val="auto"/>
              </w:rPr>
            </w:pPr>
            <w:r>
              <w:rPr>
                <w:rFonts w:ascii="Arial" w:cs="Arial" w:eastAsia="Arial" w:hAnsi="Arial"/>
                <w:sz w:val="15"/>
                <w:szCs w:val="15"/>
                <w:b w:val="1"/>
                <w:bCs w:val="1"/>
                <w:color w:val="auto"/>
              </w:rPr>
              <w:t>2023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5"/>
                <w:szCs w:val="15"/>
                <w:b w:val="1"/>
                <w:bCs w:val="1"/>
                <w:color w:val="auto"/>
              </w:rPr>
              <w:t>Amount</w:t>
            </w:r>
          </w:p>
        </w:tc>
        <w:tc>
          <w:tcPr>
            <w:tcW w:w="500" w:type="dxa"/>
            <w:vAlign w:val="bottom"/>
            <w:tcBorders>
              <w:top w:val="single" w:sz="8" w:color="auto"/>
            </w:tcBorders>
          </w:tcPr>
          <w:p>
            <w:pPr>
              <w:jc w:val="right"/>
              <w:ind w:right="227"/>
              <w:spacing w:after="0" w:line="169"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Borders>
              <w:top w:val="single" w:sz="8" w:color="auto"/>
            </w:tcBorders>
            <w:gridSpan w:val="2"/>
          </w:tcPr>
          <w:p>
            <w:pPr>
              <w:spacing w:after="0" w:line="161" w:lineRule="exact"/>
              <w:rPr>
                <w:sz w:val="20"/>
                <w:szCs w:val="20"/>
                <w:color w:val="auto"/>
              </w:rPr>
            </w:pPr>
            <w:r>
              <w:rPr>
                <w:rFonts w:ascii="Arial" w:cs="Arial" w:eastAsia="Arial" w:hAnsi="Arial"/>
                <w:sz w:val="15"/>
                <w:szCs w:val="15"/>
                <w:color w:val="auto"/>
              </w:rPr>
              <w:t>(In thousands)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tcPr>
          <w:p>
            <w:pPr>
              <w:spacing w:after="0" w:line="169" w:lineRule="exact"/>
              <w:rPr>
                <w:sz w:val="20"/>
                <w:szCs w:val="20"/>
                <w:color w:val="auto"/>
              </w:rPr>
            </w:pPr>
            <w:r>
              <w:rPr>
                <w:rFonts w:ascii="Arial" w:cs="Arial" w:eastAsia="Arial" w:hAnsi="Arial"/>
                <w:sz w:val="15"/>
                <w:szCs w:val="15"/>
                <w:color w:val="auto"/>
              </w:rPr>
              <w:t>Service revenue</w:t>
            </w:r>
          </w:p>
        </w:tc>
        <w:tc>
          <w:tcPr>
            <w:tcW w:w="3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10,613,653</w:t>
            </w:r>
          </w:p>
        </w:tc>
        <w:tc>
          <w:tcPr>
            <w:tcW w:w="160" w:type="dxa"/>
            <w:vAlign w:val="bottom"/>
          </w:tcPr>
          <w:p>
            <w:pPr>
              <w:spacing w:after="0"/>
              <w:rPr>
                <w:sz w:val="14"/>
                <w:szCs w:val="14"/>
                <w:color w:val="auto"/>
              </w:rPr>
            </w:pPr>
          </w:p>
        </w:tc>
        <w:tc>
          <w:tcPr>
            <w:tcW w:w="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11,385,961</w:t>
            </w:r>
          </w:p>
        </w:tc>
        <w:tc>
          <w:tcPr>
            <w:tcW w:w="160" w:type="dxa"/>
            <w:vAlign w:val="bottom"/>
          </w:tcPr>
          <w:p>
            <w:pPr>
              <w:spacing w:after="0"/>
              <w:rPr>
                <w:sz w:val="14"/>
                <w:szCs w:val="14"/>
                <w:color w:val="auto"/>
              </w:rPr>
            </w:pPr>
          </w:p>
        </w:tc>
        <w:tc>
          <w:tcPr>
            <w:tcW w:w="1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(772,308)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Equipment sales and other revenue</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74,551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185,198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(110,647)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Total revenue</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10,688,204</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11,571,159</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(882,955)</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00" w:type="dxa"/>
            <w:vAlign w:val="bottom"/>
          </w:tcPr>
          <w:p>
            <w:pPr>
              <w:spacing w:after="0" w:line="169" w:lineRule="exact"/>
              <w:rPr>
                <w:sz w:val="20"/>
                <w:szCs w:val="20"/>
                <w:color w:val="auto"/>
              </w:rPr>
            </w:pPr>
            <w:r>
              <w:rPr>
                <w:rFonts w:ascii="Arial" w:cs="Arial" w:eastAsia="Arial" w:hAnsi="Arial"/>
                <w:sz w:val="15"/>
                <w:szCs w:val="15"/>
                <w:b w:val="1"/>
                <w:bCs w:val="1"/>
                <w:color w:val="auto"/>
              </w:rPr>
              <w:t>Costs and expenses: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Cost of services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6,546,506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6,977,628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(431,122)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tcPr>
          <w:p>
            <w:pPr>
              <w:ind w:left="80"/>
              <w:spacing w:after="0" w:line="169" w:lineRule="exact"/>
              <w:rPr>
                <w:sz w:val="20"/>
                <w:szCs w:val="20"/>
                <w:color w:val="auto"/>
              </w:rPr>
            </w:pPr>
            <w:r>
              <w:rPr>
                <w:rFonts w:ascii="Arial" w:cs="Arial" w:eastAsia="Arial" w:hAnsi="Arial"/>
                <w:sz w:val="15"/>
                <w:szCs w:val="15"/>
                <w:b w:val="1"/>
                <w:bCs w:val="1"/>
                <w:color w:val="auto"/>
              </w:rPr>
              <w:t>% of Service revenue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61.7 %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61.3 %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Cost of sales - equipment and other</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80,271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91,164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(10,893)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tcPr>
          <w:p>
            <w:pPr>
              <w:spacing w:after="0" w:line="169" w:lineRule="exact"/>
              <w:rPr>
                <w:sz w:val="20"/>
                <w:szCs w:val="20"/>
                <w:color w:val="auto"/>
              </w:rPr>
            </w:pPr>
            <w:r>
              <w:rPr>
                <w:rFonts w:ascii="Arial" w:cs="Arial" w:eastAsia="Arial" w:hAnsi="Arial"/>
                <w:sz w:val="15"/>
                <w:szCs w:val="15"/>
                <w:color w:val="auto"/>
              </w:rPr>
              <w:t>Selling, general and administrative expenses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1,076,142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1,414,808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(338,666)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b w:val="1"/>
                <w:bCs w:val="1"/>
                <w:color w:val="auto"/>
              </w:rPr>
              <w:t>% of Total revenue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b w:val="1"/>
                <w:bCs w:val="1"/>
                <w:color w:val="auto"/>
              </w:rPr>
              <w:t>10.1 %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b w:val="1"/>
                <w:bCs w:val="1"/>
                <w:color w:val="auto"/>
              </w:rPr>
              <w:t>12.2 %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tcPr>
          <w:p>
            <w:pPr>
              <w:spacing w:after="0" w:line="169" w:lineRule="exact"/>
              <w:rPr>
                <w:sz w:val="20"/>
                <w:szCs w:val="20"/>
                <w:color w:val="auto"/>
              </w:rPr>
            </w:pPr>
            <w:r>
              <w:rPr>
                <w:rFonts w:ascii="Arial" w:cs="Arial" w:eastAsia="Arial" w:hAnsi="Arial"/>
                <w:sz w:val="15"/>
                <w:szCs w:val="15"/>
                <w:color w:val="auto"/>
              </w:rPr>
              <w:t>Depreciation and 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337,331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381,292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(43,961)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Impairment of long-lived assets and goodwill</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6,457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(6,457)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Total costs and expenses</w:t>
            </w: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8,040,250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8,871,349</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(831,099)</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000" w:type="dxa"/>
            <w:vAlign w:val="bottom"/>
          </w:tcPr>
          <w:p>
            <w:pPr>
              <w:spacing w:after="0" w:line="169" w:lineRule="exact"/>
              <w:rPr>
                <w:sz w:val="20"/>
                <w:szCs w:val="20"/>
                <w:color w:val="auto"/>
              </w:rPr>
            </w:pPr>
            <w:r>
              <w:rPr>
                <w:rFonts w:ascii="Arial" w:cs="Arial" w:eastAsia="Arial" w:hAnsi="Arial"/>
                <w:sz w:val="15"/>
                <w:szCs w:val="15"/>
                <w:color w:val="auto"/>
              </w:rPr>
              <w:t>Operating income (loss)</w:t>
            </w:r>
          </w:p>
        </w:tc>
        <w:tc>
          <w:tcPr>
            <w:tcW w:w="3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2,647,954</w:t>
            </w:r>
          </w:p>
        </w:tc>
        <w:tc>
          <w:tcPr>
            <w:tcW w:w="160" w:type="dxa"/>
            <w:vAlign w:val="bottom"/>
          </w:tcPr>
          <w:p>
            <w:pPr>
              <w:spacing w:after="0"/>
              <w:rPr>
                <w:sz w:val="18"/>
                <w:szCs w:val="18"/>
                <w:color w:val="auto"/>
              </w:rPr>
            </w:pPr>
          </w:p>
        </w:tc>
        <w:tc>
          <w:tcPr>
            <w:tcW w:w="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2,699,810</w:t>
            </w:r>
          </w:p>
        </w:tc>
        <w:tc>
          <w:tcPr>
            <w:tcW w:w="160" w:type="dxa"/>
            <w:vAlign w:val="bottom"/>
          </w:tcPr>
          <w:p>
            <w:pPr>
              <w:spacing w:after="0"/>
              <w:rPr>
                <w:sz w:val="18"/>
                <w:szCs w:val="18"/>
                <w:color w:val="auto"/>
              </w:rPr>
            </w:pPr>
          </w:p>
        </w:tc>
        <w:tc>
          <w:tcPr>
            <w:tcW w:w="1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(51,856)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40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00" w:type="dxa"/>
            <w:vAlign w:val="bottom"/>
          </w:tcPr>
          <w:p>
            <w:pPr>
              <w:spacing w:after="0" w:line="169" w:lineRule="exact"/>
              <w:rPr>
                <w:sz w:val="20"/>
                <w:szCs w:val="20"/>
                <w:color w:val="auto"/>
              </w:rPr>
            </w:pPr>
            <w:r>
              <w:rPr>
                <w:rFonts w:ascii="Arial" w:cs="Arial" w:eastAsia="Arial" w:hAnsi="Arial"/>
                <w:sz w:val="15"/>
                <w:szCs w:val="15"/>
                <w:b w:val="1"/>
                <w:bCs w:val="1"/>
                <w:color w:val="auto"/>
              </w:rPr>
              <w:t>Other data:</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Pay-TV subscribers, as of period end (in millions)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7.778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8.526</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(0.748)</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tcPr>
          <w:p>
            <w:pPr>
              <w:ind w:left="80"/>
              <w:spacing w:after="0" w:line="169" w:lineRule="exact"/>
              <w:rPr>
                <w:sz w:val="20"/>
                <w:szCs w:val="20"/>
                <w:color w:val="auto"/>
              </w:rPr>
            </w:pPr>
            <w:r>
              <w:rPr>
                <w:rFonts w:ascii="Arial" w:cs="Arial" w:eastAsia="Arial" w:hAnsi="Arial"/>
                <w:sz w:val="15"/>
                <w:szCs w:val="15"/>
                <w:color w:val="auto"/>
              </w:rPr>
              <w:t>DISH TV subscribers, as of period end (in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5.686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6.471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(0.785)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SLING TV subscribers, as of period end (in millions)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2.092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2.055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0.037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tcPr>
          <w:p>
            <w:pPr>
              <w:spacing w:after="0" w:line="169" w:lineRule="exact"/>
              <w:rPr>
                <w:sz w:val="20"/>
                <w:szCs w:val="20"/>
                <w:color w:val="auto"/>
              </w:rPr>
            </w:pPr>
            <w:r>
              <w:rPr>
                <w:rFonts w:ascii="Arial" w:cs="Arial" w:eastAsia="Arial" w:hAnsi="Arial"/>
                <w:sz w:val="15"/>
                <w:szCs w:val="15"/>
                <w:color w:val="auto"/>
              </w:rPr>
              <w:t>Pay-TV subscriber additions (losses), net (in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(0.748)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(1.224)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0.476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38.9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DISH TV subscriber additions (losses), net (in millions)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(0.785)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(0.945)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0.160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tcPr>
          <w:p>
            <w:pPr>
              <w:ind w:left="80"/>
              <w:spacing w:after="0" w:line="169" w:lineRule="exact"/>
              <w:rPr>
                <w:sz w:val="20"/>
                <w:szCs w:val="20"/>
                <w:color w:val="auto"/>
              </w:rPr>
            </w:pPr>
            <w:r>
              <w:rPr>
                <w:rFonts w:ascii="Arial" w:cs="Arial" w:eastAsia="Arial" w:hAnsi="Arial"/>
                <w:sz w:val="15"/>
                <w:szCs w:val="15"/>
                <w:color w:val="auto"/>
              </w:rPr>
              <w:t>SLING TV subscriber additions (losses), net (in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0.037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(0.279)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0.316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Pay-TV ARPU</w:t>
            </w:r>
          </w:p>
        </w:tc>
        <w:tc>
          <w:tcPr>
            <w:tcW w:w="3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108.90</w:t>
            </w: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104.56</w:t>
            </w:r>
          </w:p>
        </w:tc>
        <w:tc>
          <w:tcPr>
            <w:tcW w:w="1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4.34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tcPr>
          <w:p>
            <w:pPr>
              <w:spacing w:after="0" w:line="169" w:lineRule="exact"/>
              <w:rPr>
                <w:sz w:val="20"/>
                <w:szCs w:val="20"/>
                <w:color w:val="auto"/>
              </w:rPr>
            </w:pPr>
            <w:r>
              <w:rPr>
                <w:rFonts w:ascii="Arial" w:cs="Arial" w:eastAsia="Arial" w:hAnsi="Arial"/>
                <w:sz w:val="15"/>
                <w:szCs w:val="15"/>
                <w:color w:val="auto"/>
              </w:rPr>
              <w:t>DISH TV subscriber additions, gross (in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0.282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0.464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(0.182)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(39.2)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DISH TV churn rate</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 xml:space="preserve">1.46 </w:t>
            </w: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 xml:space="preserve">1.69 </w:t>
            </w:r>
            <w:r>
              <w:rPr>
                <w:rFonts w:ascii="Arial" w:cs="Arial" w:eastAsia="Arial" w:hAnsi="Arial"/>
                <w:sz w:val="15"/>
                <w:szCs w:val="15"/>
                <w:b w:val="1"/>
                <w:bCs w:val="1"/>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(0.23)</w:t>
            </w:r>
            <w:r>
              <w:rPr>
                <w:rFonts w:ascii="Arial" w:cs="Arial" w:eastAsia="Arial" w:hAnsi="Arial"/>
                <w:sz w:val="15"/>
                <w:szCs w:val="15"/>
                <w:b w:val="1"/>
                <w:bCs w:val="1"/>
                <w:color w:val="auto"/>
              </w:rPr>
              <w:t>%</w:t>
            </w: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tcPr>
          <w:p>
            <w:pPr>
              <w:spacing w:after="0" w:line="169" w:lineRule="exact"/>
              <w:rPr>
                <w:sz w:val="20"/>
                <w:szCs w:val="20"/>
                <w:color w:val="auto"/>
              </w:rPr>
            </w:pPr>
            <w:r>
              <w:rPr>
                <w:rFonts w:ascii="Arial" w:cs="Arial" w:eastAsia="Arial" w:hAnsi="Arial"/>
                <w:sz w:val="15"/>
                <w:szCs w:val="15"/>
                <w:color w:val="auto"/>
              </w:rPr>
              <w:t>DISH TV SAC</w:t>
            </w:r>
          </w:p>
        </w:tc>
        <w:tc>
          <w:tcPr>
            <w:tcW w:w="3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999</w:t>
            </w:r>
          </w:p>
        </w:tc>
        <w:tc>
          <w:tcPr>
            <w:tcW w:w="160" w:type="dxa"/>
            <w:vAlign w:val="bottom"/>
          </w:tcPr>
          <w:p>
            <w:pPr>
              <w:spacing w:after="0"/>
              <w:rPr>
                <w:sz w:val="14"/>
                <w:szCs w:val="14"/>
                <w:color w:val="auto"/>
              </w:rPr>
            </w:pPr>
          </w:p>
        </w:tc>
        <w:tc>
          <w:tcPr>
            <w:tcW w:w="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1,118</w:t>
            </w:r>
          </w:p>
        </w:tc>
        <w:tc>
          <w:tcPr>
            <w:tcW w:w="160" w:type="dxa"/>
            <w:vAlign w:val="bottom"/>
          </w:tcPr>
          <w:p>
            <w:pPr>
              <w:spacing w:after="0"/>
              <w:rPr>
                <w:sz w:val="14"/>
                <w:szCs w:val="14"/>
                <w:color w:val="auto"/>
              </w:rPr>
            </w:pPr>
          </w:p>
        </w:tc>
        <w:tc>
          <w:tcPr>
            <w:tcW w:w="1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(119)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Purchases of property and equipment, net of refunds **</w:t>
            </w:r>
          </w:p>
        </w:tc>
        <w:tc>
          <w:tcPr>
            <w:tcW w:w="3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218,473</w:t>
            </w: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242,736</w:t>
            </w:r>
          </w:p>
        </w:tc>
        <w:tc>
          <w:tcPr>
            <w:tcW w:w="1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(24,263)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Arial" w:cs="Arial" w:eastAsia="Arial" w:hAnsi="Arial"/>
                <w:sz w:val="15"/>
                <w:szCs w:val="15"/>
                <w:color w:val="auto"/>
              </w:rPr>
              <w:t>OIBDA</w:t>
            </w:r>
          </w:p>
        </w:tc>
        <w:tc>
          <w:tcPr>
            <w:tcW w:w="3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2,985,285</w:t>
            </w:r>
          </w:p>
        </w:tc>
        <w:tc>
          <w:tcPr>
            <w:tcW w:w="16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3,081,102</w:t>
            </w:r>
          </w:p>
        </w:tc>
        <w:tc>
          <w:tcPr>
            <w:tcW w:w="16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(95,817)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47625</wp:posOffset>
            </wp:positionV>
            <wp:extent cx="142176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21765" cy="15240"/>
                    </a:xfrm>
                    <a:prstGeom prst="rect">
                      <a:avLst/>
                    </a:prstGeom>
                    <a:noFill/>
                  </pic:spPr>
                </pic:pic>
              </a:graphicData>
            </a:graphic>
          </wp:anchor>
        </w:drawing>
      </w:r>
    </w:p>
    <w:p>
      <w:pPr>
        <w:spacing w:after="0" w:line="135" w:lineRule="exact"/>
        <w:rPr>
          <w:sz w:val="20"/>
          <w:szCs w:val="20"/>
          <w:color w:val="auto"/>
        </w:rPr>
      </w:pPr>
    </w:p>
    <w:p>
      <w:pPr>
        <w:ind w:left="340" w:hanging="298"/>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14" w:lineRule="exact"/>
        <w:rPr>
          <w:sz w:val="20"/>
          <w:szCs w:val="20"/>
          <w:color w:val="auto"/>
        </w:rPr>
      </w:pPr>
    </w:p>
    <w:p>
      <w:pPr>
        <w:ind w:left="340" w:right="159" w:hanging="298"/>
        <w:spacing w:after="0" w:line="25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Purchases of property and equipment, net of refunds includes satellite purchases during the years ended December 31, 2024 and 2023 of $121 million and $105 million, respectively.</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Pay-TV Subscribers</w:t>
      </w:r>
    </w:p>
    <w:p>
      <w:pPr>
        <w:spacing w:after="0" w:line="179" w:lineRule="exact"/>
        <w:rPr>
          <w:sz w:val="20"/>
          <w:szCs w:val="20"/>
          <w:color w:val="auto"/>
        </w:rPr>
      </w:pPr>
    </w:p>
    <w:p>
      <w:pPr>
        <w:jc w:val="both"/>
        <w:ind w:left="40" w:right="179"/>
        <w:spacing w:after="0" w:line="249" w:lineRule="auto"/>
        <w:rPr>
          <w:sz w:val="20"/>
          <w:szCs w:val="20"/>
          <w:color w:val="auto"/>
        </w:rPr>
      </w:pPr>
      <w:r>
        <w:rPr>
          <w:rFonts w:ascii="Arial" w:cs="Arial" w:eastAsia="Arial" w:hAnsi="Arial"/>
          <w:sz w:val="16"/>
          <w:szCs w:val="16"/>
          <w:b w:val="1"/>
          <w:bCs w:val="1"/>
          <w:i w:val="1"/>
          <w:iCs w:val="1"/>
          <w:color w:val="auto"/>
        </w:rPr>
        <w:t>DISH TV subscribers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lost approximately 785,000 net DISH TV subscribers during the year ended December 31, 2024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loss of approximately 945,000 net DISH TV subscribers during the same period in 2023. This decrease in net DISH TV subscriber losses primarily resulted from a lower DISH TV churn rate, partially offset by lower gross new DISH TV subscriber activations.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b w:val="1"/>
          <w:bCs w:val="1"/>
          <w:i w:val="1"/>
          <w:iCs w:val="1"/>
          <w:color w:val="auto"/>
        </w:rPr>
        <w:t>SLING TV subscribers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added approximately 37,000 net SLING TV subscribers during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2024 compared to the loss of approximately 279,000 net SLING TV subscribers during the same period in 2023. The change in net SLING TV subscribers was primarily related to lower SLING TV subscriber disconnects in 2024 due to our emphasis on acquiring higher quality subscribers, partially offset by lower SLING TV subscriber activations.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48"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b w:val="1"/>
          <w:bCs w:val="1"/>
          <w:i w:val="1"/>
          <w:iCs w:val="1"/>
          <w:color w:val="auto"/>
        </w:rPr>
        <w:t>DISH TV subscribers, gross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year ended December 31, 2024, we activated approximately 282,000 gross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DISH TV subscribers compared to approximately 464,000 gross new DISH TV subscribers during the same period in 2023, a decrease of 39.2%.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50"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b w:val="1"/>
          <w:bCs w:val="1"/>
          <w:i w:val="1"/>
          <w:iCs w:val="1"/>
          <w:color w:val="auto"/>
        </w:rPr>
        <w:t>DISH TV churn rate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DISH TV churn rate for the year ended December 31, 2024 was 1.46% compared to 1.69%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2023. Our DISH TV churn rate for the year ended December 31, 2024 was positively impacted by our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 In addition, our DISH TV churn rate for the year ended December 31, 2023 was briefly elevated due to a cybersecurity incident in the first quarter of 2023.</w:t>
      </w:r>
    </w:p>
    <w:p>
      <w:pPr>
        <w:spacing w:after="0" w:line="149"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48" w:lineRule="exact"/>
        <w:rPr>
          <w:sz w:val="20"/>
          <w:szCs w:val="20"/>
          <w:color w:val="auto"/>
        </w:rPr>
      </w:pPr>
    </w:p>
    <w:p>
      <w:pPr>
        <w:ind w:left="40" w:right="99"/>
        <w:spacing w:after="0" w:line="243" w:lineRule="auto"/>
        <w:rPr>
          <w:sz w:val="20"/>
          <w:szCs w:val="20"/>
          <w:color w:val="auto"/>
        </w:rPr>
      </w:pPr>
      <w:r>
        <w:rPr>
          <w:rFonts w:ascii="Arial" w:cs="Arial" w:eastAsia="Arial" w:hAnsi="Arial"/>
          <w:sz w:val="16"/>
          <w:szCs w:val="16"/>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148" w:lineRule="exact"/>
        <w:rPr>
          <w:sz w:val="20"/>
          <w:szCs w:val="20"/>
          <w:color w:val="auto"/>
        </w:rPr>
      </w:pPr>
    </w:p>
    <w:p>
      <w:pPr>
        <w:ind w:left="40" w:right="319"/>
        <w:spacing w:after="0" w:line="249" w:lineRule="auto"/>
        <w:rPr>
          <w:sz w:val="20"/>
          <w:szCs w:val="20"/>
          <w:color w:val="auto"/>
        </w:rPr>
      </w:pPr>
      <w:r>
        <w:rPr>
          <w:rFonts w:ascii="Arial" w:cs="Arial" w:eastAsia="Arial" w:hAnsi="Arial"/>
          <w:sz w:val="16"/>
          <w:szCs w:val="16"/>
          <w:b w:val="1"/>
          <w:bCs w:val="1"/>
          <w:i w:val="1"/>
          <w:iCs w:val="1"/>
          <w:color w:val="auto"/>
        </w:rPr>
        <w:t xml:space="preserve">Service revenue. </w:t>
      </w:r>
      <w:r>
        <w:rPr>
          <w:rFonts w:ascii="Arial" w:cs="Arial" w:eastAsia="Arial" w:hAnsi="Arial"/>
          <w:sz w:val="16"/>
          <w:szCs w:val="16"/>
          <w:color w:val="auto"/>
        </w:rPr>
        <w:t>“Service revenue” totaled $10.614 billion for the year ended December 31, 2024, a decrease of $772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6.8% compared to the same period in 2023. The decrease in “Service revenue” compared to the same period in 2023 was primarily related to lower average Pay-TV subscriber base, partially offset by an increase in Pay-TV ARPU, discussed below.</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b w:val="1"/>
          <w:bCs w:val="1"/>
          <w:i w:val="1"/>
          <w:iCs w:val="1"/>
          <w:color w:val="auto"/>
        </w:rPr>
        <w:t xml:space="preserve">Equipment sales and other revenue. </w:t>
      </w:r>
      <w:r>
        <w:rPr>
          <w:rFonts w:ascii="Arial" w:cs="Arial" w:eastAsia="Arial" w:hAnsi="Arial"/>
          <w:sz w:val="16"/>
          <w:szCs w:val="16"/>
          <w:color w:val="auto"/>
        </w:rPr>
        <w:t>“Equipment sales and other revenue” totaled $75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2024, a decrease of $111 million or 59.7% compared to the same period in 2023. The decrease in “Equipment sales and other revenue” compared to the same period in 2023 was primarily related to a non-recurring $75 million license of our Adaptive Bitrate Streaming patents to Peloton covering certain Peloton products that resolves our litigation involving those products during the second quarter of 2023</w:t>
      </w:r>
      <w:r>
        <w:rPr>
          <w:rFonts w:ascii="Arial" w:cs="Arial" w:eastAsia="Arial" w:hAnsi="Arial"/>
          <w:sz w:val="16"/>
          <w:szCs w:val="16"/>
          <w:color w:val="222222"/>
        </w:rPr>
        <w:t>.</w:t>
      </w:r>
    </w:p>
    <w:p>
      <w:pPr>
        <w:spacing w:after="0" w:line="146" w:lineRule="exact"/>
        <w:rPr>
          <w:sz w:val="20"/>
          <w:szCs w:val="20"/>
          <w:color w:val="auto"/>
        </w:rPr>
      </w:pPr>
    </w:p>
    <w:p>
      <w:pPr>
        <w:ind w:left="40" w:right="419"/>
        <w:spacing w:after="0" w:line="249" w:lineRule="auto"/>
        <w:rPr>
          <w:sz w:val="20"/>
          <w:szCs w:val="20"/>
          <w:color w:val="auto"/>
        </w:rPr>
      </w:pPr>
      <w:r>
        <w:rPr>
          <w:rFonts w:ascii="Arial" w:cs="Arial" w:eastAsia="Arial" w:hAnsi="Arial"/>
          <w:sz w:val="16"/>
          <w:szCs w:val="16"/>
          <w:b w:val="1"/>
          <w:bCs w:val="1"/>
          <w:i w:val="1"/>
          <w:iCs w:val="1"/>
          <w:color w:val="auto"/>
        </w:rPr>
        <w:t xml:space="preserve">Pay-TV ARPU. </w:t>
      </w:r>
      <w:r>
        <w:rPr>
          <w:rFonts w:ascii="Arial" w:cs="Arial" w:eastAsia="Arial" w:hAnsi="Arial"/>
          <w:sz w:val="16"/>
          <w:szCs w:val="16"/>
          <w:color w:val="auto"/>
        </w:rPr>
        <w:t>Pay-TV ARPU was $108.90 during the year ended December 31, 2024 versus $104.56 during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2023. The $4.34 or 4.2% increase in Pay-TV ARPU was primarily attributable to DISH TV and SLING TV programming price increases and higher Pay-TV ad sales revenue. The DISH TV and SLING TV programming package price increases were effective in the fourth quarter of 2023.</w:t>
      </w:r>
    </w:p>
    <w:p>
      <w:pPr>
        <w:spacing w:after="0" w:line="144"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totaled $6.547 billion during the year ended December 31, 2024, a decrease of $431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million or 6.2% compared to the same period in 2023. The decrease in “Cost of services” was primarily attributable to a lower average Pay-TV subscriber base and lower variable and retention costs per subscriber due to, among other things, operational efficiencies, partially offset by higher programming costs per subscriber. Programming costs per subscriber increased during the year ended December 31, 2024 due to rate increases in certain of our programming contracts, including the renewal of certain contracts at higher rates, particularly for local broadcast channels. Variable and retention costs per subscriber during the year ended December 31, 2023 were negatively impacted by </w:t>
      </w:r>
      <w:r>
        <w:rPr>
          <w:rFonts w:ascii="Arial" w:cs="Arial" w:eastAsia="Arial" w:hAnsi="Arial"/>
          <w:sz w:val="16"/>
          <w:szCs w:val="16"/>
          <w:color w:val="222222"/>
        </w:rPr>
        <w:t>approximately $30 million in</w:t>
      </w:r>
      <w:r>
        <w:rPr>
          <w:rFonts w:ascii="Arial" w:cs="Arial" w:eastAsia="Arial" w:hAnsi="Arial"/>
          <w:sz w:val="16"/>
          <w:szCs w:val="16"/>
          <w:color w:val="auto"/>
        </w:rPr>
        <w:t xml:space="preserve"> </w:t>
      </w:r>
      <w:r>
        <w:rPr>
          <w:rFonts w:ascii="Arial" w:cs="Arial" w:eastAsia="Arial" w:hAnsi="Arial"/>
          <w:sz w:val="16"/>
          <w:szCs w:val="16"/>
          <w:color w:val="222222"/>
        </w:rPr>
        <w:t xml:space="preserve">cybersecurity-related expenses </w:t>
      </w:r>
      <w:r>
        <w:rPr>
          <w:rFonts w:ascii="Arial" w:cs="Arial" w:eastAsia="Arial" w:hAnsi="Arial"/>
          <w:sz w:val="16"/>
          <w:szCs w:val="16"/>
          <w:color w:val="000000"/>
        </w:rPr>
        <w:t>to remediate a</w:t>
      </w:r>
      <w:r>
        <w:rPr>
          <w:rFonts w:ascii="Arial" w:cs="Arial" w:eastAsia="Arial" w:hAnsi="Arial"/>
          <w:sz w:val="16"/>
          <w:szCs w:val="16"/>
          <w:color w:val="222222"/>
        </w:rPr>
        <w:t xml:space="preserve"> cybersecurity </w:t>
      </w:r>
      <w:r>
        <w:rPr>
          <w:rFonts w:ascii="Arial" w:cs="Arial" w:eastAsia="Arial" w:hAnsi="Arial"/>
          <w:sz w:val="16"/>
          <w:szCs w:val="16"/>
          <w:color w:val="000000"/>
        </w:rPr>
        <w:t>incident and provide additional customer support. “Cost of</w:t>
      </w:r>
      <w:r>
        <w:rPr>
          <w:rFonts w:ascii="Arial" w:cs="Arial" w:eastAsia="Arial" w:hAnsi="Arial"/>
          <w:sz w:val="16"/>
          <w:szCs w:val="16"/>
          <w:color w:val="222222"/>
        </w:rPr>
        <w:t xml:space="preserve"> </w:t>
      </w:r>
      <w:r>
        <w:rPr>
          <w:rFonts w:ascii="Arial" w:cs="Arial" w:eastAsia="Arial" w:hAnsi="Arial"/>
          <w:sz w:val="16"/>
          <w:szCs w:val="16"/>
          <w:color w:val="000000"/>
        </w:rPr>
        <w:t>services” represented 61.7% and 61.3% of “Service revenue” during the years ended December 31, 2024 and 2023, respectively.</w:t>
      </w:r>
    </w:p>
    <w:p>
      <w:pPr>
        <w:spacing w:after="0" w:line="149"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46"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totaled $1.076 billion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2024, a $339 million or 23.9% decrease compared to the same period in 2023. This change was primarily driven by a decrease in subscriber acquisition costs resulting from lower marketing expenditures and lower gross new DISH TV subscriber activations and a decrease in personnel costs.</w:t>
      </w:r>
    </w:p>
    <w:p>
      <w:pPr>
        <w:spacing w:after="0" w:line="144"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totaled $ 337 million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2024, a $44 million or 11.5% decrease compared to the same period in 2023. This change was primarily driven by a decrease in depreciation expense from equipment leased to new and existing DISH TV subscribers, the expiration of our Nimiq 5 finance lease in September 2024, and the EchoStar XI satellite which became fully depreciated during the second quarter of 2023.</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 xml:space="preserve">Impairment of long-lived assets and goodwill. </w:t>
      </w:r>
      <w:r>
        <w:rPr>
          <w:rFonts w:ascii="Arial" w:cs="Arial" w:eastAsia="Arial" w:hAnsi="Arial"/>
          <w:sz w:val="16"/>
          <w:szCs w:val="16"/>
          <w:i w:val="1"/>
          <w:iCs w:val="1"/>
          <w:color w:val="auto"/>
        </w:rPr>
        <w:t>“</w:t>
      </w:r>
      <w:r>
        <w:rPr>
          <w:rFonts w:ascii="Arial" w:cs="Arial" w:eastAsia="Arial" w:hAnsi="Arial"/>
          <w:sz w:val="16"/>
          <w:szCs w:val="16"/>
          <w:color w:val="auto"/>
        </w:rPr>
        <w:t>Impairment of long-lived assets and goodwill” totaled $6 million for</w:t>
      </w:r>
    </w:p>
    <w:p>
      <w:pPr>
        <w:spacing w:after="0" w:line="14" w:lineRule="exact"/>
        <w:rPr>
          <w:sz w:val="20"/>
          <w:szCs w:val="20"/>
          <w:color w:val="auto"/>
        </w:rPr>
      </w:pPr>
    </w:p>
    <w:p>
      <w:pPr>
        <w:ind w:left="40" w:right="299"/>
        <w:spacing w:after="0" w:line="255" w:lineRule="auto"/>
        <w:rPr>
          <w:sz w:val="20"/>
          <w:szCs w:val="20"/>
          <w:color w:val="auto"/>
        </w:rPr>
      </w:pPr>
      <w:r>
        <w:rPr>
          <w:rFonts w:ascii="Arial" w:cs="Arial" w:eastAsia="Arial" w:hAnsi="Arial"/>
          <w:sz w:val="16"/>
          <w:szCs w:val="16"/>
          <w:color w:val="auto"/>
        </w:rPr>
        <w:t>the year ended December 31, 2023. This impairment represents a noncash impairment charge for goodwill. See Note 2 to the Notes to our Consolidated Financial Statements in this Annual Report on Form 10-K for further information.</w:t>
      </w:r>
    </w:p>
    <w:p>
      <w:pPr>
        <w:spacing w:after="0" w:line="138" w:lineRule="exact"/>
        <w:rPr>
          <w:sz w:val="20"/>
          <w:szCs w:val="20"/>
          <w:color w:val="auto"/>
        </w:rPr>
      </w:pPr>
    </w:p>
    <w:p>
      <w:pPr>
        <w:ind w:left="40" w:right="139"/>
        <w:spacing w:after="0" w:line="249" w:lineRule="auto"/>
        <w:rPr>
          <w:sz w:val="20"/>
          <w:szCs w:val="20"/>
          <w:color w:val="auto"/>
        </w:rPr>
      </w:pPr>
      <w:r>
        <w:rPr>
          <w:rFonts w:ascii="Arial" w:cs="Arial" w:eastAsia="Arial" w:hAnsi="Arial"/>
          <w:sz w:val="16"/>
          <w:szCs w:val="16"/>
          <w:b w:val="1"/>
          <w:bCs w:val="1"/>
          <w:i w:val="1"/>
          <w:iCs w:val="1"/>
          <w:color w:val="auto"/>
        </w:rPr>
        <w:t xml:space="preserve">DISH TV SAC. </w:t>
      </w:r>
      <w:r>
        <w:rPr>
          <w:rFonts w:ascii="Arial" w:cs="Arial" w:eastAsia="Arial" w:hAnsi="Arial"/>
          <w:sz w:val="16"/>
          <w:szCs w:val="16"/>
          <w:color w:val="auto"/>
        </w:rPr>
        <w:t>DISH TV SAC was $999 during the year ended December 31, 2024 compared to $ 1,118 during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2023, a decrease of $119 or 10.6%. This change was primarily attributable to a decrease in advertising costs per subscriber and a higher percentage of remanufactured receivers being activated on new subscriber accounts, partially offset by higher commission costs due to our emphasis on acquiring higher quality subscribers.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During the years ended December 31, 2024 and 2023, the amount of equipment capitalized under our lease program for new DISH TV subscribers totaled $26 million and $54 million, respectively. This decrease in capital expenditures primarily resulted from a decrease in gross new DISH TV subscriber activations and a higher percentage of remanufactured receivers being activated on new subscriber accounts.</w:t>
      </w:r>
    </w:p>
    <w:p>
      <w:pPr>
        <w:spacing w:after="0" w:line="144" w:lineRule="exact"/>
        <w:rPr>
          <w:sz w:val="20"/>
          <w:szCs w:val="20"/>
          <w:color w:val="auto"/>
        </w:rPr>
      </w:pPr>
    </w:p>
    <w:p>
      <w:pPr>
        <w:jc w:val="both"/>
        <w:ind w:left="40" w:right="399"/>
        <w:spacing w:after="0" w:line="249" w:lineRule="auto"/>
        <w:rPr>
          <w:sz w:val="20"/>
          <w:szCs w:val="20"/>
          <w:color w:val="auto"/>
        </w:rPr>
      </w:pPr>
      <w:r>
        <w:rPr>
          <w:rFonts w:ascii="Arial" w:cs="Arial" w:eastAsia="Arial" w:hAnsi="Arial"/>
          <w:sz w:val="16"/>
          <w:szCs w:val="16"/>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44" w:lineRule="exact"/>
        <w:rPr>
          <w:sz w:val="20"/>
          <w:szCs w:val="20"/>
          <w:color w:val="auto"/>
        </w:rPr>
      </w:pPr>
    </w:p>
    <w:p>
      <w:pPr>
        <w:ind w:left="40" w:right="219"/>
        <w:spacing w:after="0" w:line="256" w:lineRule="auto"/>
        <w:rPr>
          <w:sz w:val="20"/>
          <w:szCs w:val="20"/>
          <w:color w:val="auto"/>
        </w:rPr>
      </w:pPr>
      <w:r>
        <w:rPr>
          <w:rFonts w:ascii="Arial" w:cs="Arial" w:eastAsia="Arial" w:hAnsi="Arial"/>
          <w:sz w:val="16"/>
          <w:szCs w:val="16"/>
          <w:color w:val="auto"/>
        </w:rPr>
        <w:t xml:space="preserve">Our “DISH TV SAC” may materially increase in the future to the extent that we, among other things, transition to newer technologies, introduce more aggressive promotions or provide greater equipment subsidies. See further information under </w:t>
      </w:r>
      <w:r>
        <w:rPr>
          <w:rFonts w:ascii="Arial" w:cs="Arial" w:eastAsia="Arial" w:hAnsi="Arial"/>
          <w:sz w:val="16"/>
          <w:szCs w:val="16"/>
          <w:i w:val="1"/>
          <w:iCs w:val="1"/>
          <w:color w:val="auto"/>
        </w:rPr>
        <w:t>“Liquidity and Capital Resources – Subscriber Acquisition and Retention Costs.”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Year Ended December 31, 2023 Compared to the Year Ended December 31, 2022.</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4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Statements of Operations Data</w:t>
            </w:r>
          </w:p>
        </w:tc>
        <w:tc>
          <w:tcPr>
            <w:tcW w:w="2760" w:type="dxa"/>
            <w:vAlign w:val="bottom"/>
            <w:gridSpan w:val="7"/>
          </w:tcPr>
          <w:p>
            <w:pPr>
              <w:jc w:val="right"/>
              <w:ind w:right="300"/>
              <w:spacing w:after="0"/>
              <w:rPr>
                <w:sz w:val="20"/>
                <w:szCs w:val="20"/>
                <w:color w:val="auto"/>
              </w:rPr>
            </w:pPr>
            <w:r>
              <w:rPr>
                <w:rFonts w:ascii="Arial" w:cs="Arial" w:eastAsia="Arial" w:hAnsi="Arial"/>
                <w:sz w:val="15"/>
                <w:szCs w:val="15"/>
                <w:b w:val="1"/>
                <w:bCs w:val="1"/>
                <w:color w:val="auto"/>
                <w:w w:val="98"/>
              </w:rPr>
              <w:t>For the Years Ended December 31,</w:t>
            </w:r>
          </w:p>
        </w:tc>
        <w:tc>
          <w:tcPr>
            <w:tcW w:w="140" w:type="dxa"/>
            <w:vAlign w:val="bottom"/>
          </w:tcPr>
          <w:p>
            <w:pPr>
              <w:spacing w:after="0"/>
              <w:rPr>
                <w:sz w:val="16"/>
                <w:szCs w:val="16"/>
                <w:color w:val="auto"/>
              </w:rPr>
            </w:pPr>
          </w:p>
        </w:tc>
        <w:tc>
          <w:tcPr>
            <w:tcW w:w="1120" w:type="dxa"/>
            <w:vAlign w:val="bottom"/>
            <w:gridSpan w:val="3"/>
          </w:tcPr>
          <w:p>
            <w:pPr>
              <w:ind w:left="440"/>
              <w:spacing w:after="0"/>
              <w:rPr>
                <w:sz w:val="20"/>
                <w:szCs w:val="20"/>
                <w:color w:val="auto"/>
              </w:rPr>
            </w:pPr>
            <w:r>
              <w:rPr>
                <w:rFonts w:ascii="Arial" w:cs="Arial" w:eastAsia="Arial" w:hAnsi="Arial"/>
                <w:sz w:val="15"/>
                <w:szCs w:val="15"/>
                <w:b w:val="1"/>
                <w:bCs w:val="1"/>
                <w:color w:val="auto"/>
              </w:rPr>
              <w:t>Variance</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20" w:type="dxa"/>
            <w:vAlign w:val="bottom"/>
            <w:gridSpan w:val="2"/>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27"/>
              <w:spacing w:after="0" w:line="169" w:lineRule="exact"/>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47"/>
              <w:spacing w:after="0" w:line="169" w:lineRule="exact"/>
              <w:rPr>
                <w:sz w:val="20"/>
                <w:szCs w:val="20"/>
                <w:color w:val="auto"/>
              </w:rPr>
            </w:pPr>
            <w:r>
              <w:rPr>
                <w:rFonts w:ascii="Arial" w:cs="Arial" w:eastAsia="Arial" w:hAnsi="Arial"/>
                <w:sz w:val="15"/>
                <w:szCs w:val="15"/>
                <w:b w:val="1"/>
                <w:bCs w:val="1"/>
                <w:color w:val="auto"/>
              </w:rPr>
              <w:t>2022</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5"/>
                <w:szCs w:val="15"/>
                <w:b w:val="1"/>
                <w:bCs w:val="1"/>
                <w:color w:val="auto"/>
              </w:rPr>
              <w:t>Amount</w:t>
            </w:r>
          </w:p>
        </w:tc>
        <w:tc>
          <w:tcPr>
            <w:tcW w:w="480" w:type="dxa"/>
            <w:vAlign w:val="bottom"/>
            <w:tcBorders>
              <w:top w:val="single" w:sz="8" w:color="auto"/>
            </w:tcBorders>
          </w:tcPr>
          <w:p>
            <w:pPr>
              <w:jc w:val="right"/>
              <w:ind w:right="187"/>
              <w:spacing w:after="0" w:line="169"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top w:val="single" w:sz="8" w:color="auto"/>
            </w:tcBorders>
            <w:gridSpan w:val="2"/>
          </w:tcPr>
          <w:p>
            <w:pPr>
              <w:spacing w:after="0" w:line="161" w:lineRule="exact"/>
              <w:rPr>
                <w:sz w:val="20"/>
                <w:szCs w:val="20"/>
                <w:color w:val="auto"/>
              </w:rPr>
            </w:pPr>
            <w:r>
              <w:rPr>
                <w:rFonts w:ascii="Arial" w:cs="Arial" w:eastAsia="Arial" w:hAnsi="Arial"/>
                <w:sz w:val="15"/>
                <w:szCs w:val="15"/>
                <w:color w:val="auto"/>
              </w:rPr>
              <w:t>(In thousands)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spacing w:after="0" w:line="169" w:lineRule="exact"/>
              <w:rPr>
                <w:sz w:val="20"/>
                <w:szCs w:val="20"/>
                <w:color w:val="auto"/>
              </w:rPr>
            </w:pPr>
            <w:r>
              <w:rPr>
                <w:rFonts w:ascii="Arial" w:cs="Arial" w:eastAsia="Arial" w:hAnsi="Arial"/>
                <w:sz w:val="15"/>
                <w:szCs w:val="15"/>
                <w:color w:val="auto"/>
              </w:rPr>
              <w:t>Service revenue</w:t>
            </w:r>
          </w:p>
        </w:tc>
        <w:tc>
          <w:tcPr>
            <w:tcW w:w="240" w:type="dxa"/>
            <w:vAlign w:val="bottom"/>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11,385,961</w:t>
            </w:r>
          </w:p>
        </w:tc>
        <w:tc>
          <w:tcPr>
            <w:tcW w:w="180" w:type="dxa"/>
            <w:vAlign w:val="bottom"/>
          </w:tcPr>
          <w:p>
            <w:pPr>
              <w:spacing w:after="0"/>
              <w:rPr>
                <w:sz w:val="14"/>
                <w:szCs w:val="14"/>
                <w:color w:val="auto"/>
              </w:rPr>
            </w:pPr>
          </w:p>
        </w:tc>
        <w:tc>
          <w:tcPr>
            <w:tcW w:w="30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12,360,601</w:t>
            </w:r>
          </w:p>
        </w:tc>
        <w:tc>
          <w:tcPr>
            <w:tcW w:w="22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(974,640)</w:t>
            </w:r>
          </w:p>
        </w:tc>
        <w:tc>
          <w:tcPr>
            <w:tcW w:w="16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Equipment sales and other revenue</w:t>
            </w: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185,198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144,791</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40,407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revenue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11,571,159</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12,505,392</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(934,233)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Costs and expenses: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Cost of services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6,977,628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7,423,427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(445,799)</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ind w:left="100"/>
              <w:spacing w:after="0" w:line="169" w:lineRule="exact"/>
              <w:rPr>
                <w:sz w:val="20"/>
                <w:szCs w:val="20"/>
                <w:color w:val="auto"/>
              </w:rPr>
            </w:pPr>
            <w:r>
              <w:rPr>
                <w:rFonts w:ascii="Arial" w:cs="Arial" w:eastAsia="Arial" w:hAnsi="Arial"/>
                <w:sz w:val="15"/>
                <w:szCs w:val="15"/>
                <w:b w:val="1"/>
                <w:bCs w:val="1"/>
                <w:color w:val="auto"/>
              </w:rPr>
              <w:t>% of Service revenue</w:t>
            </w:r>
          </w:p>
        </w:tc>
        <w:tc>
          <w:tcPr>
            <w:tcW w:w="240" w:type="dxa"/>
            <w:vAlign w:val="bottom"/>
          </w:tcPr>
          <w:p>
            <w:pPr>
              <w:spacing w:after="0"/>
              <w:rPr>
                <w:sz w:val="14"/>
                <w:szCs w:val="14"/>
                <w:color w:val="auto"/>
              </w:rPr>
            </w:pPr>
          </w:p>
        </w:tc>
        <w:tc>
          <w:tcPr>
            <w:tcW w:w="108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61.3 %</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00"/>
              <w:spacing w:after="0" w:line="169" w:lineRule="exact"/>
              <w:rPr>
                <w:sz w:val="20"/>
                <w:szCs w:val="20"/>
                <w:color w:val="auto"/>
              </w:rPr>
            </w:pPr>
            <w:r>
              <w:rPr>
                <w:rFonts w:ascii="Arial" w:cs="Arial" w:eastAsia="Arial" w:hAnsi="Arial"/>
                <w:sz w:val="15"/>
                <w:szCs w:val="15"/>
                <w:b w:val="1"/>
                <w:bCs w:val="1"/>
                <w:color w:val="auto"/>
              </w:rPr>
              <w:t>60.1 %</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Cost of sales - equipment and other</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91,164</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97,315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(6,151)</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spacing w:after="0" w:line="169" w:lineRule="exact"/>
              <w:rPr>
                <w:sz w:val="20"/>
                <w:szCs w:val="20"/>
                <w:color w:val="auto"/>
              </w:rPr>
            </w:pPr>
            <w:r>
              <w:rPr>
                <w:rFonts w:ascii="Arial" w:cs="Arial" w:eastAsia="Arial" w:hAnsi="Arial"/>
                <w:sz w:val="15"/>
                <w:szCs w:val="15"/>
                <w:color w:val="auto"/>
              </w:rPr>
              <w:t>Selling, general and administrative expenses</w:t>
            </w:r>
          </w:p>
        </w:tc>
        <w:tc>
          <w:tcPr>
            <w:tcW w:w="2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1,414,808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1,622,281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(207,473)</w:t>
            </w:r>
          </w:p>
        </w:tc>
        <w:tc>
          <w:tcPr>
            <w:tcW w:w="16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(12.8)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ind w:left="100"/>
              <w:spacing w:after="0" w:line="169" w:lineRule="exact"/>
              <w:rPr>
                <w:sz w:val="20"/>
                <w:szCs w:val="20"/>
                <w:color w:val="auto"/>
              </w:rPr>
            </w:pPr>
            <w:r>
              <w:rPr>
                <w:rFonts w:ascii="Arial" w:cs="Arial" w:eastAsia="Arial" w:hAnsi="Arial"/>
                <w:sz w:val="15"/>
                <w:szCs w:val="15"/>
                <w:b w:val="1"/>
                <w:bCs w:val="1"/>
                <w:color w:val="auto"/>
              </w:rPr>
              <w:t>% of Total revenue</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b w:val="1"/>
                <w:bCs w:val="1"/>
                <w:color w:val="auto"/>
              </w:rPr>
              <w:t>12.2 %</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13.0 %</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spacing w:after="0" w:line="169" w:lineRule="exact"/>
              <w:rPr>
                <w:sz w:val="20"/>
                <w:szCs w:val="20"/>
                <w:color w:val="auto"/>
              </w:rPr>
            </w:pPr>
            <w:r>
              <w:rPr>
                <w:rFonts w:ascii="Arial" w:cs="Arial" w:eastAsia="Arial" w:hAnsi="Arial"/>
                <w:sz w:val="15"/>
                <w:szCs w:val="15"/>
                <w:color w:val="auto"/>
              </w:rPr>
              <w:t>Depreciation and amortization</w:t>
            </w:r>
          </w:p>
        </w:tc>
        <w:tc>
          <w:tcPr>
            <w:tcW w:w="2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381,292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428,471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(47,179)</w:t>
            </w:r>
          </w:p>
        </w:tc>
        <w:tc>
          <w:tcPr>
            <w:tcW w:w="16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(11.0)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Impairment of long-lived assets and goodwill</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6,457</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6,457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costs and expenses</w:t>
            </w: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8,871,349</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9,571,494</w:t>
            </w:r>
          </w:p>
        </w:tc>
        <w:tc>
          <w:tcPr>
            <w:tcW w:w="2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(700,145)</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20" w:type="dxa"/>
            <w:vAlign w:val="bottom"/>
            <w:gridSpan w:val="2"/>
          </w:tcPr>
          <w:p>
            <w:pPr>
              <w:spacing w:after="0" w:line="169" w:lineRule="exact"/>
              <w:rPr>
                <w:sz w:val="20"/>
                <w:szCs w:val="20"/>
                <w:color w:val="auto"/>
              </w:rPr>
            </w:pPr>
            <w:r>
              <w:rPr>
                <w:rFonts w:ascii="Arial" w:cs="Arial" w:eastAsia="Arial" w:hAnsi="Arial"/>
                <w:sz w:val="15"/>
                <w:szCs w:val="15"/>
                <w:color w:val="auto"/>
              </w:rPr>
              <w:t>Operating income (loss)</w:t>
            </w:r>
          </w:p>
        </w:tc>
        <w:tc>
          <w:tcPr>
            <w:tcW w:w="240" w:type="dxa"/>
            <w:vAlign w:val="bottom"/>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2,699,810</w:t>
            </w:r>
          </w:p>
        </w:tc>
        <w:tc>
          <w:tcPr>
            <w:tcW w:w="180" w:type="dxa"/>
            <w:vAlign w:val="bottom"/>
          </w:tcPr>
          <w:p>
            <w:pPr>
              <w:spacing w:after="0"/>
              <w:rPr>
                <w:sz w:val="18"/>
                <w:szCs w:val="18"/>
                <w:color w:val="auto"/>
              </w:rPr>
            </w:pPr>
          </w:p>
        </w:tc>
        <w:tc>
          <w:tcPr>
            <w:tcW w:w="30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2,933,898</w:t>
            </w:r>
          </w:p>
        </w:tc>
        <w:tc>
          <w:tcPr>
            <w:tcW w:w="22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(234,088)</w:t>
            </w:r>
          </w:p>
        </w:tc>
        <w:tc>
          <w:tcPr>
            <w:tcW w:w="160" w:type="dxa"/>
            <w:vAlign w:val="bottom"/>
          </w:tcPr>
          <w:p>
            <w:pPr>
              <w:spacing w:after="0"/>
              <w:rPr>
                <w:sz w:val="18"/>
                <w:szCs w:val="18"/>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Other data:</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Pay-TV subscribers, as of period end (in millions)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8.526</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9.750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(1.224)</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DISH TV subscribers, as of period end (in millions)</w:t>
            </w:r>
          </w:p>
        </w:tc>
        <w:tc>
          <w:tcPr>
            <w:tcW w:w="2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6.471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7.416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(0.945)</w:t>
            </w:r>
          </w:p>
        </w:tc>
        <w:tc>
          <w:tcPr>
            <w:tcW w:w="16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(12.7)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ind w:left="100"/>
              <w:spacing w:after="0" w:line="169" w:lineRule="exact"/>
              <w:rPr>
                <w:sz w:val="20"/>
                <w:szCs w:val="20"/>
                <w:color w:val="auto"/>
              </w:rPr>
            </w:pPr>
            <w:r>
              <w:rPr>
                <w:rFonts w:ascii="Arial" w:cs="Arial" w:eastAsia="Arial" w:hAnsi="Arial"/>
                <w:sz w:val="15"/>
                <w:szCs w:val="15"/>
                <w:color w:val="auto"/>
              </w:rPr>
              <w:t>SLING TV subscribers, as of period end (in millions)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2.055</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2.334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(0.279)</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spacing w:after="0" w:line="169" w:lineRule="exact"/>
              <w:rPr>
                <w:sz w:val="20"/>
                <w:szCs w:val="20"/>
                <w:color w:val="auto"/>
              </w:rPr>
            </w:pPr>
            <w:r>
              <w:rPr>
                <w:rFonts w:ascii="Arial" w:cs="Arial" w:eastAsia="Arial" w:hAnsi="Arial"/>
                <w:sz w:val="15"/>
                <w:szCs w:val="15"/>
                <w:color w:val="auto"/>
              </w:rPr>
              <w:t>Pay-TV subscriber additions (losses), net (in millions)</w:t>
            </w: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(1.224)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(0.957)</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(0.267)</w:t>
            </w:r>
          </w:p>
        </w:tc>
        <w:tc>
          <w:tcPr>
            <w:tcW w:w="16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(27.9)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ind w:left="100"/>
              <w:spacing w:after="0" w:line="169" w:lineRule="exact"/>
              <w:rPr>
                <w:sz w:val="20"/>
                <w:szCs w:val="20"/>
                <w:color w:val="auto"/>
              </w:rPr>
            </w:pPr>
            <w:r>
              <w:rPr>
                <w:rFonts w:ascii="Arial" w:cs="Arial" w:eastAsia="Arial" w:hAnsi="Arial"/>
                <w:sz w:val="15"/>
                <w:szCs w:val="15"/>
                <w:color w:val="auto"/>
              </w:rPr>
              <w:t>DISH TV subscriber additions (losses), net (in millions)</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(0.945)</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(0.805)</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(0.140)</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SLING TV subscriber additions (losses), net (in millions)</w:t>
            </w:r>
          </w:p>
        </w:tc>
        <w:tc>
          <w:tcPr>
            <w:tcW w:w="240" w:type="dxa"/>
            <w:vAlign w:val="bottom"/>
          </w:tcPr>
          <w:p>
            <w:pPr>
              <w:spacing w:after="0"/>
              <w:rPr>
                <w:sz w:val="14"/>
                <w:szCs w:val="14"/>
                <w:color w:val="auto"/>
              </w:rPr>
            </w:pPr>
          </w:p>
        </w:tc>
        <w:tc>
          <w:tcPr>
            <w:tcW w:w="10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(0.279)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(0.152)</w:t>
            </w:r>
          </w:p>
        </w:tc>
        <w:tc>
          <w:tcPr>
            <w:tcW w:w="140" w:type="dxa"/>
            <w:vAlign w:val="bottom"/>
          </w:tcPr>
          <w:p>
            <w:pPr>
              <w:spacing w:after="0"/>
              <w:rPr>
                <w:sz w:val="14"/>
                <w:szCs w:val="14"/>
                <w:color w:val="auto"/>
              </w:rPr>
            </w:pPr>
          </w:p>
        </w:tc>
        <w:tc>
          <w:tcPr>
            <w:tcW w:w="9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(0.127)</w:t>
            </w:r>
          </w:p>
        </w:tc>
        <w:tc>
          <w:tcPr>
            <w:tcW w:w="16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(83.6)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Pay-TV ARPU</w:t>
            </w:r>
          </w:p>
        </w:tc>
        <w:tc>
          <w:tcPr>
            <w:tcW w:w="240" w:type="dxa"/>
            <w:vAlign w:val="bottom"/>
            <w:shd w:val="clear" w:color="auto" w:fill="CCEEFF"/>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104.56</w:t>
            </w: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101.20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3.36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spacing w:after="0" w:line="169" w:lineRule="exact"/>
              <w:rPr>
                <w:sz w:val="20"/>
                <w:szCs w:val="20"/>
                <w:color w:val="auto"/>
              </w:rPr>
            </w:pPr>
            <w:r>
              <w:rPr>
                <w:rFonts w:ascii="Arial" w:cs="Arial" w:eastAsia="Arial" w:hAnsi="Arial"/>
                <w:sz w:val="15"/>
                <w:szCs w:val="15"/>
                <w:color w:val="auto"/>
              </w:rPr>
              <w:t>DISH TV subscriber additions, gross (in millions)</w:t>
            </w:r>
          </w:p>
        </w:tc>
        <w:tc>
          <w:tcPr>
            <w:tcW w:w="24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0.464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0.634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(0.170)</w:t>
            </w:r>
          </w:p>
        </w:tc>
        <w:tc>
          <w:tcPr>
            <w:tcW w:w="16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(26.8)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DISH TV churn rate</w:t>
            </w:r>
          </w:p>
        </w:tc>
        <w:tc>
          <w:tcPr>
            <w:tcW w:w="2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 xml:space="preserve">1.69 </w:t>
            </w:r>
            <w:r>
              <w:rPr>
                <w:rFonts w:ascii="Arial" w:cs="Arial" w:eastAsia="Arial" w:hAnsi="Arial"/>
                <w:sz w:val="15"/>
                <w:szCs w:val="15"/>
                <w:b w:val="1"/>
                <w:bCs w:val="1"/>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 xml:space="preserve">1.54 </w:t>
            </w: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 xml:space="preserve">0.15 </w:t>
            </w:r>
            <w:r>
              <w:rPr>
                <w:rFonts w:ascii="Arial" w:cs="Arial" w:eastAsia="Arial" w:hAnsi="Arial"/>
                <w:sz w:val="15"/>
                <w:szCs w:val="15"/>
                <w:b w:val="1"/>
                <w:bCs w:val="1"/>
                <w:color w:val="auto"/>
              </w:rPr>
              <w:t>%</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tcPr>
          <w:p>
            <w:pPr>
              <w:spacing w:after="0" w:line="169" w:lineRule="exact"/>
              <w:rPr>
                <w:sz w:val="20"/>
                <w:szCs w:val="20"/>
                <w:color w:val="auto"/>
              </w:rPr>
            </w:pPr>
            <w:r>
              <w:rPr>
                <w:rFonts w:ascii="Arial" w:cs="Arial" w:eastAsia="Arial" w:hAnsi="Arial"/>
                <w:sz w:val="15"/>
                <w:szCs w:val="15"/>
                <w:color w:val="auto"/>
              </w:rPr>
              <w:t>DISH TV SAC</w:t>
            </w:r>
          </w:p>
        </w:tc>
        <w:tc>
          <w:tcPr>
            <w:tcW w:w="240" w:type="dxa"/>
            <w:vAlign w:val="bottom"/>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1,118</w:t>
            </w:r>
          </w:p>
        </w:tc>
        <w:tc>
          <w:tcPr>
            <w:tcW w:w="180" w:type="dxa"/>
            <w:vAlign w:val="bottom"/>
          </w:tcPr>
          <w:p>
            <w:pPr>
              <w:spacing w:after="0"/>
              <w:rPr>
                <w:sz w:val="14"/>
                <w:szCs w:val="14"/>
                <w:color w:val="auto"/>
              </w:rPr>
            </w:pPr>
          </w:p>
        </w:tc>
        <w:tc>
          <w:tcPr>
            <w:tcW w:w="30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1,044</w:t>
            </w:r>
          </w:p>
        </w:tc>
        <w:tc>
          <w:tcPr>
            <w:tcW w:w="22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74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Purchases of property and equipment, net of refunds **</w:t>
            </w:r>
          </w:p>
        </w:tc>
        <w:tc>
          <w:tcPr>
            <w:tcW w:w="240" w:type="dxa"/>
            <w:vAlign w:val="bottom"/>
            <w:shd w:val="clear" w:color="auto" w:fill="CCEEFF"/>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242,736</w:t>
            </w: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131,093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111,643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420" w:type="dxa"/>
            <w:vAlign w:val="bottom"/>
            <w:gridSpan w:val="2"/>
          </w:tcPr>
          <w:p>
            <w:pPr>
              <w:spacing w:after="0"/>
              <w:rPr>
                <w:sz w:val="20"/>
                <w:szCs w:val="20"/>
                <w:color w:val="auto"/>
              </w:rPr>
            </w:pPr>
            <w:r>
              <w:rPr>
                <w:rFonts w:ascii="Arial" w:cs="Arial" w:eastAsia="Arial" w:hAnsi="Arial"/>
                <w:sz w:val="15"/>
                <w:szCs w:val="15"/>
                <w:color w:val="auto"/>
              </w:rPr>
              <w:t>OIBDA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3,081,102</w:t>
            </w:r>
          </w:p>
        </w:tc>
        <w:tc>
          <w:tcPr>
            <w:tcW w:w="180" w:type="dxa"/>
            <w:vAlign w:val="bottom"/>
          </w:tcPr>
          <w:p>
            <w:pPr>
              <w:spacing w:after="0"/>
              <w:rPr>
                <w:sz w:val="16"/>
                <w:szCs w:val="16"/>
                <w:color w:val="auto"/>
              </w:rPr>
            </w:pPr>
          </w:p>
        </w:tc>
        <w:tc>
          <w:tcPr>
            <w:tcW w:w="30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3,362,369</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(281,267)</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47625</wp:posOffset>
            </wp:positionV>
            <wp:extent cx="142176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21765" cy="15240"/>
                    </a:xfrm>
                    <a:prstGeom prst="rect">
                      <a:avLst/>
                    </a:prstGeom>
                    <a:noFill/>
                  </pic:spPr>
                </pic:pic>
              </a:graphicData>
            </a:graphic>
          </wp:anchor>
        </w:drawing>
      </w:r>
    </w:p>
    <w:p>
      <w:pPr>
        <w:spacing w:after="0" w:line="135" w:lineRule="exact"/>
        <w:rPr>
          <w:sz w:val="20"/>
          <w:szCs w:val="20"/>
          <w:color w:val="auto"/>
        </w:rPr>
      </w:pPr>
    </w:p>
    <w:p>
      <w:pPr>
        <w:ind w:left="340" w:hanging="298"/>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14" w:lineRule="exact"/>
        <w:rPr>
          <w:sz w:val="20"/>
          <w:szCs w:val="20"/>
          <w:color w:val="auto"/>
        </w:rPr>
      </w:pPr>
    </w:p>
    <w:p>
      <w:pPr>
        <w:ind w:left="340" w:right="159" w:hanging="298"/>
        <w:spacing w:after="0" w:line="25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Purchases of property and equipment, net of refunds includes satellite purchases during the years ended December 31, 2023 and 2022 of $105 million and zero, respectively.</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Pay-TV Subscribers</w:t>
      </w:r>
    </w:p>
    <w:p>
      <w:pPr>
        <w:spacing w:after="0" w:line="179" w:lineRule="exact"/>
        <w:rPr>
          <w:sz w:val="20"/>
          <w:szCs w:val="20"/>
          <w:color w:val="auto"/>
        </w:rPr>
      </w:pPr>
    </w:p>
    <w:p>
      <w:pPr>
        <w:ind w:left="40" w:right="179"/>
        <w:spacing w:after="0" w:line="249" w:lineRule="auto"/>
        <w:rPr>
          <w:sz w:val="20"/>
          <w:szCs w:val="20"/>
          <w:color w:val="auto"/>
        </w:rPr>
      </w:pPr>
      <w:r>
        <w:rPr>
          <w:rFonts w:ascii="Arial" w:cs="Arial" w:eastAsia="Arial" w:hAnsi="Arial"/>
          <w:sz w:val="16"/>
          <w:szCs w:val="16"/>
          <w:b w:val="1"/>
          <w:bCs w:val="1"/>
          <w:i w:val="1"/>
          <w:iCs w:val="1"/>
          <w:color w:val="auto"/>
        </w:rPr>
        <w:t>DISH TV subscribers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lost approximately 945,000 net DISH TV subscribers during the year ended December 31,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loss of approximately 805,000 net DISH TV subscribers during the same period in 2022. This increase in net DISH TV subscriber losses primarily resulted from lower gross new DISH TV subscriber activations and a higher DISH TV churn rate.</w:t>
      </w:r>
    </w:p>
    <w:p>
      <w:pPr>
        <w:spacing w:after="0" w:line="144" w:lineRule="exact"/>
        <w:rPr>
          <w:sz w:val="20"/>
          <w:szCs w:val="20"/>
          <w:color w:val="auto"/>
        </w:rPr>
      </w:pPr>
    </w:p>
    <w:p>
      <w:pPr>
        <w:ind w:left="40" w:right="139"/>
        <w:spacing w:after="0" w:line="244" w:lineRule="auto"/>
        <w:rPr>
          <w:sz w:val="20"/>
          <w:szCs w:val="20"/>
          <w:color w:val="auto"/>
        </w:rPr>
      </w:pPr>
      <w:r>
        <w:rPr>
          <w:rFonts w:ascii="Arial" w:cs="Arial" w:eastAsia="Arial" w:hAnsi="Arial"/>
          <w:sz w:val="16"/>
          <w:szCs w:val="16"/>
          <w:b w:val="1"/>
          <w:bCs w:val="1"/>
          <w:i w:val="1"/>
          <w:iCs w:val="1"/>
          <w:color w:val="auto"/>
        </w:rPr>
        <w:t>SLING TV subscribers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lost approximately 279,000 net SLING TV subscribers during the year ended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compared to the loss of approximately 152,000 net SLING TV subscribers during the same period in 2022. The increase in net SLING TV subscriber losses were primarily related to lower SLING TV subscriber activations, partially offset by lower SLING TV subscriber disconnects in 2023.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b w:val="1"/>
          <w:bCs w:val="1"/>
          <w:i w:val="1"/>
          <w:iCs w:val="1"/>
          <w:color w:val="auto"/>
        </w:rPr>
        <w:t>DISH TV subscribers, gross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year ended December 31, 2023, we activated approximately 464,000 gross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DISH TV subscribers compared to approximately 634,000 gross new DISH TV subscribers during the same period in 2022, a decrease of 26.8%. This decrease in our gross new DISH TV subscriber activations was primarily related to the lack of demand, shifting consumer behavior, and lower marketing expenditures,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50"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b w:val="1"/>
          <w:bCs w:val="1"/>
          <w:i w:val="1"/>
          <w:iCs w:val="1"/>
          <w:color w:val="auto"/>
        </w:rPr>
        <w:t>DISH TV churn rate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DISH TV churn rate for the year ended December 31, 2023 was 1.69% compared to 1.54%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2022. Our DISH TV churn rate for the year ended December 31, 2023 was briefly elevated due to the cybersecurity incident.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continues to be positively impacted by our emphasis on acquiring and retaining higher quality subscribers.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52" w:lineRule="exact"/>
        <w:rPr>
          <w:sz w:val="20"/>
          <w:szCs w:val="20"/>
          <w:color w:val="auto"/>
        </w:rPr>
      </w:pPr>
    </w:p>
    <w:p>
      <w:pPr>
        <w:ind w:left="40" w:right="319"/>
        <w:spacing w:after="0" w:line="249" w:lineRule="auto"/>
        <w:rPr>
          <w:sz w:val="20"/>
          <w:szCs w:val="20"/>
          <w:color w:val="auto"/>
        </w:rPr>
      </w:pPr>
      <w:r>
        <w:rPr>
          <w:rFonts w:ascii="Arial" w:cs="Arial" w:eastAsia="Arial" w:hAnsi="Arial"/>
          <w:sz w:val="16"/>
          <w:szCs w:val="16"/>
          <w:b w:val="1"/>
          <w:bCs w:val="1"/>
          <w:i w:val="1"/>
          <w:iCs w:val="1"/>
          <w:color w:val="auto"/>
        </w:rPr>
        <w:t xml:space="preserve">Service revenue. </w:t>
      </w:r>
      <w:r>
        <w:rPr>
          <w:rFonts w:ascii="Arial" w:cs="Arial" w:eastAsia="Arial" w:hAnsi="Arial"/>
          <w:sz w:val="16"/>
          <w:szCs w:val="16"/>
          <w:color w:val="auto"/>
        </w:rPr>
        <w:t>“Service revenue” totaled $11.386 billion for the year ended December 31, 2023, a decrease of $975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7.9% compared to the same period in 2022. The decrease in “Service revenue” compared to the same period in 2022 was primarily related to a lower average Pay-TV subscriber base, partially offset by an increase in Pay-TV ARPU, discussed below.</w:t>
      </w:r>
    </w:p>
    <w:p>
      <w:pPr>
        <w:spacing w:after="0" w:line="144"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b w:val="1"/>
          <w:bCs w:val="1"/>
          <w:i w:val="1"/>
          <w:iCs w:val="1"/>
          <w:color w:val="auto"/>
        </w:rPr>
        <w:t xml:space="preserve">Equipment sales and other revenue. </w:t>
      </w:r>
      <w:r>
        <w:rPr>
          <w:rFonts w:ascii="Arial" w:cs="Arial" w:eastAsia="Arial" w:hAnsi="Arial"/>
          <w:sz w:val="16"/>
          <w:szCs w:val="16"/>
          <w:color w:val="auto"/>
        </w:rPr>
        <w:t>“Equipment sales and other revenue” totaled $185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2023, an increase of $40 million or 27.9% compared to the same period in 2022. The increase in “Equipment sales and other revenue” compared to the same period in 2022 was primarily related to a non-recurring $75 million license of our Adaptive Bitrate Streaming patents to Peloton covering certain Peloton products that resolves our litigation involving those products, partially offset by a decrease in equipment sales revenue.</w:t>
      </w:r>
    </w:p>
    <w:p>
      <w:pPr>
        <w:spacing w:after="0" w:line="146" w:lineRule="exact"/>
        <w:rPr>
          <w:sz w:val="20"/>
          <w:szCs w:val="20"/>
          <w:color w:val="auto"/>
        </w:rPr>
      </w:pPr>
    </w:p>
    <w:p>
      <w:pPr>
        <w:ind w:left="40" w:right="419"/>
        <w:spacing w:after="0" w:line="249" w:lineRule="auto"/>
        <w:rPr>
          <w:sz w:val="20"/>
          <w:szCs w:val="20"/>
          <w:color w:val="auto"/>
        </w:rPr>
      </w:pPr>
      <w:r>
        <w:rPr>
          <w:rFonts w:ascii="Arial" w:cs="Arial" w:eastAsia="Arial" w:hAnsi="Arial"/>
          <w:sz w:val="16"/>
          <w:szCs w:val="16"/>
          <w:b w:val="1"/>
          <w:bCs w:val="1"/>
          <w:i w:val="1"/>
          <w:iCs w:val="1"/>
          <w:color w:val="auto"/>
        </w:rPr>
        <w:t xml:space="preserve">Pay-TV ARPU. </w:t>
      </w:r>
      <w:r>
        <w:rPr>
          <w:rFonts w:ascii="Arial" w:cs="Arial" w:eastAsia="Arial" w:hAnsi="Arial"/>
          <w:sz w:val="16"/>
          <w:szCs w:val="16"/>
          <w:color w:val="auto"/>
        </w:rPr>
        <w:t>Pay-TV ARPU was $104.56 during the year ended December 31, 2023 versus $101.20 during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2022. The $3.36 or 3.3% increase in Pay-TV ARPU was primarily attributable to DISH TV and SLING TV programming price increases. The DISH TV and SLING TV programming package price increases were effective in the fourth quarter of 2022 and 2023.</w:t>
      </w:r>
    </w:p>
    <w:p>
      <w:pPr>
        <w:spacing w:after="0" w:line="144"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totaled $6.978 billion during the year ended December 31, 2023, a decrease of $446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6.0% compared to the same period in 2022. The decrease in “Cost of services” was primarily attributable to a lower average Pay-TV subscriber base, partially offset by higher programming costs per subscriber and higher variable and retention costs per subscriber. Programming costs per subscriber increased during the year ended December 31, 2023 due to rate increases in certain of our programming contracts, including the renewal of certain contracts at higher rates, particularly for local broadcast channels. In addition, variable and retention costs per subscriber increased during the year ended December 31, 2023 due to, among other things, approximately $30 million in cybersecurity-related expenses to remediate the incident and provide additional customer support. “Cost of services” represented 61.3% and 60.1% of “Service revenue” during the years ended December 31, 2023 and 2022, respectively.</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totaled $1.415 billion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2023, a $207 million or 12.8% decrease compared to the same period in 2022. This change was primarily driven by a decrease in subscriber acquisition costs resulting from lower marketing expenditures and lower gross new DISH TV subscriber activations, and a decrease in personnel costs, partially offset by Merger related costs.</w:t>
      </w:r>
    </w:p>
    <w:p>
      <w:pPr>
        <w:spacing w:after="0" w:line="144" w:lineRule="exact"/>
        <w:rPr>
          <w:sz w:val="20"/>
          <w:szCs w:val="20"/>
          <w:color w:val="auto"/>
        </w:rPr>
      </w:pPr>
    </w:p>
    <w:p>
      <w:pPr>
        <w:ind w:left="40" w:right="479"/>
        <w:spacing w:after="0" w:line="249"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totaled $ 381 million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2023, a $47 million or 11.0% decrease compared to the same period in 2022. This change was primarily driven by a decrease in depreciation expense from equipment leased to new and existing DISH TV subscribers and the EchoStar XI satellite which became fully depreciated during the second quarter of 2023.</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 xml:space="preserve">Impairment of long-lived assets and goodwill. </w:t>
      </w:r>
      <w:r>
        <w:rPr>
          <w:rFonts w:ascii="Arial" w:cs="Arial" w:eastAsia="Arial" w:hAnsi="Arial"/>
          <w:sz w:val="16"/>
          <w:szCs w:val="16"/>
          <w:i w:val="1"/>
          <w:iCs w:val="1"/>
          <w:color w:val="auto"/>
        </w:rPr>
        <w:t>“</w:t>
      </w:r>
      <w:r>
        <w:rPr>
          <w:rFonts w:ascii="Arial" w:cs="Arial" w:eastAsia="Arial" w:hAnsi="Arial"/>
          <w:sz w:val="16"/>
          <w:szCs w:val="16"/>
          <w:color w:val="auto"/>
        </w:rPr>
        <w:t>Impairment of long-lived assets and goodwill” totaled $6 million for</w:t>
      </w:r>
    </w:p>
    <w:p>
      <w:pPr>
        <w:spacing w:after="0" w:line="14" w:lineRule="exact"/>
        <w:rPr>
          <w:sz w:val="20"/>
          <w:szCs w:val="20"/>
          <w:color w:val="auto"/>
        </w:rPr>
      </w:pPr>
    </w:p>
    <w:p>
      <w:pPr>
        <w:ind w:left="40" w:right="299"/>
        <w:spacing w:after="0" w:line="255" w:lineRule="auto"/>
        <w:rPr>
          <w:sz w:val="20"/>
          <w:szCs w:val="20"/>
          <w:color w:val="auto"/>
        </w:rPr>
      </w:pPr>
      <w:r>
        <w:rPr>
          <w:rFonts w:ascii="Arial" w:cs="Arial" w:eastAsia="Arial" w:hAnsi="Arial"/>
          <w:sz w:val="16"/>
          <w:szCs w:val="16"/>
          <w:color w:val="auto"/>
        </w:rPr>
        <w:t>the year ended December 31, 2023. This impairment represents a noncash impairment charge for goodwill. See Note 2 to the Notes to our Consolidated Financial Statements in this Annual Report on Form 10-K for further information.</w:t>
      </w:r>
    </w:p>
    <w:p>
      <w:pPr>
        <w:spacing w:after="0" w:line="138" w:lineRule="exact"/>
        <w:rPr>
          <w:sz w:val="20"/>
          <w:szCs w:val="20"/>
          <w:color w:val="auto"/>
        </w:rPr>
      </w:pPr>
    </w:p>
    <w:p>
      <w:pPr>
        <w:ind w:left="40" w:right="239"/>
        <w:spacing w:after="0" w:line="249" w:lineRule="auto"/>
        <w:rPr>
          <w:sz w:val="20"/>
          <w:szCs w:val="20"/>
          <w:color w:val="auto"/>
        </w:rPr>
      </w:pPr>
      <w:r>
        <w:rPr>
          <w:rFonts w:ascii="Arial" w:cs="Arial" w:eastAsia="Arial" w:hAnsi="Arial"/>
          <w:sz w:val="16"/>
          <w:szCs w:val="16"/>
          <w:b w:val="1"/>
          <w:bCs w:val="1"/>
          <w:i w:val="1"/>
          <w:iCs w:val="1"/>
          <w:color w:val="auto"/>
        </w:rPr>
        <w:t xml:space="preserve">DISH TV SAC. </w:t>
      </w:r>
      <w:r>
        <w:rPr>
          <w:rFonts w:ascii="Arial" w:cs="Arial" w:eastAsia="Arial" w:hAnsi="Arial"/>
          <w:sz w:val="16"/>
          <w:szCs w:val="16"/>
          <w:color w:val="auto"/>
        </w:rPr>
        <w:t>DISH TV SAC was $1,118 during the year ended December 31, 2023 compared to $1,044 during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2022, an increase of $74 or 7.1%. This change was primarily attributable to an increase in advertising costs per subscriber, higher installation costs due to an increase in labor and other installation costs, and a lower percentage of remanufactured receivers being activated on new subscriber accounts.</w:t>
      </w:r>
    </w:p>
    <w:p>
      <w:pPr>
        <w:spacing w:after="0" w:line="144" w:lineRule="exact"/>
        <w:rPr>
          <w:sz w:val="20"/>
          <w:szCs w:val="20"/>
          <w:color w:val="auto"/>
        </w:rPr>
      </w:pPr>
    </w:p>
    <w:p>
      <w:pPr>
        <w:ind w:left="40" w:right="59"/>
        <w:spacing w:after="0" w:line="275" w:lineRule="auto"/>
        <w:rPr>
          <w:sz w:val="20"/>
          <w:szCs w:val="20"/>
          <w:color w:val="auto"/>
        </w:rPr>
      </w:pPr>
      <w:r>
        <w:rPr>
          <w:rFonts w:ascii="Arial" w:cs="Arial" w:eastAsia="Arial" w:hAnsi="Arial"/>
          <w:sz w:val="16"/>
          <w:szCs w:val="16"/>
          <w:color w:val="auto"/>
        </w:rPr>
        <w:t>During the years ended December 31, 2023 and 2022, the amount of equipment capitalized under our lease program for new DISH TV subscribers totaled $54 million and $55 million, respectively.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Wireless Segment</w:t>
      </w:r>
    </w:p>
    <w:p>
      <w:pPr>
        <w:spacing w:after="0" w:line="177"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Our Wireless segment business strategy is to expand our current target segments and profitably grow our Wireless subscriber base and commercialize and grow customer traffic on our 5G Network. We intend to grow our Wireless subscriber base by acquiring and retaining high quality subscribers with competitive offers, choice and outstanding customer service that better meet those subscribers’ needs and budget.</w:t>
      </w:r>
    </w:p>
    <w:p>
      <w:pPr>
        <w:spacing w:after="0" w:line="144" w:lineRule="exact"/>
        <w:rPr>
          <w:sz w:val="20"/>
          <w:szCs w:val="20"/>
          <w:color w:val="auto"/>
        </w:rPr>
      </w:pPr>
    </w:p>
    <w:p>
      <w:pPr>
        <w:ind w:left="40" w:right="159"/>
        <w:spacing w:after="0" w:line="256" w:lineRule="auto"/>
        <w:rPr>
          <w:sz w:val="20"/>
          <w:szCs w:val="20"/>
          <w:color w:val="auto"/>
        </w:rPr>
      </w:pPr>
      <w:r>
        <w:rPr>
          <w:rFonts w:ascii="Arial" w:cs="Arial" w:eastAsia="Arial" w:hAnsi="Arial"/>
          <w:sz w:val="16"/>
          <w:szCs w:val="16"/>
          <w:color w:val="auto"/>
        </w:rPr>
        <w:t xml:space="preserve">Our Wireless segment provides Wireless communication services and products. We currently offer our Wireless services for </w:t>
      </w:r>
      <w:r>
        <w:rPr>
          <w:rFonts w:ascii="Arial" w:cs="Arial" w:eastAsia="Arial" w:hAnsi="Arial"/>
          <w:sz w:val="16"/>
          <w:szCs w:val="16"/>
          <w:color w:val="0A0A0A"/>
        </w:rPr>
        <w:t xml:space="preserve">5G VoNR </w:t>
      </w:r>
      <w:r>
        <w:rPr>
          <w:rFonts w:ascii="Arial" w:cs="Arial" w:eastAsia="Arial" w:hAnsi="Arial"/>
          <w:sz w:val="16"/>
          <w:szCs w:val="16"/>
          <w:color w:val="000000"/>
        </w:rPr>
        <w:t>to over 220 million Americans and for 5G broadband service to over 268 million Americans, as well as a</w:t>
      </w:r>
      <w:r>
        <w:rPr>
          <w:rFonts w:ascii="Arial" w:cs="Arial" w:eastAsia="Arial" w:hAnsi="Arial"/>
          <w:sz w:val="16"/>
          <w:szCs w:val="16"/>
          <w:color w:val="0A0A0A"/>
        </w:rPr>
        <w:t xml:space="preserve"> </w:t>
      </w:r>
      <w:r>
        <w:rPr>
          <w:rFonts w:ascii="Arial" w:cs="Arial" w:eastAsia="Arial" w:hAnsi="Arial"/>
          <w:sz w:val="16"/>
          <w:szCs w:val="16"/>
          <w:color w:val="000000"/>
        </w:rPr>
        <w:t>competitive portfolio of wireless devices.</w:t>
      </w:r>
    </w:p>
    <w:p>
      <w:pPr>
        <w:spacing w:after="0" w:line="137" w:lineRule="exact"/>
        <w:rPr>
          <w:sz w:val="20"/>
          <w:szCs w:val="20"/>
          <w:color w:val="auto"/>
        </w:rPr>
      </w:pPr>
    </w:p>
    <w:p>
      <w:pPr>
        <w:ind w:left="40" w:right="119" w:hanging="6"/>
        <w:spacing w:after="0" w:line="249" w:lineRule="auto"/>
        <w:rPr>
          <w:sz w:val="20"/>
          <w:szCs w:val="20"/>
          <w:color w:val="auto"/>
        </w:rPr>
      </w:pPr>
      <w:r>
        <w:rPr>
          <w:rFonts w:ascii="Arial" w:cs="Arial" w:eastAsia="Arial" w:hAnsi="Arial"/>
          <w:sz w:val="16"/>
          <w:szCs w:val="16"/>
          <w:color w:val="auto"/>
        </w:rPr>
        <w:t>We offer nationwide Wireless services to subscribers primarily under our Boost Mobile and Gen Mobile brands. Prepaid Wireless subscribers generally pay in advance for monthly access to wireless talk, text and data services. Postpaid Wireless subscribers are qualified to pay after receiving wireless talk, text and data services and may also qualify for certain device financing arrangements.</w:t>
      </w:r>
    </w:p>
    <w:p>
      <w:pPr>
        <w:spacing w:after="0" w:line="144" w:lineRule="exact"/>
        <w:rPr>
          <w:sz w:val="20"/>
          <w:szCs w:val="20"/>
          <w:color w:val="auto"/>
        </w:rPr>
      </w:pPr>
    </w:p>
    <w:p>
      <w:pPr>
        <w:ind w:left="40" w:right="199" w:hanging="6"/>
        <w:spacing w:after="0" w:line="249" w:lineRule="auto"/>
        <w:rPr>
          <w:sz w:val="20"/>
          <w:szCs w:val="20"/>
          <w:color w:val="auto"/>
        </w:rPr>
      </w:pPr>
      <w:r>
        <w:rPr>
          <w:rFonts w:ascii="Arial" w:cs="Arial" w:eastAsia="Arial" w:hAnsi="Arial"/>
          <w:sz w:val="16"/>
          <w:szCs w:val="16"/>
          <w:i w:val="1"/>
          <w:iCs w:val="1"/>
          <w:color w:val="auto"/>
        </w:rPr>
        <w:t>Boost Mobile postpaid</w:t>
      </w:r>
      <w:r>
        <w:rPr>
          <w:rFonts w:ascii="Arial" w:cs="Arial" w:eastAsia="Arial" w:hAnsi="Arial"/>
          <w:sz w:val="16"/>
          <w:szCs w:val="16"/>
          <w:color w:val="auto"/>
        </w:rPr>
        <w:t>. During 2023, we launched our nationwide expansion of our Boost Mobile postpaid Wireless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At the end of the third quarter of 2023, we began offering premium wireless devices, including Apple products. We currently offer a broad range of premium wireless devices on our 5G Network, including the Apple iPhone 15 and newer generation iPhones.</w:t>
      </w:r>
    </w:p>
    <w:p>
      <w:pPr>
        <w:spacing w:after="0" w:line="144" w:lineRule="exact"/>
        <w:rPr>
          <w:sz w:val="20"/>
          <w:szCs w:val="20"/>
          <w:color w:val="auto"/>
        </w:rPr>
      </w:pPr>
    </w:p>
    <w:p>
      <w:pPr>
        <w:ind w:left="40" w:right="159"/>
        <w:spacing w:after="0" w:line="244" w:lineRule="auto"/>
        <w:rPr>
          <w:sz w:val="20"/>
          <w:szCs w:val="20"/>
          <w:color w:val="auto"/>
        </w:rPr>
      </w:pPr>
      <w:r>
        <w:rPr>
          <w:rFonts w:ascii="Arial" w:cs="Arial" w:eastAsia="Arial" w:hAnsi="Arial"/>
          <w:sz w:val="16"/>
          <w:szCs w:val="16"/>
          <w:color w:val="auto"/>
        </w:rPr>
        <w:t xml:space="preserve">We are currently operating primarily as an MVNO as we continue our 5G Network Deployment and commercialize and grow customer traffic on our 5G Network. We are transitioning to an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6"/>
          <w:szCs w:val="16"/>
          <w:color w:val="0A0A0A"/>
        </w:rPr>
        <w:t>VoNR</w:t>
      </w:r>
      <w:r>
        <w:rPr>
          <w:rFonts w:ascii="Arial" w:cs="Arial" w:eastAsia="Arial" w:hAnsi="Arial"/>
          <w:sz w:val="16"/>
          <w:szCs w:val="16"/>
          <w:color w:val="auto"/>
        </w:rPr>
        <w:t xml:space="preserve">. We have deployed </w:t>
      </w:r>
      <w:r>
        <w:rPr>
          <w:rFonts w:ascii="Arial" w:cs="Arial" w:eastAsia="Arial" w:hAnsi="Arial"/>
          <w:sz w:val="16"/>
          <w:szCs w:val="16"/>
          <w:color w:val="0A0A0A"/>
        </w:rPr>
        <w:t>5G VoNR covering over 220</w:t>
      </w:r>
      <w:r>
        <w:rPr>
          <w:rFonts w:ascii="Arial" w:cs="Arial" w:eastAsia="Arial" w:hAnsi="Arial"/>
          <w:sz w:val="16"/>
          <w:szCs w:val="16"/>
          <w:color w:val="auto"/>
        </w:rPr>
        <w:t xml:space="preserve"> </w:t>
      </w:r>
      <w:r>
        <w:rPr>
          <w:rFonts w:ascii="Arial" w:cs="Arial" w:eastAsia="Arial" w:hAnsi="Arial"/>
          <w:sz w:val="16"/>
          <w:szCs w:val="16"/>
          <w:color w:val="0A0A0A"/>
        </w:rPr>
        <w:t xml:space="preserve">million Americans. </w:t>
      </w:r>
      <w:r>
        <w:rPr>
          <w:rFonts w:ascii="Arial" w:cs="Arial" w:eastAsia="Arial" w:hAnsi="Arial"/>
          <w:sz w:val="16"/>
          <w:szCs w:val="16"/>
          <w:color w:val="000000"/>
        </w:rPr>
        <w:t>Within our MVNO operations, today we depend in part on T-Mobile and AT&amp;T to provide us with network</w:t>
      </w:r>
      <w:r>
        <w:rPr>
          <w:rFonts w:ascii="Arial" w:cs="Arial" w:eastAsia="Arial" w:hAnsi="Arial"/>
          <w:sz w:val="16"/>
          <w:szCs w:val="16"/>
          <w:color w:val="0A0A0A"/>
        </w:rPr>
        <w:t xml:space="preserve"> </w:t>
      </w:r>
      <w:r>
        <w:rPr>
          <w:rFonts w:ascii="Arial" w:cs="Arial" w:eastAsia="Arial" w:hAnsi="Arial"/>
          <w:sz w:val="16"/>
          <w:szCs w:val="16"/>
          <w:color w:val="000000"/>
        </w:rPr>
        <w:t>services under the MNSA and NSA, respectively. As of December 31, 2024, we had 6.995 million Wireless subscribers.</w:t>
      </w:r>
    </w:p>
    <w:p>
      <w:pPr>
        <w:spacing w:after="0" w:line="148" w:lineRule="exact"/>
        <w:rPr>
          <w:sz w:val="20"/>
          <w:szCs w:val="20"/>
          <w:color w:val="auto"/>
        </w:rPr>
      </w:pPr>
    </w:p>
    <w:p>
      <w:pPr>
        <w:jc w:val="both"/>
        <w:ind w:left="40" w:right="279"/>
        <w:spacing w:after="0" w:line="256" w:lineRule="auto"/>
        <w:rPr>
          <w:sz w:val="20"/>
          <w:szCs w:val="20"/>
          <w:color w:val="auto"/>
        </w:rPr>
      </w:pPr>
      <w:r>
        <w:rPr>
          <w:rFonts w:ascii="Arial" w:cs="Arial" w:eastAsia="Arial" w:hAnsi="Arial"/>
          <w:sz w:val="16"/>
          <w:szCs w:val="16"/>
          <w:color w:val="auto"/>
        </w:rPr>
        <w:t>Currently, we offer Wireless subscribers competitive consumer plans with no annual service contracts and monthly service plans including high-speed data and unlimited talk and text. We also offer a variety of value-added services, including, but not limited to, device payment and protection plans and device financing arrangements for certain qualified subscribers.</w:t>
      </w:r>
    </w:p>
    <w:p>
      <w:pPr>
        <w:spacing w:after="0" w:line="137" w:lineRule="exact"/>
        <w:rPr>
          <w:sz w:val="20"/>
          <w:szCs w:val="20"/>
          <w:color w:val="auto"/>
        </w:rPr>
      </w:pPr>
    </w:p>
    <w:p>
      <w:pPr>
        <w:ind w:left="40" w:right="119" w:hanging="6"/>
        <w:spacing w:after="0" w:line="244" w:lineRule="auto"/>
        <w:rPr>
          <w:sz w:val="20"/>
          <w:szCs w:val="20"/>
          <w:color w:val="auto"/>
        </w:rPr>
      </w:pPr>
      <w:r>
        <w:rPr>
          <w:rFonts w:ascii="Arial" w:cs="Arial" w:eastAsia="Arial" w:hAnsi="Arial"/>
          <w:sz w:val="16"/>
          <w:szCs w:val="16"/>
          <w:color w:val="auto"/>
        </w:rPr>
        <w:t>During the second half of 2022, we began the process of migrating subscribers off the Transition Services Agreement (“TSA”) with T-Mobile, including the billing systems, and onto our own billing and operational support systems. The migration of subscribers to our new billing and operational support systems accelerated during the fourth quarter of 2022 and continued in the first and second quarters of 2023. The migration of subscribers during the first and second quarters of 2023 negatively impacted our Wireless churn rate and our results of operations. During the second quarter of 2023, we completed the migration of subscribers off the TSA with T-Mobile and onto our own billing and operational support systems.</w:t>
      </w:r>
    </w:p>
    <w:p>
      <w:pPr>
        <w:spacing w:after="0" w:line="148" w:lineRule="exact"/>
        <w:rPr>
          <w:sz w:val="20"/>
          <w:szCs w:val="20"/>
          <w:color w:val="auto"/>
        </w:rPr>
      </w:pPr>
    </w:p>
    <w:p>
      <w:pPr>
        <w:ind w:left="60" w:right="139" w:hanging="10"/>
        <w:spacing w:after="0" w:line="243" w:lineRule="auto"/>
        <w:rPr>
          <w:sz w:val="20"/>
          <w:szCs w:val="20"/>
          <w:color w:val="auto"/>
        </w:rPr>
      </w:pPr>
      <w:r>
        <w:rPr>
          <w:rFonts w:ascii="Arial" w:cs="Arial" w:eastAsia="Arial" w:hAnsi="Arial"/>
          <w:sz w:val="16"/>
          <w:szCs w:val="16"/>
          <w:i w:val="1"/>
          <w:iCs w:val="1"/>
          <w:color w:val="auto"/>
        </w:rPr>
        <w:t xml:space="preserve">ACP Subscribers. </w:t>
      </w:r>
      <w:r>
        <w:rPr>
          <w:rFonts w:ascii="Arial" w:cs="Arial" w:eastAsia="Arial" w:hAnsi="Arial"/>
          <w:sz w:val="16"/>
          <w:szCs w:val="16"/>
          <w:color w:val="auto"/>
        </w:rPr>
        <w:t>A portion of our Wireless subscriber base and revenue was comprised of subscribers who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under the ACP program. Households enrolled in the ACP program continued to receive the benefit on their service through April 2024. In May 2024, households received a partial benefit and on June 1, 2024 the ACP program funding concluded and households no longer received their benefit. Although we implemented plans to retain and/or migrate these subscribers to lower priced service plans, these subscribers began deactivating in the second and third quarters of 2024. As of September 30, 2024, we had approximately 33,000 Wireless ACP subscribers, the majority of which migrated to other service plans in the fourth quarter of 2024. As of December 31, 2024, we have no Wireless ACP subscribers.</w:t>
      </w:r>
    </w:p>
    <w:p>
      <w:pPr>
        <w:spacing w:after="0" w:line="148" w:lineRule="exact"/>
        <w:rPr>
          <w:sz w:val="20"/>
          <w:szCs w:val="20"/>
          <w:color w:val="auto"/>
        </w:rPr>
      </w:pPr>
    </w:p>
    <w:p>
      <w:pPr>
        <w:ind w:left="60" w:right="379" w:hanging="10"/>
        <w:spacing w:after="0" w:line="275" w:lineRule="auto"/>
        <w:rPr>
          <w:sz w:val="20"/>
          <w:szCs w:val="20"/>
          <w:color w:val="auto"/>
        </w:rPr>
      </w:pPr>
      <w:r>
        <w:rPr>
          <w:rFonts w:ascii="Arial" w:cs="Arial" w:eastAsia="Arial" w:hAnsi="Arial"/>
          <w:sz w:val="16"/>
          <w:szCs w:val="16"/>
          <w:color w:val="auto"/>
        </w:rPr>
        <w:t>Generally, ACP subscribers have lower Wireless ARPU than other Wireless subscribers and as a result, any loss of ACP subscribers had a nominal impact on pre-tax net income.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119" w:hanging="6"/>
        <w:spacing w:after="0" w:line="244" w:lineRule="auto"/>
        <w:rPr>
          <w:sz w:val="20"/>
          <w:szCs w:val="20"/>
          <w:color w:val="auto"/>
        </w:rPr>
      </w:pPr>
      <w:r>
        <w:rPr>
          <w:rFonts w:ascii="Arial" w:cs="Arial" w:eastAsia="Arial" w:hAnsi="Arial"/>
          <w:sz w:val="16"/>
          <w:szCs w:val="16"/>
          <w:color w:val="auto"/>
        </w:rPr>
        <w:t xml:space="preserve">We have invested a total of over $30 billion in Wireless spectrum licenses. The $30 billion of investments related to Wireless spectrum licenses does not include $10 billion of capitalized interest related to the carrying value of such licenses. See Note 2 and Note 15 in the Notes to our Consolidated Financial Statements in this Annual Report on Form 10-K for further information. We continue to commercialize our Wireless spectrum licenses through </w:t>
      </w:r>
      <w:r>
        <w:rPr>
          <w:rFonts w:ascii="Arial" w:cs="Arial" w:eastAsia="Arial" w:hAnsi="Arial"/>
          <w:sz w:val="16"/>
          <w:szCs w:val="16"/>
          <w:color w:val="222222"/>
        </w:rPr>
        <w:t>the completion of</w:t>
      </w:r>
      <w:r>
        <w:rPr>
          <w:rFonts w:ascii="Arial" w:cs="Arial" w:eastAsia="Arial" w:hAnsi="Arial"/>
          <w:sz w:val="16"/>
          <w:szCs w:val="16"/>
          <w:color w:val="auto"/>
        </w:rPr>
        <w:t xml:space="preserve"> our 5G Network Deployment. We have committed to the FCC to deploy our 5G Network capable of serving increasingly larger portions of the U.S. population at different deadlines.</w:t>
      </w:r>
    </w:p>
    <w:p>
      <w:pPr>
        <w:spacing w:after="0" w:line="148" w:lineRule="exact"/>
        <w:rPr>
          <w:sz w:val="20"/>
          <w:szCs w:val="20"/>
          <w:color w:val="auto"/>
        </w:rPr>
      </w:pPr>
    </w:p>
    <w:p>
      <w:pPr>
        <w:ind w:left="40" w:right="99" w:hanging="6"/>
        <w:spacing w:after="0" w:line="244" w:lineRule="auto"/>
        <w:rPr>
          <w:sz w:val="20"/>
          <w:szCs w:val="20"/>
          <w:color w:val="auto"/>
        </w:rPr>
      </w:pPr>
      <w:r>
        <w:rPr>
          <w:rFonts w:ascii="Arial" w:cs="Arial" w:eastAsia="Arial" w:hAnsi="Arial"/>
          <w:sz w:val="16"/>
          <w:szCs w:val="16"/>
          <w:color w:val="auto"/>
        </w:rPr>
        <w:t>We may need to raise additional capital in the future</w:t>
      </w:r>
      <w:r>
        <w:rPr>
          <w:rFonts w:ascii="Arial" w:cs="Arial" w:eastAsia="Arial" w:hAnsi="Arial"/>
          <w:sz w:val="16"/>
          <w:szCs w:val="16"/>
          <w:color w:val="222222"/>
        </w:rPr>
        <w:t>,</w:t>
      </w:r>
      <w:r>
        <w:rPr>
          <w:rFonts w:ascii="Arial" w:cs="Arial" w:eastAsia="Arial" w:hAnsi="Arial"/>
          <w:sz w:val="16"/>
          <w:szCs w:val="16"/>
          <w:color w:val="auto"/>
        </w:rPr>
        <w:t xml:space="preserv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15 in the Notes to our Consolidated Financial Statements in this Annual Report on Form 10-K for further information.</w:t>
      </w:r>
    </w:p>
    <w:p>
      <w:pPr>
        <w:spacing w:after="0" w:line="148" w:lineRule="exact"/>
        <w:rPr>
          <w:sz w:val="20"/>
          <w:szCs w:val="20"/>
          <w:color w:val="auto"/>
        </w:rPr>
      </w:pPr>
    </w:p>
    <w:p>
      <w:pPr>
        <w:ind w:left="40" w:right="119" w:hanging="6"/>
        <w:spacing w:after="0" w:line="243" w:lineRule="auto"/>
        <w:rPr>
          <w:sz w:val="20"/>
          <w:szCs w:val="20"/>
          <w:color w:val="auto"/>
        </w:rPr>
      </w:pPr>
      <w:r>
        <w:rPr>
          <w:rFonts w:ascii="Arial" w:cs="Arial" w:eastAsia="Arial" w:hAnsi="Arial"/>
          <w:sz w:val="16"/>
          <w:szCs w:val="16"/>
          <w:color w:val="auto"/>
        </w:rPr>
        <w:t xml:space="preserve">Our Wireless spectrum licenses are subject to certain interim and final build-out requirements, as well as certain renewal requirements. On September 29, 2023, the FCC confirmed we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6"/>
          <w:szCs w:val="16"/>
          <w:color w:val="0A0A0A"/>
        </w:rPr>
        <w:t>We currently have</w:t>
      </w:r>
      <w:r>
        <w:rPr>
          <w:rFonts w:ascii="Arial" w:cs="Arial" w:eastAsia="Arial" w:hAnsi="Arial"/>
          <w:sz w:val="16"/>
          <w:szCs w:val="16"/>
          <w:color w:val="auto"/>
        </w:rPr>
        <w:t xml:space="preserve"> </w:t>
      </w:r>
      <w:r>
        <w:rPr>
          <w:rFonts w:ascii="Arial" w:cs="Arial" w:eastAsia="Arial" w:hAnsi="Arial"/>
          <w:sz w:val="16"/>
          <w:szCs w:val="16"/>
          <w:color w:val="0A0A0A"/>
        </w:rPr>
        <w:t xml:space="preserve">the largest commercial deployment of 5G VoNR in the world covering over 220 million Americans and </w:t>
      </w:r>
      <w:r>
        <w:rPr>
          <w:rFonts w:ascii="Arial" w:cs="Arial" w:eastAsia="Arial" w:hAnsi="Arial"/>
          <w:sz w:val="16"/>
          <w:szCs w:val="16"/>
          <w:color w:val="000000"/>
        </w:rPr>
        <w:t>5G broadband service</w:t>
      </w:r>
      <w:r>
        <w:rPr>
          <w:rFonts w:ascii="Arial" w:cs="Arial" w:eastAsia="Arial" w:hAnsi="Arial"/>
          <w:sz w:val="16"/>
          <w:szCs w:val="16"/>
          <w:color w:val="0A0A0A"/>
        </w:rPr>
        <w:t xml:space="preserve"> covering over 268 million Amer</w:t>
      </w:r>
      <w:r>
        <w:rPr>
          <w:rFonts w:ascii="Arial" w:cs="Arial" w:eastAsia="Arial" w:hAnsi="Arial"/>
          <w:sz w:val="16"/>
          <w:szCs w:val="16"/>
          <w:color w:val="000000"/>
        </w:rPr>
        <w:t>icans.</w:t>
      </w:r>
    </w:p>
    <w:p>
      <w:pPr>
        <w:spacing w:after="0" w:line="148" w:lineRule="exact"/>
        <w:rPr>
          <w:sz w:val="20"/>
          <w:szCs w:val="20"/>
          <w:color w:val="auto"/>
        </w:rPr>
      </w:pPr>
    </w:p>
    <w:p>
      <w:pPr>
        <w:ind w:left="40" w:right="379"/>
        <w:spacing w:after="0" w:line="241" w:lineRule="auto"/>
        <w:rPr>
          <w:sz w:val="20"/>
          <w:szCs w:val="20"/>
          <w:color w:val="auto"/>
        </w:rPr>
      </w:pPr>
      <w:r>
        <w:rPr>
          <w:rFonts w:ascii="Arial" w:cs="Arial" w:eastAsia="Arial" w:hAnsi="Arial"/>
          <w:sz w:val="16"/>
          <w:szCs w:val="16"/>
          <w:color w:val="0A0A0A"/>
        </w:rPr>
        <w:t xml:space="preserve">In September 2024, the FCC conditionally granted our requests to extend the 5G deployment deadlines for certain of our </w:t>
      </w:r>
      <w:r>
        <w:rPr>
          <w:rFonts w:ascii="Arial" w:cs="Arial" w:eastAsia="Arial" w:hAnsi="Arial"/>
          <w:sz w:val="16"/>
          <w:szCs w:val="16"/>
          <w:color w:val="000000"/>
        </w:rPr>
        <w:t xml:space="preserve">Wireless spectrum licenses </w:t>
      </w:r>
      <w:r>
        <w:rPr>
          <w:rFonts w:ascii="Arial" w:cs="Arial" w:eastAsia="Arial" w:hAnsi="Arial"/>
          <w:sz w:val="16"/>
          <w:szCs w:val="16"/>
          <w:color w:val="0A0A0A"/>
        </w:rPr>
        <w:t>based on several commitments and</w:t>
      </w:r>
      <w:r>
        <w:rPr>
          <w:rFonts w:ascii="Arial" w:cs="Arial" w:eastAsia="Arial" w:hAnsi="Arial"/>
          <w:sz w:val="16"/>
          <w:szCs w:val="16"/>
          <w:color w:val="000000"/>
        </w:rPr>
        <w:t xml:space="preserve"> </w:t>
      </w:r>
      <w:r>
        <w:rPr>
          <w:rFonts w:ascii="Arial" w:cs="Arial" w:eastAsia="Arial" w:hAnsi="Arial"/>
          <w:sz w:val="16"/>
          <w:szCs w:val="16"/>
          <w:color w:val="222222"/>
        </w:rPr>
        <w:t>in a January 10, 2025 filing to the FCC</w:t>
      </w:r>
      <w:r>
        <w:rPr>
          <w:rFonts w:ascii="Arial" w:cs="Arial" w:eastAsia="Arial" w:hAnsi="Arial"/>
          <w:sz w:val="16"/>
          <w:szCs w:val="16"/>
          <w:color w:val="0A0A0A"/>
        </w:rPr>
        <w:t>,</w:t>
      </w:r>
      <w:r>
        <w:rPr>
          <w:rFonts w:ascii="Arial" w:cs="Arial" w:eastAsia="Arial" w:hAnsi="Arial"/>
          <w:sz w:val="16"/>
          <w:szCs w:val="16"/>
          <w:color w:val="000000"/>
        </w:rPr>
        <w:t xml:space="preserve"> </w:t>
      </w:r>
      <w:r>
        <w:rPr>
          <w:rFonts w:ascii="Arial" w:cs="Arial" w:eastAsia="Arial" w:hAnsi="Arial"/>
          <w:sz w:val="16"/>
          <w:szCs w:val="16"/>
          <w:color w:val="222222"/>
        </w:rPr>
        <w:t>we certified to</w:t>
      </w:r>
      <w:r>
        <w:rPr>
          <w:rFonts w:ascii="Arial" w:cs="Arial" w:eastAsia="Arial" w:hAnsi="Arial"/>
          <w:sz w:val="16"/>
          <w:szCs w:val="16"/>
          <w:color w:val="000000"/>
        </w:rPr>
        <w:t xml:space="preserve"> </w:t>
      </w:r>
      <w:r>
        <w:rPr>
          <w:rFonts w:ascii="Arial" w:cs="Arial" w:eastAsia="Arial" w:hAnsi="Arial"/>
          <w:sz w:val="16"/>
          <w:szCs w:val="16"/>
          <w:color w:val="222222"/>
        </w:rPr>
        <w:t xml:space="preserve">meeting the accelerated buildout (Commitments #2 and #3 of the Extension Request) and the nationwide 80% coverage obligations (Commitment #1 of the Extension Request) </w:t>
      </w:r>
      <w:r>
        <w:rPr>
          <w:rFonts w:ascii="Arial" w:cs="Arial" w:eastAsia="Arial" w:hAnsi="Arial"/>
          <w:sz w:val="16"/>
          <w:szCs w:val="16"/>
          <w:color w:val="000000"/>
        </w:rPr>
        <w:t>due by December 31, 2024. Thus, pursuant to the Extension</w:t>
      </w:r>
      <w:r>
        <w:rPr>
          <w:rFonts w:ascii="Arial" w:cs="Arial" w:eastAsia="Arial" w:hAnsi="Arial"/>
          <w:sz w:val="16"/>
          <w:szCs w:val="16"/>
          <w:color w:val="222222"/>
        </w:rPr>
        <w:t xml:space="preserve"> </w:t>
      </w:r>
      <w:r>
        <w:rPr>
          <w:rFonts w:ascii="Arial" w:cs="Arial" w:eastAsia="Arial" w:hAnsi="Arial"/>
          <w:sz w:val="16"/>
          <w:szCs w:val="16"/>
          <w:color w:val="000000"/>
        </w:rPr>
        <w:t xml:space="preserve">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See Note 15 in the Notes to our Consolidated Financial Statements in this Annual Report on Form 10-K </w:t>
      </w:r>
      <w:r>
        <w:rPr>
          <w:rFonts w:ascii="Arial" w:cs="Arial" w:eastAsia="Arial" w:hAnsi="Arial"/>
          <w:sz w:val="16"/>
          <w:szCs w:val="16"/>
          <w:color w:val="0A0A0A"/>
        </w:rPr>
        <w:t>for definitions and further details.</w:t>
      </w:r>
    </w:p>
    <w:p>
      <w:pPr>
        <w:spacing w:after="0" w:line="152" w:lineRule="exact"/>
        <w:rPr>
          <w:sz w:val="20"/>
          <w:szCs w:val="20"/>
          <w:color w:val="auto"/>
        </w:rPr>
      </w:pPr>
    </w:p>
    <w:p>
      <w:pPr>
        <w:ind w:left="40" w:right="79" w:hanging="6"/>
        <w:spacing w:after="0" w:line="241" w:lineRule="auto"/>
        <w:rPr>
          <w:sz w:val="20"/>
          <w:szCs w:val="20"/>
          <w:color w:val="auto"/>
        </w:rPr>
      </w:pPr>
      <w:r>
        <w:rPr>
          <w:rFonts w:ascii="Arial" w:cs="Arial" w:eastAsia="Arial" w:hAnsi="Arial"/>
          <w:sz w:val="16"/>
          <w:szCs w:val="16"/>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59"/>
        <w:spacing w:after="0" w:line="243" w:lineRule="auto"/>
        <w:rPr>
          <w:sz w:val="20"/>
          <w:szCs w:val="20"/>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Wireless communication services is a mature market with moderate year over year organic growth. Competitors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spacing w:after="0" w:line="148" w:lineRule="exact"/>
        <w:rPr>
          <w:sz w:val="20"/>
          <w:szCs w:val="20"/>
          <w:color w:val="auto"/>
        </w:rPr>
      </w:pPr>
    </w:p>
    <w:p>
      <w:pPr>
        <w:ind w:left="40" w:right="59" w:hanging="6"/>
        <w:spacing w:after="0" w:line="249" w:lineRule="auto"/>
        <w:rPr>
          <w:sz w:val="20"/>
          <w:szCs w:val="20"/>
          <w:color w:val="auto"/>
        </w:rPr>
      </w:pPr>
      <w:r>
        <w:rPr>
          <w:rFonts w:ascii="Arial" w:cs="Arial" w:eastAsia="Arial" w:hAnsi="Arial"/>
          <w:sz w:val="16"/>
          <w:szCs w:val="16"/>
          <w:color w:val="auto"/>
        </w:rPr>
        <w:t>Additional primary competitors to our Wireless segment include, but are not limited to, Metro PCS (owned by T-Mobile), Cricket Wireless (owned by AT&amp;T), Visible (owned by Verizon), Tracfone Wireless (owned by Verizon), Total Wireless (owned by Verizon) and other MVNOs such as Consumer Cellular, Mint Mobile (owned by T-Mobile), Spectrum Mobile and Xfinity Mobile.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 –Wireless Segment</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Year Ended December 31, 2024 Compared to the Year Ended December 31, 2023.</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14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Statements of Operations Data</w:t>
            </w:r>
          </w:p>
        </w:tc>
        <w:tc>
          <w:tcPr>
            <w:tcW w:w="140" w:type="dxa"/>
            <w:vAlign w:val="bottom"/>
          </w:tcPr>
          <w:p>
            <w:pPr>
              <w:spacing w:after="0"/>
              <w:rPr>
                <w:sz w:val="16"/>
                <w:szCs w:val="16"/>
                <w:color w:val="auto"/>
              </w:rPr>
            </w:pPr>
          </w:p>
        </w:tc>
        <w:tc>
          <w:tcPr>
            <w:tcW w:w="2840" w:type="dxa"/>
            <w:vAlign w:val="bottom"/>
            <w:gridSpan w:val="5"/>
          </w:tcPr>
          <w:p>
            <w:pPr>
              <w:jc w:val="right"/>
              <w:ind w:right="400"/>
              <w:spacing w:after="0"/>
              <w:rPr>
                <w:sz w:val="20"/>
                <w:szCs w:val="20"/>
                <w:color w:val="auto"/>
              </w:rPr>
            </w:pPr>
            <w:r>
              <w:rPr>
                <w:rFonts w:ascii="Arial" w:cs="Arial" w:eastAsia="Arial" w:hAnsi="Arial"/>
                <w:sz w:val="15"/>
                <w:szCs w:val="15"/>
                <w:b w:val="1"/>
                <w:bCs w:val="1"/>
                <w:color w:val="auto"/>
                <w:w w:val="97"/>
              </w:rPr>
              <w:t>For the Years Ended December 31,</w:t>
            </w:r>
          </w:p>
        </w:tc>
        <w:tc>
          <w:tcPr>
            <w:tcW w:w="140" w:type="dxa"/>
            <w:vAlign w:val="bottom"/>
          </w:tcPr>
          <w:p>
            <w:pPr>
              <w:spacing w:after="0"/>
              <w:rPr>
                <w:sz w:val="16"/>
                <w:szCs w:val="16"/>
                <w:color w:val="auto"/>
              </w:rPr>
            </w:pPr>
          </w:p>
        </w:tc>
        <w:tc>
          <w:tcPr>
            <w:tcW w:w="1160" w:type="dxa"/>
            <w:vAlign w:val="bottom"/>
            <w:gridSpan w:val="3"/>
          </w:tcPr>
          <w:p>
            <w:pPr>
              <w:ind w:left="460"/>
              <w:spacing w:after="0"/>
              <w:rPr>
                <w:sz w:val="20"/>
                <w:szCs w:val="20"/>
                <w:color w:val="auto"/>
              </w:rPr>
            </w:pPr>
            <w:r>
              <w:rPr>
                <w:rFonts w:ascii="Arial" w:cs="Arial" w:eastAsia="Arial" w:hAnsi="Arial"/>
                <w:sz w:val="15"/>
                <w:szCs w:val="15"/>
                <w:b w:val="1"/>
                <w:bCs w:val="1"/>
                <w:color w:val="auto"/>
              </w:rPr>
              <w:t>Variance</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40" w:type="dxa"/>
            <w:vAlign w:val="bottom"/>
            <w:gridSpan w:val="3"/>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87"/>
              <w:spacing w:after="0" w:line="169" w:lineRule="exact"/>
              <w:rPr>
                <w:sz w:val="20"/>
                <w:szCs w:val="20"/>
                <w:color w:val="auto"/>
              </w:rPr>
            </w:pPr>
            <w:r>
              <w:rPr>
                <w:rFonts w:ascii="Arial" w:cs="Arial" w:eastAsia="Arial" w:hAnsi="Arial"/>
                <w:sz w:val="15"/>
                <w:szCs w:val="15"/>
                <w:b w:val="1"/>
                <w:bCs w:val="1"/>
                <w:color w:val="auto"/>
              </w:rPr>
              <w:t>2024</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87"/>
              <w:spacing w:after="0" w:line="169" w:lineRule="exact"/>
              <w:rPr>
                <w:sz w:val="20"/>
                <w:szCs w:val="20"/>
                <w:color w:val="auto"/>
              </w:rPr>
            </w:pPr>
            <w:r>
              <w:rPr>
                <w:rFonts w:ascii="Arial" w:cs="Arial" w:eastAsia="Arial" w:hAnsi="Arial"/>
                <w:sz w:val="15"/>
                <w:szCs w:val="15"/>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5"/>
                <w:szCs w:val="15"/>
                <w:b w:val="1"/>
                <w:bCs w:val="1"/>
                <w:color w:val="auto"/>
              </w:rPr>
              <w:t>Amount</w:t>
            </w:r>
          </w:p>
        </w:tc>
        <w:tc>
          <w:tcPr>
            <w:tcW w:w="500" w:type="dxa"/>
            <w:vAlign w:val="bottom"/>
            <w:tcBorders>
              <w:top w:val="single" w:sz="8" w:color="auto"/>
            </w:tcBorders>
          </w:tcPr>
          <w:p>
            <w:pPr>
              <w:jc w:val="right"/>
              <w:ind w:right="187"/>
              <w:spacing w:after="0" w:line="169" w:lineRule="exact"/>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top w:val="single" w:sz="8" w:color="auto"/>
            </w:tcBorders>
            <w:gridSpan w:val="2"/>
          </w:tcPr>
          <w:p>
            <w:pPr>
              <w:jc w:val="right"/>
              <w:ind w:right="227"/>
              <w:spacing w:after="0" w:line="161" w:lineRule="exact"/>
              <w:rPr>
                <w:sz w:val="20"/>
                <w:szCs w:val="20"/>
                <w:color w:val="auto"/>
              </w:rPr>
            </w:pPr>
            <w:r>
              <w:rPr>
                <w:rFonts w:ascii="Arial" w:cs="Arial" w:eastAsia="Arial" w:hAnsi="Arial"/>
                <w:sz w:val="15"/>
                <w:szCs w:val="15"/>
                <w:color w:val="auto"/>
                <w:w w:val="97"/>
              </w:rPr>
              <w:t>(In thousands)</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tcPr>
          <w:p>
            <w:pPr>
              <w:spacing w:after="0" w:line="169" w:lineRule="exact"/>
              <w:rPr>
                <w:sz w:val="20"/>
                <w:szCs w:val="20"/>
                <w:color w:val="auto"/>
              </w:rPr>
            </w:pPr>
            <w:r>
              <w:rPr>
                <w:rFonts w:ascii="Arial" w:cs="Arial" w:eastAsia="Arial" w:hAnsi="Arial"/>
                <w:sz w:val="15"/>
                <w:szCs w:val="15"/>
                <w:color w:val="auto"/>
              </w:rPr>
              <w:t>Service revenue</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3,156,760</w:t>
            </w:r>
          </w:p>
        </w:tc>
        <w:tc>
          <w:tcPr>
            <w:tcW w:w="220" w:type="dxa"/>
            <w:vAlign w:val="bottom"/>
          </w:tcPr>
          <w:p>
            <w:pPr>
              <w:spacing w:after="0"/>
              <w:rPr>
                <w:sz w:val="14"/>
                <w:szCs w:val="14"/>
                <w:color w:val="auto"/>
              </w:rPr>
            </w:pPr>
          </w:p>
        </w:tc>
        <w:tc>
          <w:tcPr>
            <w:tcW w:w="280" w:type="dxa"/>
            <w:vAlign w:val="bottom"/>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3,337,240</w:t>
            </w:r>
          </w:p>
        </w:tc>
        <w:tc>
          <w:tcPr>
            <w:tcW w:w="24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(180,480)</w:t>
            </w:r>
          </w:p>
        </w:tc>
        <w:tc>
          <w:tcPr>
            <w:tcW w:w="14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Equipment sales and other revenue</w:t>
            </w: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451,223</w:t>
            </w:r>
          </w:p>
        </w:tc>
        <w:tc>
          <w:tcPr>
            <w:tcW w:w="2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394,920</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56,303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EFF"/>
            </w:tcBorders>
            <w:gridSpan w:val="3"/>
          </w:tcPr>
          <w:p>
            <w:pPr>
              <w:spacing w:after="0" w:line="161" w:lineRule="exact"/>
              <w:rPr>
                <w:sz w:val="20"/>
                <w:szCs w:val="20"/>
                <w:color w:val="auto"/>
              </w:rPr>
            </w:pPr>
            <w:r>
              <w:rPr>
                <w:rFonts w:ascii="Arial" w:cs="Arial" w:eastAsia="Arial" w:hAnsi="Arial"/>
                <w:sz w:val="15"/>
                <w:szCs w:val="15"/>
                <w:color w:val="auto"/>
              </w:rPr>
              <w:t>Total revenue</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3,607,983</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3,732,160</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(124,177)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tcPr>
          <w:p>
            <w:pPr>
              <w:spacing w:after="0" w:line="169" w:lineRule="exact"/>
              <w:rPr>
                <w:sz w:val="20"/>
                <w:szCs w:val="20"/>
                <w:color w:val="auto"/>
              </w:rPr>
            </w:pPr>
            <w:r>
              <w:rPr>
                <w:rFonts w:ascii="Arial" w:cs="Arial" w:eastAsia="Arial" w:hAnsi="Arial"/>
                <w:sz w:val="15"/>
                <w:szCs w:val="15"/>
                <w:b w:val="1"/>
                <w:bCs w:val="1"/>
                <w:color w:val="auto"/>
              </w:rPr>
              <w:t>Costs and expenses: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Cost of services (1)</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3,100,316</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2,012,333</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1,087,983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tcPr>
          <w:p>
            <w:pPr>
              <w:ind w:left="100"/>
              <w:spacing w:after="0" w:line="169" w:lineRule="exact"/>
              <w:rPr>
                <w:sz w:val="20"/>
                <w:szCs w:val="20"/>
                <w:color w:val="auto"/>
              </w:rPr>
            </w:pPr>
            <w:r>
              <w:rPr>
                <w:rFonts w:ascii="Arial" w:cs="Arial" w:eastAsia="Arial" w:hAnsi="Arial"/>
                <w:sz w:val="15"/>
                <w:szCs w:val="15"/>
                <w:b w:val="1"/>
                <w:bCs w:val="1"/>
                <w:color w:val="auto"/>
              </w:rPr>
              <w:t>% of Service revenue</w:t>
            </w:r>
          </w:p>
        </w:tc>
        <w:tc>
          <w:tcPr>
            <w:tcW w:w="140" w:type="dxa"/>
            <w:vAlign w:val="bottom"/>
          </w:tcPr>
          <w:p>
            <w:pPr>
              <w:spacing w:after="0"/>
              <w:rPr>
                <w:sz w:val="14"/>
                <w:szCs w:val="14"/>
                <w:color w:val="auto"/>
              </w:rPr>
            </w:pPr>
          </w:p>
        </w:tc>
        <w:tc>
          <w:tcPr>
            <w:tcW w:w="1340" w:type="dxa"/>
            <w:vAlign w:val="bottom"/>
            <w:gridSpan w:val="2"/>
          </w:tcPr>
          <w:p>
            <w:pPr>
              <w:jc w:val="right"/>
              <w:ind w:right="100"/>
              <w:spacing w:after="0" w:line="169" w:lineRule="exact"/>
              <w:rPr>
                <w:sz w:val="20"/>
                <w:szCs w:val="20"/>
                <w:color w:val="auto"/>
              </w:rPr>
            </w:pPr>
            <w:r>
              <w:rPr>
                <w:rFonts w:ascii="Arial" w:cs="Arial" w:eastAsia="Arial" w:hAnsi="Arial"/>
                <w:sz w:val="15"/>
                <w:szCs w:val="15"/>
                <w:b w:val="1"/>
                <w:bCs w:val="1"/>
                <w:color w:val="auto"/>
              </w:rPr>
              <w:t>98.2 %</w:t>
            </w:r>
          </w:p>
        </w:tc>
        <w:tc>
          <w:tcPr>
            <w:tcW w:w="280" w:type="dxa"/>
            <w:vAlign w:val="bottom"/>
          </w:tcPr>
          <w:p>
            <w:pPr>
              <w:spacing w:after="0"/>
              <w:rPr>
                <w:sz w:val="14"/>
                <w:szCs w:val="14"/>
                <w:color w:val="auto"/>
              </w:rPr>
            </w:pPr>
          </w:p>
        </w:tc>
        <w:tc>
          <w:tcPr>
            <w:tcW w:w="1220" w:type="dxa"/>
            <w:vAlign w:val="bottom"/>
            <w:gridSpan w:val="2"/>
          </w:tcPr>
          <w:p>
            <w:pPr>
              <w:jc w:val="right"/>
              <w:ind w:right="100"/>
              <w:spacing w:after="0" w:line="169" w:lineRule="exact"/>
              <w:rPr>
                <w:sz w:val="20"/>
                <w:szCs w:val="20"/>
                <w:color w:val="auto"/>
              </w:rPr>
            </w:pPr>
            <w:r>
              <w:rPr>
                <w:rFonts w:ascii="Arial" w:cs="Arial" w:eastAsia="Arial" w:hAnsi="Arial"/>
                <w:sz w:val="15"/>
                <w:szCs w:val="15"/>
                <w:b w:val="1"/>
                <w:bCs w:val="1"/>
                <w:color w:val="auto"/>
              </w:rPr>
              <w:t>60.3 %</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Cost of sales - equipment and other (2)</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1,250,656</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2,110,706</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(860,050)</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tcPr>
          <w:p>
            <w:pPr>
              <w:spacing w:after="0" w:line="169" w:lineRule="exact"/>
              <w:rPr>
                <w:sz w:val="20"/>
                <w:szCs w:val="20"/>
                <w:color w:val="auto"/>
              </w:rPr>
            </w:pPr>
            <w:r>
              <w:rPr>
                <w:rFonts w:ascii="Arial" w:cs="Arial" w:eastAsia="Arial" w:hAnsi="Arial"/>
                <w:sz w:val="15"/>
                <w:szCs w:val="15"/>
                <w:color w:val="auto"/>
              </w:rPr>
              <w:t>Selling, general and administrative expenses</w:t>
            </w:r>
          </w:p>
        </w:tc>
        <w:tc>
          <w:tcPr>
            <w:tcW w:w="14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954,034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1,114,485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(160,451)</w:t>
            </w:r>
          </w:p>
        </w:tc>
        <w:tc>
          <w:tcPr>
            <w:tcW w:w="14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(14.4)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shd w:val="clear" w:color="auto" w:fill="CCEEFF"/>
          </w:tcPr>
          <w:p>
            <w:pPr>
              <w:ind w:left="100"/>
              <w:spacing w:after="0" w:line="169" w:lineRule="exact"/>
              <w:rPr>
                <w:sz w:val="20"/>
                <w:szCs w:val="20"/>
                <w:color w:val="auto"/>
              </w:rPr>
            </w:pPr>
            <w:r>
              <w:rPr>
                <w:rFonts w:ascii="Arial" w:cs="Arial" w:eastAsia="Arial" w:hAnsi="Arial"/>
                <w:sz w:val="15"/>
                <w:szCs w:val="15"/>
                <w:b w:val="1"/>
                <w:bCs w:val="1"/>
                <w:color w:val="auto"/>
              </w:rPr>
              <w:t>% of Total revenue</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26.4 %</w:t>
            </w:r>
          </w:p>
        </w:tc>
        <w:tc>
          <w:tcPr>
            <w:tcW w:w="2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29.9 %</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tcPr>
          <w:p>
            <w:pPr>
              <w:spacing w:after="0" w:line="169" w:lineRule="exact"/>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1,134,883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800,629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334,254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41.7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Impairment of long-lived assets and goodwill</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218,560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(218,560)</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EFF"/>
            </w:tcBorders>
            <w:gridSpan w:val="3"/>
          </w:tcPr>
          <w:p>
            <w:pPr>
              <w:spacing w:after="0" w:line="161" w:lineRule="exact"/>
              <w:rPr>
                <w:sz w:val="20"/>
                <w:szCs w:val="20"/>
                <w:color w:val="auto"/>
              </w:rPr>
            </w:pPr>
            <w:r>
              <w:rPr>
                <w:rFonts w:ascii="Arial" w:cs="Arial" w:eastAsia="Arial" w:hAnsi="Arial"/>
                <w:sz w:val="15"/>
                <w:szCs w:val="15"/>
                <w:color w:val="auto"/>
              </w:rPr>
              <w:t>Total costs and expenses</w:t>
            </w: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6,439,889</w:t>
            </w:r>
          </w:p>
        </w:tc>
        <w:tc>
          <w:tcPr>
            <w:tcW w:w="2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6,256,713</w:t>
            </w:r>
          </w:p>
        </w:tc>
        <w:tc>
          <w:tcPr>
            <w:tcW w:w="2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183,176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40" w:type="dxa"/>
            <w:vAlign w:val="bottom"/>
            <w:gridSpan w:val="3"/>
          </w:tcPr>
          <w:p>
            <w:pPr>
              <w:spacing w:after="0" w:line="169" w:lineRule="exact"/>
              <w:rPr>
                <w:sz w:val="20"/>
                <w:szCs w:val="20"/>
                <w:color w:val="auto"/>
              </w:rPr>
            </w:pPr>
            <w:r>
              <w:rPr>
                <w:rFonts w:ascii="Arial" w:cs="Arial" w:eastAsia="Arial" w:hAnsi="Arial"/>
                <w:sz w:val="15"/>
                <w:szCs w:val="15"/>
                <w:color w:val="auto"/>
              </w:rPr>
              <w:t>Operating income (loss)</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3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(2,831,906)</w:t>
            </w:r>
          </w:p>
        </w:tc>
        <w:tc>
          <w:tcPr>
            <w:tcW w:w="280" w:type="dxa"/>
            <w:vAlign w:val="bottom"/>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(2,524,553)</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(307,353)</w:t>
            </w:r>
          </w:p>
        </w:tc>
        <w:tc>
          <w:tcPr>
            <w:tcW w:w="140" w:type="dxa"/>
            <w:vAlign w:val="bottom"/>
          </w:tcPr>
          <w:p>
            <w:pPr>
              <w:spacing w:after="0"/>
              <w:rPr>
                <w:sz w:val="18"/>
                <w:szCs w:val="18"/>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24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140" w:type="dxa"/>
            <w:vAlign w:val="bottom"/>
            <w:gridSpan w:val="3"/>
          </w:tcPr>
          <w:p>
            <w:pPr>
              <w:spacing w:after="0" w:line="169" w:lineRule="exact"/>
              <w:rPr>
                <w:sz w:val="20"/>
                <w:szCs w:val="20"/>
                <w:color w:val="auto"/>
              </w:rPr>
            </w:pPr>
            <w:r>
              <w:rPr>
                <w:rFonts w:ascii="Arial" w:cs="Arial" w:eastAsia="Arial" w:hAnsi="Arial"/>
                <w:sz w:val="15"/>
                <w:szCs w:val="15"/>
                <w:b w:val="1"/>
                <w:bCs w:val="1"/>
                <w:color w:val="auto"/>
              </w:rPr>
              <w:t>Other data:</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Wireless subscribers, as of period end (in millions)**</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6.995</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7.378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(0.383)</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tcPr>
          <w:p>
            <w:pPr>
              <w:spacing w:after="0" w:line="169" w:lineRule="exact"/>
              <w:rPr>
                <w:sz w:val="20"/>
                <w:szCs w:val="20"/>
                <w:color w:val="auto"/>
              </w:rPr>
            </w:pPr>
            <w:r>
              <w:rPr>
                <w:rFonts w:ascii="Arial" w:cs="Arial" w:eastAsia="Arial" w:hAnsi="Arial"/>
                <w:sz w:val="15"/>
                <w:szCs w:val="15"/>
                <w:color w:val="auto"/>
              </w:rPr>
              <w:t>Wireless subscriber additions, gross (in millions)</w:t>
            </w:r>
          </w:p>
        </w:tc>
        <w:tc>
          <w:tcPr>
            <w:tcW w:w="14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2.520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2.743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(0.223)</w:t>
            </w:r>
          </w:p>
        </w:tc>
        <w:tc>
          <w:tcPr>
            <w:tcW w:w="14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Wireless subscriber additions (losses), net (in millions) ***</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(0.304)</w:t>
            </w:r>
          </w:p>
        </w:tc>
        <w:tc>
          <w:tcPr>
            <w:tcW w:w="2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(0.617)</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0.313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tcPr>
          <w:p>
            <w:pPr>
              <w:spacing w:after="0" w:line="169" w:lineRule="exact"/>
              <w:rPr>
                <w:sz w:val="20"/>
                <w:szCs w:val="20"/>
                <w:color w:val="auto"/>
              </w:rPr>
            </w:pPr>
            <w:r>
              <w:rPr>
                <w:rFonts w:ascii="Arial" w:cs="Arial" w:eastAsia="Arial" w:hAnsi="Arial"/>
                <w:sz w:val="15"/>
                <w:szCs w:val="15"/>
                <w:color w:val="auto"/>
              </w:rPr>
              <w:t>Wireless ARPU</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36.57</w:t>
            </w:r>
          </w:p>
        </w:tc>
        <w:tc>
          <w:tcPr>
            <w:tcW w:w="220" w:type="dxa"/>
            <w:vAlign w:val="bottom"/>
          </w:tcPr>
          <w:p>
            <w:pPr>
              <w:spacing w:after="0"/>
              <w:rPr>
                <w:sz w:val="14"/>
                <w:szCs w:val="14"/>
                <w:color w:val="auto"/>
              </w:rPr>
            </w:pPr>
          </w:p>
        </w:tc>
        <w:tc>
          <w:tcPr>
            <w:tcW w:w="280" w:type="dxa"/>
            <w:vAlign w:val="bottom"/>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36.15</w:t>
            </w:r>
          </w:p>
        </w:tc>
        <w:tc>
          <w:tcPr>
            <w:tcW w:w="24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0.42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Wireless churn rate</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 xml:space="preserve">3.00 </w:t>
            </w:r>
            <w:r>
              <w:rPr>
                <w:rFonts w:ascii="Arial" w:cs="Arial" w:eastAsia="Arial" w:hAnsi="Arial"/>
                <w:sz w:val="15"/>
                <w:szCs w:val="15"/>
                <w:b w:val="1"/>
                <w:bCs w:val="1"/>
                <w:color w:val="auto"/>
              </w:rPr>
              <w:t>%</w:t>
            </w:r>
          </w:p>
        </w:tc>
        <w:tc>
          <w:tcPr>
            <w:tcW w:w="2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 xml:space="preserve">4.17 </w:t>
            </w: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(1.17)</w:t>
            </w: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tcPr>
          <w:p>
            <w:pPr>
              <w:spacing w:after="0" w:line="169" w:lineRule="exact"/>
              <w:rPr>
                <w:sz w:val="20"/>
                <w:szCs w:val="20"/>
                <w:color w:val="auto"/>
              </w:rPr>
            </w:pPr>
            <w:r>
              <w:rPr>
                <w:rFonts w:ascii="Arial" w:cs="Arial" w:eastAsia="Arial" w:hAnsi="Arial"/>
                <w:sz w:val="15"/>
                <w:szCs w:val="15"/>
                <w:color w:val="auto"/>
              </w:rPr>
              <w:t>Purchases of property and equipment, net of refunds</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1,113,823</w:t>
            </w:r>
          </w:p>
        </w:tc>
        <w:tc>
          <w:tcPr>
            <w:tcW w:w="220" w:type="dxa"/>
            <w:vAlign w:val="bottom"/>
          </w:tcPr>
          <w:p>
            <w:pPr>
              <w:spacing w:after="0"/>
              <w:rPr>
                <w:sz w:val="14"/>
                <w:szCs w:val="14"/>
                <w:color w:val="auto"/>
              </w:rPr>
            </w:pPr>
          </w:p>
        </w:tc>
        <w:tc>
          <w:tcPr>
            <w:tcW w:w="280" w:type="dxa"/>
            <w:vAlign w:val="bottom"/>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2,586,151</w:t>
            </w:r>
          </w:p>
        </w:tc>
        <w:tc>
          <w:tcPr>
            <w:tcW w:w="24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(1,472,328)</w:t>
            </w:r>
          </w:p>
        </w:tc>
        <w:tc>
          <w:tcPr>
            <w:tcW w:w="14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(56.9)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OIBDA</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13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(1,697,023)</w:t>
            </w:r>
          </w:p>
        </w:tc>
        <w:tc>
          <w:tcPr>
            <w:tcW w:w="280" w:type="dxa"/>
            <w:vAlign w:val="bottom"/>
            <w:shd w:val="clear" w:color="auto" w:fill="CCEEFF"/>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(1,723,924)</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26,901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right="239" w:hanging="298"/>
        <w:spacing w:after="0" w:line="243"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Excluding the impact of the Operational Presentation Change, defined below, which totaled $977 million for the year ended December 31, 2023, “Cost of services” for the year ended December 31, 2024 increased $111 million compared to the same period in 2023.</w:t>
      </w:r>
    </w:p>
    <w:p>
      <w:pPr>
        <w:spacing w:after="0" w:line="1" w:lineRule="exact"/>
        <w:rPr>
          <w:rFonts w:ascii="Arial" w:cs="Arial" w:eastAsia="Arial" w:hAnsi="Arial"/>
          <w:sz w:val="16"/>
          <w:szCs w:val="16"/>
          <w:color w:val="auto"/>
        </w:rPr>
      </w:pPr>
    </w:p>
    <w:p>
      <w:pPr>
        <w:jc w:val="both"/>
        <w:ind w:left="340" w:right="439" w:hanging="298"/>
        <w:spacing w:after="0" w:line="23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Excluding the impact of the Operational Presentation Change, defined below, which totaled $977 million for the year ended December 31, 2023, “Cost of sales – equipment and other” for the year ended December 31, 2024 increased $117 million compared to the same period in 2023.</w:t>
      </w:r>
    </w:p>
    <w:p>
      <w:pPr>
        <w:ind w:left="300" w:hanging="258"/>
        <w:spacing w:after="0"/>
        <w:tabs>
          <w:tab w:leader="none" w:pos="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Percentage is not meaningful.</w:t>
      </w:r>
    </w:p>
    <w:p>
      <w:pPr>
        <w:ind w:left="340" w:right="279" w:hanging="298"/>
        <w:spacing w:after="0" w:line="23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During the fourth quarter of 2024, we removed approximately 79,000 subscribers from our period end Wireless subscriber count representing Wireless subscribers whose economic interests were sold during the year ended December 31, 2024 and these subscribers will migrate off our network beginning in the second quarter of 2025. This removal had no impact on any other reported subscriber metrics, other than our period end Wireless subscriber count.</w:t>
      </w:r>
    </w:p>
    <w:p>
      <w:pPr>
        <w:spacing w:after="0" w:line="2" w:lineRule="exact"/>
        <w:rPr>
          <w:rFonts w:ascii="Arial" w:cs="Arial" w:eastAsia="Arial" w:hAnsi="Arial"/>
          <w:sz w:val="16"/>
          <w:szCs w:val="16"/>
          <w:color w:val="auto"/>
        </w:rPr>
      </w:pPr>
    </w:p>
    <w:p>
      <w:pPr>
        <w:ind w:left="340" w:hanging="298"/>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Government subsidized subscribers.</w:t>
      </w:r>
    </w:p>
    <w:p>
      <w:pPr>
        <w:spacing w:after="0" w:line="163" w:lineRule="exact"/>
        <w:rPr>
          <w:sz w:val="20"/>
          <w:szCs w:val="20"/>
          <w:color w:val="auto"/>
        </w:rPr>
      </w:pPr>
    </w:p>
    <w:p>
      <w:pPr>
        <w:ind w:left="40" w:right="79"/>
        <w:spacing w:after="0" w:line="239" w:lineRule="auto"/>
        <w:rPr>
          <w:sz w:val="20"/>
          <w:szCs w:val="20"/>
          <w:color w:val="auto"/>
        </w:rPr>
      </w:pPr>
      <w:r>
        <w:rPr>
          <w:rFonts w:ascii="Arial" w:cs="Arial" w:eastAsia="Arial" w:hAnsi="Arial"/>
          <w:sz w:val="16"/>
          <w:szCs w:val="16"/>
          <w:b w:val="1"/>
          <w:bCs w:val="1"/>
          <w:i w:val="1"/>
          <w:iCs w:val="1"/>
          <w:color w:val="auto"/>
        </w:rPr>
        <w:t>Wireless subscribers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lost approximately 304,000 net Wireless subscribers during the year ended December 31, 2024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loss of approximately 617,000 net Wireless subscribers during the same period in 2023. This decrease in net Wireless subscriber losses primarily resulted from a lower Wireless churn rate, partially offset by lower gross new Wireless subscriber activations for the year ended December 31, 2024 compared to the same period in 2023. In addition, we had net losses of Government subsidized subscribers during the year ended December 31, 2024 compared to net additions in the same period in 2023, primarily due to the ACP program funding concluding on June 1, 2024. See “Wireless Segment – ACP Subscribers” for further information. Excluding the impact of net losses of Government subsidized subscribers, we added approximately 170,000 net Wireless subscribers during the year ended December 31, 2024.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199"/>
        <w:spacing w:after="0" w:line="246" w:lineRule="auto"/>
        <w:rPr>
          <w:sz w:val="20"/>
          <w:szCs w:val="20"/>
          <w:color w:val="auto"/>
        </w:rPr>
      </w:pPr>
      <w:r>
        <w:rPr>
          <w:rFonts w:ascii="Arial" w:cs="Arial" w:eastAsia="Arial" w:hAnsi="Arial"/>
          <w:sz w:val="16"/>
          <w:szCs w:val="16"/>
          <w:b w:val="1"/>
          <w:bCs w:val="1"/>
          <w:i w:val="1"/>
          <w:iCs w:val="1"/>
          <w:color w:val="auto"/>
        </w:rPr>
        <w:t>Wireless subscribers, gross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year ended December 31, 2024, we activated approximately 2.520 million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Wireless subscribers compared to approximately 2.743 million gross new Wireless subscribers during the same period in 2023, a decrease of 8.1%. Our gross new Wireless subscribers for the year ended December 31, 2024 was negatively impacted by our emphasis on acquiring and retaining higher quality subscribers and increased competitive pressures, including aggressive competitor marketing, discounted service plans and deeper wireless device subsidies.</w:t>
      </w:r>
    </w:p>
    <w:p>
      <w:pPr>
        <w:spacing w:after="0" w:line="146"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b w:val="1"/>
          <w:bCs w:val="1"/>
          <w:i w:val="1"/>
          <w:iCs w:val="1"/>
          <w:color w:val="auto"/>
        </w:rPr>
        <w:t>Wireless churn rate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Wireless churn rate for the year ended December 31, 2024 was 3.00% compared to 4.17%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2023. Our Wireless churn rate for the year ended December 31, 2024 was positively impacted by our emphasis on acquiring and retaining higher quality subscribers, partially offset by competitive pressures, including deeper wireless device subsidies. In addition, our Wireless churn rate for the year ended December 31, 2023 was negatively impacted by migrating subscribers off the TSA with T-Mobile and onto our new billing and operational support systems.</w:t>
      </w:r>
    </w:p>
    <w:p>
      <w:pPr>
        <w:spacing w:after="0" w:line="146"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b w:val="1"/>
          <w:bCs w:val="1"/>
          <w:i w:val="1"/>
          <w:iCs w:val="1"/>
          <w:color w:val="auto"/>
        </w:rPr>
        <w:t xml:space="preserve">Service revenue. </w:t>
      </w:r>
      <w:r>
        <w:rPr>
          <w:rFonts w:ascii="Arial" w:cs="Arial" w:eastAsia="Arial" w:hAnsi="Arial"/>
          <w:sz w:val="16"/>
          <w:szCs w:val="16"/>
          <w:color w:val="auto"/>
        </w:rPr>
        <w:t>“Service revenue” totaled $3.157 billion for the year ended December 31, 2024, a decrease of $180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5.4% compared to the same period in 2023. The decrease in “Service revenue” compared to the same period in 2023 was primarily related to a lower average Wireless subscriber base, partially offset by an increase in Wireless ARPU, discussed below.</w:t>
      </w:r>
    </w:p>
    <w:p>
      <w:pPr>
        <w:spacing w:after="0" w:line="144" w:lineRule="exact"/>
        <w:rPr>
          <w:sz w:val="20"/>
          <w:szCs w:val="20"/>
          <w:color w:val="auto"/>
        </w:rPr>
      </w:pPr>
    </w:p>
    <w:p>
      <w:pPr>
        <w:ind w:left="40" w:right="139"/>
        <w:spacing w:after="0" w:line="249" w:lineRule="auto"/>
        <w:rPr>
          <w:sz w:val="20"/>
          <w:szCs w:val="20"/>
          <w:color w:val="auto"/>
        </w:rPr>
      </w:pPr>
      <w:r>
        <w:rPr>
          <w:rFonts w:ascii="Arial" w:cs="Arial" w:eastAsia="Arial" w:hAnsi="Arial"/>
          <w:sz w:val="16"/>
          <w:szCs w:val="16"/>
          <w:b w:val="1"/>
          <w:bCs w:val="1"/>
          <w:i w:val="1"/>
          <w:iCs w:val="1"/>
          <w:color w:val="auto"/>
        </w:rPr>
        <w:t xml:space="preserve">Wireless ARPU. </w:t>
      </w:r>
      <w:r>
        <w:rPr>
          <w:rFonts w:ascii="Arial" w:cs="Arial" w:eastAsia="Arial" w:hAnsi="Arial"/>
          <w:sz w:val="16"/>
          <w:szCs w:val="16"/>
          <w:color w:val="auto"/>
        </w:rPr>
        <w:t>Wireless ARPU was $36.57 during the year ended December 31, 2024 versus $36.15 during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2023. The $ 0.42 or 1.2% increase in Wireless ARPU was primarily attributable to a shift in subscriber plan mix to higher priced service plans and increased sales of value added services. This increase was partially offset by providing ACP subscribers discounted or free services as a result of the conclusion of the ACP program funding.</w:t>
      </w:r>
    </w:p>
    <w:p>
      <w:pPr>
        <w:spacing w:after="0" w:line="144"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b w:val="1"/>
          <w:bCs w:val="1"/>
          <w:i w:val="1"/>
          <w:iCs w:val="1"/>
          <w:color w:val="auto"/>
        </w:rPr>
        <w:t xml:space="preserve">Equipment sales and other revenue. </w:t>
      </w:r>
      <w:r>
        <w:rPr>
          <w:rFonts w:ascii="Arial" w:cs="Arial" w:eastAsia="Arial" w:hAnsi="Arial"/>
          <w:sz w:val="16"/>
          <w:szCs w:val="16"/>
          <w:color w:val="auto"/>
        </w:rPr>
        <w:t>“Equipment sales and other revenue” totaled $451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December 31, 2024, an increase of $56 million or 14.3% compared to the same period in 2023. The increase in “Equipment sales and other revenue” compared to the same period in 2023 was primarily related to wireless devices with </w:t>
      </w:r>
      <w:r>
        <w:rPr>
          <w:rFonts w:ascii="Arial" w:cs="Arial" w:eastAsia="Arial" w:hAnsi="Arial"/>
          <w:sz w:val="16"/>
          <w:szCs w:val="16"/>
          <w:color w:val="222222"/>
        </w:rPr>
        <w:t>h</w:t>
      </w:r>
      <w:r>
        <w:rPr>
          <w:rFonts w:ascii="Arial" w:cs="Arial" w:eastAsia="Arial" w:hAnsi="Arial"/>
          <w:sz w:val="16"/>
          <w:szCs w:val="16"/>
          <w:color w:val="auto"/>
        </w:rPr>
        <w:t xml:space="preserve">igher revenue per unit shipped due to unit mix, partially offset </w:t>
      </w:r>
      <w:r>
        <w:rPr>
          <w:rFonts w:ascii="Arial" w:cs="Arial" w:eastAsia="Arial" w:hAnsi="Arial"/>
          <w:sz w:val="16"/>
          <w:szCs w:val="16"/>
          <w:color w:val="222222"/>
        </w:rPr>
        <w:t>by</w:t>
      </w:r>
      <w:r>
        <w:rPr>
          <w:rFonts w:ascii="Arial" w:cs="Arial" w:eastAsia="Arial" w:hAnsi="Arial"/>
          <w:sz w:val="16"/>
          <w:szCs w:val="16"/>
          <w:color w:val="auto"/>
        </w:rPr>
        <w:t xml:space="preserve"> a decrease in units shipped and higher promotional subsidies. During the year ended December 31, 2024, we shipped a higher percentage of devices that are compatible with our 5G Network and other devices that have a higher revenue per unit. In addition, this increase was partially offset by lower leased spectrum revenue.</w:t>
      </w:r>
    </w:p>
    <w:p>
      <w:pPr>
        <w:spacing w:after="0" w:line="148" w:lineRule="exact"/>
        <w:rPr>
          <w:sz w:val="20"/>
          <w:szCs w:val="20"/>
          <w:color w:val="auto"/>
        </w:rPr>
      </w:pPr>
    </w:p>
    <w:p>
      <w:pPr>
        <w:ind w:left="40" w:right="179"/>
        <w:spacing w:after="0" w:line="241"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totaled $3.100 billion for the year ended December 31, 2024, an increase of $1.088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billion compared to the same period in 2023. Beginning on January 1, 2024, “Cost of services” includes certain direct costs related to our 5G Network Deployment, including lease expense on communication towers, transport, cloud services and other costs which were previously reported in “Cost of sales – equipment and other” (the “Operational Presentation Change”), which totaled $977 million for the year ended December 31, 2023, as a significant portion of our 5G Network was placed into service. Excluding the impact of the Operational Presentation Change, “Cost of services” for the year ended December 31, 2024 increased $111 million compared to the same period in 2023. This change primarily resulted from an increase in lease expense on communication towers, transport and other related costs. In addition, beginning on January 1, 2024, as a significant portion of our 5G Network was placed into service, “Cost of services” includes certain personal costs which were previously reported in “Selling, general and administrative expenses.”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119"/>
        <w:spacing w:after="0" w:line="243" w:lineRule="auto"/>
        <w:rPr>
          <w:sz w:val="20"/>
          <w:szCs w:val="20"/>
          <w:color w:val="auto"/>
        </w:rPr>
      </w:pPr>
      <w:r>
        <w:rPr>
          <w:rFonts w:ascii="Arial" w:cs="Arial" w:eastAsia="Arial" w:hAnsi="Arial"/>
          <w:sz w:val="16"/>
          <w:szCs w:val="16"/>
          <w:color w:val="auto"/>
        </w:rPr>
        <w:t>These increases were partially offset by a lower average Wireless subscriber base, lower network services costs per subscriber and operational efficiencies, partially offset by higher monthly dealer incentive costs. In the third quarter of 2023, we realigned our commission structure with current business objectives to acquire higher quality, long-term subscribers, which resulted in higher monthly dealer incentive costs. The year ended December 31, 2023 was negatively impacted by the migration of subscribers off the TSA with T-Mobile and onto our new billing and operational support systems. We incurred duplicative costs related to our TSA with T-Mobile and our own billing and operational support systems as we migrated subscribers off the TSA with T-Mobile.</w:t>
      </w:r>
    </w:p>
    <w:p>
      <w:pPr>
        <w:spacing w:after="0" w:line="148" w:lineRule="exact"/>
        <w:rPr>
          <w:sz w:val="20"/>
          <w:szCs w:val="20"/>
          <w:color w:val="auto"/>
        </w:rPr>
      </w:pPr>
    </w:p>
    <w:p>
      <w:pPr>
        <w:ind w:left="40" w:right="239"/>
        <w:spacing w:after="0" w:line="243" w:lineRule="auto"/>
        <w:rPr>
          <w:sz w:val="20"/>
          <w:szCs w:val="20"/>
          <w:color w:val="auto"/>
        </w:rPr>
      </w:pPr>
      <w:r>
        <w:rPr>
          <w:rFonts w:ascii="Arial" w:cs="Arial" w:eastAsia="Arial" w:hAnsi="Arial"/>
          <w:sz w:val="16"/>
          <w:szCs w:val="16"/>
          <w:b w:val="1"/>
          <w:bCs w:val="1"/>
          <w:i w:val="1"/>
          <w:iCs w:val="1"/>
          <w:color w:val="auto"/>
        </w:rPr>
        <w:t xml:space="preserve">Cost of sales – equipment and other. </w:t>
      </w:r>
      <w:r>
        <w:rPr>
          <w:rFonts w:ascii="Arial" w:cs="Arial" w:eastAsia="Arial" w:hAnsi="Arial"/>
          <w:sz w:val="16"/>
          <w:szCs w:val="16"/>
          <w:color w:val="auto"/>
        </w:rPr>
        <w:t>“Cost of sales – equipment and other” totaled $1.251 billion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2024, a decrease of $860 million compared to the same period in 2023. Excluding the impact of the Operational Presentation Change, “Cost of sales – equipment and other” for the year ended December 31, 2024 increased $117 million compared to the same period in 2023. This increase primarily resulted from wireless devices with higher costs per unit shipped due to unit mix, partially offset by a decrease in units shipped and higher vendor rebates. During the year ended December 31, 2024, we shipped a higher percentage of devices that are compatible with our 5G Network and other devices that have a higher cost per unit.</w:t>
      </w:r>
    </w:p>
    <w:p>
      <w:pPr>
        <w:spacing w:after="0" w:line="148"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totaled $954 million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2024, a $160 million or 14.4% decrease compared to the same period in 2023. This decrease was primarily driven by lower sales commissions and a decrease in costs to support the Wireless segment, partially offset by higher marketing expenditures. In the third quarter of 2023, we realigned our commission structure with current business objectives to acquire higher quality, long-term subscribers, which resulted in lower sales commissions. In addition, beginning on January 1, 2024, as a significant portion of our 5G Network was placed into service, “Cost of services” includes certain personal costs which were previously reported in “Selling, general and administrative expenses” partially driving this decrease. Furthermore, the year ended December 31, 2023 was negatively impacted by costs of migrating subscribers off the TSA with T-Mobile and onto our new billing and operational support systems.</w:t>
      </w:r>
    </w:p>
    <w:p>
      <w:pPr>
        <w:spacing w:after="0" w:line="152" w:lineRule="exact"/>
        <w:rPr>
          <w:sz w:val="20"/>
          <w:szCs w:val="20"/>
          <w:color w:val="auto"/>
        </w:rPr>
      </w:pPr>
    </w:p>
    <w:p>
      <w:pPr>
        <w:ind w:left="40" w:right="179"/>
        <w:spacing w:after="0" w:line="244"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totaled $1.135 billion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2024, a $334 million or 41.7% increase compared to the same period in 2023. 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 This increase was partially offset by a decrease in amortization expense from subscriber relationships related to the Boost Mobile acquisition in 2020, which became fully amortized during the second quarter of 2024.</w:t>
      </w:r>
    </w:p>
    <w:p>
      <w:pPr>
        <w:spacing w:after="0" w:line="148" w:lineRule="exact"/>
        <w:rPr>
          <w:sz w:val="20"/>
          <w:szCs w:val="20"/>
          <w:color w:val="auto"/>
        </w:rPr>
      </w:pPr>
    </w:p>
    <w:p>
      <w:pPr>
        <w:ind w:left="40" w:right="299"/>
        <w:spacing w:after="0" w:line="256" w:lineRule="auto"/>
        <w:rPr>
          <w:sz w:val="20"/>
          <w:szCs w:val="20"/>
          <w:color w:val="auto"/>
        </w:rPr>
      </w:pPr>
      <w:r>
        <w:rPr>
          <w:rFonts w:ascii="Arial" w:cs="Arial" w:eastAsia="Arial" w:hAnsi="Arial"/>
          <w:sz w:val="16"/>
          <w:szCs w:val="16"/>
          <w:b w:val="1"/>
          <w:bCs w:val="1"/>
          <w:i w:val="1"/>
          <w:iCs w:val="1"/>
          <w:color w:val="auto"/>
        </w:rPr>
        <w:t xml:space="preserve">Impairment of long-lived assets and goodwill. </w:t>
      </w:r>
      <w:r>
        <w:rPr>
          <w:rFonts w:ascii="Arial" w:cs="Arial" w:eastAsia="Arial" w:hAnsi="Arial"/>
          <w:sz w:val="16"/>
          <w:szCs w:val="16"/>
          <w:i w:val="1"/>
          <w:iCs w:val="1"/>
          <w:color w:val="auto"/>
        </w:rPr>
        <w:t>“</w:t>
      </w:r>
      <w:r>
        <w:rPr>
          <w:rFonts w:ascii="Arial" w:cs="Arial" w:eastAsia="Arial" w:hAnsi="Arial"/>
          <w:sz w:val="16"/>
          <w:szCs w:val="16"/>
          <w:color w:val="auto"/>
        </w:rPr>
        <w:t>Impairment of long-lived assets and goodwill” totaled $219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2023. This impairment represents a noncash impairment charge for goodwill. See Note 2 to the Notes to our Consolidated Financial Statements in this Annual Report on Form 10-K for further information.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Year Ended December 31, 2023 Compared to the Year Ended December 31, 2022.</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1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Statements of Operations Data</w:t>
            </w:r>
          </w:p>
        </w:tc>
        <w:tc>
          <w:tcPr>
            <w:tcW w:w="100" w:type="dxa"/>
            <w:vAlign w:val="bottom"/>
          </w:tcPr>
          <w:p>
            <w:pPr>
              <w:spacing w:after="0"/>
              <w:rPr>
                <w:sz w:val="16"/>
                <w:szCs w:val="16"/>
                <w:color w:val="auto"/>
              </w:rPr>
            </w:pPr>
          </w:p>
        </w:tc>
        <w:tc>
          <w:tcPr>
            <w:tcW w:w="2700" w:type="dxa"/>
            <w:vAlign w:val="bottom"/>
            <w:gridSpan w:val="5"/>
          </w:tcPr>
          <w:p>
            <w:pPr>
              <w:jc w:val="right"/>
              <w:ind w:right="320"/>
              <w:spacing w:after="0"/>
              <w:rPr>
                <w:sz w:val="20"/>
                <w:szCs w:val="20"/>
                <w:color w:val="auto"/>
              </w:rPr>
            </w:pPr>
            <w:r>
              <w:rPr>
                <w:rFonts w:ascii="Arial" w:cs="Arial" w:eastAsia="Arial" w:hAnsi="Arial"/>
                <w:sz w:val="15"/>
                <w:szCs w:val="15"/>
                <w:b w:val="1"/>
                <w:bCs w:val="1"/>
                <w:color w:val="auto"/>
                <w:w w:val="95"/>
              </w:rPr>
              <w:t>For the Years Ended December 31,</w:t>
            </w:r>
          </w:p>
        </w:tc>
        <w:tc>
          <w:tcPr>
            <w:tcW w:w="160" w:type="dxa"/>
            <w:vAlign w:val="bottom"/>
          </w:tcPr>
          <w:p>
            <w:pPr>
              <w:spacing w:after="0"/>
              <w:rPr>
                <w:sz w:val="16"/>
                <w:szCs w:val="16"/>
                <w:color w:val="auto"/>
              </w:rPr>
            </w:pPr>
          </w:p>
        </w:tc>
        <w:tc>
          <w:tcPr>
            <w:tcW w:w="1240" w:type="dxa"/>
            <w:vAlign w:val="bottom"/>
            <w:gridSpan w:val="3"/>
          </w:tcPr>
          <w:p>
            <w:pPr>
              <w:ind w:left="520"/>
              <w:spacing w:after="0"/>
              <w:rPr>
                <w:sz w:val="20"/>
                <w:szCs w:val="20"/>
                <w:color w:val="auto"/>
              </w:rPr>
            </w:pPr>
            <w:r>
              <w:rPr>
                <w:rFonts w:ascii="Arial" w:cs="Arial" w:eastAsia="Arial" w:hAnsi="Arial"/>
                <w:sz w:val="15"/>
                <w:szCs w:val="15"/>
                <w:b w:val="1"/>
                <w:bCs w:val="1"/>
                <w:color w:val="auto"/>
              </w:rPr>
              <w:t>Variance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27"/>
              <w:spacing w:after="0" w:line="169" w:lineRule="exact"/>
              <w:rPr>
                <w:sz w:val="20"/>
                <w:szCs w:val="20"/>
                <w:color w:val="auto"/>
              </w:rPr>
            </w:pPr>
            <w:r>
              <w:rPr>
                <w:rFonts w:ascii="Arial" w:cs="Arial" w:eastAsia="Arial" w:hAnsi="Arial"/>
                <w:sz w:val="15"/>
                <w:szCs w:val="15"/>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67"/>
              <w:spacing w:after="0" w:line="169" w:lineRule="exact"/>
              <w:rPr>
                <w:sz w:val="20"/>
                <w:szCs w:val="20"/>
                <w:color w:val="auto"/>
              </w:rPr>
            </w:pPr>
            <w:r>
              <w:rPr>
                <w:rFonts w:ascii="Arial" w:cs="Arial" w:eastAsia="Arial" w:hAnsi="Arial"/>
                <w:sz w:val="15"/>
                <w:szCs w:val="15"/>
                <w:b w:val="1"/>
                <w:bCs w:val="1"/>
                <w:color w:val="auto"/>
              </w:rPr>
              <w:t>2022</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tcPr>
          <w:p>
            <w:pPr>
              <w:ind w:left="80"/>
              <w:spacing w:after="0" w:line="169" w:lineRule="exact"/>
              <w:rPr>
                <w:sz w:val="20"/>
                <w:szCs w:val="20"/>
                <w:color w:val="auto"/>
              </w:rPr>
            </w:pPr>
            <w:r>
              <w:rPr>
                <w:rFonts w:ascii="Arial" w:cs="Arial" w:eastAsia="Arial" w:hAnsi="Arial"/>
                <w:sz w:val="15"/>
                <w:szCs w:val="15"/>
                <w:b w:val="1"/>
                <w:bCs w:val="1"/>
                <w:color w:val="auto"/>
              </w:rPr>
              <w:t>Amount</w:t>
            </w:r>
          </w:p>
        </w:tc>
        <w:tc>
          <w:tcPr>
            <w:tcW w:w="540" w:type="dxa"/>
            <w:vAlign w:val="bottom"/>
            <w:tcBorders>
              <w:top w:val="single" w:sz="8" w:color="auto"/>
            </w:tcBorders>
          </w:tcPr>
          <w:p>
            <w:pPr>
              <w:jc w:val="right"/>
              <w:ind w:right="227"/>
              <w:spacing w:after="0" w:line="169"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2"/>
        </w:trPr>
        <w:tc>
          <w:tcPr>
            <w:tcW w:w="22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Borders>
              <w:top w:val="single" w:sz="8" w:color="auto"/>
            </w:tcBorders>
            <w:gridSpan w:val="2"/>
          </w:tcPr>
          <w:p>
            <w:pPr>
              <w:jc w:val="right"/>
              <w:ind w:right="127"/>
              <w:spacing w:after="0" w:line="161" w:lineRule="exact"/>
              <w:rPr>
                <w:sz w:val="20"/>
                <w:szCs w:val="20"/>
                <w:color w:val="auto"/>
              </w:rPr>
            </w:pPr>
            <w:r>
              <w:rPr>
                <w:rFonts w:ascii="Arial" w:cs="Arial" w:eastAsia="Arial" w:hAnsi="Arial"/>
                <w:sz w:val="15"/>
                <w:szCs w:val="15"/>
                <w:color w:val="auto"/>
              </w:rPr>
              <w:t>(In thousands)</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gridSpan w:val="3"/>
          </w:tcPr>
          <w:p>
            <w:pPr>
              <w:spacing w:after="0" w:line="169" w:lineRule="exact"/>
              <w:rPr>
                <w:sz w:val="20"/>
                <w:szCs w:val="20"/>
                <w:color w:val="auto"/>
              </w:rPr>
            </w:pPr>
            <w:r>
              <w:rPr>
                <w:rFonts w:ascii="Arial" w:cs="Arial" w:eastAsia="Arial" w:hAnsi="Arial"/>
                <w:sz w:val="15"/>
                <w:szCs w:val="15"/>
                <w:color w:val="auto"/>
              </w:rPr>
              <w:t>Service revenue</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3,337,240</w:t>
            </w:r>
          </w:p>
        </w:tc>
        <w:tc>
          <w:tcPr>
            <w:tcW w:w="240" w:type="dxa"/>
            <w:vAlign w:val="bottom"/>
          </w:tcPr>
          <w:p>
            <w:pPr>
              <w:spacing w:after="0"/>
              <w:rPr>
                <w:sz w:val="14"/>
                <w:szCs w:val="14"/>
                <w:color w:val="auto"/>
              </w:rPr>
            </w:pPr>
          </w:p>
        </w:tc>
        <w:tc>
          <w:tcPr>
            <w:tcW w:w="260" w:type="dxa"/>
            <w:vAlign w:val="bottom"/>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3,653,909</w:t>
            </w:r>
          </w:p>
        </w:tc>
        <w:tc>
          <w:tcPr>
            <w:tcW w:w="220" w:type="dxa"/>
            <w:vAlign w:val="bottom"/>
          </w:tcPr>
          <w:p>
            <w:pPr>
              <w:spacing w:after="0"/>
              <w:rPr>
                <w:sz w:val="14"/>
                <w:szCs w:val="14"/>
                <w:color w:val="auto"/>
              </w:rPr>
            </w:pPr>
          </w:p>
        </w:tc>
        <w:tc>
          <w:tcPr>
            <w:tcW w:w="160" w:type="dxa"/>
            <w:vAlign w:val="bottom"/>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(316,669)</w:t>
            </w:r>
          </w:p>
        </w:tc>
        <w:tc>
          <w:tcPr>
            <w:tcW w:w="1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69"/>
        </w:trPr>
        <w:tc>
          <w:tcPr>
            <w:tcW w:w="41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Equipment sales and other revenue</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394,920</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526,109</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(131,189)</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162"/>
        </w:trPr>
        <w:tc>
          <w:tcPr>
            <w:tcW w:w="4180" w:type="dxa"/>
            <w:vAlign w:val="bottom"/>
            <w:tcBorders>
              <w:bottom w:val="single" w:sz="8" w:color="CCEEFF"/>
            </w:tcBorders>
            <w:gridSpan w:val="3"/>
          </w:tcPr>
          <w:p>
            <w:pPr>
              <w:spacing w:after="0" w:line="161" w:lineRule="exact"/>
              <w:rPr>
                <w:sz w:val="20"/>
                <w:szCs w:val="20"/>
                <w:color w:val="auto"/>
              </w:rPr>
            </w:pPr>
            <w:r>
              <w:rPr>
                <w:rFonts w:ascii="Arial" w:cs="Arial" w:eastAsia="Arial" w:hAnsi="Arial"/>
                <w:sz w:val="15"/>
                <w:szCs w:val="15"/>
                <w:color w:val="auto"/>
              </w:rPr>
              <w:t>Total revenue</w:t>
            </w: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3,732,160</w:t>
            </w:r>
          </w:p>
        </w:tc>
        <w:tc>
          <w:tcPr>
            <w:tcW w:w="24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4,180,018</w:t>
            </w:r>
          </w:p>
        </w:tc>
        <w:tc>
          <w:tcPr>
            <w:tcW w:w="2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(447,858)</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gridSpan w:val="3"/>
          </w:tcPr>
          <w:p>
            <w:pPr>
              <w:spacing w:after="0" w:line="169" w:lineRule="exact"/>
              <w:rPr>
                <w:sz w:val="20"/>
                <w:szCs w:val="20"/>
                <w:color w:val="auto"/>
              </w:rPr>
            </w:pPr>
            <w:r>
              <w:rPr>
                <w:rFonts w:ascii="Arial" w:cs="Arial" w:eastAsia="Arial" w:hAnsi="Arial"/>
                <w:sz w:val="15"/>
                <w:szCs w:val="15"/>
                <w:b w:val="1"/>
                <w:bCs w:val="1"/>
                <w:color w:val="auto"/>
              </w:rPr>
              <w:t>Costs and expenses:</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Cost of services</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2,012,333</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2,135,073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(122,740)</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69"/>
        </w:trPr>
        <w:tc>
          <w:tcPr>
            <w:tcW w:w="4180" w:type="dxa"/>
            <w:vAlign w:val="bottom"/>
            <w:gridSpan w:val="3"/>
          </w:tcPr>
          <w:p>
            <w:pPr>
              <w:ind w:left="100"/>
              <w:spacing w:after="0" w:line="169" w:lineRule="exact"/>
              <w:rPr>
                <w:sz w:val="20"/>
                <w:szCs w:val="20"/>
                <w:color w:val="auto"/>
              </w:rPr>
            </w:pPr>
            <w:r>
              <w:rPr>
                <w:rFonts w:ascii="Arial" w:cs="Arial" w:eastAsia="Arial" w:hAnsi="Arial"/>
                <w:sz w:val="15"/>
                <w:szCs w:val="15"/>
                <w:b w:val="1"/>
                <w:bCs w:val="1"/>
                <w:color w:val="auto"/>
              </w:rPr>
              <w:t>% of Service revenue</w:t>
            </w:r>
          </w:p>
        </w:tc>
        <w:tc>
          <w:tcPr>
            <w:tcW w:w="100" w:type="dxa"/>
            <w:vAlign w:val="bottom"/>
          </w:tcPr>
          <w:p>
            <w:pPr>
              <w:spacing w:after="0"/>
              <w:rPr>
                <w:sz w:val="14"/>
                <w:szCs w:val="14"/>
                <w:color w:val="auto"/>
              </w:rPr>
            </w:pPr>
          </w:p>
        </w:tc>
        <w:tc>
          <w:tcPr>
            <w:tcW w:w="1300" w:type="dxa"/>
            <w:vAlign w:val="bottom"/>
            <w:gridSpan w:val="2"/>
          </w:tcPr>
          <w:p>
            <w:pPr>
              <w:jc w:val="right"/>
              <w:ind w:right="100"/>
              <w:spacing w:after="0" w:line="169" w:lineRule="exact"/>
              <w:rPr>
                <w:sz w:val="20"/>
                <w:szCs w:val="20"/>
                <w:color w:val="auto"/>
              </w:rPr>
            </w:pPr>
            <w:r>
              <w:rPr>
                <w:rFonts w:ascii="Arial" w:cs="Arial" w:eastAsia="Arial" w:hAnsi="Arial"/>
                <w:sz w:val="15"/>
                <w:szCs w:val="15"/>
                <w:b w:val="1"/>
                <w:bCs w:val="1"/>
                <w:color w:val="auto"/>
              </w:rPr>
              <w:t>60.3 %</w:t>
            </w:r>
          </w:p>
        </w:tc>
        <w:tc>
          <w:tcPr>
            <w:tcW w:w="260" w:type="dxa"/>
            <w:vAlign w:val="bottom"/>
          </w:tcPr>
          <w:p>
            <w:pPr>
              <w:spacing w:after="0"/>
              <w:rPr>
                <w:sz w:val="14"/>
                <w:szCs w:val="14"/>
                <w:color w:val="auto"/>
              </w:rPr>
            </w:pPr>
          </w:p>
        </w:tc>
        <w:tc>
          <w:tcPr>
            <w:tcW w:w="1140" w:type="dxa"/>
            <w:vAlign w:val="bottom"/>
            <w:gridSpan w:val="2"/>
          </w:tcPr>
          <w:p>
            <w:pPr>
              <w:jc w:val="right"/>
              <w:ind w:right="100"/>
              <w:spacing w:after="0" w:line="169" w:lineRule="exact"/>
              <w:rPr>
                <w:sz w:val="20"/>
                <w:szCs w:val="20"/>
                <w:color w:val="auto"/>
              </w:rPr>
            </w:pPr>
            <w:r>
              <w:rPr>
                <w:rFonts w:ascii="Arial" w:cs="Arial" w:eastAsia="Arial" w:hAnsi="Arial"/>
                <w:sz w:val="15"/>
                <w:szCs w:val="15"/>
                <w:b w:val="1"/>
                <w:bCs w:val="1"/>
                <w:color w:val="auto"/>
              </w:rPr>
              <w:t>58.4 %</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Cost of sales - equipment and other</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2,110,706</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1,715,276</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395,430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69"/>
        </w:trPr>
        <w:tc>
          <w:tcPr>
            <w:tcW w:w="4180" w:type="dxa"/>
            <w:vAlign w:val="bottom"/>
            <w:gridSpan w:val="3"/>
          </w:tcPr>
          <w:p>
            <w:pPr>
              <w:spacing w:after="0" w:line="169" w:lineRule="exact"/>
              <w:rPr>
                <w:sz w:val="20"/>
                <w:szCs w:val="20"/>
                <w:color w:val="auto"/>
              </w:rPr>
            </w:pPr>
            <w:r>
              <w:rPr>
                <w:rFonts w:ascii="Arial" w:cs="Arial" w:eastAsia="Arial" w:hAnsi="Arial"/>
                <w:sz w:val="15"/>
                <w:szCs w:val="15"/>
                <w:color w:val="auto"/>
              </w:rPr>
              <w:t>Selling, general and administrative expenses</w:t>
            </w:r>
          </w:p>
        </w:tc>
        <w:tc>
          <w:tcPr>
            <w:tcW w:w="10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1,114,485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929,299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185,186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169"/>
        </w:trPr>
        <w:tc>
          <w:tcPr>
            <w:tcW w:w="4180" w:type="dxa"/>
            <w:vAlign w:val="bottom"/>
            <w:gridSpan w:val="3"/>
            <w:shd w:val="clear" w:color="auto" w:fill="CCEEFF"/>
          </w:tcPr>
          <w:p>
            <w:pPr>
              <w:ind w:left="100"/>
              <w:spacing w:after="0" w:line="169" w:lineRule="exact"/>
              <w:rPr>
                <w:sz w:val="20"/>
                <w:szCs w:val="20"/>
                <w:color w:val="auto"/>
              </w:rPr>
            </w:pPr>
            <w:r>
              <w:rPr>
                <w:rFonts w:ascii="Arial" w:cs="Arial" w:eastAsia="Arial" w:hAnsi="Arial"/>
                <w:sz w:val="15"/>
                <w:szCs w:val="15"/>
                <w:b w:val="1"/>
                <w:bCs w:val="1"/>
                <w:color w:val="auto"/>
              </w:rPr>
              <w:t>% of Total revenue</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29.9 %</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22.2 %</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gridSpan w:val="3"/>
          </w:tcPr>
          <w:p>
            <w:pPr>
              <w:spacing w:after="0" w:line="169" w:lineRule="exact"/>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800,629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288,602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512,027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41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Impairment of long-lived assets and goodwill</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218,560</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218,560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180" w:type="dxa"/>
            <w:vAlign w:val="bottom"/>
            <w:tcBorders>
              <w:bottom w:val="single" w:sz="8" w:color="CCEEFF"/>
            </w:tcBorders>
            <w:gridSpan w:val="3"/>
          </w:tcPr>
          <w:p>
            <w:pPr>
              <w:spacing w:after="0" w:line="161" w:lineRule="exact"/>
              <w:rPr>
                <w:sz w:val="20"/>
                <w:szCs w:val="20"/>
                <w:color w:val="auto"/>
              </w:rPr>
            </w:pPr>
            <w:r>
              <w:rPr>
                <w:rFonts w:ascii="Arial" w:cs="Arial" w:eastAsia="Arial" w:hAnsi="Arial"/>
                <w:sz w:val="15"/>
                <w:szCs w:val="15"/>
                <w:color w:val="auto"/>
              </w:rPr>
              <w:t>Total costs and expenses</w:t>
            </w: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6,256,713</w:t>
            </w:r>
          </w:p>
        </w:tc>
        <w:tc>
          <w:tcPr>
            <w:tcW w:w="24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5,068,250</w:t>
            </w:r>
          </w:p>
        </w:tc>
        <w:tc>
          <w:tcPr>
            <w:tcW w:w="2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1,188,463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80" w:type="dxa"/>
            <w:vAlign w:val="bottom"/>
            <w:gridSpan w:val="3"/>
          </w:tcPr>
          <w:p>
            <w:pPr>
              <w:spacing w:after="0" w:line="169" w:lineRule="exact"/>
              <w:rPr>
                <w:sz w:val="20"/>
                <w:szCs w:val="20"/>
                <w:color w:val="auto"/>
              </w:rPr>
            </w:pPr>
            <w:r>
              <w:rPr>
                <w:rFonts w:ascii="Arial" w:cs="Arial" w:eastAsia="Arial" w:hAnsi="Arial"/>
                <w:sz w:val="15"/>
                <w:szCs w:val="15"/>
                <w:color w:val="auto"/>
              </w:rPr>
              <w:t>Operating income (loss)</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(2,524,553)</w:t>
            </w:r>
          </w:p>
        </w:tc>
        <w:tc>
          <w:tcPr>
            <w:tcW w:w="260" w:type="dxa"/>
            <w:vAlign w:val="bottom"/>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(888,232)</w:t>
            </w:r>
          </w:p>
        </w:tc>
        <w:tc>
          <w:tcPr>
            <w:tcW w:w="160" w:type="dxa"/>
            <w:vAlign w:val="bottom"/>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(1,636,321)</w:t>
            </w:r>
          </w:p>
        </w:tc>
        <w:tc>
          <w:tcPr>
            <w:tcW w:w="180" w:type="dxa"/>
            <w:vAlign w:val="bottom"/>
          </w:tcPr>
          <w:p>
            <w:pPr>
              <w:spacing w:after="0"/>
              <w:rPr>
                <w:sz w:val="18"/>
                <w:szCs w:val="18"/>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6"/>
        </w:trPr>
        <w:tc>
          <w:tcPr>
            <w:tcW w:w="2240" w:type="dxa"/>
            <w:vAlign w:val="bottom"/>
            <w:tcBorders>
              <w:top w:val="single" w:sz="8" w:color="CCEEFF"/>
            </w:tcBorders>
            <w:shd w:val="clear" w:color="auto" w:fill="CCEEFF"/>
          </w:tcPr>
          <w:p>
            <w:pPr>
              <w:spacing w:after="0"/>
              <w:rPr>
                <w:sz w:val="12"/>
                <w:szCs w:val="12"/>
                <w:color w:val="auto"/>
              </w:rPr>
            </w:pPr>
          </w:p>
        </w:tc>
        <w:tc>
          <w:tcPr>
            <w:tcW w:w="17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180" w:type="dxa"/>
            <w:vAlign w:val="bottom"/>
            <w:gridSpan w:val="3"/>
          </w:tcPr>
          <w:p>
            <w:pPr>
              <w:spacing w:after="0" w:line="169" w:lineRule="exact"/>
              <w:rPr>
                <w:sz w:val="20"/>
                <w:szCs w:val="20"/>
                <w:color w:val="auto"/>
              </w:rPr>
            </w:pPr>
            <w:r>
              <w:rPr>
                <w:rFonts w:ascii="Arial" w:cs="Arial" w:eastAsia="Arial" w:hAnsi="Arial"/>
                <w:sz w:val="15"/>
                <w:szCs w:val="15"/>
                <w:b w:val="1"/>
                <w:bCs w:val="1"/>
                <w:color w:val="auto"/>
              </w:rPr>
              <w:t>Other data:</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Wireless subscribers, as of period end (in millions)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7.378</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7.983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(0.605)</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69"/>
        </w:trPr>
        <w:tc>
          <w:tcPr>
            <w:tcW w:w="4180" w:type="dxa"/>
            <w:vAlign w:val="bottom"/>
            <w:gridSpan w:val="3"/>
          </w:tcPr>
          <w:p>
            <w:pPr>
              <w:spacing w:after="0" w:line="169" w:lineRule="exact"/>
              <w:rPr>
                <w:sz w:val="20"/>
                <w:szCs w:val="20"/>
                <w:color w:val="auto"/>
              </w:rPr>
            </w:pPr>
            <w:r>
              <w:rPr>
                <w:rFonts w:ascii="Arial" w:cs="Arial" w:eastAsia="Arial" w:hAnsi="Arial"/>
                <w:sz w:val="15"/>
                <w:szCs w:val="15"/>
                <w:color w:val="auto"/>
              </w:rPr>
              <w:t>Wireless subscriber additions, gross (in millions)</w:t>
            </w:r>
          </w:p>
        </w:tc>
        <w:tc>
          <w:tcPr>
            <w:tcW w:w="10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2.743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3.418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(0.675)</w:t>
            </w:r>
          </w:p>
        </w:tc>
        <w:tc>
          <w:tcPr>
            <w:tcW w:w="1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(19.7)</w:t>
            </w:r>
          </w:p>
        </w:tc>
        <w:tc>
          <w:tcPr>
            <w:tcW w:w="0" w:type="dxa"/>
            <w:vAlign w:val="bottom"/>
          </w:tcPr>
          <w:p>
            <w:pPr>
              <w:spacing w:after="0"/>
              <w:rPr>
                <w:sz w:val="1"/>
                <w:szCs w:val="1"/>
                <w:color w:val="auto"/>
              </w:rPr>
            </w:pPr>
          </w:p>
        </w:tc>
      </w:tr>
      <w:tr>
        <w:trPr>
          <w:trHeight w:val="169"/>
        </w:trPr>
        <w:tc>
          <w:tcPr>
            <w:tcW w:w="41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Wireless subscriber additions (losses), net (in millions) ***</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(0.617)</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(0.576)</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(0.041)</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69"/>
        </w:trPr>
        <w:tc>
          <w:tcPr>
            <w:tcW w:w="4180" w:type="dxa"/>
            <w:vAlign w:val="bottom"/>
            <w:gridSpan w:val="3"/>
          </w:tcPr>
          <w:p>
            <w:pPr>
              <w:spacing w:after="0" w:line="169" w:lineRule="exact"/>
              <w:rPr>
                <w:sz w:val="20"/>
                <w:szCs w:val="20"/>
                <w:color w:val="auto"/>
              </w:rPr>
            </w:pPr>
            <w:r>
              <w:rPr>
                <w:rFonts w:ascii="Arial" w:cs="Arial" w:eastAsia="Arial" w:hAnsi="Arial"/>
                <w:sz w:val="15"/>
                <w:szCs w:val="15"/>
                <w:color w:val="auto"/>
              </w:rPr>
              <w:t>Wireless ARPU</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36.15</w:t>
            </w:r>
          </w:p>
        </w:tc>
        <w:tc>
          <w:tcPr>
            <w:tcW w:w="240" w:type="dxa"/>
            <w:vAlign w:val="bottom"/>
          </w:tcPr>
          <w:p>
            <w:pPr>
              <w:spacing w:after="0"/>
              <w:rPr>
                <w:sz w:val="14"/>
                <w:szCs w:val="14"/>
                <w:color w:val="auto"/>
              </w:rPr>
            </w:pPr>
          </w:p>
        </w:tc>
        <w:tc>
          <w:tcPr>
            <w:tcW w:w="260" w:type="dxa"/>
            <w:vAlign w:val="bottom"/>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37.72</w:t>
            </w:r>
          </w:p>
        </w:tc>
        <w:tc>
          <w:tcPr>
            <w:tcW w:w="220" w:type="dxa"/>
            <w:vAlign w:val="bottom"/>
          </w:tcPr>
          <w:p>
            <w:pPr>
              <w:spacing w:after="0"/>
              <w:rPr>
                <w:sz w:val="14"/>
                <w:szCs w:val="14"/>
                <w:color w:val="auto"/>
              </w:rPr>
            </w:pPr>
          </w:p>
        </w:tc>
        <w:tc>
          <w:tcPr>
            <w:tcW w:w="160" w:type="dxa"/>
            <w:vAlign w:val="bottom"/>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(1.57)</w:t>
            </w:r>
          </w:p>
        </w:tc>
        <w:tc>
          <w:tcPr>
            <w:tcW w:w="1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69"/>
        </w:trPr>
        <w:tc>
          <w:tcPr>
            <w:tcW w:w="41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Wireless churn rate</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 xml:space="preserve">4.17 </w:t>
            </w:r>
            <w:r>
              <w:rPr>
                <w:rFonts w:ascii="Arial" w:cs="Arial" w:eastAsia="Arial" w:hAnsi="Arial"/>
                <w:sz w:val="15"/>
                <w:szCs w:val="15"/>
                <w:b w:val="1"/>
                <w:bCs w:val="1"/>
                <w:color w:val="auto"/>
              </w:rPr>
              <w:t>%</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 xml:space="preserve">4.46 </w:t>
            </w:r>
            <w:r>
              <w:rPr>
                <w:rFonts w:ascii="Arial" w:cs="Arial" w:eastAsia="Arial" w:hAnsi="Arial"/>
                <w:sz w:val="15"/>
                <w:szCs w:val="15"/>
                <w:b w:val="1"/>
                <w:bCs w:val="1"/>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(0.29)</w:t>
            </w:r>
            <w:r>
              <w:rPr>
                <w:rFonts w:ascii="Arial" w:cs="Arial" w:eastAsia="Arial" w:hAnsi="Arial"/>
                <w:sz w:val="15"/>
                <w:szCs w:val="15"/>
                <w:b w:val="1"/>
                <w:bCs w:val="1"/>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69"/>
        </w:trPr>
        <w:tc>
          <w:tcPr>
            <w:tcW w:w="4180" w:type="dxa"/>
            <w:vAlign w:val="bottom"/>
            <w:gridSpan w:val="3"/>
          </w:tcPr>
          <w:p>
            <w:pPr>
              <w:spacing w:after="0" w:line="169" w:lineRule="exact"/>
              <w:rPr>
                <w:sz w:val="20"/>
                <w:szCs w:val="20"/>
                <w:color w:val="auto"/>
              </w:rPr>
            </w:pPr>
            <w:r>
              <w:rPr>
                <w:rFonts w:ascii="Arial" w:cs="Arial" w:eastAsia="Arial" w:hAnsi="Arial"/>
                <w:sz w:val="15"/>
                <w:szCs w:val="15"/>
                <w:color w:val="auto"/>
              </w:rPr>
              <w:t>Purchases of property and equipment, net of refunds</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2,586,151</w:t>
            </w:r>
          </w:p>
        </w:tc>
        <w:tc>
          <w:tcPr>
            <w:tcW w:w="240" w:type="dxa"/>
            <w:vAlign w:val="bottom"/>
          </w:tcPr>
          <w:p>
            <w:pPr>
              <w:spacing w:after="0"/>
              <w:rPr>
                <w:sz w:val="14"/>
                <w:szCs w:val="14"/>
                <w:color w:val="auto"/>
              </w:rPr>
            </w:pPr>
          </w:p>
        </w:tc>
        <w:tc>
          <w:tcPr>
            <w:tcW w:w="260" w:type="dxa"/>
            <w:vAlign w:val="bottom"/>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2,596,209</w:t>
            </w:r>
          </w:p>
        </w:tc>
        <w:tc>
          <w:tcPr>
            <w:tcW w:w="220" w:type="dxa"/>
            <w:vAlign w:val="bottom"/>
          </w:tcPr>
          <w:p>
            <w:pPr>
              <w:spacing w:after="0"/>
              <w:rPr>
                <w:sz w:val="14"/>
                <w:szCs w:val="14"/>
                <w:color w:val="auto"/>
              </w:rPr>
            </w:pPr>
          </w:p>
        </w:tc>
        <w:tc>
          <w:tcPr>
            <w:tcW w:w="160" w:type="dxa"/>
            <w:vAlign w:val="bottom"/>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(10,058)</w:t>
            </w:r>
          </w:p>
        </w:tc>
        <w:tc>
          <w:tcPr>
            <w:tcW w:w="18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69"/>
        </w:trPr>
        <w:tc>
          <w:tcPr>
            <w:tcW w:w="41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OIBDA</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(1,723,924)</w:t>
            </w:r>
          </w:p>
        </w:tc>
        <w:tc>
          <w:tcPr>
            <w:tcW w:w="260" w:type="dxa"/>
            <w:vAlign w:val="bottom"/>
            <w:shd w:val="clear" w:color="auto" w:fill="CCEEFF"/>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(599,630)</w:t>
            </w: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(1,124,294)</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1"/>
        </w:trPr>
        <w:tc>
          <w:tcPr>
            <w:tcW w:w="224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hanging="298"/>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14" w:lineRule="exact"/>
        <w:rPr>
          <w:sz w:val="20"/>
          <w:szCs w:val="20"/>
          <w:color w:val="auto"/>
        </w:rPr>
      </w:pPr>
    </w:p>
    <w:p>
      <w:pPr>
        <w:ind w:left="340" w:right="99" w:hanging="298"/>
        <w:spacing w:after="0" w:line="236"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During the second quarter of 2022, we removed approximately 126,000 subscribers from our ending Wireless subscriber count representing Wireless subscribers who did not migrate off the CDMA network prior to the shutdown. The effect of the removal of the 126,000 Wireless subscribers was excluded from the calculation of our net Wireless subscriber additions/losses and Wireless churn rate. In addition, during the third quarter of 2022, approximately 139,000 Boost affiliate subscribers were transferred to us and are included in our ending Wireless subscriber count and excluded from our gross new Wireless subscriber activations.</w:t>
      </w:r>
    </w:p>
    <w:p>
      <w:pPr>
        <w:spacing w:after="0" w:line="3" w:lineRule="exact"/>
        <w:rPr>
          <w:rFonts w:ascii="Arial" w:cs="Arial" w:eastAsia="Arial" w:hAnsi="Arial"/>
          <w:sz w:val="16"/>
          <w:szCs w:val="16"/>
          <w:color w:val="auto"/>
        </w:rPr>
      </w:pPr>
    </w:p>
    <w:p>
      <w:pPr>
        <w:ind w:left="340" w:hanging="298"/>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Government subsidized subscribers.</w:t>
      </w:r>
    </w:p>
    <w:p>
      <w:pPr>
        <w:spacing w:after="0" w:line="163"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b w:val="1"/>
          <w:bCs w:val="1"/>
          <w:i w:val="1"/>
          <w:iCs w:val="1"/>
          <w:color w:val="auto"/>
        </w:rPr>
        <w:t>Wireless subscribers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lost approximately 617,000 net Wireless subscribers during the year ended December 31,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loss of approximately 576,000 net Wireless subscribers during the same period in 2022. This increase in net Wireless subscriber losses primarily resulted from lower gross new Wireless subscriber activations, partially offset by an increase in net Government subsidized subscriber additions and a lower Wireless churn rate.</w:t>
      </w:r>
    </w:p>
    <w:p>
      <w:pPr>
        <w:spacing w:after="0" w:line="144" w:lineRule="exact"/>
        <w:rPr>
          <w:sz w:val="20"/>
          <w:szCs w:val="20"/>
          <w:color w:val="auto"/>
        </w:rPr>
      </w:pPr>
    </w:p>
    <w:p>
      <w:pPr>
        <w:ind w:left="40" w:right="199"/>
        <w:spacing w:after="0" w:line="244" w:lineRule="auto"/>
        <w:rPr>
          <w:sz w:val="20"/>
          <w:szCs w:val="20"/>
          <w:color w:val="auto"/>
        </w:rPr>
      </w:pPr>
      <w:r>
        <w:rPr>
          <w:rFonts w:ascii="Arial" w:cs="Arial" w:eastAsia="Arial" w:hAnsi="Arial"/>
          <w:sz w:val="16"/>
          <w:szCs w:val="16"/>
          <w:b w:val="1"/>
          <w:bCs w:val="1"/>
          <w:i w:val="1"/>
          <w:iCs w:val="1"/>
          <w:color w:val="auto"/>
        </w:rPr>
        <w:t>Wireless subscribers, gross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year ended December 31, 2023, we activated approximately 2.743 million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 Wireless subscribers compared to approximately 3.418 million gross new Wireless subscribers during the same period in 2022, a decrease of 19.7%. This decrease in our gross new Wireless subscriber activations was primarily related to increased competitive pressures, including aggressive competitor marketing, discounted service plans and deeper wireless device subsidies. In addition, our gross new Wireless subscribers for the year ended December 31, 2023 was negatively impacted by our emphasis on acquiring and retaining higher quality subscribers.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99"/>
        <w:spacing w:after="0" w:line="243" w:lineRule="auto"/>
        <w:rPr>
          <w:sz w:val="20"/>
          <w:szCs w:val="20"/>
          <w:color w:val="auto"/>
        </w:rPr>
      </w:pPr>
      <w:r>
        <w:rPr>
          <w:rFonts w:ascii="Arial" w:cs="Arial" w:eastAsia="Arial" w:hAnsi="Arial"/>
          <w:sz w:val="16"/>
          <w:szCs w:val="16"/>
          <w:b w:val="1"/>
          <w:bCs w:val="1"/>
          <w:i w:val="1"/>
          <w:iCs w:val="1"/>
          <w:color w:val="auto"/>
        </w:rPr>
        <w:t>Wireless churn rate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Wireless churn rate for the year ended December 31, 2023 was 4.17% compared to 4.46%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2022. Our Wireless churn rate for the year ended December 31, 2023 was positively impacted by our emphasis on acquiring and retaining higher quality subscribers, partially offset by competitive pressures, including deeper wireless device subsidies. In addition, our Wireless churn rate for the year ended December 31, 2023 was negatively impacted by migrating subscribers off the TSA with T-Mobile and onto our new billing and operational support systems. Furthermore, our Wireless churn rate for the year ended December 31, 2022 was negatively impacted by the shutdown of the CDMA Network.</w:t>
      </w:r>
    </w:p>
    <w:p>
      <w:pPr>
        <w:spacing w:after="0" w:line="148" w:lineRule="exact"/>
        <w:rPr>
          <w:sz w:val="20"/>
          <w:szCs w:val="20"/>
          <w:color w:val="auto"/>
        </w:rPr>
      </w:pPr>
    </w:p>
    <w:p>
      <w:pPr>
        <w:jc w:val="both"/>
        <w:ind w:left="40" w:right="59"/>
        <w:spacing w:after="0" w:line="256" w:lineRule="auto"/>
        <w:rPr>
          <w:sz w:val="20"/>
          <w:szCs w:val="20"/>
          <w:color w:val="auto"/>
        </w:rPr>
      </w:pPr>
      <w:r>
        <w:rPr>
          <w:rFonts w:ascii="Arial" w:cs="Arial" w:eastAsia="Arial" w:hAnsi="Arial"/>
          <w:sz w:val="16"/>
          <w:szCs w:val="16"/>
          <w:b w:val="1"/>
          <w:bCs w:val="1"/>
          <w:i w:val="1"/>
          <w:iCs w:val="1"/>
          <w:color w:val="auto"/>
        </w:rPr>
        <w:t xml:space="preserve">Service revenue. </w:t>
      </w:r>
      <w:r>
        <w:rPr>
          <w:rFonts w:ascii="Arial" w:cs="Arial" w:eastAsia="Arial" w:hAnsi="Arial"/>
          <w:sz w:val="16"/>
          <w:szCs w:val="16"/>
          <w:color w:val="auto"/>
        </w:rPr>
        <w:t>“Service revenue” totaled $3.337 billion for the year ended December 31, 2023, a decrease of $317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8.7% compared to the same period in 2022. The decrease in “Service revenue” compared to the same period in 2022 was primarily related to a lower average Wireless subscriber base and a decrease in Wireless ARPU, discussed below.</w:t>
      </w:r>
    </w:p>
    <w:p>
      <w:pPr>
        <w:spacing w:after="0" w:line="137" w:lineRule="exact"/>
        <w:rPr>
          <w:sz w:val="20"/>
          <w:szCs w:val="20"/>
          <w:color w:val="auto"/>
        </w:rPr>
      </w:pPr>
    </w:p>
    <w:p>
      <w:pPr>
        <w:jc w:val="both"/>
        <w:ind w:left="40" w:right="339"/>
        <w:spacing w:after="0" w:line="256" w:lineRule="auto"/>
        <w:rPr>
          <w:sz w:val="20"/>
          <w:szCs w:val="20"/>
          <w:color w:val="auto"/>
        </w:rPr>
      </w:pPr>
      <w:r>
        <w:rPr>
          <w:rFonts w:ascii="Arial" w:cs="Arial" w:eastAsia="Arial" w:hAnsi="Arial"/>
          <w:sz w:val="16"/>
          <w:szCs w:val="16"/>
          <w:b w:val="1"/>
          <w:bCs w:val="1"/>
          <w:i w:val="1"/>
          <w:iCs w:val="1"/>
          <w:color w:val="auto"/>
        </w:rPr>
        <w:t xml:space="preserve">Wireless ARPU. </w:t>
      </w:r>
      <w:r>
        <w:rPr>
          <w:rFonts w:ascii="Arial" w:cs="Arial" w:eastAsia="Arial" w:hAnsi="Arial"/>
          <w:sz w:val="16"/>
          <w:szCs w:val="16"/>
          <w:color w:val="auto"/>
        </w:rPr>
        <w:t>Wireless ARPU was $36.15 during the year ended December 31, 2023 versus $37.72 during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2022. The $1.57 or 4.2% decrease in Wireless ARPU was primarily attributable to, among other things, a shift in subscriber plan mix to lower priced service plans.</w:t>
      </w:r>
    </w:p>
    <w:p>
      <w:pPr>
        <w:spacing w:after="0" w:line="137"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b w:val="1"/>
          <w:bCs w:val="1"/>
          <w:i w:val="1"/>
          <w:iCs w:val="1"/>
          <w:color w:val="auto"/>
        </w:rPr>
        <w:t xml:space="preserve">Equipment sales and other revenue. </w:t>
      </w:r>
      <w:r>
        <w:rPr>
          <w:rFonts w:ascii="Arial" w:cs="Arial" w:eastAsia="Arial" w:hAnsi="Arial"/>
          <w:sz w:val="16"/>
          <w:szCs w:val="16"/>
          <w:color w:val="auto"/>
        </w:rPr>
        <w:t>“Equipment sales and other revenue” totaled $395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2023, a decrease of $131 million or 24.9% compared to the same period in 2022. The decrease in “Equipment sales and other revenue” compared to the same period in 2022 was primarily related to a decrease in wireless device units shipped and higher promotional subsidies, partially offset by higher revenue per unit shipped due to unit mix. During the year ended December 31, 2023, we shipped a higher percentage of devices that are compatible with our 5G Network and other devices that have a higher revenue per unit.</w:t>
      </w:r>
    </w:p>
    <w:p>
      <w:pPr>
        <w:spacing w:after="0" w:line="148"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totaled $2.012 billion for the year ended December 31, 2023, a decrease of $123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5.7% compared to the same period in 2022. The decrease in “Cost of services” was primarily attributable to a lower average Wireless subscriber base, partially offset by higher monthly dealer incentive costs. During the year ended December 31, 2023, we realigned our commission structure with current business objectives to acquire higher quality, long-term subscribers, which resulted in elevated costs during the transition period.</w:t>
      </w:r>
    </w:p>
    <w:p>
      <w:pPr>
        <w:spacing w:after="0" w:line="146" w:lineRule="exact"/>
        <w:rPr>
          <w:sz w:val="20"/>
          <w:szCs w:val="20"/>
          <w:color w:val="auto"/>
        </w:rPr>
      </w:pPr>
    </w:p>
    <w:p>
      <w:pPr>
        <w:ind w:left="40" w:right="259"/>
        <w:spacing w:after="0" w:line="243" w:lineRule="auto"/>
        <w:rPr>
          <w:sz w:val="20"/>
          <w:szCs w:val="20"/>
          <w:color w:val="auto"/>
        </w:rPr>
      </w:pPr>
      <w:r>
        <w:rPr>
          <w:rFonts w:ascii="Arial" w:cs="Arial" w:eastAsia="Arial" w:hAnsi="Arial"/>
          <w:sz w:val="16"/>
          <w:szCs w:val="16"/>
          <w:b w:val="1"/>
          <w:bCs w:val="1"/>
          <w:i w:val="1"/>
          <w:iCs w:val="1"/>
          <w:color w:val="auto"/>
        </w:rPr>
        <w:t xml:space="preserve">Cost of sales – equipment and other. </w:t>
      </w:r>
      <w:r>
        <w:rPr>
          <w:rFonts w:ascii="Arial" w:cs="Arial" w:eastAsia="Arial" w:hAnsi="Arial"/>
          <w:sz w:val="16"/>
          <w:szCs w:val="16"/>
          <w:color w:val="auto"/>
        </w:rPr>
        <w:t>“Cost of sales – equipment and other” totaled $2.111 billion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2023, an increase of $395 million or 23.1% compared to the same period in 2022. The change in “Cost of sales – equipment and other” compared to the same period in 2022 was related to an increase in lease expense on communication towers, transport, cloud services, and other related costs. In addition, this increase resulted from wireless devices with higher costs per unit shipped due to unit mix, partially offset by a decrease in units shipped. During the year ended December 31, 2023, we shipped a higher percentage of devices that are compatible with our 5G Network and other devices that have a higher cost per unit.</w:t>
      </w:r>
    </w:p>
    <w:p>
      <w:pPr>
        <w:spacing w:after="0" w:line="148" w:lineRule="exact"/>
        <w:rPr>
          <w:sz w:val="20"/>
          <w:szCs w:val="20"/>
          <w:color w:val="auto"/>
        </w:rPr>
      </w:pPr>
    </w:p>
    <w:p>
      <w:pPr>
        <w:ind w:left="40" w:right="79"/>
        <w:spacing w:after="0" w:line="244"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totaled $1.114 billion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2023, a $185 million or 19.9% increase compared to the same period in 2022. This change was primarily driven by higher marketing expenditures mainly related to the third quarter of 2023 nationwide expansion of our Boost postpaid wireless service and offering of the iPhone 15 on our 5G Network and increases in costs to support the Wireless segment. The year ended December 31, 2022 was negatively impacted by costs related to the development of our own billing and operational support systems as we prepared to migrate subscribers off the TSA with T-Mobile.</w:t>
      </w:r>
    </w:p>
    <w:p>
      <w:pPr>
        <w:spacing w:after="0" w:line="148" w:lineRule="exact"/>
        <w:rPr>
          <w:sz w:val="20"/>
          <w:szCs w:val="20"/>
          <w:color w:val="auto"/>
        </w:rPr>
      </w:pPr>
    </w:p>
    <w:p>
      <w:pPr>
        <w:ind w:left="40" w:right="219"/>
        <w:spacing w:after="0" w:line="24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expense totaled $801 million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2023, a $ 512 million increase compared to the same period in 2022. 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299"/>
        <w:spacing w:after="0" w:line="256" w:lineRule="auto"/>
        <w:rPr>
          <w:sz w:val="20"/>
          <w:szCs w:val="20"/>
          <w:color w:val="auto"/>
        </w:rPr>
      </w:pPr>
      <w:r>
        <w:rPr>
          <w:rFonts w:ascii="Arial" w:cs="Arial" w:eastAsia="Arial" w:hAnsi="Arial"/>
          <w:sz w:val="16"/>
          <w:szCs w:val="16"/>
          <w:b w:val="1"/>
          <w:bCs w:val="1"/>
          <w:i w:val="1"/>
          <w:iCs w:val="1"/>
          <w:color w:val="auto"/>
        </w:rPr>
        <w:t xml:space="preserve">Impairment of long-lived assets and goodwill. </w:t>
      </w:r>
      <w:r>
        <w:rPr>
          <w:rFonts w:ascii="Arial" w:cs="Arial" w:eastAsia="Arial" w:hAnsi="Arial"/>
          <w:sz w:val="16"/>
          <w:szCs w:val="16"/>
          <w:i w:val="1"/>
          <w:iCs w:val="1"/>
          <w:color w:val="auto"/>
        </w:rPr>
        <w:t>“</w:t>
      </w:r>
      <w:r>
        <w:rPr>
          <w:rFonts w:ascii="Arial" w:cs="Arial" w:eastAsia="Arial" w:hAnsi="Arial"/>
          <w:sz w:val="16"/>
          <w:szCs w:val="16"/>
          <w:color w:val="auto"/>
        </w:rPr>
        <w:t>Impairment of long-lived assets and goodwill” totaled $219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2023. This impairment represents a noncash impairment charge for goodwill. See Note 2 in the Notes to our Consolidated Financial Statements in this Annual Report on Form 10-K for further information.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4" w:name="page85"/>
    <w:bookmarkEnd w:id="8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Broadband and Satellite Services Segment</w:t>
      </w:r>
    </w:p>
    <w:p>
      <w:pPr>
        <w:spacing w:after="0" w:line="177" w:lineRule="exact"/>
        <w:rPr>
          <w:sz w:val="20"/>
          <w:szCs w:val="20"/>
          <w:color w:val="auto"/>
        </w:rPr>
      </w:pPr>
    </w:p>
    <w:p>
      <w:pPr>
        <w:ind w:left="40" w:right="79" w:hanging="6"/>
        <w:spacing w:after="0" w:line="246" w:lineRule="auto"/>
        <w:rPr>
          <w:sz w:val="20"/>
          <w:szCs w:val="20"/>
          <w:color w:val="auto"/>
        </w:rPr>
      </w:pPr>
      <w:r>
        <w:rPr>
          <w:rFonts w:ascii="Arial" w:cs="Arial" w:eastAsia="Arial" w:hAnsi="Arial"/>
          <w:sz w:val="16"/>
          <w:szCs w:val="16"/>
          <w:color w:val="auto"/>
        </w:rPr>
        <w:t>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airlines and government entities, including civilian and defense.</w:t>
      </w:r>
    </w:p>
    <w:p>
      <w:pPr>
        <w:spacing w:after="0" w:line="146" w:lineRule="exact"/>
        <w:rPr>
          <w:sz w:val="20"/>
          <w:szCs w:val="20"/>
          <w:color w:val="auto"/>
        </w:rPr>
      </w:pPr>
    </w:p>
    <w:p>
      <w:pPr>
        <w:jc w:val="both"/>
        <w:ind w:left="40" w:right="319" w:hanging="6"/>
        <w:spacing w:after="0" w:line="249" w:lineRule="auto"/>
        <w:rPr>
          <w:sz w:val="20"/>
          <w:szCs w:val="20"/>
          <w:color w:val="auto"/>
        </w:rPr>
      </w:pPr>
      <w:r>
        <w:rPr>
          <w:rFonts w:ascii="Arial" w:cs="Arial" w:eastAsia="Arial" w:hAnsi="Arial"/>
          <w:sz w:val="16"/>
          <w:szCs w:val="16"/>
          <w:color w:val="auto"/>
        </w:rPr>
        <w:t>Our EchoStar XXIV satellite began service in December 2023, bringing additional broadband capacity across North and South America and is an integral part of our satellite services business. We have leveraged the EchoStar XXIV to deliver satellite services to unserved and underserved consumer markets in the Americas as well as enterprise, aeronautical and government markets.</w:t>
      </w:r>
    </w:p>
    <w:p>
      <w:pPr>
        <w:spacing w:after="0" w:line="144" w:lineRule="exact"/>
        <w:rPr>
          <w:sz w:val="20"/>
          <w:szCs w:val="20"/>
          <w:color w:val="auto"/>
        </w:rPr>
      </w:pPr>
    </w:p>
    <w:p>
      <w:pPr>
        <w:ind w:left="40" w:right="139" w:hanging="6"/>
        <w:spacing w:after="0" w:line="246" w:lineRule="auto"/>
        <w:rPr>
          <w:sz w:val="20"/>
          <w:szCs w:val="20"/>
          <w:color w:val="auto"/>
        </w:rPr>
      </w:pPr>
      <w:r>
        <w:rPr>
          <w:rFonts w:ascii="Arial" w:cs="Arial" w:eastAsia="Arial" w:hAnsi="Arial"/>
          <w:sz w:val="16"/>
          <w:szCs w:val="16"/>
          <w:color w:val="auto"/>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Backlog</w:t>
      </w:r>
    </w:p>
    <w:p>
      <w:pPr>
        <w:spacing w:after="0" w:line="177" w:lineRule="exact"/>
        <w:rPr>
          <w:sz w:val="20"/>
          <w:szCs w:val="20"/>
          <w:color w:val="auto"/>
        </w:rPr>
      </w:pPr>
    </w:p>
    <w:p>
      <w:pPr>
        <w:ind w:left="40" w:right="399" w:hanging="6"/>
        <w:spacing w:after="0" w:line="256" w:lineRule="auto"/>
        <w:rPr>
          <w:sz w:val="20"/>
          <w:szCs w:val="20"/>
          <w:color w:val="auto"/>
        </w:rPr>
      </w:pPr>
      <w:r>
        <w:rPr>
          <w:rFonts w:ascii="Arial" w:cs="Arial" w:eastAsia="Arial" w:hAnsi="Arial"/>
          <w:sz w:val="16"/>
          <w:szCs w:val="16"/>
          <w:color w:val="auto"/>
        </w:rPr>
        <w:t>As of December 31, 2024, our Broadband and Satellite Services segment had approximately $1.6 billion of contracted revenue backlog. We define the Broadband and Satellite Services segment contracted revenue backlog as our expected future revenue under enterprise customer contracts that are non-cancelable, including lease revenue.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Competition</w:t>
      </w:r>
    </w:p>
    <w:p>
      <w:pPr>
        <w:spacing w:after="0" w:line="177" w:lineRule="exact"/>
        <w:rPr>
          <w:sz w:val="20"/>
          <w:szCs w:val="20"/>
          <w:color w:val="auto"/>
        </w:rPr>
      </w:pPr>
    </w:p>
    <w:p>
      <w:pPr>
        <w:ind w:left="40" w:right="219"/>
        <w:spacing w:after="0" w:line="275" w:lineRule="auto"/>
        <w:rPr>
          <w:sz w:val="20"/>
          <w:szCs w:val="20"/>
          <w:color w:val="auto"/>
        </w:rPr>
      </w:pPr>
      <w:r>
        <w:rPr>
          <w:rFonts w:ascii="Arial" w:cs="Arial" w:eastAsia="Arial" w:hAnsi="Arial"/>
          <w:sz w:val="16"/>
          <w:szCs w:val="16"/>
          <w:color w:val="auto"/>
        </w:rPr>
        <w:t>Our industry is highly competitive. As a global provider of network technologies, products and services, our Broadband and Satellite Services segment competes with a large number of telecommunications and satellite internet service providers.</w:t>
      </w:r>
    </w:p>
    <w:p>
      <w:pPr>
        <w:spacing w:after="0" w:line="123" w:lineRule="exact"/>
        <w:rPr>
          <w:sz w:val="20"/>
          <w:szCs w:val="20"/>
          <w:color w:val="auto"/>
        </w:rPr>
      </w:pPr>
    </w:p>
    <w:p>
      <w:pPr>
        <w:jc w:val="both"/>
        <w:ind w:left="40" w:right="139"/>
        <w:spacing w:after="0" w:line="249" w:lineRule="auto"/>
        <w:rPr>
          <w:sz w:val="20"/>
          <w:szCs w:val="20"/>
          <w:color w:val="auto"/>
        </w:rPr>
      </w:pPr>
      <w:r>
        <w:rPr>
          <w:rFonts w:ascii="Arial" w:cs="Arial" w:eastAsia="Arial" w:hAnsi="Arial"/>
          <w:sz w:val="16"/>
          <w:szCs w:val="16"/>
          <w:color w:val="auto"/>
        </w:rPr>
        <w:t>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ViaSat and SpaceX.</w:t>
      </w:r>
    </w:p>
    <w:p>
      <w:pPr>
        <w:spacing w:after="0" w:line="144"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Communications, Inc., which is owned by ViaSat, Inc. (“ViaSat”) and Starlink Services LLC, which is owned by Space Exploration Technologies Corp. (“SpaceX”). Both ViaSat and SpaceX have also entered the South and Central American consumer markets. Our principal competitors for the supply of satellite technology platforms are Gilat Satellite Networks Ltd, ViaSat and ST Engineering iDirect, Inc.</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5" w:name="page86"/>
    <w:bookmarkEnd w:id="8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 – Broadband and Satellite Services Segment</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Year Ended December 31, 2024 Compared to the Year Ended December 31, 2023.</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2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Statements of Operations Data</w:t>
            </w:r>
          </w:p>
        </w:tc>
        <w:tc>
          <w:tcPr>
            <w:tcW w:w="120" w:type="dxa"/>
            <w:vAlign w:val="bottom"/>
          </w:tcPr>
          <w:p>
            <w:pPr>
              <w:spacing w:after="0"/>
              <w:rPr>
                <w:sz w:val="16"/>
                <w:szCs w:val="16"/>
                <w:color w:val="auto"/>
              </w:rPr>
            </w:pPr>
          </w:p>
        </w:tc>
        <w:tc>
          <w:tcPr>
            <w:tcW w:w="2840" w:type="dxa"/>
            <w:vAlign w:val="bottom"/>
            <w:gridSpan w:val="6"/>
          </w:tcPr>
          <w:p>
            <w:pPr>
              <w:jc w:val="right"/>
              <w:ind w:right="400"/>
              <w:spacing w:after="0"/>
              <w:rPr>
                <w:sz w:val="20"/>
                <w:szCs w:val="20"/>
                <w:color w:val="auto"/>
              </w:rPr>
            </w:pPr>
            <w:r>
              <w:rPr>
                <w:rFonts w:ascii="Arial" w:cs="Arial" w:eastAsia="Arial" w:hAnsi="Arial"/>
                <w:sz w:val="15"/>
                <w:szCs w:val="15"/>
                <w:b w:val="1"/>
                <w:bCs w:val="1"/>
                <w:color w:val="auto"/>
                <w:w w:val="97"/>
              </w:rPr>
              <w:t>For the Years Ended December 31,</w:t>
            </w:r>
          </w:p>
        </w:tc>
        <w:tc>
          <w:tcPr>
            <w:tcW w:w="120" w:type="dxa"/>
            <w:vAlign w:val="bottom"/>
          </w:tcPr>
          <w:p>
            <w:pPr>
              <w:spacing w:after="0"/>
              <w:rPr>
                <w:sz w:val="16"/>
                <w:szCs w:val="16"/>
                <w:color w:val="auto"/>
              </w:rPr>
            </w:pPr>
          </w:p>
        </w:tc>
        <w:tc>
          <w:tcPr>
            <w:tcW w:w="1120" w:type="dxa"/>
            <w:vAlign w:val="bottom"/>
            <w:gridSpan w:val="3"/>
          </w:tcPr>
          <w:p>
            <w:pPr>
              <w:ind w:left="440"/>
              <w:spacing w:after="0"/>
              <w:rPr>
                <w:sz w:val="20"/>
                <w:szCs w:val="20"/>
                <w:color w:val="auto"/>
              </w:rPr>
            </w:pPr>
            <w:r>
              <w:rPr>
                <w:rFonts w:ascii="Arial" w:cs="Arial" w:eastAsia="Arial" w:hAnsi="Arial"/>
                <w:sz w:val="15"/>
                <w:szCs w:val="15"/>
                <w:b w:val="1"/>
                <w:bCs w:val="1"/>
                <w:color w:val="auto"/>
              </w:rPr>
              <w:t>Variance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gridSpan w:val="2"/>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87"/>
              <w:spacing w:after="0" w:line="169" w:lineRule="exact"/>
              <w:rPr>
                <w:sz w:val="20"/>
                <w:szCs w:val="20"/>
                <w:color w:val="auto"/>
              </w:rPr>
            </w:pPr>
            <w:r>
              <w:rPr>
                <w:rFonts w:ascii="Arial" w:cs="Arial" w:eastAsia="Arial" w:hAnsi="Arial"/>
                <w:sz w:val="15"/>
                <w:szCs w:val="15"/>
                <w:b w:val="1"/>
                <w:bCs w:val="1"/>
                <w:color w:val="auto"/>
              </w:rPr>
              <w:t>2024</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87"/>
              <w:spacing w:after="0" w:line="169" w:lineRule="exact"/>
              <w:rPr>
                <w:sz w:val="20"/>
                <w:szCs w:val="20"/>
                <w:color w:val="auto"/>
              </w:rPr>
            </w:pPr>
            <w:r>
              <w:rPr>
                <w:rFonts w:ascii="Arial" w:cs="Arial" w:eastAsia="Arial" w:hAnsi="Arial"/>
                <w:sz w:val="15"/>
                <w:szCs w:val="15"/>
                <w:b w:val="1"/>
                <w:bCs w:val="1"/>
                <w:color w:val="auto"/>
              </w:rPr>
              <w:t>2023</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5"/>
                <w:szCs w:val="15"/>
                <w:b w:val="1"/>
                <w:bCs w:val="1"/>
                <w:color w:val="auto"/>
              </w:rPr>
              <w:t>Amount</w:t>
            </w:r>
          </w:p>
        </w:tc>
        <w:tc>
          <w:tcPr>
            <w:tcW w:w="480" w:type="dxa"/>
            <w:vAlign w:val="bottom"/>
            <w:tcBorders>
              <w:top w:val="single" w:sz="8" w:color="auto"/>
            </w:tcBorders>
          </w:tcPr>
          <w:p>
            <w:pPr>
              <w:jc w:val="right"/>
              <w:ind w:right="207"/>
              <w:spacing w:after="0" w:line="169"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2"/>
        </w:trPr>
        <w:tc>
          <w:tcPr>
            <w:tcW w:w="4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top w:val="single" w:sz="8" w:color="auto"/>
            </w:tcBorders>
            <w:gridSpan w:val="2"/>
          </w:tcPr>
          <w:p>
            <w:pPr>
              <w:spacing w:after="0" w:line="161" w:lineRule="exact"/>
              <w:rPr>
                <w:sz w:val="20"/>
                <w:szCs w:val="20"/>
                <w:color w:val="auto"/>
              </w:rPr>
            </w:pPr>
            <w:r>
              <w:rPr>
                <w:rFonts w:ascii="Arial" w:cs="Arial" w:eastAsia="Arial" w:hAnsi="Arial"/>
                <w:sz w:val="15"/>
                <w:szCs w:val="15"/>
                <w:color w:val="auto"/>
              </w:rPr>
              <w:t>(In thousands)</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spacing w:after="0" w:line="169" w:lineRule="exact"/>
              <w:rPr>
                <w:sz w:val="20"/>
                <w:szCs w:val="20"/>
                <w:color w:val="auto"/>
              </w:rPr>
            </w:pPr>
            <w:r>
              <w:rPr>
                <w:rFonts w:ascii="Arial" w:cs="Arial" w:eastAsia="Arial" w:hAnsi="Arial"/>
                <w:sz w:val="15"/>
                <w:szCs w:val="15"/>
                <w:color w:val="auto"/>
              </w:rPr>
              <w:t>Service revenue</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1,204,938</w:t>
            </w:r>
          </w:p>
        </w:tc>
        <w:tc>
          <w:tcPr>
            <w:tcW w:w="160" w:type="dxa"/>
            <w:vAlign w:val="bottom"/>
          </w:tcPr>
          <w:p>
            <w:pPr>
              <w:spacing w:after="0"/>
              <w:rPr>
                <w:sz w:val="14"/>
                <w:szCs w:val="14"/>
                <w:color w:val="auto"/>
              </w:rPr>
            </w:pPr>
          </w:p>
        </w:tc>
        <w:tc>
          <w:tcPr>
            <w:tcW w:w="34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1,443,616</w:t>
            </w:r>
          </w:p>
        </w:tc>
        <w:tc>
          <w:tcPr>
            <w:tcW w:w="24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(238,678)</w:t>
            </w:r>
          </w:p>
        </w:tc>
        <w:tc>
          <w:tcPr>
            <w:tcW w:w="20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169"/>
        </w:trPr>
        <w:tc>
          <w:tcPr>
            <w:tcW w:w="4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Equipment sales and other revenue</w:t>
            </w: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370,850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311,943</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58,907</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revenue</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1,575,788</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1,755,559</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(179,771)</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Costs and expenses: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Cost of services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502,740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530,875</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(28,135)</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69"/>
        </w:trPr>
        <w:tc>
          <w:tcPr>
            <w:tcW w:w="4240" w:type="dxa"/>
            <w:vAlign w:val="bottom"/>
            <w:gridSpan w:val="2"/>
          </w:tcPr>
          <w:p>
            <w:pPr>
              <w:ind w:left="100"/>
              <w:spacing w:after="0" w:line="169" w:lineRule="exact"/>
              <w:rPr>
                <w:sz w:val="20"/>
                <w:szCs w:val="20"/>
                <w:color w:val="auto"/>
              </w:rPr>
            </w:pPr>
            <w:r>
              <w:rPr>
                <w:rFonts w:ascii="Arial" w:cs="Arial" w:eastAsia="Arial" w:hAnsi="Arial"/>
                <w:sz w:val="15"/>
                <w:szCs w:val="15"/>
                <w:b w:val="1"/>
                <w:bCs w:val="1"/>
                <w:color w:val="auto"/>
              </w:rPr>
              <w:t>% of Service revenue</w:t>
            </w:r>
          </w:p>
        </w:tc>
        <w:tc>
          <w:tcPr>
            <w:tcW w:w="120" w:type="dxa"/>
            <w:vAlign w:val="bottom"/>
          </w:tcPr>
          <w:p>
            <w:pPr>
              <w:spacing w:after="0"/>
              <w:rPr>
                <w:sz w:val="14"/>
                <w:szCs w:val="14"/>
                <w:color w:val="auto"/>
              </w:rPr>
            </w:pPr>
          </w:p>
        </w:tc>
        <w:tc>
          <w:tcPr>
            <w:tcW w:w="1280" w:type="dxa"/>
            <w:vAlign w:val="bottom"/>
            <w:gridSpan w:val="2"/>
          </w:tcPr>
          <w:p>
            <w:pPr>
              <w:jc w:val="right"/>
              <w:ind w:right="20"/>
              <w:spacing w:after="0" w:line="169" w:lineRule="exact"/>
              <w:rPr>
                <w:sz w:val="20"/>
                <w:szCs w:val="20"/>
                <w:color w:val="auto"/>
              </w:rPr>
            </w:pPr>
            <w:r>
              <w:rPr>
                <w:rFonts w:ascii="Arial" w:cs="Arial" w:eastAsia="Arial" w:hAnsi="Arial"/>
                <w:sz w:val="15"/>
                <w:szCs w:val="15"/>
                <w:b w:val="1"/>
                <w:bCs w:val="1"/>
                <w:color w:val="auto"/>
              </w:rPr>
              <w:t>41.7 %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100"/>
              <w:spacing w:after="0" w:line="169" w:lineRule="exact"/>
              <w:rPr>
                <w:sz w:val="20"/>
                <w:szCs w:val="20"/>
                <w:color w:val="auto"/>
              </w:rPr>
            </w:pPr>
            <w:r>
              <w:rPr>
                <w:rFonts w:ascii="Arial" w:cs="Arial" w:eastAsia="Arial" w:hAnsi="Arial"/>
                <w:sz w:val="15"/>
                <w:szCs w:val="15"/>
                <w:b w:val="1"/>
                <w:bCs w:val="1"/>
                <w:color w:val="auto"/>
              </w:rPr>
              <w:t>36.8 %</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Cost of sales - equipment and other</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308,412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241,570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66,842</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169"/>
        </w:trPr>
        <w:tc>
          <w:tcPr>
            <w:tcW w:w="4240" w:type="dxa"/>
            <w:vAlign w:val="bottom"/>
            <w:gridSpan w:val="2"/>
          </w:tcPr>
          <w:p>
            <w:pPr>
              <w:spacing w:after="0" w:line="169" w:lineRule="exact"/>
              <w:rPr>
                <w:sz w:val="20"/>
                <w:szCs w:val="20"/>
                <w:color w:val="auto"/>
              </w:rPr>
            </w:pPr>
            <w:r>
              <w:rPr>
                <w:rFonts w:ascii="Arial" w:cs="Arial" w:eastAsia="Arial" w:hAnsi="Arial"/>
                <w:sz w:val="15"/>
                <w:szCs w:val="15"/>
                <w:color w:val="auto"/>
              </w:rPr>
              <w:t>Selling, general and administrative expenses</w:t>
            </w:r>
          </w:p>
        </w:tc>
        <w:tc>
          <w:tcPr>
            <w:tcW w:w="12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422,741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486,379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(63,638)</w:t>
            </w:r>
          </w:p>
        </w:tc>
        <w:tc>
          <w:tcPr>
            <w:tcW w:w="20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69"/>
        </w:trPr>
        <w:tc>
          <w:tcPr>
            <w:tcW w:w="4240" w:type="dxa"/>
            <w:vAlign w:val="bottom"/>
            <w:gridSpan w:val="2"/>
            <w:shd w:val="clear" w:color="auto" w:fill="CCEEFF"/>
          </w:tcPr>
          <w:p>
            <w:pPr>
              <w:ind w:left="100"/>
              <w:spacing w:after="0" w:line="169" w:lineRule="exact"/>
              <w:rPr>
                <w:sz w:val="20"/>
                <w:szCs w:val="20"/>
                <w:color w:val="auto"/>
              </w:rPr>
            </w:pPr>
            <w:r>
              <w:rPr>
                <w:rFonts w:ascii="Arial" w:cs="Arial" w:eastAsia="Arial" w:hAnsi="Arial"/>
                <w:sz w:val="15"/>
                <w:szCs w:val="15"/>
                <w:b w:val="1"/>
                <w:bCs w:val="1"/>
                <w:color w:val="auto"/>
              </w:rPr>
              <w:t>% of Total revenue</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b w:val="1"/>
                <w:bCs w:val="1"/>
                <w:color w:val="auto"/>
              </w:rPr>
              <w:t>26.8 %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27.7 %</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spacing w:after="0" w:line="169" w:lineRule="exact"/>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459,796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419,262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40,534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9"/>
        </w:trPr>
        <w:tc>
          <w:tcPr>
            <w:tcW w:w="4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Impairment of long-lived assets and goodwill</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536,082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(536,082)</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costs and expenses</w:t>
            </w:r>
          </w:p>
        </w:tc>
        <w:tc>
          <w:tcPr>
            <w:tcW w:w="1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1,693,689</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2,214,168</w:t>
            </w:r>
          </w:p>
        </w:tc>
        <w:tc>
          <w:tcPr>
            <w:tcW w:w="2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(520,479)</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40" w:type="dxa"/>
            <w:vAlign w:val="bottom"/>
            <w:gridSpan w:val="2"/>
          </w:tcPr>
          <w:p>
            <w:pPr>
              <w:spacing w:after="0" w:line="169" w:lineRule="exact"/>
              <w:rPr>
                <w:sz w:val="20"/>
                <w:szCs w:val="20"/>
                <w:color w:val="auto"/>
              </w:rPr>
            </w:pPr>
            <w:r>
              <w:rPr>
                <w:rFonts w:ascii="Arial" w:cs="Arial" w:eastAsia="Arial" w:hAnsi="Arial"/>
                <w:sz w:val="15"/>
                <w:szCs w:val="15"/>
                <w:color w:val="auto"/>
              </w:rPr>
              <w:t>Operating income (loss)</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(117,901)</w:t>
            </w:r>
          </w:p>
        </w:tc>
        <w:tc>
          <w:tcPr>
            <w:tcW w:w="34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(458,609)</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340,708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74.3</w:t>
            </w:r>
          </w:p>
        </w:tc>
        <w:tc>
          <w:tcPr>
            <w:tcW w:w="0" w:type="dxa"/>
            <w:vAlign w:val="bottom"/>
          </w:tcPr>
          <w:p>
            <w:pPr>
              <w:spacing w:after="0"/>
              <w:rPr>
                <w:sz w:val="1"/>
                <w:szCs w:val="1"/>
                <w:color w:val="auto"/>
              </w:rPr>
            </w:pPr>
          </w:p>
        </w:tc>
      </w:tr>
      <w:tr>
        <w:trPr>
          <w:trHeight w:val="146"/>
        </w:trPr>
        <w:tc>
          <w:tcPr>
            <w:tcW w:w="40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2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Other data:</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Broadband subscribers, as of period end (in millions)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0.883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1.004</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(0.121)</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69"/>
        </w:trPr>
        <w:tc>
          <w:tcPr>
            <w:tcW w:w="4240" w:type="dxa"/>
            <w:vAlign w:val="bottom"/>
            <w:gridSpan w:val="2"/>
          </w:tcPr>
          <w:p>
            <w:pPr>
              <w:spacing w:after="0" w:line="169" w:lineRule="exact"/>
              <w:rPr>
                <w:sz w:val="20"/>
                <w:szCs w:val="20"/>
                <w:color w:val="auto"/>
              </w:rPr>
            </w:pPr>
            <w:r>
              <w:rPr>
                <w:rFonts w:ascii="Arial" w:cs="Arial" w:eastAsia="Arial" w:hAnsi="Arial"/>
                <w:sz w:val="15"/>
                <w:szCs w:val="15"/>
                <w:color w:val="auto"/>
              </w:rPr>
              <w:t>Broadband subscriber additions (losses), net (in millions)</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(0.121)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(0.224)</w:t>
            </w:r>
          </w:p>
        </w:tc>
        <w:tc>
          <w:tcPr>
            <w:tcW w:w="12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0.103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r>
        <w:trPr>
          <w:trHeight w:val="169"/>
        </w:trPr>
        <w:tc>
          <w:tcPr>
            <w:tcW w:w="4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Purchases of property and equipment, net of refunds **</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212,581</w:t>
            </w:r>
          </w:p>
        </w:tc>
        <w:tc>
          <w:tcPr>
            <w:tcW w:w="1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233,423</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(20,842)</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rPr>
                <w:sz w:val="20"/>
                <w:szCs w:val="20"/>
                <w:color w:val="auto"/>
              </w:rPr>
            </w:pPr>
            <w:r>
              <w:rPr>
                <w:rFonts w:ascii="Arial" w:cs="Arial" w:eastAsia="Arial" w:hAnsi="Arial"/>
                <w:sz w:val="15"/>
                <w:szCs w:val="15"/>
                <w:color w:val="auto"/>
              </w:rPr>
              <w:t>OIBDA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341,895</w:t>
            </w:r>
          </w:p>
        </w:tc>
        <w:tc>
          <w:tcPr>
            <w:tcW w:w="16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(39,347)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381,242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47625</wp:posOffset>
            </wp:positionV>
            <wp:extent cx="142176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21765" cy="15240"/>
                    </a:xfrm>
                    <a:prstGeom prst="rect">
                      <a:avLst/>
                    </a:prstGeom>
                    <a:noFill/>
                  </pic:spPr>
                </pic:pic>
              </a:graphicData>
            </a:graphic>
          </wp:anchor>
        </w:drawing>
      </w:r>
    </w:p>
    <w:p>
      <w:pPr>
        <w:spacing w:after="0" w:line="135" w:lineRule="exact"/>
        <w:rPr>
          <w:sz w:val="20"/>
          <w:szCs w:val="20"/>
          <w:color w:val="auto"/>
        </w:rPr>
      </w:pPr>
    </w:p>
    <w:p>
      <w:pPr>
        <w:ind w:left="340" w:hanging="298"/>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14" w:lineRule="exact"/>
        <w:rPr>
          <w:sz w:val="20"/>
          <w:szCs w:val="20"/>
          <w:color w:val="auto"/>
        </w:rPr>
      </w:pPr>
    </w:p>
    <w:p>
      <w:pPr>
        <w:ind w:left="340" w:right="159" w:hanging="298"/>
        <w:spacing w:after="0" w:line="255"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Purchases of property and equipment, net of refunds includes satellite purchases during the years ended December 31, 2024 and 2023 of $4 million and $118 million, respectively.</w:t>
      </w:r>
    </w:p>
    <w:p>
      <w:pPr>
        <w:spacing w:after="0" w:line="138"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b w:val="1"/>
          <w:bCs w:val="1"/>
          <w:i w:val="1"/>
          <w:iCs w:val="1"/>
          <w:color w:val="auto"/>
        </w:rPr>
        <w:t xml:space="preserve">Broadband subscribers. </w:t>
      </w:r>
      <w:r>
        <w:rPr>
          <w:rFonts w:ascii="Arial" w:cs="Arial" w:eastAsia="Arial" w:hAnsi="Arial"/>
          <w:sz w:val="16"/>
          <w:szCs w:val="16"/>
          <w:color w:val="auto"/>
        </w:rPr>
        <w:t>We lost approximately 121,000 net Broadband subscribers for the year ended December 31, 2024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loss of approximately 224,000 net Broadband subscribers during the same period in 2023. The decrease in net Broadband subscriber losses was primarily due to lower subscriber disconnects as a result of the new EchoStar XXIV satellite service launch, which increased capacity and subscriber service satisfaction. We continue to operate in a highly competitive environment, with continued pressure from satellite-based competitors and other technologies.</w:t>
      </w:r>
    </w:p>
    <w:p>
      <w:pPr>
        <w:spacing w:after="0" w:line="146" w:lineRule="exact"/>
        <w:rPr>
          <w:sz w:val="20"/>
          <w:szCs w:val="20"/>
          <w:color w:val="auto"/>
        </w:rPr>
      </w:pPr>
    </w:p>
    <w:p>
      <w:pPr>
        <w:ind w:left="40" w:right="159"/>
        <w:spacing w:after="0" w:line="246" w:lineRule="auto"/>
        <w:rPr>
          <w:sz w:val="20"/>
          <w:szCs w:val="20"/>
          <w:color w:val="auto"/>
        </w:rPr>
      </w:pPr>
      <w:r>
        <w:rPr>
          <w:rFonts w:ascii="Arial" w:cs="Arial" w:eastAsia="Arial" w:hAnsi="Arial"/>
          <w:sz w:val="16"/>
          <w:szCs w:val="16"/>
          <w:b w:val="1"/>
          <w:bCs w:val="1"/>
          <w:i w:val="1"/>
          <w:iCs w:val="1"/>
          <w:color w:val="auto"/>
        </w:rPr>
        <w:t xml:space="preserve">Service revenue. </w:t>
      </w:r>
      <w:r>
        <w:rPr>
          <w:rFonts w:ascii="Arial" w:cs="Arial" w:eastAsia="Arial" w:hAnsi="Arial"/>
          <w:sz w:val="16"/>
          <w:szCs w:val="16"/>
          <w:color w:val="auto"/>
        </w:rPr>
        <w:t>“Service revenue” totaled $1.205 billion for the year ended December 31, 2024, a decrease of $239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16.5%, as compared to 2023. The decrease was primarily attributable to lower sales of broadband services to our North American and international consumer customers and our North American enterprise customers. In addition, the year ended December 31, 2023 was positively impacted by revenue from Hughes Systique which was deconsolidated from our Consolidated Financial Statements as of December 31, 2023.</w:t>
      </w:r>
    </w:p>
    <w:p>
      <w:pPr>
        <w:spacing w:after="0" w:line="146" w:lineRule="exact"/>
        <w:rPr>
          <w:sz w:val="20"/>
          <w:szCs w:val="20"/>
          <w:color w:val="auto"/>
        </w:rPr>
      </w:pPr>
    </w:p>
    <w:p>
      <w:pPr>
        <w:ind w:left="40" w:right="279"/>
        <w:spacing w:after="0" w:line="249" w:lineRule="auto"/>
        <w:rPr>
          <w:sz w:val="20"/>
          <w:szCs w:val="20"/>
          <w:color w:val="auto"/>
        </w:rPr>
      </w:pPr>
      <w:r>
        <w:rPr>
          <w:rFonts w:ascii="Arial" w:cs="Arial" w:eastAsia="Arial" w:hAnsi="Arial"/>
          <w:sz w:val="16"/>
          <w:szCs w:val="16"/>
          <w:b w:val="1"/>
          <w:bCs w:val="1"/>
          <w:i w:val="1"/>
          <w:iCs w:val="1"/>
          <w:color w:val="auto"/>
        </w:rPr>
        <w:t xml:space="preserve">Equipment sales and other revenue. </w:t>
      </w:r>
      <w:r>
        <w:rPr>
          <w:rFonts w:ascii="Arial" w:cs="Arial" w:eastAsia="Arial" w:hAnsi="Arial"/>
          <w:sz w:val="16"/>
          <w:szCs w:val="16"/>
          <w:color w:val="auto"/>
        </w:rPr>
        <w:t>“Equipment sales and other revenue” totaled $371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2024, an increase of $59 million, or 18.9%, as compared to 2023. The increase was primarily attributable to higher hardware sales to our North American and international enterprise customers, partially offset by a decrease in hardware sales to our mobile satellite system customers.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totaled $ 503 million for the year ended December 31, 2024, a decrease of $28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5.3%, as compared to 2023. The decrease was primarily attributable to lower costs of broadband services to our North American and international consumer customers. Our “Cost of services” represented 41.7% and 36.8% of “Service revenue” during the years ended December 31, 2024 and 2023, respectively. This increase primarily resulted from a change in service mix to lower margin services.</w:t>
      </w:r>
    </w:p>
    <w:p>
      <w:pPr>
        <w:spacing w:after="0" w:line="146" w:lineRule="exact"/>
        <w:rPr>
          <w:sz w:val="20"/>
          <w:szCs w:val="20"/>
          <w:color w:val="auto"/>
        </w:rPr>
      </w:pPr>
    </w:p>
    <w:p>
      <w:pPr>
        <w:ind w:left="40" w:right="279"/>
        <w:spacing w:after="0" w:line="256" w:lineRule="auto"/>
        <w:rPr>
          <w:sz w:val="20"/>
          <w:szCs w:val="20"/>
          <w:color w:val="auto"/>
        </w:rPr>
      </w:pPr>
      <w:r>
        <w:rPr>
          <w:rFonts w:ascii="Arial" w:cs="Arial" w:eastAsia="Arial" w:hAnsi="Arial"/>
          <w:sz w:val="16"/>
          <w:szCs w:val="16"/>
          <w:b w:val="1"/>
          <w:bCs w:val="1"/>
          <w:i w:val="1"/>
          <w:iCs w:val="1"/>
          <w:color w:val="auto"/>
        </w:rPr>
        <w:t xml:space="preserve">Cost of sales – equipment and other. </w:t>
      </w:r>
      <w:r>
        <w:rPr>
          <w:rFonts w:ascii="Arial" w:cs="Arial" w:eastAsia="Arial" w:hAnsi="Arial"/>
          <w:sz w:val="16"/>
          <w:szCs w:val="16"/>
          <w:color w:val="auto"/>
        </w:rPr>
        <w:t>“Cost of sales – equipment and other” totaled $308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2024, an increase of $67 million, or 27.7%, as compared to 2023. The increase was primarily attributable to the corresponding increase in equipment revenue.</w:t>
      </w:r>
    </w:p>
    <w:p>
      <w:pPr>
        <w:spacing w:after="0" w:line="149" w:lineRule="exact"/>
        <w:rPr>
          <w:sz w:val="20"/>
          <w:szCs w:val="20"/>
          <w:color w:val="auto"/>
        </w:rPr>
      </w:pPr>
    </w:p>
    <w:p>
      <w:pPr>
        <w:ind w:left="40" w:right="159"/>
        <w:spacing w:after="0" w:line="297" w:lineRule="auto"/>
        <w:rPr>
          <w:sz w:val="20"/>
          <w:szCs w:val="20"/>
          <w:color w:val="auto"/>
        </w:rPr>
      </w:pPr>
      <w:r>
        <w:rPr>
          <w:rFonts w:ascii="Arial" w:cs="Arial" w:eastAsia="Arial" w:hAnsi="Arial"/>
          <w:sz w:val="16"/>
          <w:szCs w:val="16"/>
          <w:b w:val="1"/>
          <w:bCs w:val="1"/>
          <w:i w:val="1"/>
          <w:iCs w:val="1"/>
          <w:color w:val="auto"/>
        </w:rPr>
        <w:t>Selling, general and administrative expenses</w:t>
      </w:r>
      <w:r>
        <w:rPr>
          <w:rFonts w:ascii="Arial" w:cs="Arial" w:eastAsia="Arial" w:hAnsi="Arial"/>
          <w:sz w:val="16"/>
          <w:szCs w:val="16"/>
          <w:color w:val="auto"/>
        </w:rPr>
        <w:t>. “Selling, general and administrative expenses” totaled $423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2024, a decrease of $64 million, or 13.1%, as compared to 2023. The decrease was primarily attributable to lower costs to support the Broadband and Satellite Services segment and lower marketing expenditures, partially offset by an increase in bad debt expense.</w:t>
      </w:r>
    </w:p>
    <w:p>
      <w:pPr>
        <w:spacing w:after="0" w:line="111" w:lineRule="exact"/>
        <w:rPr>
          <w:sz w:val="20"/>
          <w:szCs w:val="20"/>
          <w:color w:val="auto"/>
        </w:rPr>
      </w:pPr>
    </w:p>
    <w:p>
      <w:pPr>
        <w:jc w:val="both"/>
        <w:ind w:left="40" w:right="79"/>
        <w:spacing w:after="0" w:line="260"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9"/>
          <w:szCs w:val="19"/>
          <w:color w:val="auto"/>
        </w:rPr>
        <w:t>“</w:t>
      </w:r>
      <w:r>
        <w:rPr>
          <w:rFonts w:ascii="Arial" w:cs="Arial" w:eastAsia="Arial" w:hAnsi="Arial"/>
          <w:sz w:val="16"/>
          <w:szCs w:val="16"/>
          <w:color w:val="auto"/>
        </w:rPr>
        <w:t>Depreciation and amortization” expense totaled $460 million for the year ended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 2024, an increase of $41 million, or 9.7%, as compared to 2023. The increase was primarily attributable to an increase in satellite depreciation driven by our EchoStar XXIV satellite, which was placed into service in December 2023.</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Impairment of long-lived assets and goodwill. “</w:t>
      </w:r>
      <w:r>
        <w:rPr>
          <w:rFonts w:ascii="Arial" w:cs="Arial" w:eastAsia="Arial" w:hAnsi="Arial"/>
          <w:sz w:val="16"/>
          <w:szCs w:val="16"/>
          <w:color w:val="auto"/>
        </w:rPr>
        <w:t>Impairment of long-lived assets and goodwill” totaled $536 million for</w:t>
      </w:r>
    </w:p>
    <w:p>
      <w:pPr>
        <w:spacing w:after="0" w:line="14" w:lineRule="exact"/>
        <w:rPr>
          <w:sz w:val="20"/>
          <w:szCs w:val="20"/>
          <w:color w:val="auto"/>
        </w:rPr>
      </w:pPr>
    </w:p>
    <w:p>
      <w:pPr>
        <w:ind w:left="40" w:right="59"/>
        <w:spacing w:after="0" w:line="245" w:lineRule="auto"/>
        <w:rPr>
          <w:sz w:val="20"/>
          <w:szCs w:val="20"/>
          <w:color w:val="auto"/>
        </w:rPr>
      </w:pPr>
      <w:r>
        <w:rPr>
          <w:rFonts w:ascii="Arial" w:cs="Arial" w:eastAsia="Arial" w:hAnsi="Arial"/>
          <w:sz w:val="16"/>
          <w:szCs w:val="16"/>
          <w:color w:val="auto"/>
        </w:rPr>
        <w:t>the year ended December 31, 2023. This impairment represents a $533 million noncash impairment charge to goodwill and a $3 million noncash impairment for long-lived assets. See Note 2 to the Notes to our Consolidated Financial Statements in this Annual Report on Form 10-K for further information.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7" w:name="page88"/>
    <w:bookmarkEnd w:id="8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Year Ended December 31, 2023 Compared to the Year Ended December 31, 2022.</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3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Statements of Operations Data</w:t>
            </w:r>
          </w:p>
        </w:tc>
        <w:tc>
          <w:tcPr>
            <w:tcW w:w="120" w:type="dxa"/>
            <w:vAlign w:val="bottom"/>
          </w:tcPr>
          <w:p>
            <w:pPr>
              <w:spacing w:after="0"/>
              <w:rPr>
                <w:sz w:val="16"/>
                <w:szCs w:val="16"/>
                <w:color w:val="auto"/>
              </w:rPr>
            </w:pPr>
          </w:p>
        </w:tc>
        <w:tc>
          <w:tcPr>
            <w:tcW w:w="2760" w:type="dxa"/>
            <w:vAlign w:val="bottom"/>
            <w:gridSpan w:val="6"/>
          </w:tcPr>
          <w:p>
            <w:pPr>
              <w:jc w:val="right"/>
              <w:ind w:right="360"/>
              <w:spacing w:after="0"/>
              <w:rPr>
                <w:sz w:val="20"/>
                <w:szCs w:val="20"/>
                <w:color w:val="auto"/>
              </w:rPr>
            </w:pPr>
            <w:r>
              <w:rPr>
                <w:rFonts w:ascii="Arial" w:cs="Arial" w:eastAsia="Arial" w:hAnsi="Arial"/>
                <w:sz w:val="15"/>
                <w:szCs w:val="15"/>
                <w:b w:val="1"/>
                <w:bCs w:val="1"/>
                <w:color w:val="auto"/>
                <w:w w:val="96"/>
              </w:rPr>
              <w:t>For the Years Ended December 31,</w:t>
            </w:r>
          </w:p>
        </w:tc>
        <w:tc>
          <w:tcPr>
            <w:tcW w:w="140" w:type="dxa"/>
            <w:vAlign w:val="bottom"/>
          </w:tcPr>
          <w:p>
            <w:pPr>
              <w:spacing w:after="0"/>
              <w:rPr>
                <w:sz w:val="16"/>
                <w:szCs w:val="16"/>
                <w:color w:val="auto"/>
              </w:rPr>
            </w:pPr>
          </w:p>
        </w:tc>
        <w:tc>
          <w:tcPr>
            <w:tcW w:w="1120" w:type="dxa"/>
            <w:vAlign w:val="bottom"/>
            <w:gridSpan w:val="3"/>
          </w:tcPr>
          <w:p>
            <w:pPr>
              <w:ind w:left="440"/>
              <w:spacing w:after="0"/>
              <w:rPr>
                <w:sz w:val="20"/>
                <w:szCs w:val="20"/>
                <w:color w:val="auto"/>
              </w:rPr>
            </w:pPr>
            <w:r>
              <w:rPr>
                <w:rFonts w:ascii="Arial" w:cs="Arial" w:eastAsia="Arial" w:hAnsi="Arial"/>
                <w:sz w:val="15"/>
                <w:szCs w:val="15"/>
                <w:b w:val="1"/>
                <w:bCs w:val="1"/>
                <w:color w:val="auto"/>
              </w:rPr>
              <w:t>Variance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00" w:type="dxa"/>
            <w:vAlign w:val="bottom"/>
            <w:gridSpan w:val="2"/>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67"/>
              <w:spacing w:after="0" w:line="169" w:lineRule="exact"/>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7"/>
              <w:spacing w:after="0" w:line="169" w:lineRule="exact"/>
              <w:rPr>
                <w:sz w:val="20"/>
                <w:szCs w:val="20"/>
                <w:color w:val="auto"/>
              </w:rPr>
            </w:pPr>
            <w:r>
              <w:rPr>
                <w:rFonts w:ascii="Arial" w:cs="Arial" w:eastAsia="Arial" w:hAnsi="Arial"/>
                <w:sz w:val="15"/>
                <w:szCs w:val="15"/>
                <w:b w:val="1"/>
                <w:bCs w:val="1"/>
                <w:color w:val="auto"/>
              </w:rPr>
              <w:t>2022</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5"/>
                <w:szCs w:val="15"/>
                <w:b w:val="1"/>
                <w:bCs w:val="1"/>
                <w:color w:val="auto"/>
              </w:rPr>
              <w:t>Amount</w:t>
            </w:r>
          </w:p>
        </w:tc>
        <w:tc>
          <w:tcPr>
            <w:tcW w:w="480" w:type="dxa"/>
            <w:vAlign w:val="bottom"/>
            <w:tcBorders>
              <w:top w:val="single" w:sz="8" w:color="auto"/>
            </w:tcBorders>
          </w:tcPr>
          <w:p>
            <w:pPr>
              <w:jc w:val="right"/>
              <w:ind w:right="167"/>
              <w:spacing w:after="0" w:line="169"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2"/>
        </w:trPr>
        <w:tc>
          <w:tcPr>
            <w:tcW w:w="4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Borders>
              <w:top w:val="single" w:sz="8" w:color="auto"/>
            </w:tcBorders>
            <w:gridSpan w:val="2"/>
          </w:tcPr>
          <w:p>
            <w:pPr>
              <w:spacing w:after="0" w:line="161" w:lineRule="exact"/>
              <w:rPr>
                <w:sz w:val="20"/>
                <w:szCs w:val="20"/>
                <w:color w:val="auto"/>
              </w:rPr>
            </w:pPr>
            <w:r>
              <w:rPr>
                <w:rFonts w:ascii="Arial" w:cs="Arial" w:eastAsia="Arial" w:hAnsi="Arial"/>
                <w:sz w:val="15"/>
                <w:szCs w:val="15"/>
                <w:color w:val="auto"/>
              </w:rPr>
              <w:t>(In thousands)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line="169" w:lineRule="exact"/>
              <w:rPr>
                <w:sz w:val="20"/>
                <w:szCs w:val="20"/>
                <w:color w:val="auto"/>
              </w:rPr>
            </w:pPr>
            <w:r>
              <w:rPr>
                <w:rFonts w:ascii="Arial" w:cs="Arial" w:eastAsia="Arial" w:hAnsi="Arial"/>
                <w:sz w:val="15"/>
                <w:szCs w:val="15"/>
                <w:color w:val="auto"/>
              </w:rPr>
              <w:t>Service revenue</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1,443,616</w:t>
            </w:r>
          </w:p>
        </w:tc>
        <w:tc>
          <w:tcPr>
            <w:tcW w:w="180" w:type="dxa"/>
            <w:vAlign w:val="bottom"/>
          </w:tcPr>
          <w:p>
            <w:pPr>
              <w:spacing w:after="0"/>
              <w:rPr>
                <w:sz w:val="14"/>
                <w:szCs w:val="14"/>
                <w:color w:val="auto"/>
              </w:rPr>
            </w:pPr>
          </w:p>
        </w:tc>
        <w:tc>
          <w:tcPr>
            <w:tcW w:w="32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1,611,069</w:t>
            </w:r>
          </w:p>
        </w:tc>
        <w:tc>
          <w:tcPr>
            <w:tcW w:w="22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(167,453)</w:t>
            </w:r>
          </w:p>
        </w:tc>
        <w:tc>
          <w:tcPr>
            <w:tcW w:w="14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169"/>
        </w:trPr>
        <w:tc>
          <w:tcPr>
            <w:tcW w:w="43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Equipment sales and other revenue</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311,943</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387,024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(75,081)</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62"/>
        </w:trPr>
        <w:tc>
          <w:tcPr>
            <w:tcW w:w="430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revenue</w:t>
            </w:r>
          </w:p>
        </w:tc>
        <w:tc>
          <w:tcPr>
            <w:tcW w:w="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1,755,559</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1,998,093</w:t>
            </w:r>
          </w:p>
        </w:tc>
        <w:tc>
          <w:tcPr>
            <w:tcW w:w="2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(242,534)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Costs and expenses:</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Cost of services</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530,875</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567,311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(36,436)</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69"/>
        </w:trPr>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b w:val="1"/>
                <w:bCs w:val="1"/>
                <w:color w:val="auto"/>
              </w:rPr>
              <w:t>% of Service revenue</w:t>
            </w:r>
          </w:p>
        </w:tc>
        <w:tc>
          <w:tcPr>
            <w:tcW w:w="120" w:type="dxa"/>
            <w:vAlign w:val="bottom"/>
          </w:tcPr>
          <w:p>
            <w:pPr>
              <w:spacing w:after="0"/>
              <w:rPr>
                <w:sz w:val="14"/>
                <w:szCs w:val="14"/>
                <w:color w:val="auto"/>
              </w:rPr>
            </w:pPr>
          </w:p>
        </w:tc>
        <w:tc>
          <w:tcPr>
            <w:tcW w:w="1280" w:type="dxa"/>
            <w:vAlign w:val="bottom"/>
            <w:gridSpan w:val="2"/>
          </w:tcPr>
          <w:p>
            <w:pPr>
              <w:jc w:val="right"/>
              <w:ind w:right="60"/>
              <w:spacing w:after="0" w:line="169" w:lineRule="exact"/>
              <w:rPr>
                <w:sz w:val="20"/>
                <w:szCs w:val="20"/>
                <w:color w:val="auto"/>
              </w:rPr>
            </w:pPr>
            <w:r>
              <w:rPr>
                <w:rFonts w:ascii="Arial" w:cs="Arial" w:eastAsia="Arial" w:hAnsi="Arial"/>
                <w:sz w:val="15"/>
                <w:szCs w:val="15"/>
                <w:b w:val="1"/>
                <w:bCs w:val="1"/>
                <w:color w:val="auto"/>
              </w:rPr>
              <w:t>36.8 %</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00"/>
              <w:spacing w:after="0" w:line="169" w:lineRule="exact"/>
              <w:rPr>
                <w:sz w:val="20"/>
                <w:szCs w:val="20"/>
                <w:color w:val="auto"/>
              </w:rPr>
            </w:pPr>
            <w:r>
              <w:rPr>
                <w:rFonts w:ascii="Arial" w:cs="Arial" w:eastAsia="Arial" w:hAnsi="Arial"/>
                <w:sz w:val="15"/>
                <w:szCs w:val="15"/>
                <w:b w:val="1"/>
                <w:bCs w:val="1"/>
                <w:color w:val="auto"/>
              </w:rPr>
              <w:t>35.2 %</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Cost of sales - equipment and other</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241,570</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294,683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(53,113)</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line="169" w:lineRule="exact"/>
              <w:rPr>
                <w:sz w:val="20"/>
                <w:szCs w:val="20"/>
                <w:color w:val="auto"/>
              </w:rPr>
            </w:pPr>
            <w:r>
              <w:rPr>
                <w:rFonts w:ascii="Arial" w:cs="Arial" w:eastAsia="Arial" w:hAnsi="Arial"/>
                <w:sz w:val="15"/>
                <w:szCs w:val="15"/>
                <w:color w:val="auto"/>
              </w:rPr>
              <w:t>Selling, general and administrative expenses</w:t>
            </w:r>
          </w:p>
        </w:tc>
        <w:tc>
          <w:tcPr>
            <w:tcW w:w="12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486,379</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491,025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(4,646)</w:t>
            </w:r>
          </w:p>
        </w:tc>
        <w:tc>
          <w:tcPr>
            <w:tcW w:w="14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69"/>
        </w:trPr>
        <w:tc>
          <w:tcPr>
            <w:tcW w:w="4300" w:type="dxa"/>
            <w:vAlign w:val="bottom"/>
            <w:gridSpan w:val="2"/>
            <w:shd w:val="clear" w:color="auto" w:fill="CCEEFF"/>
          </w:tcPr>
          <w:p>
            <w:pPr>
              <w:ind w:left="100"/>
              <w:spacing w:after="0" w:line="169" w:lineRule="exact"/>
              <w:rPr>
                <w:sz w:val="20"/>
                <w:szCs w:val="20"/>
                <w:color w:val="auto"/>
              </w:rPr>
            </w:pPr>
            <w:r>
              <w:rPr>
                <w:rFonts w:ascii="Arial" w:cs="Arial" w:eastAsia="Arial" w:hAnsi="Arial"/>
                <w:sz w:val="15"/>
                <w:szCs w:val="15"/>
                <w:b w:val="1"/>
                <w:bCs w:val="1"/>
                <w:color w:val="auto"/>
              </w:rPr>
              <w:t>% of Total revenue</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b w:val="1"/>
                <w:bCs w:val="1"/>
                <w:color w:val="auto"/>
              </w:rPr>
              <w:t>27.7 %</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24.6 %</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line="169" w:lineRule="exact"/>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419,262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462,748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(43,486)</w:t>
            </w:r>
          </w:p>
        </w:tc>
        <w:tc>
          <w:tcPr>
            <w:tcW w:w="14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9"/>
        </w:trPr>
        <w:tc>
          <w:tcPr>
            <w:tcW w:w="43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Impairment of long-lived assets and goodwill</w:t>
            </w: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536,082</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711</w:t>
            </w:r>
          </w:p>
        </w:tc>
        <w:tc>
          <w:tcPr>
            <w:tcW w:w="2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535,371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30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costs and expenses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2,214,168</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1,816,478</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397,690</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jc w:val="right"/>
              <w:spacing w:after="0" w:line="161" w:lineRule="exact"/>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62"/>
        </w:trPr>
        <w:tc>
          <w:tcPr>
            <w:tcW w:w="4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00" w:type="dxa"/>
            <w:vAlign w:val="bottom"/>
            <w:gridSpan w:val="2"/>
          </w:tcPr>
          <w:p>
            <w:pPr>
              <w:spacing w:after="0" w:line="169" w:lineRule="exact"/>
              <w:rPr>
                <w:sz w:val="20"/>
                <w:szCs w:val="20"/>
                <w:color w:val="auto"/>
              </w:rPr>
            </w:pPr>
            <w:r>
              <w:rPr>
                <w:rFonts w:ascii="Arial" w:cs="Arial" w:eastAsia="Arial" w:hAnsi="Arial"/>
                <w:sz w:val="15"/>
                <w:szCs w:val="15"/>
                <w:color w:val="auto"/>
              </w:rPr>
              <w:t>Operating income (loss)</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2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(458,609)</w:t>
            </w:r>
          </w:p>
        </w:tc>
        <w:tc>
          <w:tcPr>
            <w:tcW w:w="32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181,615</w:t>
            </w:r>
          </w:p>
        </w:tc>
        <w:tc>
          <w:tcPr>
            <w:tcW w:w="22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(640,224)</w:t>
            </w:r>
          </w:p>
        </w:tc>
        <w:tc>
          <w:tcPr>
            <w:tcW w:w="140" w:type="dxa"/>
            <w:vAlign w:val="bottom"/>
          </w:tcPr>
          <w:p>
            <w:pPr>
              <w:spacing w:after="0"/>
              <w:rPr>
                <w:sz w:val="18"/>
                <w:szCs w:val="18"/>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6"/>
        </w:trPr>
        <w:tc>
          <w:tcPr>
            <w:tcW w:w="4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Other data:</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Broadband subscribers, as of period end (in millions)</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1.004</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1.228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(0.224)</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line="169" w:lineRule="exact"/>
              <w:rPr>
                <w:sz w:val="20"/>
                <w:szCs w:val="20"/>
                <w:color w:val="auto"/>
              </w:rPr>
            </w:pPr>
            <w:r>
              <w:rPr>
                <w:rFonts w:ascii="Arial" w:cs="Arial" w:eastAsia="Arial" w:hAnsi="Arial"/>
                <w:sz w:val="15"/>
                <w:szCs w:val="15"/>
                <w:color w:val="auto"/>
              </w:rPr>
              <w:t>Broadband subscriber additions (losses), net (in millions)</w:t>
            </w:r>
          </w:p>
        </w:tc>
        <w:tc>
          <w:tcPr>
            <w:tcW w:w="120" w:type="dxa"/>
            <w:vAlign w:val="bottom"/>
          </w:tcPr>
          <w:p>
            <w:pPr>
              <w:spacing w:after="0"/>
              <w:rPr>
                <w:sz w:val="14"/>
                <w:szCs w:val="14"/>
                <w:color w:val="auto"/>
              </w:rPr>
            </w:pPr>
          </w:p>
        </w:tc>
        <w:tc>
          <w:tcPr>
            <w:tcW w:w="12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(0.224)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(0.234)</w:t>
            </w:r>
          </w:p>
        </w:tc>
        <w:tc>
          <w:tcPr>
            <w:tcW w:w="1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0.010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69"/>
        </w:trPr>
        <w:tc>
          <w:tcPr>
            <w:tcW w:w="43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Purchases of property and equipment, net of refunds **</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233,423</w:t>
            </w:r>
          </w:p>
        </w:tc>
        <w:tc>
          <w:tcPr>
            <w:tcW w:w="1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325,891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9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(92,468)</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(28.4)</w:t>
            </w:r>
          </w:p>
        </w:tc>
        <w:tc>
          <w:tcPr>
            <w:tcW w:w="0" w:type="dxa"/>
            <w:vAlign w:val="bottom"/>
          </w:tcPr>
          <w:p>
            <w:pPr>
              <w:spacing w:after="0"/>
              <w:rPr>
                <w:sz w:val="1"/>
                <w:szCs w:val="1"/>
                <w:color w:val="auto"/>
              </w:rPr>
            </w:pPr>
          </w:p>
        </w:tc>
      </w:tr>
      <w:tr>
        <w:trPr>
          <w:trHeight w:val="191"/>
        </w:trPr>
        <w:tc>
          <w:tcPr>
            <w:tcW w:w="4300" w:type="dxa"/>
            <w:vAlign w:val="bottom"/>
            <w:gridSpan w:val="2"/>
          </w:tcPr>
          <w:p>
            <w:pPr>
              <w:spacing w:after="0"/>
              <w:rPr>
                <w:sz w:val="20"/>
                <w:szCs w:val="20"/>
                <w:color w:val="auto"/>
              </w:rPr>
            </w:pPr>
            <w:r>
              <w:rPr>
                <w:rFonts w:ascii="Arial" w:cs="Arial" w:eastAsia="Arial" w:hAnsi="Arial"/>
                <w:sz w:val="15"/>
                <w:szCs w:val="15"/>
                <w:color w:val="auto"/>
              </w:rPr>
              <w:t>OIBDA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(39,347)</w:t>
            </w: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644,363</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(683,710)</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47625</wp:posOffset>
            </wp:positionV>
            <wp:extent cx="142176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21765" cy="15240"/>
                    </a:xfrm>
                    <a:prstGeom prst="rect">
                      <a:avLst/>
                    </a:prstGeom>
                    <a:noFill/>
                  </pic:spPr>
                </pic:pic>
              </a:graphicData>
            </a:graphic>
          </wp:anchor>
        </w:drawing>
      </w:r>
    </w:p>
    <w:p>
      <w:pPr>
        <w:spacing w:after="0" w:line="135" w:lineRule="exact"/>
        <w:rPr>
          <w:sz w:val="20"/>
          <w:szCs w:val="20"/>
          <w:color w:val="auto"/>
        </w:rPr>
      </w:pPr>
    </w:p>
    <w:p>
      <w:pPr>
        <w:ind w:left="340" w:hanging="298"/>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14" w:lineRule="exact"/>
        <w:rPr>
          <w:sz w:val="20"/>
          <w:szCs w:val="20"/>
          <w:color w:val="auto"/>
        </w:rPr>
      </w:pPr>
    </w:p>
    <w:p>
      <w:pPr>
        <w:ind w:left="340" w:right="159" w:hanging="298"/>
        <w:spacing w:after="0" w:line="255"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Purchases of property and equipment, net of refunds includes satellite purchases during the years ended December 31, 2023 and 2022 of $118 million and $92 million, respectively.</w:t>
      </w:r>
    </w:p>
    <w:p>
      <w:pPr>
        <w:spacing w:after="0" w:line="138"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b w:val="1"/>
          <w:bCs w:val="1"/>
          <w:i w:val="1"/>
          <w:iCs w:val="1"/>
          <w:color w:val="auto"/>
        </w:rPr>
        <w:t xml:space="preserve">Broadband subscribers. </w:t>
      </w:r>
      <w:r>
        <w:rPr>
          <w:rFonts w:ascii="Arial" w:cs="Arial" w:eastAsia="Arial" w:hAnsi="Arial"/>
          <w:sz w:val="16"/>
          <w:szCs w:val="16"/>
          <w:color w:val="auto"/>
        </w:rPr>
        <w:t>We lost approximately 224,000 net Broadband subscribers for the year ended December 31,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loss of approximately 234,000 net Broadband subscribers during the same period in 2022. The net Broadband subscriber losses for the year ended December 31, 2023 primarily resulted from our past capacity limitations, competitive pressure from satellite-based competitors and other technologies, and our emphasis on acquiring and retaining higher quality subscribers.</w:t>
      </w:r>
    </w:p>
    <w:p>
      <w:pPr>
        <w:spacing w:after="0" w:line="146"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b w:val="1"/>
          <w:bCs w:val="1"/>
          <w:i w:val="1"/>
          <w:iCs w:val="1"/>
          <w:color w:val="auto"/>
        </w:rPr>
        <w:t xml:space="preserve">Service revenue. </w:t>
      </w:r>
      <w:r>
        <w:rPr>
          <w:rFonts w:ascii="Arial" w:cs="Arial" w:eastAsia="Arial" w:hAnsi="Arial"/>
          <w:sz w:val="16"/>
          <w:szCs w:val="16"/>
          <w:color w:val="auto"/>
        </w:rPr>
        <w:t>“Service revenue” totaled $1.444 billion for the year ended December 31, 2023, a decrease of $167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10.4%, as compared to 2022. The decrease was primarily attributable to lower sales of broadband services and lower sales to our North American Enterprise customers, partially offset by a net increase in broadband services sales to our international enterprise customers.</w:t>
      </w:r>
    </w:p>
    <w:p>
      <w:pPr>
        <w:spacing w:after="0" w:line="144"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b w:val="1"/>
          <w:bCs w:val="1"/>
          <w:i w:val="1"/>
          <w:iCs w:val="1"/>
          <w:color w:val="auto"/>
        </w:rPr>
        <w:t xml:space="preserve">Equipment sales and other revenue. </w:t>
      </w:r>
      <w:r>
        <w:rPr>
          <w:rFonts w:ascii="Arial" w:cs="Arial" w:eastAsia="Arial" w:hAnsi="Arial"/>
          <w:sz w:val="16"/>
          <w:szCs w:val="16"/>
          <w:color w:val="auto"/>
        </w:rPr>
        <w:t>“Equipment sales and other revenue” totaled $312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2023, a decrease of $75 million, or 19.4%, as compared to 2022. The change was primarily attributable to a decrease related to our North American enterprise customers due to lower hardware sales and positive adjustments on certain long-term contracts, and a decrease in hardware sales to our international enterprise customers, partially offset by an increase in sales to our mobile satellite system customers.</w:t>
      </w:r>
    </w:p>
    <w:p>
      <w:pPr>
        <w:spacing w:after="0" w:line="146" w:lineRule="exact"/>
        <w:rPr>
          <w:sz w:val="20"/>
          <w:szCs w:val="20"/>
          <w:color w:val="auto"/>
        </w:rPr>
      </w:pPr>
    </w:p>
    <w:p>
      <w:pPr>
        <w:ind w:left="40" w:right="219"/>
        <w:spacing w:after="0" w:line="256"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totaled $ 531 million for the year ended December 31, 2023, a decrease of $36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6.4%, as compared to 2022. The decrease was primarily attributable to the corresponding decrease in services and revenue.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259"/>
        <w:spacing w:after="0" w:line="256" w:lineRule="auto"/>
        <w:rPr>
          <w:sz w:val="20"/>
          <w:szCs w:val="20"/>
          <w:color w:val="auto"/>
        </w:rPr>
      </w:pPr>
      <w:r>
        <w:rPr>
          <w:rFonts w:ascii="Arial" w:cs="Arial" w:eastAsia="Arial" w:hAnsi="Arial"/>
          <w:sz w:val="16"/>
          <w:szCs w:val="16"/>
          <w:b w:val="1"/>
          <w:bCs w:val="1"/>
          <w:i w:val="1"/>
          <w:iCs w:val="1"/>
          <w:color w:val="auto"/>
        </w:rPr>
        <w:t xml:space="preserve">Cost of sales – equipment and other. </w:t>
      </w:r>
      <w:r>
        <w:rPr>
          <w:rFonts w:ascii="Arial" w:cs="Arial" w:eastAsia="Arial" w:hAnsi="Arial"/>
          <w:sz w:val="16"/>
          <w:szCs w:val="16"/>
          <w:color w:val="auto"/>
        </w:rPr>
        <w:t>“Cost of sales – equipment and other” totaled $242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2023, a decrease of $53 million, or 18.0%, as compared to 2022. The decrease was primarily attributable to the corresponding decrease in equipment revenue.</w:t>
      </w:r>
    </w:p>
    <w:p>
      <w:pPr>
        <w:spacing w:after="0" w:line="149" w:lineRule="exact"/>
        <w:rPr>
          <w:sz w:val="20"/>
          <w:szCs w:val="20"/>
          <w:color w:val="auto"/>
        </w:rPr>
      </w:pPr>
    </w:p>
    <w:p>
      <w:pPr>
        <w:ind w:left="40" w:right="339"/>
        <w:spacing w:after="0" w:line="303" w:lineRule="auto"/>
        <w:rPr>
          <w:sz w:val="20"/>
          <w:szCs w:val="20"/>
          <w:color w:val="auto"/>
        </w:rPr>
      </w:pPr>
      <w:r>
        <w:rPr>
          <w:rFonts w:ascii="Arial" w:cs="Arial" w:eastAsia="Arial" w:hAnsi="Arial"/>
          <w:sz w:val="16"/>
          <w:szCs w:val="16"/>
          <w:b w:val="1"/>
          <w:bCs w:val="1"/>
          <w:i w:val="1"/>
          <w:iCs w:val="1"/>
          <w:color w:val="auto"/>
        </w:rPr>
        <w:t>Selling, general and administrative expenses</w:t>
      </w:r>
      <w:r>
        <w:rPr>
          <w:rFonts w:ascii="Arial" w:cs="Arial" w:eastAsia="Arial" w:hAnsi="Arial"/>
          <w:sz w:val="16"/>
          <w:szCs w:val="16"/>
          <w:color w:val="auto"/>
        </w:rPr>
        <w:t>. “Selling, general and administrative expenses” totaled $486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2023, a decrease of $5 million, or 0.9%, as compared to 2022. The decrease was primarily attributable to decreases in sales and marketing expenses, partially offset by Merger related costs.</w:t>
      </w:r>
    </w:p>
    <w:p>
      <w:pPr>
        <w:spacing w:after="0" w:line="107" w:lineRule="exact"/>
        <w:rPr>
          <w:sz w:val="20"/>
          <w:szCs w:val="20"/>
          <w:color w:val="auto"/>
        </w:rPr>
      </w:pPr>
    </w:p>
    <w:p>
      <w:pPr>
        <w:ind w:left="40" w:right="339"/>
        <w:spacing w:after="0" w:line="252"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9"/>
          <w:szCs w:val="19"/>
          <w:color w:val="auto"/>
        </w:rPr>
        <w:t>“</w:t>
      </w:r>
      <w:r>
        <w:rPr>
          <w:rFonts w:ascii="Arial" w:cs="Arial" w:eastAsia="Arial" w:hAnsi="Arial"/>
          <w:sz w:val="16"/>
          <w:szCs w:val="16"/>
          <w:color w:val="auto"/>
        </w:rPr>
        <w:t>Depreciation and amortization” expense totaled $419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2023, a decrease of $43 million, or 9.4%, as compared to 2022. The decrease was primarily attributable to decreases in other non-satellite depreciation expense, partially offset by increase in satellite depreciation driven by our Al Yah 3 and EchoStar XXIV satellites.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Impairment of long-lived assets and goodwill. “</w:t>
      </w:r>
      <w:r>
        <w:rPr>
          <w:rFonts w:ascii="Arial" w:cs="Arial" w:eastAsia="Arial" w:hAnsi="Arial"/>
          <w:sz w:val="16"/>
          <w:szCs w:val="16"/>
          <w:color w:val="auto"/>
        </w:rPr>
        <w:t>Impairment of long-lived assets and goodwill” totaled $536 million for</w:t>
      </w:r>
    </w:p>
    <w:p>
      <w:pPr>
        <w:spacing w:after="0" w:line="14" w:lineRule="exact"/>
        <w:rPr>
          <w:sz w:val="20"/>
          <w:szCs w:val="20"/>
          <w:color w:val="auto"/>
        </w:rPr>
      </w:pPr>
    </w:p>
    <w:p>
      <w:pPr>
        <w:ind w:left="40" w:right="59"/>
        <w:spacing w:after="0" w:line="245" w:lineRule="auto"/>
        <w:rPr>
          <w:sz w:val="20"/>
          <w:szCs w:val="20"/>
          <w:color w:val="auto"/>
        </w:rPr>
      </w:pPr>
      <w:r>
        <w:rPr>
          <w:rFonts w:ascii="Arial" w:cs="Arial" w:eastAsia="Arial" w:hAnsi="Arial"/>
          <w:sz w:val="16"/>
          <w:szCs w:val="16"/>
          <w:color w:val="auto"/>
        </w:rPr>
        <w:t>the year ended December 31, 2023. This impairment represents a $533 million noncash impairment charge to goodwill and a $3 million noncash impairment for long-lived assets. See Note 2 to the Notes to our Consolidated Financial Statements in this Annual Report on Form 10-K for further information.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CONSOLIDATED RESULTS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Year Ended December 31, 2024 Compared to the Year Ended December 31, 2023.</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8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Statements of Operations Data</w:t>
            </w:r>
          </w:p>
        </w:tc>
        <w:tc>
          <w:tcPr>
            <w:tcW w:w="160" w:type="dxa"/>
            <w:vAlign w:val="bottom"/>
          </w:tcPr>
          <w:p>
            <w:pPr>
              <w:spacing w:after="0"/>
              <w:rPr>
                <w:sz w:val="16"/>
                <w:szCs w:val="16"/>
                <w:color w:val="auto"/>
              </w:rPr>
            </w:pPr>
          </w:p>
        </w:tc>
        <w:tc>
          <w:tcPr>
            <w:tcW w:w="2900" w:type="dxa"/>
            <w:vAlign w:val="bottom"/>
            <w:gridSpan w:val="5"/>
          </w:tcPr>
          <w:p>
            <w:pPr>
              <w:jc w:val="right"/>
              <w:ind w:right="460"/>
              <w:spacing w:after="0"/>
              <w:rPr>
                <w:sz w:val="20"/>
                <w:szCs w:val="20"/>
                <w:color w:val="auto"/>
              </w:rPr>
            </w:pPr>
            <w:r>
              <w:rPr>
                <w:rFonts w:ascii="Arial" w:cs="Arial" w:eastAsia="Arial" w:hAnsi="Arial"/>
                <w:sz w:val="15"/>
                <w:szCs w:val="15"/>
                <w:b w:val="1"/>
                <w:bCs w:val="1"/>
                <w:color w:val="auto"/>
                <w:w w:val="97"/>
              </w:rPr>
              <w:t>For the Years Ended December 31,</w:t>
            </w:r>
          </w:p>
        </w:tc>
        <w:tc>
          <w:tcPr>
            <w:tcW w:w="22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Variance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80" w:type="dxa"/>
            <w:vAlign w:val="bottom"/>
            <w:gridSpan w:val="3"/>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07"/>
              <w:spacing w:after="0" w:line="169" w:lineRule="exact"/>
              <w:rPr>
                <w:sz w:val="20"/>
                <w:szCs w:val="20"/>
                <w:color w:val="auto"/>
              </w:rPr>
            </w:pPr>
            <w:r>
              <w:rPr>
                <w:rFonts w:ascii="Arial" w:cs="Arial" w:eastAsia="Arial" w:hAnsi="Arial"/>
                <w:sz w:val="15"/>
                <w:szCs w:val="15"/>
                <w:b w:val="1"/>
                <w:bCs w:val="1"/>
                <w:color w:val="auto"/>
              </w:rPr>
              <w:t>2024</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07"/>
              <w:spacing w:after="0" w:line="169" w:lineRule="exact"/>
              <w:rPr>
                <w:sz w:val="20"/>
                <w:szCs w:val="20"/>
                <w:color w:val="auto"/>
              </w:rPr>
            </w:pPr>
            <w:r>
              <w:rPr>
                <w:rFonts w:ascii="Arial" w:cs="Arial" w:eastAsia="Arial" w:hAnsi="Arial"/>
                <w:sz w:val="15"/>
                <w:szCs w:val="15"/>
                <w:b w:val="1"/>
                <w:bCs w:val="1"/>
                <w:color w:val="auto"/>
              </w:rPr>
              <w:t>2023</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600"/>
              <w:spacing w:after="0" w:line="169" w:lineRule="exact"/>
              <w:rPr>
                <w:sz w:val="20"/>
                <w:szCs w:val="20"/>
                <w:color w:val="auto"/>
              </w:rPr>
            </w:pPr>
            <w:r>
              <w:rPr>
                <w:rFonts w:ascii="Arial" w:cs="Arial" w:eastAsia="Arial" w:hAnsi="Arial"/>
                <w:sz w:val="15"/>
                <w:szCs w:val="15"/>
                <w:b w:val="1"/>
                <w:bCs w:val="1"/>
                <w:color w:val="auto"/>
              </w:rPr>
              <w:t>Amount</w:t>
            </w:r>
          </w:p>
        </w:tc>
        <w:tc>
          <w:tcPr>
            <w:tcW w:w="760" w:type="dxa"/>
            <w:vAlign w:val="bottom"/>
            <w:tcBorders>
              <w:top w:val="single" w:sz="8" w:color="auto"/>
            </w:tcBorders>
          </w:tcPr>
          <w:p>
            <w:pPr>
              <w:jc w:val="right"/>
              <w:ind w:right="247"/>
              <w:spacing w:after="0" w:line="169"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2"/>
        </w:trPr>
        <w:tc>
          <w:tcPr>
            <w:tcW w:w="2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7"/>
              <w:spacing w:after="0" w:line="161" w:lineRule="exact"/>
              <w:rPr>
                <w:sz w:val="20"/>
                <w:szCs w:val="20"/>
                <w:color w:val="auto"/>
              </w:rPr>
            </w:pPr>
            <w:r>
              <w:rPr>
                <w:rFonts w:ascii="Arial" w:cs="Arial" w:eastAsia="Arial" w:hAnsi="Arial"/>
                <w:sz w:val="15"/>
                <w:szCs w:val="15"/>
                <w:color w:val="auto"/>
              </w:rPr>
              <w:t>(In thousands)</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Operating income (loss)</w:t>
            </w: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(304,070)</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(277,909)</w:t>
            </w:r>
          </w:p>
        </w:tc>
        <w:tc>
          <w:tcPr>
            <w:tcW w:w="220" w:type="dxa"/>
            <w:vAlign w:val="bottom"/>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(26,161)</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Other income (expense):</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gridSpan w:val="3"/>
          </w:tcPr>
          <w:p>
            <w:pPr>
              <w:spacing w:after="0" w:line="169" w:lineRule="exact"/>
              <w:rPr>
                <w:sz w:val="20"/>
                <w:szCs w:val="20"/>
                <w:color w:val="auto"/>
              </w:rPr>
            </w:pPr>
            <w:r>
              <w:rPr>
                <w:rFonts w:ascii="Arial" w:cs="Arial" w:eastAsia="Arial" w:hAnsi="Arial"/>
                <w:sz w:val="15"/>
                <w:szCs w:val="15"/>
                <w:color w:val="auto"/>
              </w:rPr>
              <w:t>Interest income</w:t>
            </w:r>
          </w:p>
        </w:tc>
        <w:tc>
          <w:tcPr>
            <w:tcW w:w="16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116,625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207,374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(90,749)</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(43.8)</w:t>
            </w:r>
          </w:p>
        </w:tc>
        <w:tc>
          <w:tcPr>
            <w:tcW w:w="0" w:type="dxa"/>
            <w:vAlign w:val="bottom"/>
          </w:tcPr>
          <w:p>
            <w:pPr>
              <w:spacing w:after="0"/>
              <w:rPr>
                <w:sz w:val="1"/>
                <w:szCs w:val="1"/>
                <w:color w:val="auto"/>
              </w:rPr>
            </w:pPr>
          </w:p>
        </w:tc>
      </w:tr>
      <w:tr>
        <w:trPr>
          <w:trHeight w:val="169"/>
        </w:trPr>
        <w:tc>
          <w:tcPr>
            <w:tcW w:w="35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Interest expense, net of amounts capitalized</w:t>
            </w: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(481,622)</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(90,357)</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(391,265)</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580" w:type="dxa"/>
            <w:vAlign w:val="bottom"/>
            <w:gridSpan w:val="3"/>
          </w:tcPr>
          <w:p>
            <w:pPr>
              <w:spacing w:after="0" w:line="169" w:lineRule="exact"/>
              <w:rPr>
                <w:sz w:val="20"/>
                <w:szCs w:val="20"/>
                <w:color w:val="auto"/>
              </w:rPr>
            </w:pPr>
            <w:r>
              <w:rPr>
                <w:rFonts w:ascii="Arial" w:cs="Arial" w:eastAsia="Arial" w:hAnsi="Arial"/>
                <w:sz w:val="15"/>
                <w:szCs w:val="15"/>
                <w:color w:val="auto"/>
              </w:rPr>
              <w:t>Other, net</w:t>
            </w:r>
          </w:p>
        </w:tc>
        <w:tc>
          <w:tcPr>
            <w:tcW w:w="16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593,497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(1,770,792)</w:t>
            </w:r>
          </w:p>
        </w:tc>
        <w:tc>
          <w:tcPr>
            <w:tcW w:w="22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2,364,289</w:t>
            </w:r>
          </w:p>
        </w:tc>
        <w:tc>
          <w:tcPr>
            <w:tcW w:w="22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580" w:type="dxa"/>
            <w:vAlign w:val="bottom"/>
            <w:tcBorders>
              <w:top w:val="single" w:sz="8" w:color="CCEEFF"/>
            </w:tcBorders>
            <w:gridSpan w:val="3"/>
            <w:shd w:val="clear" w:color="auto" w:fill="CCEEFF"/>
          </w:tcPr>
          <w:p>
            <w:pPr>
              <w:spacing w:after="0" w:line="161" w:lineRule="exact"/>
              <w:rPr>
                <w:sz w:val="20"/>
                <w:szCs w:val="20"/>
                <w:color w:val="auto"/>
              </w:rPr>
            </w:pPr>
            <w:r>
              <w:rPr>
                <w:rFonts w:ascii="Arial" w:cs="Arial" w:eastAsia="Arial" w:hAnsi="Arial"/>
                <w:sz w:val="15"/>
                <w:szCs w:val="15"/>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228,500</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(1,653,775)</w:t>
            </w:r>
          </w:p>
        </w:tc>
        <w:tc>
          <w:tcPr>
            <w:tcW w:w="2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1,882,275</w:t>
            </w:r>
          </w:p>
        </w:tc>
        <w:tc>
          <w:tcPr>
            <w:tcW w:w="2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Income (loss) before income taxes</w:t>
            </w: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(75,570)</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(1,931,684)</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1,856,114</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96.1</w:t>
            </w:r>
          </w:p>
        </w:tc>
        <w:tc>
          <w:tcPr>
            <w:tcW w:w="0" w:type="dxa"/>
            <w:vAlign w:val="bottom"/>
          </w:tcPr>
          <w:p>
            <w:pPr>
              <w:spacing w:after="0"/>
              <w:rPr>
                <w:sz w:val="1"/>
                <w:szCs w:val="1"/>
                <w:color w:val="auto"/>
              </w:rPr>
            </w:pPr>
          </w:p>
        </w:tc>
      </w:tr>
      <w:tr>
        <w:trPr>
          <w:trHeight w:val="169"/>
        </w:trPr>
        <w:tc>
          <w:tcPr>
            <w:tcW w:w="3580" w:type="dxa"/>
            <w:vAlign w:val="bottom"/>
            <w:gridSpan w:val="3"/>
          </w:tcPr>
          <w:p>
            <w:pPr>
              <w:spacing w:after="0" w:line="169" w:lineRule="exact"/>
              <w:rPr>
                <w:sz w:val="20"/>
                <w:szCs w:val="20"/>
                <w:color w:val="auto"/>
              </w:rPr>
            </w:pPr>
            <w:r>
              <w:rPr>
                <w:rFonts w:ascii="Arial" w:cs="Arial" w:eastAsia="Arial" w:hAnsi="Arial"/>
                <w:sz w:val="15"/>
                <w:szCs w:val="15"/>
                <w:color w:val="auto"/>
              </w:rPr>
              <w:t>Income tax (provision) benefit, net</w:t>
            </w:r>
          </w:p>
        </w:tc>
        <w:tc>
          <w:tcPr>
            <w:tcW w:w="160" w:type="dxa"/>
            <w:vAlign w:val="bottom"/>
          </w:tcPr>
          <w:p>
            <w:pPr>
              <w:spacing w:after="0"/>
              <w:rPr>
                <w:sz w:val="14"/>
                <w:szCs w:val="14"/>
                <w:color w:val="auto"/>
              </w:rPr>
            </w:pPr>
          </w:p>
        </w:tc>
        <w:tc>
          <w:tcPr>
            <w:tcW w:w="13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(48,945)</w:t>
            </w:r>
          </w:p>
        </w:tc>
        <w:tc>
          <w:tcPr>
            <w:tcW w:w="14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5"/>
                <w:szCs w:val="15"/>
                <w:color w:val="auto"/>
              </w:rPr>
              <w:t>296,860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(345,805)</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580" w:type="dxa"/>
            <w:vAlign w:val="bottom"/>
            <w:gridSpan w:val="3"/>
            <w:shd w:val="clear" w:color="auto" w:fill="CCEEFF"/>
          </w:tcPr>
          <w:p>
            <w:pPr>
              <w:ind w:left="100"/>
              <w:spacing w:after="0" w:line="169" w:lineRule="exact"/>
              <w:rPr>
                <w:sz w:val="20"/>
                <w:szCs w:val="20"/>
                <w:color w:val="auto"/>
              </w:rPr>
            </w:pPr>
            <w:r>
              <w:rPr>
                <w:rFonts w:ascii="Arial" w:cs="Arial" w:eastAsia="Arial" w:hAnsi="Arial"/>
                <w:sz w:val="15"/>
                <w:szCs w:val="15"/>
                <w:b w:val="1"/>
                <w:bCs w:val="1"/>
                <w:color w:val="auto"/>
              </w:rPr>
              <w:t>Effective tax rate</w:t>
            </w: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(64.8)%</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15.4 %</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3"/>
          </w:tcPr>
          <w:p>
            <w:pPr>
              <w:spacing w:after="0" w:line="161" w:lineRule="exact"/>
              <w:rPr>
                <w:sz w:val="20"/>
                <w:szCs w:val="20"/>
                <w:color w:val="auto"/>
              </w:rPr>
            </w:pPr>
            <w:r>
              <w:rPr>
                <w:rFonts w:ascii="Arial" w:cs="Arial" w:eastAsia="Arial" w:hAnsi="Arial"/>
                <w:sz w:val="15"/>
                <w:szCs w:val="15"/>
                <w:color w:val="auto"/>
              </w:rPr>
              <w:t>Net income (loss)</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(124,515)</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(1,634,824)</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1,510,309</w:t>
            </w:r>
          </w:p>
        </w:tc>
        <w:tc>
          <w:tcPr>
            <w:tcW w:w="220" w:type="dxa"/>
            <w:vAlign w:val="bottom"/>
          </w:tcPr>
          <w:p>
            <w:pPr>
              <w:spacing w:after="0"/>
              <w:rPr>
                <w:sz w:val="14"/>
                <w:szCs w:val="14"/>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5"/>
                <w:szCs w:val="15"/>
                <w:color w:val="auto"/>
              </w:rPr>
              <w:t>92.4</w:t>
            </w:r>
          </w:p>
        </w:tc>
        <w:tc>
          <w:tcPr>
            <w:tcW w:w="0" w:type="dxa"/>
            <w:vAlign w:val="bottom"/>
          </w:tcPr>
          <w:p>
            <w:pPr>
              <w:spacing w:after="0"/>
              <w:rPr>
                <w:sz w:val="1"/>
                <w:szCs w:val="1"/>
                <w:color w:val="auto"/>
              </w:rPr>
            </w:pPr>
          </w:p>
        </w:tc>
      </w:tr>
      <w:tr>
        <w:trPr>
          <w:trHeight w:val="157"/>
        </w:trPr>
        <w:tc>
          <w:tcPr>
            <w:tcW w:w="3580" w:type="dxa"/>
            <w:vAlign w:val="bottom"/>
            <w:gridSpan w:val="3"/>
            <w:shd w:val="clear" w:color="auto" w:fill="CCEEFF"/>
          </w:tcPr>
          <w:p>
            <w:pPr>
              <w:ind w:left="100"/>
              <w:spacing w:after="0" w:line="157" w:lineRule="exact"/>
              <w:rPr>
                <w:sz w:val="20"/>
                <w:szCs w:val="20"/>
                <w:color w:val="auto"/>
              </w:rPr>
            </w:pPr>
            <w:r>
              <w:rPr>
                <w:rFonts w:ascii="Arial" w:cs="Arial" w:eastAsia="Arial" w:hAnsi="Arial"/>
                <w:sz w:val="15"/>
                <w:szCs w:val="15"/>
                <w:color w:val="auto"/>
              </w:rPr>
              <w:t>Less: Net income (loss) attributable to</w:t>
            </w: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58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noncontrolling interests, net of tax</w:t>
            </w:r>
          </w:p>
        </w:tc>
        <w:tc>
          <w:tcPr>
            <w:tcW w:w="1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(4,969)</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67,233</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(72,202)</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580" w:type="dxa"/>
            <w:vAlign w:val="bottom"/>
            <w:gridSpan w:val="3"/>
          </w:tcPr>
          <w:p>
            <w:pPr>
              <w:spacing w:after="0" w:line="161" w:lineRule="exact"/>
              <w:rPr>
                <w:sz w:val="20"/>
                <w:szCs w:val="20"/>
                <w:color w:val="auto"/>
              </w:rPr>
            </w:pPr>
            <w:r>
              <w:rPr>
                <w:rFonts w:ascii="Arial" w:cs="Arial" w:eastAsia="Arial" w:hAnsi="Arial"/>
                <w:sz w:val="15"/>
                <w:szCs w:val="15"/>
                <w:color w:val="auto"/>
              </w:rPr>
              <w:t>Net income (loss) attributable to EchoStar</w:t>
            </w:r>
          </w:p>
        </w:tc>
        <w:tc>
          <w:tcPr>
            <w:tcW w:w="160" w:type="dxa"/>
            <w:vAlign w:val="bottom"/>
            <w:tcBorders>
              <w:top w:val="single" w:sz="8" w:color="auto"/>
              <w:bottom w:val="single" w:sz="8" w:color="auto"/>
            </w:tcBorders>
          </w:tcPr>
          <w:p>
            <w:pPr>
              <w:jc w:val="right"/>
              <w:ind w:right="7"/>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(119,546)</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(1,702,057)</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7"/>
              <w:spacing w:after="0" w:line="161"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1,582,511</w:t>
            </w:r>
          </w:p>
        </w:tc>
        <w:tc>
          <w:tcPr>
            <w:tcW w:w="220" w:type="dxa"/>
            <w:vAlign w:val="bottom"/>
          </w:tcPr>
          <w:p>
            <w:pPr>
              <w:spacing w:after="0"/>
              <w:rPr>
                <w:sz w:val="14"/>
                <w:szCs w:val="14"/>
                <w:color w:val="auto"/>
              </w:rPr>
            </w:pPr>
          </w:p>
        </w:tc>
        <w:tc>
          <w:tcPr>
            <w:tcW w:w="760" w:type="dxa"/>
            <w:vAlign w:val="bottom"/>
          </w:tcPr>
          <w:p>
            <w:pPr>
              <w:jc w:val="right"/>
              <w:spacing w:after="0" w:line="161" w:lineRule="exact"/>
              <w:rPr>
                <w:sz w:val="20"/>
                <w:szCs w:val="20"/>
                <w:color w:val="auto"/>
              </w:rPr>
            </w:pPr>
            <w:r>
              <w:rPr>
                <w:rFonts w:ascii="Arial" w:cs="Arial" w:eastAsia="Arial" w:hAnsi="Arial"/>
                <w:sz w:val="15"/>
                <w:szCs w:val="15"/>
                <w:color w:val="auto"/>
              </w:rPr>
              <w:t>93.0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24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hanging="298"/>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179" w:lineRule="exact"/>
        <w:rPr>
          <w:sz w:val="20"/>
          <w:szCs w:val="20"/>
          <w:color w:val="auto"/>
        </w:rPr>
      </w:pPr>
    </w:p>
    <w:p>
      <w:pPr>
        <w:jc w:val="both"/>
        <w:ind w:left="40" w:right="99"/>
        <w:spacing w:after="0" w:line="256"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totaled $117 million during the year ended December 31, 2024, a decrease of $91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same period in 2023. This decrease primarily resulted from lower average cash and marketable investment securities balances during the year ended December 31, 2024.</w:t>
      </w:r>
    </w:p>
    <w:p>
      <w:pPr>
        <w:spacing w:after="0" w:line="137" w:lineRule="exact"/>
        <w:rPr>
          <w:sz w:val="20"/>
          <w:szCs w:val="20"/>
          <w:color w:val="auto"/>
        </w:rPr>
      </w:pPr>
    </w:p>
    <w:p>
      <w:pPr>
        <w:ind w:left="40" w:right="99" w:hanging="6"/>
        <w:spacing w:after="0" w:line="241" w:lineRule="auto"/>
        <w:rPr>
          <w:sz w:val="20"/>
          <w:szCs w:val="20"/>
          <w:color w:val="auto"/>
        </w:rPr>
      </w:pPr>
      <w:r>
        <w:rPr>
          <w:rFonts w:ascii="Arial" w:cs="Arial" w:eastAsia="Arial" w:hAnsi="Arial"/>
          <w:sz w:val="16"/>
          <w:szCs w:val="16"/>
          <w:b w:val="1"/>
          <w:bCs w:val="1"/>
          <w:i w:val="1"/>
          <w:iCs w:val="1"/>
          <w:color w:val="auto"/>
        </w:rPr>
        <w:t xml:space="preserve">Interest expense, net of amounts capitalized. </w:t>
      </w:r>
      <w:r>
        <w:rPr>
          <w:rFonts w:ascii="Arial" w:cs="Arial" w:eastAsia="Arial" w:hAnsi="Arial"/>
          <w:sz w:val="16"/>
          <w:szCs w:val="16"/>
          <w:color w:val="auto"/>
        </w:rPr>
        <w:t>“Interest expense, net of amounts capitalized” totaled $482 million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year ended December 31, 2024, an increase of $391 million compared to the same period in 2023. During the year ended December 31, 2024, as the qualifying assets, including markets within certain bands of wireless spectrum licenses, have been placed into service with the deployment of our 5G Network, we no longer capitalize interest on those assets and as a result, capitalized interest was reduced by $230 million, and interest expense increased. See Note 2 to the Notes to our Consolidated Financial Statements in this Annual Report on Form 10-K for further information. In addition, this increase resulted from the DISH DBS Financing and issuance of new senior secured and convertible notes, partially offset by the redemption of debt that matured in March and November 2024 and the extinguishment of our </w:t>
      </w:r>
      <w:r>
        <w:rPr>
          <w:rFonts w:ascii="Arial" w:cs="Arial" w:eastAsia="Arial" w:hAnsi="Arial"/>
          <w:sz w:val="16"/>
          <w:szCs w:val="16"/>
          <w:color w:val="222222"/>
        </w:rPr>
        <w:t>Existing DISH Convertible</w:t>
      </w:r>
      <w:r>
        <w:rPr>
          <w:rFonts w:ascii="Arial" w:cs="Arial" w:eastAsia="Arial" w:hAnsi="Arial"/>
          <w:sz w:val="16"/>
          <w:szCs w:val="16"/>
          <w:color w:val="auto"/>
        </w:rPr>
        <w:t xml:space="preserve"> </w:t>
      </w:r>
      <w:r>
        <w:rPr>
          <w:rFonts w:ascii="Arial" w:cs="Arial" w:eastAsia="Arial" w:hAnsi="Arial"/>
          <w:sz w:val="16"/>
          <w:szCs w:val="16"/>
          <w:color w:val="222222"/>
        </w:rPr>
        <w:t xml:space="preserve">Notes in connection with the EchoStar Exchange Offers, as defined and detailed in </w:t>
      </w:r>
      <w:r>
        <w:rPr>
          <w:rFonts w:ascii="Arial" w:cs="Arial" w:eastAsia="Arial" w:hAnsi="Arial"/>
          <w:sz w:val="16"/>
          <w:szCs w:val="16"/>
          <w:color w:val="000000"/>
        </w:rPr>
        <w:t>Note 10 to the Notes to our Consolidated</w:t>
      </w:r>
      <w:r>
        <w:rPr>
          <w:rFonts w:ascii="Arial" w:cs="Arial" w:eastAsia="Arial" w:hAnsi="Arial"/>
          <w:sz w:val="16"/>
          <w:szCs w:val="16"/>
          <w:color w:val="222222"/>
        </w:rPr>
        <w:t xml:space="preserve"> </w:t>
      </w:r>
      <w:r>
        <w:rPr>
          <w:rFonts w:ascii="Arial" w:cs="Arial" w:eastAsia="Arial" w:hAnsi="Arial"/>
          <w:sz w:val="16"/>
          <w:szCs w:val="16"/>
          <w:color w:val="000000"/>
        </w:rPr>
        <w:t>Financial Statements in this Annual Report on Form 10-K.</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“Other, net” income totaled $593 million during the year ended December 31, 2024, compared to expense of</w:t>
      </w:r>
    </w:p>
    <w:p>
      <w:pPr>
        <w:spacing w:after="0" w:line="14" w:lineRule="exact"/>
        <w:rPr>
          <w:sz w:val="20"/>
          <w:szCs w:val="20"/>
          <w:color w:val="auto"/>
        </w:rPr>
      </w:pPr>
    </w:p>
    <w:p>
      <w:pPr>
        <w:ind w:left="40" w:right="59"/>
        <w:spacing w:after="0" w:line="239" w:lineRule="auto"/>
        <w:rPr>
          <w:sz w:val="20"/>
          <w:szCs w:val="20"/>
          <w:color w:val="auto"/>
        </w:rPr>
      </w:pPr>
      <w:r>
        <w:rPr>
          <w:rFonts w:ascii="Arial" w:cs="Arial" w:eastAsia="Arial" w:hAnsi="Arial"/>
          <w:sz w:val="16"/>
          <w:szCs w:val="16"/>
          <w:color w:val="auto"/>
        </w:rPr>
        <w:t>$1.771 billion during the same period in 2023. The year ended December 31, 2024 was positively impacted by a gain on debt extinguishment of $689 million and a $ 50 million gain on the Liberty Puerto Rico Asset Sale. The year ended December 31, 2024 was also negatively impacted by a $73 million loss in equity in earnings, including $63 million from our portion of Invidi’s goodwill impairment, and $73 million in net losses and impairments on marketable and non-marketable investment securities. See Note 6, Note 10 and Note 15 to the Notes to our Consolidated Financial Statements in this Annual Report on Form 10-K for further information. The year ended December 31, 2023 was negatively impacted by a $1.793 billion decrease in the fair value of our option to purchase certain of T-Mobile’s 800 MHz spectrum licenses and $26 million in net losses and impairments on marketable and non-marketable investment securities, partially offset by $73 million of early debt extinguishment gains from the repurchases of our convertible notes.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219"/>
        <w:spacing w:after="0" w:line="249" w:lineRule="auto"/>
        <w:rPr>
          <w:sz w:val="20"/>
          <w:szCs w:val="20"/>
          <w:color w:val="auto"/>
        </w:rPr>
      </w:pPr>
      <w:r>
        <w:rPr>
          <w:rFonts w:ascii="Arial" w:cs="Arial" w:eastAsia="Arial" w:hAnsi="Arial"/>
          <w:sz w:val="16"/>
          <w:szCs w:val="16"/>
          <w:b w:val="1"/>
          <w:bCs w:val="1"/>
          <w:i w:val="1"/>
          <w:iCs w:val="1"/>
          <w:color w:val="auto"/>
        </w:rPr>
        <w:t xml:space="preserve">Income tax (provision) benefit, net. </w:t>
      </w:r>
      <w:r>
        <w:rPr>
          <w:rFonts w:ascii="Arial" w:cs="Arial" w:eastAsia="Arial" w:hAnsi="Arial"/>
          <w:sz w:val="16"/>
          <w:szCs w:val="16"/>
          <w:color w:val="auto"/>
        </w:rPr>
        <w:t>Our income tax provision was $49 million during the year ended December 31, 2024,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 benefit of $297 million for the same period in 2023. The change was primarily related to a decrease in “Income (loss) before income taxes” and the change in our effective tax rate. Our effective tax rate during the year ended December 31, 2024 was impacted by federal, state and foreign valuation allowances.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1" w:name="page92"/>
    <w:bookmarkEnd w:id="9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Year Ended December 31, 2023 Compared to the Year Ended December 31, 2022.</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2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Statements of Operations Data</w:t>
            </w:r>
          </w:p>
        </w:tc>
        <w:tc>
          <w:tcPr>
            <w:tcW w:w="140" w:type="dxa"/>
            <w:vAlign w:val="bottom"/>
          </w:tcPr>
          <w:p>
            <w:pPr>
              <w:spacing w:after="0"/>
              <w:rPr>
                <w:sz w:val="16"/>
                <w:szCs w:val="16"/>
                <w:color w:val="auto"/>
              </w:rPr>
            </w:pPr>
          </w:p>
        </w:tc>
        <w:tc>
          <w:tcPr>
            <w:tcW w:w="2880" w:type="dxa"/>
            <w:vAlign w:val="bottom"/>
            <w:gridSpan w:val="5"/>
          </w:tcPr>
          <w:p>
            <w:pPr>
              <w:jc w:val="right"/>
              <w:ind w:right="440"/>
              <w:spacing w:after="0"/>
              <w:rPr>
                <w:sz w:val="20"/>
                <w:szCs w:val="20"/>
                <w:color w:val="auto"/>
              </w:rPr>
            </w:pPr>
            <w:r>
              <w:rPr>
                <w:rFonts w:ascii="Arial" w:cs="Arial" w:eastAsia="Arial" w:hAnsi="Arial"/>
                <w:sz w:val="15"/>
                <w:szCs w:val="15"/>
                <w:b w:val="1"/>
                <w:bCs w:val="1"/>
                <w:color w:val="auto"/>
                <w:w w:val="97"/>
              </w:rPr>
              <w:t>For the Years Ended December 31,</w:t>
            </w:r>
          </w:p>
        </w:tc>
        <w:tc>
          <w:tcPr>
            <w:tcW w:w="180" w:type="dxa"/>
            <w:vAlign w:val="bottom"/>
          </w:tcPr>
          <w:p>
            <w:pPr>
              <w:spacing w:after="0"/>
              <w:rPr>
                <w:sz w:val="16"/>
                <w:szCs w:val="16"/>
                <w:color w:val="auto"/>
              </w:rPr>
            </w:pPr>
          </w:p>
        </w:tc>
        <w:tc>
          <w:tcPr>
            <w:tcW w:w="1140" w:type="dxa"/>
            <w:vAlign w:val="bottom"/>
            <w:gridSpan w:val="3"/>
          </w:tcPr>
          <w:p>
            <w:pPr>
              <w:ind w:left="500"/>
              <w:spacing w:after="0"/>
              <w:rPr>
                <w:sz w:val="20"/>
                <w:szCs w:val="20"/>
                <w:color w:val="auto"/>
              </w:rPr>
            </w:pPr>
            <w:r>
              <w:rPr>
                <w:rFonts w:ascii="Arial" w:cs="Arial" w:eastAsia="Arial" w:hAnsi="Arial"/>
                <w:sz w:val="15"/>
                <w:szCs w:val="15"/>
                <w:b w:val="1"/>
                <w:bCs w:val="1"/>
                <w:color w:val="auto"/>
                <w:w w:val="99"/>
              </w:rPr>
              <w:t>Variance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20" w:type="dxa"/>
            <w:vAlign w:val="bottom"/>
            <w:gridSpan w:val="3"/>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07"/>
              <w:spacing w:after="0" w:line="169" w:lineRule="exact"/>
              <w:rPr>
                <w:sz w:val="20"/>
                <w:szCs w:val="20"/>
                <w:color w:val="auto"/>
              </w:rPr>
            </w:pPr>
            <w:r>
              <w:rPr>
                <w:rFonts w:ascii="Arial" w:cs="Arial" w:eastAsia="Arial" w:hAnsi="Arial"/>
                <w:sz w:val="15"/>
                <w:szCs w:val="15"/>
                <w:b w:val="1"/>
                <w:bCs w:val="1"/>
                <w:color w:val="auto"/>
              </w:rPr>
              <w:t>2023</w:t>
            </w: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407"/>
              <w:spacing w:after="0" w:line="169" w:lineRule="exact"/>
              <w:rPr>
                <w:sz w:val="20"/>
                <w:szCs w:val="20"/>
                <w:color w:val="auto"/>
              </w:rPr>
            </w:pPr>
            <w:r>
              <w:rPr>
                <w:rFonts w:ascii="Arial" w:cs="Arial" w:eastAsia="Arial" w:hAnsi="Arial"/>
                <w:sz w:val="15"/>
                <w:szCs w:val="15"/>
                <w:b w:val="1"/>
                <w:bCs w:val="1"/>
                <w:color w:val="auto"/>
              </w:rPr>
              <w:t>2022</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3"/>
          </w:tcPr>
          <w:p>
            <w:pPr>
              <w:ind w:left="100"/>
              <w:spacing w:after="0" w:line="169" w:lineRule="exact"/>
              <w:rPr>
                <w:sz w:val="20"/>
                <w:szCs w:val="20"/>
                <w:color w:val="auto"/>
              </w:rPr>
            </w:pPr>
            <w:r>
              <w:rPr>
                <w:rFonts w:ascii="Arial" w:cs="Arial" w:eastAsia="Arial" w:hAnsi="Arial"/>
                <w:sz w:val="15"/>
                <w:szCs w:val="15"/>
                <w:b w:val="1"/>
                <w:bCs w:val="1"/>
                <w:color w:val="auto"/>
              </w:rPr>
              <w:t>Amount</w:t>
            </w:r>
          </w:p>
        </w:tc>
        <w:tc>
          <w:tcPr>
            <w:tcW w:w="660" w:type="dxa"/>
            <w:vAlign w:val="bottom"/>
            <w:tcBorders>
              <w:top w:val="single" w:sz="8" w:color="auto"/>
            </w:tcBorders>
          </w:tcPr>
          <w:p>
            <w:pPr>
              <w:jc w:val="right"/>
              <w:ind w:right="187"/>
              <w:spacing w:after="0" w:line="169"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2"/>
        </w:trPr>
        <w:tc>
          <w:tcPr>
            <w:tcW w:w="2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87"/>
              <w:spacing w:after="0" w:line="161" w:lineRule="exact"/>
              <w:rPr>
                <w:sz w:val="20"/>
                <w:szCs w:val="20"/>
                <w:color w:val="auto"/>
              </w:rPr>
            </w:pPr>
            <w:r>
              <w:rPr>
                <w:rFonts w:ascii="Arial" w:cs="Arial" w:eastAsia="Arial" w:hAnsi="Arial"/>
                <w:sz w:val="15"/>
                <w:szCs w:val="15"/>
                <w:color w:val="auto"/>
                <w:w w:val="95"/>
              </w:rPr>
              <w:t>(In thousands)</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Operating income (loss)</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(277,909)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2,232,838</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(2,510,747)</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Other income (expense):</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3"/>
          </w:tcPr>
          <w:p>
            <w:pPr>
              <w:spacing w:after="0" w:line="169" w:lineRule="exact"/>
              <w:rPr>
                <w:sz w:val="20"/>
                <w:szCs w:val="20"/>
                <w:color w:val="auto"/>
              </w:rPr>
            </w:pPr>
            <w:r>
              <w:rPr>
                <w:rFonts w:ascii="Arial" w:cs="Arial" w:eastAsia="Arial" w:hAnsi="Arial"/>
                <w:sz w:val="15"/>
                <w:szCs w:val="15"/>
                <w:color w:val="auto"/>
              </w:rPr>
              <w:t>Interest income</w:t>
            </w:r>
          </w:p>
        </w:tc>
        <w:tc>
          <w:tcPr>
            <w:tcW w:w="1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207,374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93,240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114,134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92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Interest expense, net of amounts capitalized</w:t>
            </w: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(90,357)</w:t>
            </w:r>
          </w:p>
        </w:tc>
        <w:tc>
          <w:tcPr>
            <w:tcW w:w="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(79,217)</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(11,140)</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169"/>
        </w:trPr>
        <w:tc>
          <w:tcPr>
            <w:tcW w:w="3920" w:type="dxa"/>
            <w:vAlign w:val="bottom"/>
            <w:gridSpan w:val="3"/>
          </w:tcPr>
          <w:p>
            <w:pPr>
              <w:spacing w:after="0" w:line="169" w:lineRule="exact"/>
              <w:rPr>
                <w:sz w:val="20"/>
                <w:szCs w:val="20"/>
                <w:color w:val="auto"/>
              </w:rPr>
            </w:pPr>
            <w:r>
              <w:rPr>
                <w:rFonts w:ascii="Arial" w:cs="Arial" w:eastAsia="Arial" w:hAnsi="Arial"/>
                <w:sz w:val="15"/>
                <w:szCs w:val="15"/>
                <w:color w:val="auto"/>
              </w:rPr>
              <w:t>Other, net</w:t>
            </w:r>
          </w:p>
        </w:tc>
        <w:tc>
          <w:tcPr>
            <w:tcW w:w="140" w:type="dxa"/>
            <w:vAlign w:val="bottom"/>
          </w:tcPr>
          <w:p>
            <w:pPr>
              <w:spacing w:after="0"/>
              <w:rPr>
                <w:sz w:val="14"/>
                <w:szCs w:val="14"/>
                <w:color w:val="auto"/>
              </w:rPr>
            </w:pPr>
          </w:p>
        </w:tc>
        <w:tc>
          <w:tcPr>
            <w:tcW w:w="13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(1,770,792)</w:t>
            </w:r>
          </w:p>
        </w:tc>
        <w:tc>
          <w:tcPr>
            <w:tcW w:w="8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1,088,441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(2,859,233)</w:t>
            </w:r>
          </w:p>
        </w:tc>
        <w:tc>
          <w:tcPr>
            <w:tcW w:w="2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920" w:type="dxa"/>
            <w:vAlign w:val="bottom"/>
            <w:tcBorders>
              <w:top w:val="single" w:sz="8" w:color="CCEEFF"/>
            </w:tcBorders>
            <w:gridSpan w:val="3"/>
            <w:shd w:val="clear" w:color="auto" w:fill="CCEEFF"/>
          </w:tcPr>
          <w:p>
            <w:pPr>
              <w:spacing w:after="0" w:line="161" w:lineRule="exact"/>
              <w:rPr>
                <w:sz w:val="20"/>
                <w:szCs w:val="20"/>
                <w:color w:val="auto"/>
              </w:rPr>
            </w:pPr>
            <w:r>
              <w:rPr>
                <w:rFonts w:ascii="Arial" w:cs="Arial" w:eastAsia="Arial" w:hAnsi="Arial"/>
                <w:sz w:val="15"/>
                <w:szCs w:val="15"/>
                <w:color w:val="auto"/>
              </w:rPr>
              <w:t>Total other income (expense)</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(1,653,775)</w:t>
            </w: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1,102,464</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(2,756,239)</w:t>
            </w: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Income (loss) before income taxes</w:t>
            </w: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(1,931,684)</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3,335,302</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(5,266,986)</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920" w:type="dxa"/>
            <w:vAlign w:val="bottom"/>
            <w:gridSpan w:val="3"/>
          </w:tcPr>
          <w:p>
            <w:pPr>
              <w:spacing w:after="0" w:line="169" w:lineRule="exact"/>
              <w:rPr>
                <w:sz w:val="20"/>
                <w:szCs w:val="20"/>
                <w:color w:val="auto"/>
              </w:rPr>
            </w:pPr>
            <w:r>
              <w:rPr>
                <w:rFonts w:ascii="Arial" w:cs="Arial" w:eastAsia="Arial" w:hAnsi="Arial"/>
                <w:sz w:val="15"/>
                <w:szCs w:val="15"/>
                <w:color w:val="auto"/>
              </w:rPr>
              <w:t>Income tax (provision) benefit, net</w:t>
            </w:r>
          </w:p>
        </w:tc>
        <w:tc>
          <w:tcPr>
            <w:tcW w:w="1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296,860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(798,410)</w:t>
            </w:r>
          </w:p>
        </w:tc>
        <w:tc>
          <w:tcPr>
            <w:tcW w:w="18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1,095,270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920" w:type="dxa"/>
            <w:vAlign w:val="bottom"/>
            <w:gridSpan w:val="3"/>
            <w:shd w:val="clear" w:color="auto" w:fill="CCEEFF"/>
          </w:tcPr>
          <w:p>
            <w:pPr>
              <w:ind w:left="100"/>
              <w:spacing w:after="0" w:line="169" w:lineRule="exact"/>
              <w:rPr>
                <w:sz w:val="20"/>
                <w:szCs w:val="20"/>
                <w:color w:val="auto"/>
              </w:rPr>
            </w:pPr>
            <w:r>
              <w:rPr>
                <w:rFonts w:ascii="Arial" w:cs="Arial" w:eastAsia="Arial" w:hAnsi="Arial"/>
                <w:sz w:val="15"/>
                <w:szCs w:val="15"/>
                <w:b w:val="1"/>
                <w:bCs w:val="1"/>
                <w:color w:val="auto"/>
              </w:rPr>
              <w:t>Effective tax rate</w:t>
            </w: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15.4 %</w:t>
            </w:r>
          </w:p>
        </w:tc>
        <w:tc>
          <w:tcPr>
            <w:tcW w:w="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b w:val="1"/>
                <w:bCs w:val="1"/>
                <w:color w:val="auto"/>
              </w:rPr>
              <w:t>23.9 %</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3"/>
          </w:tcPr>
          <w:p>
            <w:pPr>
              <w:spacing w:after="0" w:line="161" w:lineRule="exact"/>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(1,634,824)</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2,536,892</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(4,171,716)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3920" w:type="dxa"/>
            <w:vAlign w:val="bottom"/>
            <w:gridSpan w:val="3"/>
            <w:shd w:val="clear" w:color="auto" w:fill="CCEEFF"/>
          </w:tcPr>
          <w:p>
            <w:pPr>
              <w:ind w:left="100"/>
              <w:spacing w:after="0" w:line="157" w:lineRule="exact"/>
              <w:rPr>
                <w:sz w:val="20"/>
                <w:szCs w:val="20"/>
                <w:color w:val="auto"/>
              </w:rPr>
            </w:pPr>
            <w:r>
              <w:rPr>
                <w:rFonts w:ascii="Arial" w:cs="Arial" w:eastAsia="Arial" w:hAnsi="Arial"/>
                <w:sz w:val="15"/>
                <w:szCs w:val="15"/>
                <w:color w:val="auto"/>
              </w:rPr>
              <w:t>Less: Net income (loss) attributable to noncontrolling</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92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interests, net of tax</w:t>
            </w: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67,233</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59,172</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8,061</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62"/>
        </w:trPr>
        <w:tc>
          <w:tcPr>
            <w:tcW w:w="3920" w:type="dxa"/>
            <w:vAlign w:val="bottom"/>
            <w:gridSpan w:val="3"/>
          </w:tcPr>
          <w:p>
            <w:pPr>
              <w:spacing w:after="0" w:line="161" w:lineRule="exact"/>
              <w:rPr>
                <w:sz w:val="20"/>
                <w:szCs w:val="20"/>
                <w:color w:val="auto"/>
              </w:rPr>
            </w:pPr>
            <w:r>
              <w:rPr>
                <w:rFonts w:ascii="Arial" w:cs="Arial" w:eastAsia="Arial" w:hAnsi="Arial"/>
                <w:sz w:val="15"/>
                <w:szCs w:val="15"/>
                <w:color w:val="auto"/>
              </w:rPr>
              <w:t>Net income (loss) attributable to EchoStar</w:t>
            </w:r>
          </w:p>
        </w:tc>
        <w:tc>
          <w:tcPr>
            <w:tcW w:w="1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(1,702,057)</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2,477,720</w:t>
            </w:r>
          </w:p>
        </w:tc>
        <w:tc>
          <w:tcPr>
            <w:tcW w:w="240" w:type="dxa"/>
            <w:vAlign w:val="bottom"/>
          </w:tcPr>
          <w:p>
            <w:pPr>
              <w:spacing w:after="0"/>
              <w:rPr>
                <w:sz w:val="14"/>
                <w:szCs w:val="14"/>
                <w:color w:val="auto"/>
              </w:rPr>
            </w:pPr>
          </w:p>
        </w:tc>
        <w:tc>
          <w:tcPr>
            <w:tcW w:w="180" w:type="dxa"/>
            <w:vAlign w:val="bottom"/>
            <w:tcBorders>
              <w:bottom w:val="single" w:sz="8" w:color="auto"/>
            </w:tcBorders>
          </w:tcPr>
          <w:p>
            <w:pPr>
              <w:jc w:val="right"/>
              <w:ind w:right="27"/>
              <w:spacing w:after="0" w:line="161"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(4,179,777)</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240" w:type="dxa"/>
            <w:vAlign w:val="bottom"/>
            <w:tcBorders>
              <w:bottom w:val="single" w:sz="8" w:color="auto"/>
            </w:tcBorders>
          </w:tcPr>
          <w:p>
            <w:pPr>
              <w:spacing w:after="0"/>
              <w:rPr>
                <w:sz w:val="6"/>
                <w:szCs w:val="6"/>
                <w:color w:val="auto"/>
              </w:rPr>
            </w:pPr>
          </w:p>
        </w:tc>
        <w:tc>
          <w:tcPr>
            <w:tcW w:w="1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40" w:hanging="298"/>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Percentage is not meaningful.</w:t>
      </w:r>
    </w:p>
    <w:p>
      <w:pPr>
        <w:spacing w:after="0" w:line="179" w:lineRule="exact"/>
        <w:rPr>
          <w:sz w:val="20"/>
          <w:szCs w:val="20"/>
          <w:color w:val="auto"/>
        </w:rPr>
      </w:pPr>
    </w:p>
    <w:p>
      <w:pPr>
        <w:ind w:left="40" w:right="179"/>
        <w:spacing w:after="0" w:line="249"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totaled $207 million during the year ended December 31, 2023, an increase of $114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compared to the same period in 2022. This increase primarily resulted from higher percentage returns earned on our cash and marketable investment securities, partially offset by lower average cash and marketable investment securities balances during the year ended December 31, 2023.</w:t>
      </w:r>
    </w:p>
    <w:p>
      <w:pPr>
        <w:spacing w:after="0" w:line="144"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“Other, net” expense totaled $1.771 billion during the year ended December 31, 2023, compared to income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$1.088 billion during the same period in 2022. This change primarily resulted from </w:t>
      </w:r>
      <w:r>
        <w:rPr>
          <w:rFonts w:ascii="Arial" w:cs="Arial" w:eastAsia="Arial" w:hAnsi="Arial"/>
          <w:sz w:val="16"/>
          <w:szCs w:val="16"/>
          <w:color w:val="222222"/>
        </w:rPr>
        <w:t>a</w:t>
      </w:r>
      <w:r>
        <w:rPr>
          <w:rFonts w:ascii="Arial" w:cs="Arial" w:eastAsia="Arial" w:hAnsi="Arial"/>
          <w:sz w:val="16"/>
          <w:szCs w:val="16"/>
          <w:color w:val="auto"/>
        </w:rPr>
        <w:t xml:space="preserve"> loss of approximately $1.793 billion as the probability weighted fair value of our option to purchase certain of T-Mobile’s 800 MHz spectrum licenses was reduced to zero compared to a $1.015 billion increase during the year ended December 31, 2022. In addition, the year ended December 31, 2023 was negatively impacted by a $103 million net decrease in gains on marketable and non-marketable investment securities and impairments of “Other investment securities, net.” Furthermore, the year ended December 31, 2023 was positively impacted by $73 million of early debt extinguishment gains from the repurchases of our convertible notes. See Note 6 and 10 to the Notes to our Consolidated Financial Statements in this Annual Report on Form 10-K for further information.</w:t>
      </w:r>
    </w:p>
    <w:p>
      <w:pPr>
        <w:spacing w:after="0" w:line="337" w:lineRule="exact"/>
        <w:rPr>
          <w:sz w:val="20"/>
          <w:szCs w:val="20"/>
          <w:color w:val="auto"/>
        </w:rPr>
      </w:pPr>
    </w:p>
    <w:p>
      <w:pPr>
        <w:ind w:left="40" w:right="239"/>
        <w:spacing w:after="0" w:line="246" w:lineRule="auto"/>
        <w:rPr>
          <w:sz w:val="20"/>
          <w:szCs w:val="20"/>
          <w:color w:val="auto"/>
        </w:rPr>
      </w:pPr>
      <w:r>
        <w:rPr>
          <w:rFonts w:ascii="Arial" w:cs="Arial" w:eastAsia="Arial" w:hAnsi="Arial"/>
          <w:sz w:val="16"/>
          <w:szCs w:val="16"/>
          <w:b w:val="1"/>
          <w:bCs w:val="1"/>
          <w:i w:val="1"/>
          <w:iCs w:val="1"/>
          <w:color w:val="auto"/>
        </w:rPr>
        <w:t xml:space="preserve">Income tax (provision) benefit, net. </w:t>
      </w:r>
      <w:r>
        <w:rPr>
          <w:rFonts w:ascii="Arial" w:cs="Arial" w:eastAsia="Arial" w:hAnsi="Arial"/>
          <w:sz w:val="16"/>
          <w:szCs w:val="16"/>
          <w:color w:val="auto"/>
        </w:rPr>
        <w:t>Our income tax benefit was $297 million during the year ended December 31,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a provision of $798 million during the same period in 2022. The change was primarily related to a decrease in “Income (loss) before income taxes” and the change in our effective tax rate. Our effective tax rate during the year ended December 31, 2023 was impacted by noncash impairment charges to goodwill, and federal, state and foreign valuation allowances.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Non-GAAP Performance Measures and Reconciliation</w:t>
      </w:r>
    </w:p>
    <w:p>
      <w:pPr>
        <w:spacing w:after="0" w:line="177" w:lineRule="exact"/>
        <w:rPr>
          <w:sz w:val="20"/>
          <w:szCs w:val="20"/>
          <w:color w:val="auto"/>
        </w:rPr>
      </w:pPr>
    </w:p>
    <w:p>
      <w:pPr>
        <w:ind w:left="40" w:right="139"/>
        <w:spacing w:after="0" w:line="242" w:lineRule="auto"/>
        <w:rPr>
          <w:sz w:val="20"/>
          <w:szCs w:val="20"/>
          <w:color w:val="auto"/>
        </w:rPr>
      </w:pPr>
      <w:r>
        <w:rPr>
          <w:rFonts w:ascii="Arial" w:cs="Arial" w:eastAsia="Arial" w:hAnsi="Arial"/>
          <w:sz w:val="16"/>
          <w:szCs w:val="16"/>
          <w:color w:val="auto"/>
        </w:rPr>
        <w:t>It is management’s intent to provide non-GAAP financial information to enhance the understanding of our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 OIBDA</w:t>
      </w:r>
    </w:p>
    <w:p>
      <w:pPr>
        <w:spacing w:after="0" w:line="191" w:lineRule="exact"/>
        <w:rPr>
          <w:sz w:val="20"/>
          <w:szCs w:val="20"/>
          <w:color w:val="auto"/>
        </w:rPr>
      </w:pPr>
    </w:p>
    <w:p>
      <w:pPr>
        <w:ind w:left="40" w:right="119"/>
        <w:spacing w:after="0" w:line="243" w:lineRule="auto"/>
        <w:rPr>
          <w:sz w:val="20"/>
          <w:szCs w:val="20"/>
          <w:color w:val="auto"/>
        </w:rPr>
      </w:pPr>
      <w:r>
        <w:rPr>
          <w:rFonts w:ascii="Arial" w:cs="Arial" w:eastAsia="Arial" w:hAnsi="Arial"/>
          <w:sz w:val="16"/>
          <w:szCs w:val="16"/>
          <w:color w:val="auto"/>
        </w:rPr>
        <w:t>Segment 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Segment OIBDA is calculated by adding back depreciation and amortization expense to business segments’ operating income (loss). See Note 16 to the Notes to our Consolidated Financial Statements in this Annual Report on Form 10-K for further information.</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For the Year Ended December 31, 2024</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244"/>
              <w:spacing w:after="0"/>
              <w:rPr>
                <w:sz w:val="20"/>
                <w:szCs w:val="20"/>
                <w:color w:val="auto"/>
              </w:rPr>
            </w:pPr>
            <w:r>
              <w:rPr>
                <w:rFonts w:ascii="Arial" w:cs="Arial" w:eastAsia="Arial" w:hAnsi="Arial"/>
                <w:sz w:val="11"/>
                <w:szCs w:val="11"/>
                <w:b w:val="1"/>
                <w:bCs w:val="1"/>
                <w:color w:val="auto"/>
              </w:rPr>
              <w:t>Pay-TV</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auto"/>
              </w:rPr>
              <w:t>Wireless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ind w:right="104"/>
              <w:spacing w:after="0"/>
              <w:rPr>
                <w:sz w:val="20"/>
                <w:szCs w:val="20"/>
                <w:color w:val="auto"/>
              </w:rPr>
            </w:pPr>
            <w:r>
              <w:rPr>
                <w:rFonts w:ascii="Arial" w:cs="Arial" w:eastAsia="Arial" w:hAnsi="Arial"/>
                <w:sz w:val="11"/>
                <w:szCs w:val="11"/>
                <w:b w:val="1"/>
                <w:bCs w:val="1"/>
                <w:color w:val="auto"/>
              </w:rPr>
              <w:t>Broadband and</w:t>
            </w:r>
          </w:p>
        </w:tc>
        <w:tc>
          <w:tcPr>
            <w:tcW w:w="160" w:type="dxa"/>
            <w:vAlign w:val="bottom"/>
          </w:tcPr>
          <w:p>
            <w:pPr>
              <w:spacing w:after="0"/>
              <w:rPr>
                <w:sz w:val="10"/>
                <w:szCs w:val="10"/>
                <w:color w:val="auto"/>
              </w:rPr>
            </w:pPr>
          </w:p>
        </w:tc>
        <w:tc>
          <w:tcPr>
            <w:tcW w:w="780" w:type="dxa"/>
            <w:vAlign w:val="bottom"/>
            <w:gridSpan w:val="2"/>
            <w:vMerge w:val="restart"/>
          </w:tcPr>
          <w:p>
            <w:pPr>
              <w:jc w:val="right"/>
              <w:ind w:right="4"/>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ind w:right="64"/>
              <w:spacing w:after="0"/>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136"/>
        </w:trPr>
        <w:tc>
          <w:tcPr>
            <w:tcW w:w="3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right"/>
              <w:ind w:right="44"/>
              <w:spacing w:after="0"/>
              <w:rPr>
                <w:sz w:val="20"/>
                <w:szCs w:val="20"/>
                <w:color w:val="auto"/>
              </w:rPr>
            </w:pPr>
            <w:r>
              <w:rPr>
                <w:rFonts w:ascii="Arial" w:cs="Arial" w:eastAsia="Arial" w:hAnsi="Arial"/>
                <w:sz w:val="11"/>
                <w:szCs w:val="11"/>
                <w:b w:val="1"/>
                <w:bCs w:val="1"/>
                <w:color w:val="auto"/>
              </w:rPr>
              <w:t>Satellite Services</w:t>
            </w: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2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right"/>
              <w:ind w:right="244"/>
              <w:spacing w:after="0" w:line="113" w:lineRule="exact"/>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Segment operating income (loss)</w:t>
            </w:r>
          </w:p>
        </w:tc>
        <w:tc>
          <w:tcPr>
            <w:tcW w:w="340" w:type="dxa"/>
            <w:vAlign w:val="bottom"/>
            <w:gridSpan w:val="2"/>
            <w:shd w:val="clear" w:color="auto" w:fill="CCEEFF"/>
          </w:tcPr>
          <w:p>
            <w:pPr>
              <w:jc w:val="right"/>
              <w:ind w:right="49"/>
              <w:spacing w:after="0" w:line="121"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2,647,954</w:t>
            </w:r>
          </w:p>
        </w:tc>
        <w:tc>
          <w:tcPr>
            <w:tcW w:w="32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(2,831,906)</w:t>
            </w:r>
          </w:p>
        </w:tc>
        <w:tc>
          <w:tcPr>
            <w:tcW w:w="2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(117,901)</w:t>
            </w:r>
          </w:p>
        </w:tc>
        <w:tc>
          <w:tcPr>
            <w:tcW w:w="400" w:type="dxa"/>
            <w:vAlign w:val="bottom"/>
            <w:gridSpan w:val="2"/>
            <w:shd w:val="clear" w:color="auto" w:fill="CCEEFF"/>
          </w:tcPr>
          <w:p>
            <w:pPr>
              <w:jc w:val="right"/>
              <w:ind w:right="128"/>
              <w:spacing w:after="0" w:line="121"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(2,217)</w:t>
            </w:r>
          </w:p>
        </w:tc>
        <w:tc>
          <w:tcPr>
            <w:tcW w:w="2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(304,070)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40" w:type="dxa"/>
            <w:vAlign w:val="bottom"/>
            <w:tcBorders>
              <w:bottom w:val="single" w:sz="8" w:color="CCEEFF"/>
            </w:tcBorders>
          </w:tcPr>
          <w:p>
            <w:pPr>
              <w:spacing w:after="0" w:line="121" w:lineRule="exact"/>
              <w:rPr>
                <w:sz w:val="20"/>
                <w:szCs w:val="20"/>
                <w:color w:val="auto"/>
              </w:rPr>
            </w:pPr>
            <w:r>
              <w:rPr>
                <w:rFonts w:ascii="Arial" w:cs="Arial" w:eastAsia="Arial" w:hAnsi="Arial"/>
                <w:sz w:val="11"/>
                <w:szCs w:val="11"/>
                <w:color w:val="auto"/>
              </w:rPr>
              <w:t>Depreciation and amortization</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337,331</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1,134,883</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459,796</w:t>
            </w:r>
          </w:p>
        </w:tc>
        <w:tc>
          <w:tcPr>
            <w:tcW w:w="1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(1,817)</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1,930,193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240" w:type="dxa"/>
            <w:vAlign w:val="bottom"/>
            <w:tcBorders>
              <w:bottom w:val="single" w:sz="8" w:color="CCEEFF"/>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OIBDA</w:t>
            </w:r>
          </w:p>
        </w:tc>
        <w:tc>
          <w:tcPr>
            <w:tcW w:w="1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2,985,285</w:t>
            </w:r>
          </w:p>
        </w:tc>
        <w:tc>
          <w:tcPr>
            <w:tcW w:w="1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(1,697,023)</w:t>
            </w:r>
          </w:p>
        </w:tc>
        <w:tc>
          <w:tcPr>
            <w:tcW w:w="1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341,895</w:t>
            </w:r>
          </w:p>
        </w:tc>
        <w:tc>
          <w:tcPr>
            <w:tcW w:w="16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jc w:val="right"/>
              <w:ind w:right="128"/>
              <w:spacing w:after="0" w:line="114"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(4,034)</w:t>
            </w:r>
          </w:p>
        </w:tc>
        <w:tc>
          <w:tcPr>
            <w:tcW w:w="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1,626,123</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For the Year Ended December 31, 2023</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32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2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Segment operating income (loss)</w:t>
            </w:r>
          </w:p>
        </w:tc>
        <w:tc>
          <w:tcPr>
            <w:tcW w:w="340" w:type="dxa"/>
            <w:vAlign w:val="bottom"/>
            <w:gridSpan w:val="2"/>
            <w:shd w:val="clear" w:color="auto" w:fill="CCEEFF"/>
          </w:tcPr>
          <w:p>
            <w:pPr>
              <w:jc w:val="right"/>
              <w:ind w:right="49"/>
              <w:spacing w:after="0" w:line="121"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2,699,810</w:t>
            </w:r>
          </w:p>
        </w:tc>
        <w:tc>
          <w:tcPr>
            <w:tcW w:w="32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(2,524,553)</w:t>
            </w:r>
          </w:p>
        </w:tc>
        <w:tc>
          <w:tcPr>
            <w:tcW w:w="2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(458,609)</w:t>
            </w:r>
          </w:p>
        </w:tc>
        <w:tc>
          <w:tcPr>
            <w:tcW w:w="400" w:type="dxa"/>
            <w:vAlign w:val="bottom"/>
            <w:gridSpan w:val="2"/>
            <w:shd w:val="clear" w:color="auto" w:fill="CCEEFF"/>
          </w:tcPr>
          <w:p>
            <w:pPr>
              <w:jc w:val="right"/>
              <w:ind w:right="128"/>
              <w:spacing w:after="0" w:line="121"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5,443</w:t>
            </w:r>
          </w:p>
        </w:tc>
        <w:tc>
          <w:tcPr>
            <w:tcW w:w="2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(277,909)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40" w:type="dxa"/>
            <w:vAlign w:val="bottom"/>
            <w:tcBorders>
              <w:bottom w:val="single" w:sz="8" w:color="CCEEFF"/>
            </w:tcBorders>
          </w:tcPr>
          <w:p>
            <w:pPr>
              <w:spacing w:after="0" w:line="121" w:lineRule="exact"/>
              <w:rPr>
                <w:sz w:val="20"/>
                <w:szCs w:val="20"/>
                <w:color w:val="auto"/>
              </w:rPr>
            </w:pPr>
            <w:r>
              <w:rPr>
                <w:rFonts w:ascii="Arial" w:cs="Arial" w:eastAsia="Arial" w:hAnsi="Arial"/>
                <w:sz w:val="11"/>
                <w:szCs w:val="11"/>
                <w:color w:val="auto"/>
              </w:rPr>
              <w:t>Depreciation and amortization</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381,292</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800,629</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419,262</w:t>
            </w:r>
          </w:p>
        </w:tc>
        <w:tc>
          <w:tcPr>
            <w:tcW w:w="1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(3,260)</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1,597,923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240" w:type="dxa"/>
            <w:vAlign w:val="bottom"/>
            <w:tcBorders>
              <w:bottom w:val="single" w:sz="8" w:color="CCEEFF"/>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OIBDA</w:t>
            </w:r>
          </w:p>
        </w:tc>
        <w:tc>
          <w:tcPr>
            <w:tcW w:w="1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3,081,102</w:t>
            </w:r>
          </w:p>
        </w:tc>
        <w:tc>
          <w:tcPr>
            <w:tcW w:w="1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(1,723,924)</w:t>
            </w:r>
          </w:p>
        </w:tc>
        <w:tc>
          <w:tcPr>
            <w:tcW w:w="1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(39,347)</w:t>
            </w:r>
          </w:p>
        </w:tc>
        <w:tc>
          <w:tcPr>
            <w:tcW w:w="16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jc w:val="right"/>
              <w:ind w:right="128"/>
              <w:spacing w:after="0" w:line="114"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2,183</w:t>
            </w:r>
          </w:p>
        </w:tc>
        <w:tc>
          <w:tcPr>
            <w:tcW w:w="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1,320,014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restart"/>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240" w:type="dxa"/>
            <w:vAlign w:val="bottom"/>
            <w:tcBorders>
              <w:bottom w:val="single" w:sz="8" w:color="auto"/>
            </w:tcBorders>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For the Year Ended December 31, 2022</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vMerge w:val="restart"/>
          </w:tcPr>
          <w:p>
            <w:pPr>
              <w:spacing w:after="0"/>
              <w:rPr>
                <w:sz w:val="9"/>
                <w:szCs w:val="9"/>
                <w:color w:val="auto"/>
              </w:rPr>
            </w:pPr>
          </w:p>
        </w:tc>
        <w:tc>
          <w:tcPr>
            <w:tcW w:w="3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32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Segment operating income (loss)</w:t>
            </w:r>
          </w:p>
        </w:tc>
        <w:tc>
          <w:tcPr>
            <w:tcW w:w="340" w:type="dxa"/>
            <w:vAlign w:val="bottom"/>
            <w:gridSpan w:val="2"/>
            <w:shd w:val="clear" w:color="auto" w:fill="CCEEFF"/>
          </w:tcPr>
          <w:p>
            <w:pPr>
              <w:jc w:val="right"/>
              <w:ind w:right="49"/>
              <w:spacing w:after="0" w:line="121"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2,933,898</w:t>
            </w:r>
          </w:p>
        </w:tc>
        <w:tc>
          <w:tcPr>
            <w:tcW w:w="320" w:type="dxa"/>
            <w:vAlign w:val="bottom"/>
            <w:gridSpan w:val="2"/>
            <w:shd w:val="clear" w:color="auto" w:fill="CCEEFF"/>
          </w:tcPr>
          <w:p>
            <w:pPr>
              <w:jc w:val="right"/>
              <w:ind w:right="77"/>
              <w:spacing w:after="0" w:line="121"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(888,232)</w:t>
            </w:r>
          </w:p>
        </w:tc>
        <w:tc>
          <w:tcPr>
            <w:tcW w:w="2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181,615</w:t>
            </w:r>
          </w:p>
        </w:tc>
        <w:tc>
          <w:tcPr>
            <w:tcW w:w="400" w:type="dxa"/>
            <w:vAlign w:val="bottom"/>
            <w:gridSpan w:val="2"/>
            <w:shd w:val="clear" w:color="auto" w:fill="CCEEFF"/>
          </w:tcPr>
          <w:p>
            <w:pPr>
              <w:jc w:val="right"/>
              <w:ind w:right="128"/>
              <w:spacing w:after="0" w:line="121"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5,557</w:t>
            </w:r>
          </w:p>
        </w:tc>
        <w:tc>
          <w:tcPr>
            <w:tcW w:w="2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2,232,838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40" w:type="dxa"/>
            <w:vAlign w:val="bottom"/>
            <w:tcBorders>
              <w:bottom w:val="single" w:sz="8" w:color="CCEEFF"/>
            </w:tcBorders>
          </w:tcPr>
          <w:p>
            <w:pPr>
              <w:spacing w:after="0" w:line="121" w:lineRule="exact"/>
              <w:rPr>
                <w:sz w:val="20"/>
                <w:szCs w:val="20"/>
                <w:color w:val="auto"/>
              </w:rPr>
            </w:pPr>
            <w:r>
              <w:rPr>
                <w:rFonts w:ascii="Arial" w:cs="Arial" w:eastAsia="Arial" w:hAnsi="Arial"/>
                <w:sz w:val="11"/>
                <w:szCs w:val="11"/>
                <w:color w:val="auto"/>
              </w:rPr>
              <w:t>Depreciation and amortization</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428,471</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288,602</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462,748</w:t>
            </w:r>
          </w:p>
        </w:tc>
        <w:tc>
          <w:tcPr>
            <w:tcW w:w="1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(4,926)</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1,174,895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240" w:type="dxa"/>
            <w:vAlign w:val="bottom"/>
            <w:tcBorders>
              <w:bottom w:val="single" w:sz="8" w:color="CCEEFF"/>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OIBDA</w:t>
            </w:r>
          </w:p>
        </w:tc>
        <w:tc>
          <w:tcPr>
            <w:tcW w:w="1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49"/>
              <w:spacing w:after="0" w:line="114"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3,362,369</w:t>
            </w:r>
          </w:p>
        </w:tc>
        <w:tc>
          <w:tcPr>
            <w:tcW w:w="1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(599,630)</w:t>
            </w:r>
          </w:p>
        </w:tc>
        <w:tc>
          <w:tcPr>
            <w:tcW w:w="1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644,363</w:t>
            </w:r>
          </w:p>
        </w:tc>
        <w:tc>
          <w:tcPr>
            <w:tcW w:w="16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jc w:val="right"/>
              <w:ind w:right="128"/>
              <w:spacing w:after="0" w:line="114" w:lineRule="exact"/>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631</w:t>
            </w:r>
          </w:p>
        </w:tc>
        <w:tc>
          <w:tcPr>
            <w:tcW w:w="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3,407,733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right="319"/>
        <w:spacing w:after="0" w:line="249" w:lineRule="auto"/>
        <w:rPr>
          <w:sz w:val="20"/>
          <w:szCs w:val="20"/>
          <w:color w:val="auto"/>
        </w:rPr>
      </w:pPr>
      <w:r>
        <w:rPr>
          <w:rFonts w:ascii="Arial" w:cs="Arial" w:eastAsia="Arial" w:hAnsi="Arial"/>
          <w:sz w:val="16"/>
          <w:szCs w:val="16"/>
          <w:color w:val="auto"/>
        </w:rPr>
        <w:t xml:space="preserve">The changes in OIBDA during the years ended December 31, 2024, 2023, and 2022, were primarily a result of the factors described in connection with operating revenues and operating expenses, and the </w:t>
      </w:r>
      <w:r>
        <w:rPr>
          <w:rFonts w:ascii="Arial" w:cs="Arial" w:eastAsia="Arial" w:hAnsi="Arial"/>
          <w:sz w:val="16"/>
          <w:szCs w:val="16"/>
          <w:i w:val="1"/>
          <w:iCs w:val="1"/>
          <w:color w:val="auto"/>
        </w:rPr>
        <w:t>“</w:t>
      </w:r>
      <w:r>
        <w:rPr>
          <w:rFonts w:ascii="Arial" w:cs="Arial" w:eastAsia="Arial" w:hAnsi="Arial"/>
          <w:sz w:val="16"/>
          <w:szCs w:val="16"/>
          <w:color w:val="auto"/>
        </w:rPr>
        <w:t>Impairment of long-lived assets and goodwill” of: (1) $ 536 million from our Broadband and Satellite Services segment; (2) $219 million from our Wireless segment; and (3) $6 million from our Pay-TV segment during the year ended December 31, 2023.</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GUARANTOR FINANCIAL INFORMATION</w:t>
      </w:r>
    </w:p>
    <w:p>
      <w:pPr>
        <w:spacing w:after="0" w:line="179"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color w:val="auto"/>
        </w:rPr>
        <w:t>Our senior secured notes consisting of our 10 3/4% Senior Secured Notes due 2029 and 6 3/4 % Senior Secured Notes due 2030 and our 3 7/8% Convertible Secured Notes due 2030 (together, the “EchoStar Notes”) are jointly and severally guaranteed on a senior secured basis by certain of our wholly-owned subsidiaries (the “Guarantors”). Specifically, Northstar Wireless, LLC, SNR Wireless LicenseCo, LLC, DBSD Corporation and Gamma Acquisition L.L.C. the (“Spectrum Assets Guarantors”) and Northstar Spectrum, LLC, SNR Wireless HoldCo, LLC, DBSD Services Limited and Gamma Acquisition HoldCo, L.L.C. the (“Equity Pledge Guarantors”).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3" w:name="page94"/>
    <w:bookmarkEnd w:id="9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Certain of our wholly-owned subsidiaries are designated as “Unrestricted Subsidiaries” and do not guarantee any of our registered senior notes. The guarantee of the Guarantors will be discharged and released in accordance with the terms of the applicable indenture. The rights of holders of the registered senior notes against the Guarantors may be limited under the U.S. Bankruptcy Code or state fraudulent transfer or conveyance law.</w:t>
      </w:r>
    </w:p>
    <w:p>
      <w:pPr>
        <w:spacing w:after="0" w:line="144" w:lineRule="exact"/>
        <w:rPr>
          <w:sz w:val="20"/>
          <w:szCs w:val="20"/>
          <w:color w:val="auto"/>
        </w:rPr>
      </w:pPr>
    </w:p>
    <w:p>
      <w:pPr>
        <w:ind w:left="40" w:right="199"/>
        <w:spacing w:after="0" w:line="243" w:lineRule="auto"/>
        <w:rPr>
          <w:sz w:val="20"/>
          <w:szCs w:val="20"/>
          <w:color w:val="auto"/>
        </w:rPr>
      </w:pPr>
      <w:r>
        <w:rPr>
          <w:rFonts w:ascii="Arial" w:cs="Arial" w:eastAsia="Arial" w:hAnsi="Arial"/>
          <w:sz w:val="16"/>
          <w:szCs w:val="16"/>
          <w:color w:val="auto"/>
        </w:rPr>
        <w:t>Each entity in the summarized combined financial information follows the same accounting policies as described in the consolidated financial statements. Information for the non-Guarantor subsidiaries has been excluded from the combined summarized financial information of the obligated group. The accompanying summarized combined financial information does not reflect investments of the obligated group in non-Guarantor subsidiaries. The financial information of the obligated group is presented on a combined basis and is derived from EchoStar’s consolidated financial statements; intercompany balances and transactions within the obligated group have been eliminated. The obligated group’s amounts due to non-Guarantor subsidiaries and related parties have been presented in separate line items.</w:t>
      </w:r>
    </w:p>
    <w:p>
      <w:pPr>
        <w:spacing w:after="0" w:line="148" w:lineRule="exact"/>
        <w:rPr>
          <w:sz w:val="20"/>
          <w:szCs w:val="20"/>
          <w:color w:val="auto"/>
        </w:rPr>
      </w:pPr>
    </w:p>
    <w:p>
      <w:pPr>
        <w:ind w:left="40" w:right="279"/>
        <w:spacing w:after="0" w:line="275" w:lineRule="auto"/>
        <w:rPr>
          <w:sz w:val="20"/>
          <w:szCs w:val="20"/>
          <w:color w:val="auto"/>
        </w:rPr>
      </w:pPr>
      <w:r>
        <w:rPr>
          <w:rFonts w:ascii="Arial" w:cs="Arial" w:eastAsia="Arial" w:hAnsi="Arial"/>
          <w:sz w:val="16"/>
          <w:szCs w:val="16"/>
          <w:color w:val="auto"/>
        </w:rPr>
        <w:t>The summarized balance sheet information for the combined obligor group of the EchoStar Notes is presented in the table below.</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4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As of December 31, 2024</w:t>
            </w:r>
          </w:p>
        </w:tc>
      </w:tr>
      <w:tr>
        <w:trPr>
          <w:trHeight w:val="182"/>
        </w:trPr>
        <w:tc>
          <w:tcPr>
            <w:tcW w:w="4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0" w:type="dxa"/>
            <w:vAlign w:val="bottom"/>
          </w:tcPr>
          <w:p>
            <w:pPr>
              <w:jc w:val="right"/>
              <w:ind w:right="1639"/>
              <w:spacing w:after="0" w:line="181" w:lineRule="exact"/>
              <w:rPr>
                <w:sz w:val="20"/>
                <w:szCs w:val="20"/>
                <w:color w:val="auto"/>
              </w:rPr>
            </w:pPr>
            <w:r>
              <w:rPr>
                <w:rFonts w:ascii="Arial" w:cs="Arial" w:eastAsia="Arial" w:hAnsi="Arial"/>
                <w:sz w:val="16"/>
                <w:szCs w:val="16"/>
                <w:color w:val="auto"/>
              </w:rPr>
              <w:t>(In thousands)</w:t>
            </w:r>
          </w:p>
        </w:tc>
      </w:tr>
      <w:tr>
        <w:trPr>
          <w:trHeight w:val="182"/>
        </w:trPr>
        <w:tc>
          <w:tcPr>
            <w:tcW w:w="4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Current assets</w:t>
            </w:r>
          </w:p>
        </w:tc>
        <w:tc>
          <w:tcPr>
            <w:tcW w:w="700" w:type="dxa"/>
            <w:vAlign w:val="bottom"/>
            <w:shd w:val="clear" w:color="auto" w:fill="CCEEFF"/>
          </w:tcPr>
          <w:p>
            <w:pPr>
              <w:jc w:val="right"/>
              <w:ind w:right="519"/>
              <w:spacing w:after="0" w:line="181" w:lineRule="exact"/>
              <w:rPr>
                <w:sz w:val="20"/>
                <w:szCs w:val="20"/>
                <w:color w:val="auto"/>
              </w:rPr>
            </w:pPr>
            <w:r>
              <w:rPr>
                <w:rFonts w:ascii="Arial" w:cs="Arial" w:eastAsia="Arial" w:hAnsi="Arial"/>
                <w:sz w:val="16"/>
                <w:szCs w:val="16"/>
                <w:color w:val="auto"/>
                <w:w w:val="89"/>
              </w:rPr>
              <w:t>$</w:t>
            </w:r>
          </w:p>
        </w:tc>
        <w:tc>
          <w:tcPr>
            <w:tcW w:w="3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6,234,658</w:t>
            </w:r>
          </w:p>
        </w:tc>
      </w:tr>
      <w:tr>
        <w:trPr>
          <w:trHeight w:val="182"/>
        </w:trPr>
        <w:tc>
          <w:tcPr>
            <w:tcW w:w="4420" w:type="dxa"/>
            <w:vAlign w:val="bottom"/>
          </w:tcPr>
          <w:p>
            <w:pPr>
              <w:spacing w:after="0" w:line="181" w:lineRule="exact"/>
              <w:rPr>
                <w:sz w:val="20"/>
                <w:szCs w:val="20"/>
                <w:color w:val="auto"/>
              </w:rPr>
            </w:pPr>
            <w:r>
              <w:rPr>
                <w:rFonts w:ascii="Arial" w:cs="Arial" w:eastAsia="Arial" w:hAnsi="Arial"/>
                <w:sz w:val="16"/>
                <w:szCs w:val="16"/>
                <w:color w:val="auto"/>
              </w:rPr>
              <w:t>Noncurrent assets</w:t>
            </w:r>
          </w:p>
        </w:tc>
        <w:tc>
          <w:tcPr>
            <w:tcW w:w="700" w:type="dxa"/>
            <w:vAlign w:val="bottom"/>
          </w:tcPr>
          <w:p>
            <w:pPr>
              <w:spacing w:after="0"/>
              <w:rPr>
                <w:sz w:val="15"/>
                <w:szCs w:val="15"/>
                <w:color w:val="auto"/>
              </w:rPr>
            </w:pPr>
          </w:p>
        </w:tc>
        <w:tc>
          <w:tcPr>
            <w:tcW w:w="3800" w:type="dxa"/>
            <w:vAlign w:val="bottom"/>
          </w:tcPr>
          <w:p>
            <w:pPr>
              <w:jc w:val="right"/>
              <w:spacing w:after="0" w:line="181" w:lineRule="exact"/>
              <w:rPr>
                <w:sz w:val="20"/>
                <w:szCs w:val="20"/>
                <w:color w:val="auto"/>
              </w:rPr>
            </w:pPr>
            <w:r>
              <w:rPr>
                <w:rFonts w:ascii="Arial" w:cs="Arial" w:eastAsia="Arial" w:hAnsi="Arial"/>
                <w:sz w:val="16"/>
                <w:szCs w:val="16"/>
                <w:color w:val="auto"/>
              </w:rPr>
              <w:t>17,397,691</w:t>
            </w:r>
          </w:p>
        </w:tc>
      </w:tr>
      <w:tr>
        <w:trPr>
          <w:trHeight w:val="182"/>
        </w:trPr>
        <w:tc>
          <w:tcPr>
            <w:tcW w:w="4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Current liabilities</w:t>
            </w:r>
          </w:p>
        </w:tc>
        <w:tc>
          <w:tcPr>
            <w:tcW w:w="700" w:type="dxa"/>
            <w:vAlign w:val="bottom"/>
            <w:shd w:val="clear" w:color="auto" w:fill="CCEEFF"/>
          </w:tcPr>
          <w:p>
            <w:pPr>
              <w:spacing w:after="0"/>
              <w:rPr>
                <w:sz w:val="15"/>
                <w:szCs w:val="15"/>
                <w:color w:val="auto"/>
              </w:rPr>
            </w:pPr>
          </w:p>
        </w:tc>
        <w:tc>
          <w:tcPr>
            <w:tcW w:w="3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411,704</w:t>
            </w:r>
          </w:p>
        </w:tc>
      </w:tr>
      <w:tr>
        <w:trPr>
          <w:trHeight w:val="182"/>
        </w:trPr>
        <w:tc>
          <w:tcPr>
            <w:tcW w:w="4420" w:type="dxa"/>
            <w:vAlign w:val="bottom"/>
          </w:tcPr>
          <w:p>
            <w:pPr>
              <w:spacing w:after="0" w:line="181" w:lineRule="exact"/>
              <w:rPr>
                <w:sz w:val="20"/>
                <w:szCs w:val="20"/>
                <w:color w:val="auto"/>
              </w:rPr>
            </w:pPr>
            <w:r>
              <w:rPr>
                <w:rFonts w:ascii="Arial" w:cs="Arial" w:eastAsia="Arial" w:hAnsi="Arial"/>
                <w:sz w:val="16"/>
                <w:szCs w:val="16"/>
                <w:color w:val="auto"/>
              </w:rPr>
              <w:t>Noncurrent liabilities</w:t>
            </w:r>
          </w:p>
        </w:tc>
        <w:tc>
          <w:tcPr>
            <w:tcW w:w="700" w:type="dxa"/>
            <w:vAlign w:val="bottom"/>
          </w:tcPr>
          <w:p>
            <w:pPr>
              <w:spacing w:after="0"/>
              <w:rPr>
                <w:sz w:val="15"/>
                <w:szCs w:val="15"/>
                <w:color w:val="auto"/>
              </w:rPr>
            </w:pPr>
          </w:p>
        </w:tc>
        <w:tc>
          <w:tcPr>
            <w:tcW w:w="3800" w:type="dxa"/>
            <w:vAlign w:val="bottom"/>
          </w:tcPr>
          <w:p>
            <w:pPr>
              <w:jc w:val="right"/>
              <w:spacing w:after="0" w:line="181" w:lineRule="exact"/>
              <w:rPr>
                <w:sz w:val="20"/>
                <w:szCs w:val="20"/>
                <w:color w:val="auto"/>
              </w:rPr>
            </w:pPr>
            <w:r>
              <w:rPr>
                <w:rFonts w:ascii="Arial" w:cs="Arial" w:eastAsia="Arial" w:hAnsi="Arial"/>
                <w:sz w:val="16"/>
                <w:szCs w:val="16"/>
                <w:color w:val="auto"/>
              </w:rPr>
              <w:t>9,254,862</w:t>
            </w:r>
          </w:p>
        </w:tc>
      </w:tr>
      <w:tr>
        <w:trPr>
          <w:trHeight w:val="182"/>
        </w:trPr>
        <w:tc>
          <w:tcPr>
            <w:tcW w:w="4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Due from non-guarantors</w:t>
            </w:r>
          </w:p>
        </w:tc>
        <w:tc>
          <w:tcPr>
            <w:tcW w:w="700" w:type="dxa"/>
            <w:vAlign w:val="bottom"/>
            <w:shd w:val="clear" w:color="auto" w:fill="CCEEFF"/>
          </w:tcPr>
          <w:p>
            <w:pPr>
              <w:spacing w:after="0"/>
              <w:rPr>
                <w:sz w:val="15"/>
                <w:szCs w:val="15"/>
                <w:color w:val="auto"/>
              </w:rPr>
            </w:pPr>
          </w:p>
        </w:tc>
        <w:tc>
          <w:tcPr>
            <w:tcW w:w="3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1,470,067</w:t>
            </w:r>
          </w:p>
        </w:tc>
      </w:tr>
    </w:tbl>
    <w:p>
      <w:pPr>
        <w:spacing w:after="0" w:line="165" w:lineRule="exact"/>
        <w:rPr>
          <w:sz w:val="20"/>
          <w:szCs w:val="20"/>
          <w:color w:val="auto"/>
        </w:rPr>
      </w:pPr>
    </w:p>
    <w:p>
      <w:pPr>
        <w:ind w:left="40" w:right="219"/>
        <w:spacing w:after="0" w:line="275" w:lineRule="auto"/>
        <w:rPr>
          <w:sz w:val="20"/>
          <w:szCs w:val="20"/>
          <w:color w:val="auto"/>
        </w:rPr>
      </w:pPr>
      <w:r>
        <w:rPr>
          <w:rFonts w:ascii="Arial" w:cs="Arial" w:eastAsia="Arial" w:hAnsi="Arial"/>
          <w:sz w:val="16"/>
          <w:szCs w:val="16"/>
          <w:color w:val="auto"/>
        </w:rPr>
        <w:t>The summarized results of operations information for the combined obligor group of the EchoStar Notes is presented in the table below.</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rPr>
              <w:t>For the Year Ended</w:t>
            </w:r>
          </w:p>
        </w:tc>
      </w:tr>
      <w:tr>
        <w:trPr>
          <w:trHeight w:val="198"/>
        </w:trPr>
        <w:tc>
          <w:tcPr>
            <w:tcW w:w="5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December 31, 2024</w:t>
            </w:r>
          </w:p>
        </w:tc>
      </w:tr>
      <w:tr>
        <w:trPr>
          <w:trHeight w:val="174"/>
        </w:trPr>
        <w:tc>
          <w:tcPr>
            <w:tcW w:w="5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180" w:type="dxa"/>
            <w:vAlign w:val="bottom"/>
            <w:tcBorders>
              <w:top w:val="single" w:sz="8" w:color="auto"/>
            </w:tcBorders>
          </w:tcPr>
          <w:p>
            <w:pPr>
              <w:jc w:val="center"/>
              <w:ind w:right="539"/>
              <w:spacing w:after="0" w:line="174" w:lineRule="exact"/>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5"/>
                <w:szCs w:val="15"/>
                <w:color w:val="auto"/>
              </w:rPr>
            </w:pPr>
          </w:p>
        </w:tc>
      </w:tr>
      <w:tr>
        <w:trPr>
          <w:trHeight w:val="182"/>
        </w:trPr>
        <w:tc>
          <w:tcPr>
            <w:tcW w:w="51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revenues</w:t>
            </w:r>
          </w:p>
        </w:tc>
        <w:tc>
          <w:tcPr>
            <w:tcW w:w="620" w:type="dxa"/>
            <w:vAlign w:val="bottom"/>
            <w:shd w:val="clear" w:color="auto" w:fill="CCEEFF"/>
          </w:tcPr>
          <w:p>
            <w:pPr>
              <w:jc w:val="right"/>
              <w:ind w:right="439"/>
              <w:spacing w:after="0" w:line="181" w:lineRule="exact"/>
              <w:rPr>
                <w:sz w:val="20"/>
                <w:szCs w:val="20"/>
                <w:color w:val="auto"/>
              </w:rPr>
            </w:pPr>
            <w:r>
              <w:rPr>
                <w:rFonts w:ascii="Arial" w:cs="Arial" w:eastAsia="Arial" w:hAnsi="Arial"/>
                <w:sz w:val="16"/>
                <w:szCs w:val="16"/>
                <w:color w:val="auto"/>
                <w:w w:val="89"/>
              </w:rPr>
              <w:t>$</w:t>
            </w:r>
          </w:p>
        </w:tc>
        <w:tc>
          <w:tcPr>
            <w:tcW w:w="3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60,894</w:t>
            </w:r>
          </w:p>
        </w:tc>
        <w:tc>
          <w:tcPr>
            <w:tcW w:w="20" w:type="dxa"/>
            <w:vAlign w:val="bottom"/>
          </w:tcPr>
          <w:p>
            <w:pPr>
              <w:spacing w:after="0"/>
              <w:rPr>
                <w:sz w:val="15"/>
                <w:szCs w:val="15"/>
                <w:color w:val="auto"/>
              </w:rPr>
            </w:pPr>
          </w:p>
        </w:tc>
      </w:tr>
      <w:tr>
        <w:trPr>
          <w:trHeight w:val="182"/>
        </w:trPr>
        <w:tc>
          <w:tcPr>
            <w:tcW w:w="5120" w:type="dxa"/>
            <w:vAlign w:val="bottom"/>
          </w:tcPr>
          <w:p>
            <w:pPr>
              <w:spacing w:after="0" w:line="181" w:lineRule="exact"/>
              <w:rPr>
                <w:sz w:val="20"/>
                <w:szCs w:val="20"/>
                <w:color w:val="auto"/>
              </w:rPr>
            </w:pPr>
            <w:r>
              <w:rPr>
                <w:rFonts w:ascii="Arial" w:cs="Arial" w:eastAsia="Arial" w:hAnsi="Arial"/>
                <w:sz w:val="16"/>
                <w:szCs w:val="16"/>
                <w:color w:val="auto"/>
              </w:rPr>
              <w:t>Operating income (loss)</w:t>
            </w:r>
          </w:p>
        </w:tc>
        <w:tc>
          <w:tcPr>
            <w:tcW w:w="620" w:type="dxa"/>
            <w:vAlign w:val="bottom"/>
          </w:tcPr>
          <w:p>
            <w:pPr>
              <w:spacing w:after="0"/>
              <w:rPr>
                <w:sz w:val="15"/>
                <w:szCs w:val="15"/>
                <w:color w:val="auto"/>
              </w:rPr>
            </w:pPr>
          </w:p>
        </w:tc>
        <w:tc>
          <w:tcPr>
            <w:tcW w:w="3180" w:type="dxa"/>
            <w:vAlign w:val="bottom"/>
          </w:tcPr>
          <w:p>
            <w:pPr>
              <w:jc w:val="right"/>
              <w:spacing w:after="0" w:line="181" w:lineRule="exact"/>
              <w:rPr>
                <w:sz w:val="20"/>
                <w:szCs w:val="20"/>
                <w:color w:val="auto"/>
              </w:rPr>
            </w:pPr>
            <w:r>
              <w:rPr>
                <w:rFonts w:ascii="Arial" w:cs="Arial" w:eastAsia="Arial" w:hAnsi="Arial"/>
                <w:sz w:val="16"/>
                <w:szCs w:val="16"/>
                <w:color w:val="auto"/>
              </w:rPr>
              <w:t>49,284</w:t>
            </w:r>
          </w:p>
        </w:tc>
        <w:tc>
          <w:tcPr>
            <w:tcW w:w="20" w:type="dxa"/>
            <w:vAlign w:val="bottom"/>
          </w:tcPr>
          <w:p>
            <w:pPr>
              <w:spacing w:after="0"/>
              <w:rPr>
                <w:sz w:val="15"/>
                <w:szCs w:val="15"/>
                <w:color w:val="auto"/>
              </w:rPr>
            </w:pPr>
          </w:p>
        </w:tc>
      </w:tr>
      <w:tr>
        <w:trPr>
          <w:trHeight w:val="182"/>
        </w:trPr>
        <w:tc>
          <w:tcPr>
            <w:tcW w:w="51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income (loss)</w:t>
            </w:r>
          </w:p>
        </w:tc>
        <w:tc>
          <w:tcPr>
            <w:tcW w:w="620" w:type="dxa"/>
            <w:vAlign w:val="bottom"/>
            <w:shd w:val="clear" w:color="auto" w:fill="CCEEFF"/>
          </w:tcPr>
          <w:p>
            <w:pPr>
              <w:spacing w:after="0"/>
              <w:rPr>
                <w:sz w:val="15"/>
                <w:szCs w:val="15"/>
                <w:color w:val="auto"/>
              </w:rPr>
            </w:pPr>
          </w:p>
        </w:tc>
        <w:tc>
          <w:tcPr>
            <w:tcW w:w="31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(26,015)</w:t>
            </w:r>
          </w:p>
        </w:tc>
        <w:tc>
          <w:tcPr>
            <w:tcW w:w="20" w:type="dxa"/>
            <w:vAlign w:val="bottom"/>
          </w:tcPr>
          <w:p>
            <w:pPr>
              <w:spacing w:after="0"/>
              <w:rPr>
                <w:sz w:val="15"/>
                <w:szCs w:val="15"/>
                <w:color w:val="auto"/>
              </w:rPr>
            </w:pPr>
          </w:p>
        </w:tc>
      </w:tr>
      <w:tr>
        <w:trPr>
          <w:trHeight w:val="214"/>
        </w:trPr>
        <w:tc>
          <w:tcPr>
            <w:tcW w:w="5120" w:type="dxa"/>
            <w:vAlign w:val="bottom"/>
          </w:tcPr>
          <w:p>
            <w:pPr>
              <w:spacing w:after="0"/>
              <w:rPr>
                <w:sz w:val="20"/>
                <w:szCs w:val="20"/>
                <w:color w:val="auto"/>
              </w:rPr>
            </w:pPr>
            <w:r>
              <w:rPr>
                <w:rFonts w:ascii="Arial" w:cs="Arial" w:eastAsia="Arial" w:hAnsi="Arial"/>
                <w:sz w:val="16"/>
                <w:szCs w:val="16"/>
                <w:color w:val="auto"/>
              </w:rPr>
              <w:t>Revenue from non-guarantors</w:t>
            </w:r>
          </w:p>
        </w:tc>
        <w:tc>
          <w:tcPr>
            <w:tcW w:w="62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Arial" w:cs="Arial" w:eastAsia="Arial" w:hAnsi="Arial"/>
                <w:sz w:val="16"/>
                <w:szCs w:val="16"/>
                <w:color w:val="auto"/>
              </w:rPr>
              <w:t>58,200</w:t>
            </w:r>
          </w:p>
        </w:tc>
        <w:tc>
          <w:tcPr>
            <w:tcW w:w="20" w:type="dxa"/>
            <w:vAlign w:val="bottom"/>
          </w:tcPr>
          <w:p>
            <w:pPr>
              <w:spacing w:after="0"/>
              <w:rPr>
                <w:sz w:val="18"/>
                <w:szCs w:val="18"/>
                <w:color w:val="auto"/>
              </w:rPr>
            </w:pPr>
          </w:p>
        </w:tc>
      </w:tr>
    </w:tbl>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LIQUIDITY AND CAPITAL RESOURCES</w:t>
      </w:r>
    </w:p>
    <w:p>
      <w:pPr>
        <w:spacing w:after="0" w:line="181" w:lineRule="exact"/>
        <w:rPr>
          <w:sz w:val="20"/>
          <w:szCs w:val="20"/>
          <w:color w:val="auto"/>
        </w:rPr>
      </w:pPr>
    </w:p>
    <w:p>
      <w:pPr>
        <w:ind w:left="40" w:right="739"/>
        <w:spacing w:after="0" w:line="283" w:lineRule="auto"/>
        <w:rPr>
          <w:sz w:val="20"/>
          <w:szCs w:val="20"/>
          <w:color w:val="auto"/>
        </w:rPr>
      </w:pPr>
      <w:r>
        <w:rPr>
          <w:rFonts w:ascii="Arial" w:cs="Arial" w:eastAsia="Arial" w:hAnsi="Arial"/>
          <w:sz w:val="16"/>
          <w:szCs w:val="16"/>
          <w:b w:val="1"/>
          <w:bCs w:val="1"/>
          <w:i w:val="1"/>
          <w:iCs w:val="1"/>
          <w:color w:val="auto"/>
        </w:rPr>
        <w:t>Cash, Cash Equivalents, Current Restricted Cash and Cash Equivalents and Current Marketable Investment Securities</w:t>
      </w:r>
    </w:p>
    <w:p>
      <w:pPr>
        <w:spacing w:after="0" w:line="109" w:lineRule="exact"/>
        <w:rPr>
          <w:sz w:val="20"/>
          <w:szCs w:val="20"/>
          <w:color w:val="auto"/>
        </w:rPr>
      </w:pPr>
    </w:p>
    <w:p>
      <w:pPr>
        <w:ind w:left="40" w:right="119"/>
        <w:spacing w:after="0" w:line="238" w:lineRule="auto"/>
        <w:rPr>
          <w:sz w:val="20"/>
          <w:szCs w:val="20"/>
          <w:color w:val="auto"/>
        </w:rPr>
      </w:pPr>
      <w:r>
        <w:rPr>
          <w:rFonts w:ascii="Arial" w:cs="Arial" w:eastAsia="Arial" w:hAnsi="Arial"/>
          <w:sz w:val="16"/>
          <w:szCs w:val="16"/>
          <w:color w:val="auto"/>
        </w:rPr>
        <w:t>We consider all liquid investments purchased with a remaining maturity of 90 days or less at the date of acquisition to be cash equivalents. See Note 3, Note 6 and Note 10 in the Notes to our Consolidated Financial Statements in this Annual Report on Form 10-K for defined terms and further information regarding our current financing transactions and marketable investment securities. As of December 31, 2024, our cash, cash equivalents, current restricted cash and cash equivalents, and current marketable investment securities totaled $5.698 billion compared to $2.444 billion as of December 31, 2023, an increase of $3.254 billion. This increase in cash, cash equivalents, current restricted cash and cash equivalents, and current marketable investment securities primarily resulted from $5.204 billion in net proceeds from the issuance of our 10 3/4% Senior Secured Notes due 2029 and 3 7/8% Convertible Secured Notes due 2030, $2.365 billion in net proceeds from the New DISH DBS Financing, $400 million in net proceeds from the issuance of PIPE Shares and cash generated from operating activities of $1.253 billion, partially offset by capital expenditures, net of refunds, of $2.497 billion (including capitalized interest related to Regulatory authorizations), the redemption of our 2 3/8% Convertible Notes due 2024 and 5 7/8% Senior Notes due 2024 of $2.934 billion and the purchase of SNR Management’s ownership interest in SNR HoldCo of $442 million.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4" w:name="page95"/>
    <w:bookmarkEnd w:id="9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Debt Issuances and Maturity</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11 3/4% Senior Secured Notes due November 15, 2027</w:t>
      </w:r>
    </w:p>
    <w:p>
      <w:pPr>
        <w:spacing w:after="0" w:line="177" w:lineRule="exact"/>
        <w:rPr>
          <w:sz w:val="20"/>
          <w:szCs w:val="20"/>
          <w:color w:val="auto"/>
        </w:rPr>
      </w:pPr>
    </w:p>
    <w:p>
      <w:pPr>
        <w:ind w:left="40" w:right="179"/>
        <w:spacing w:after="0" w:line="256" w:lineRule="auto"/>
        <w:rPr>
          <w:sz w:val="20"/>
          <w:szCs w:val="20"/>
          <w:color w:val="auto"/>
        </w:rPr>
      </w:pPr>
      <w:r>
        <w:rPr>
          <w:rFonts w:ascii="Arial" w:cs="Arial" w:eastAsia="Arial" w:hAnsi="Arial"/>
          <w:sz w:val="16"/>
          <w:szCs w:val="16"/>
          <w:color w:val="auto"/>
        </w:rPr>
        <w:t>On November 15, 2022 and January 26, 2023, we issued $2.0 billion and $1.5 billion, respectively, aggregate principal amount of our 11 3/4% Senior Secured Notes due November 15, 2027. Interest accrues at an annual rate of 11 3/4% and is payable semi-annually in cash, in arrears on May 15 and November 15 of each year.</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222222"/>
        </w:rPr>
        <w:t>New DISH DBS Financing</w:t>
      </w:r>
    </w:p>
    <w:p>
      <w:pPr>
        <w:spacing w:after="0" w:line="177"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 xml:space="preserve">On September 29, 2024 (the “Financing Closing Date”), we and our subsidiary, DBS SubscriberCo, received $2.5 billion in financing from TPG Angelo Gordon and other co-lenders in the form of Term Loans and Mandatorily Redeemable Preferred Shares (each as defined below and together, the </w:t>
      </w:r>
      <w:r>
        <w:rPr>
          <w:rFonts w:ascii="Arial" w:cs="Arial" w:eastAsia="Arial" w:hAnsi="Arial"/>
          <w:sz w:val="16"/>
          <w:szCs w:val="16"/>
          <w:color w:val="222222"/>
        </w:rPr>
        <w:t>“New DISH DBS Financing”).</w:t>
      </w:r>
      <w:r>
        <w:rPr>
          <w:rFonts w:ascii="Arial" w:cs="Arial" w:eastAsia="Arial" w:hAnsi="Arial"/>
          <w:sz w:val="16"/>
          <w:szCs w:val="16"/>
          <w:color w:val="auto"/>
        </w:rPr>
        <w:t xml:space="preserve"> On the Financing Closing Date, DBS SubscriberCo, entered into an amended and restated limited liability company agreement (the “SubscriberCo LLCA”), pursuant to which, among other things, DBS SubscriberCo issued to certain investors (the “Preferred Members”) redeemable preferred equity interests (the “Preferred Membership Interests”) with an aggregate liquidation preference of $200 million (the “Mandatorily Redeemable Preferred Shares”). </w:t>
      </w:r>
      <w:r>
        <w:rPr>
          <w:rFonts w:ascii="Arial" w:cs="Arial" w:eastAsia="Arial" w:hAnsi="Arial"/>
          <w:sz w:val="16"/>
          <w:szCs w:val="16"/>
          <w:color w:val="222222"/>
        </w:rPr>
        <w:t>Approximately</w:t>
      </w:r>
      <w:r>
        <w:rPr>
          <w:rFonts w:ascii="Arial" w:cs="Arial" w:eastAsia="Arial" w:hAnsi="Arial"/>
          <w:sz w:val="16"/>
          <w:szCs w:val="16"/>
          <w:color w:val="auto"/>
        </w:rPr>
        <w:t xml:space="preserve"> $2.047 billion in proceeds received from the New DISH DBS Financing were used for the redemption of the principal balance and remaining interest outstanding on our 5 7/8% Senior Notes due November 15, 2024. The New DISH DBS Financing consists of the following: (i) initial term loans in an aggregate principal amount of $1.8 billion that mature on June 30, 2029 (the “Term Loan due 2029”), (ii) incremental term loans in an aggregate principal amount of $ 500 million that are payable in equal monthly installments which began in January 2025 and mature on September 30, 2025 (the “Term Loan due 2025”) and (iii) $200 million Mandatorily Redeemable Preferred Shares that mature on June 30, 2029.</w:t>
      </w:r>
    </w:p>
    <w:p>
      <w:pPr>
        <w:spacing w:after="0" w:line="149"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Interest on the Term Loans accrues and is payable monthly, generally in cash. The interest rate with respect to the Term Loan due 2029 is (i) from (and including) the Financing Closing Date and until (but excluding) the date that is twelve months thereafter, 10.75% per annum and (ii) from (and including) the date that is twelve months after the Financing Closing Date and until June 30, 2029, 11.25% per annum. The interest rate with respect to the Term Loan due 2025 is 11.00% per annum. The Preferred Membership Interests have a preferential cumulative return that accumulates daily in arrears at a rate of: (a) from (and including) the Financing Closing Date and until (but excluding) the date that is 12 months thereafter, 13.25% per annum and (b) from (and including) the date that is 12 months after the Financing Closing Date and until June 30, 2029 (or the first business day thereafter), 13.75% per annum, payable in cash monthly and a liquidation preference equal to the issue price plus all accrued and unpaid dividends.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10 3/4% Senior Secured Notes due November 30, 2029</w:t>
      </w:r>
    </w:p>
    <w:p>
      <w:pPr>
        <w:spacing w:after="0" w:line="177" w:lineRule="exact"/>
        <w:rPr>
          <w:sz w:val="20"/>
          <w:szCs w:val="20"/>
          <w:color w:val="auto"/>
        </w:rPr>
      </w:pPr>
    </w:p>
    <w:p>
      <w:pPr>
        <w:ind w:left="40" w:right="459"/>
        <w:spacing w:after="0" w:line="256" w:lineRule="auto"/>
        <w:rPr>
          <w:sz w:val="20"/>
          <w:szCs w:val="20"/>
          <w:color w:val="auto"/>
        </w:rPr>
      </w:pPr>
      <w:r>
        <w:rPr>
          <w:rFonts w:ascii="Arial" w:cs="Arial" w:eastAsia="Arial" w:hAnsi="Arial"/>
          <w:sz w:val="16"/>
          <w:szCs w:val="16"/>
          <w:color w:val="auto"/>
        </w:rPr>
        <w:t>On November 12, 2024, we issued $5.356 billion aggregate principal amount of our 10 3/4% Senior Secured Notes due November 30, 2029. Interest accrues at an annual rate of 10 3/4% and is payable semi-annually in cash, in arrears on May 30 and November 30 of each year, commencing on May 30, 2025.</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6 3/4 % Senior Secured Notes due November 30, 2030</w:t>
      </w:r>
    </w:p>
    <w:p>
      <w:pPr>
        <w:spacing w:after="0" w:line="177" w:lineRule="exact"/>
        <w:rPr>
          <w:sz w:val="20"/>
          <w:szCs w:val="20"/>
          <w:color w:val="auto"/>
        </w:rPr>
      </w:pPr>
    </w:p>
    <w:p>
      <w:pPr>
        <w:ind w:left="40" w:right="59"/>
        <w:spacing w:after="0" w:line="243" w:lineRule="auto"/>
        <w:rPr>
          <w:sz w:val="20"/>
          <w:szCs w:val="20"/>
          <w:color w:val="auto"/>
        </w:rPr>
      </w:pPr>
      <w:r>
        <w:rPr>
          <w:rFonts w:ascii="Arial" w:cs="Arial" w:eastAsia="Arial" w:hAnsi="Arial"/>
          <w:sz w:val="16"/>
          <w:szCs w:val="16"/>
          <w:color w:val="auto"/>
        </w:rPr>
        <w:t>On November 12, 2024, we issued $2.288 billion aggregate principal amount of our 6 3/4 % Senior Secured Notes due November 30, 2030 as a result of the consummation of the EchoStar Exchange Offers, as detailed and defined in Note 10 to the Notes to our Consolidated Financial Statements in this Annual Report on Form 10-K. Interest accrues at an annual rate of 6 3/4 % and is payable semi-annually in arrears on May 30 and November 30 of each year, commencing on May 30, 2025. Interest payments are, at our option, payable in cash or in kind for the first four interest payment periods. Interest payments from and including the fifth interest payment period (which will be payable on May 30, 2027) and thereafter must be paid in cash.</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5" w:name="page96"/>
    <w:bookmarkEnd w:id="9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3 7/8% Convertible Secured Notes due November 30, 2030</w:t>
      </w:r>
    </w:p>
    <w:p>
      <w:pPr>
        <w:spacing w:after="0" w:line="177" w:lineRule="exact"/>
        <w:rPr>
          <w:sz w:val="20"/>
          <w:szCs w:val="20"/>
          <w:color w:val="auto"/>
        </w:rPr>
      </w:pPr>
    </w:p>
    <w:p>
      <w:pPr>
        <w:ind w:left="40" w:right="199"/>
        <w:spacing w:after="0" w:line="243" w:lineRule="auto"/>
        <w:rPr>
          <w:sz w:val="20"/>
          <w:szCs w:val="20"/>
          <w:color w:val="auto"/>
        </w:rPr>
      </w:pPr>
      <w:r>
        <w:rPr>
          <w:rFonts w:ascii="Arial" w:cs="Arial" w:eastAsia="Arial" w:hAnsi="Arial"/>
          <w:sz w:val="16"/>
          <w:szCs w:val="16"/>
          <w:color w:val="auto"/>
        </w:rPr>
        <w:t xml:space="preserve">On November 12, 2024, we issued $1.906 billion aggregate principal amount of our 3 7/8% Convertible Secured Notes due November 30, 2030, including </w:t>
      </w:r>
      <w:r>
        <w:rPr>
          <w:rFonts w:ascii="Arial" w:cs="Arial" w:eastAsia="Arial" w:hAnsi="Arial"/>
          <w:sz w:val="16"/>
          <w:szCs w:val="16"/>
          <w:color w:val="222222"/>
        </w:rPr>
        <w:t>$1.876 billion</w:t>
      </w:r>
      <w:r>
        <w:rPr>
          <w:rFonts w:ascii="Arial" w:cs="Arial" w:eastAsia="Arial" w:hAnsi="Arial"/>
          <w:sz w:val="16"/>
          <w:szCs w:val="16"/>
          <w:color w:val="auto"/>
        </w:rPr>
        <w:t xml:space="preserve"> as a result of the consummation of the EchoStar Exchange Offers, as detailed and defined in Note 10 to the Notes to our Consolidated Financial Statements in this Annual Report on Form 10-K. Interest accrues at an annual rate of 3 7/8% and is payable semi-annually in arrears on May 30 and November 30 of each year, commencing on May 30, 2025. Interest payments are, at our option, payable in cash or in kind for the first four interest payment periods. Interest payments from and including the fifth interest payment period (which will be payable on May 30, 2027) and thereafter must be paid in cash.</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5 7/8% Senior Notes due 2022</w:t>
      </w:r>
    </w:p>
    <w:p>
      <w:pPr>
        <w:spacing w:after="0" w:line="177" w:lineRule="exact"/>
        <w:rPr>
          <w:sz w:val="20"/>
          <w:szCs w:val="20"/>
          <w:color w:val="auto"/>
        </w:rPr>
      </w:pPr>
    </w:p>
    <w:p>
      <w:pPr>
        <w:ind w:left="40" w:right="199"/>
        <w:spacing w:after="0" w:line="275" w:lineRule="auto"/>
        <w:rPr>
          <w:sz w:val="20"/>
          <w:szCs w:val="20"/>
          <w:color w:val="auto"/>
        </w:rPr>
      </w:pPr>
      <w:r>
        <w:rPr>
          <w:rFonts w:ascii="Arial" w:cs="Arial" w:eastAsia="Arial" w:hAnsi="Arial"/>
          <w:sz w:val="16"/>
          <w:szCs w:val="16"/>
          <w:color w:val="auto"/>
        </w:rPr>
        <w:t>Our 5 7/8% Senior Notes due 2022 with an aggregate principal balance of $2.0 billion were repurchased or redeemed as of July 15, 2022, the instrument’s maturity date.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5% Senior Notes due 2023</w:t>
      </w:r>
    </w:p>
    <w:p>
      <w:pPr>
        <w:spacing w:after="0" w:line="177" w:lineRule="exact"/>
        <w:rPr>
          <w:sz w:val="20"/>
          <w:szCs w:val="20"/>
          <w:color w:val="auto"/>
        </w:rPr>
      </w:pPr>
    </w:p>
    <w:p>
      <w:pPr>
        <w:ind w:left="40" w:right="459"/>
        <w:spacing w:after="0" w:line="275" w:lineRule="auto"/>
        <w:rPr>
          <w:sz w:val="20"/>
          <w:szCs w:val="20"/>
          <w:color w:val="auto"/>
        </w:rPr>
      </w:pPr>
      <w:r>
        <w:rPr>
          <w:rFonts w:ascii="Arial" w:cs="Arial" w:eastAsia="Arial" w:hAnsi="Arial"/>
          <w:sz w:val="16"/>
          <w:szCs w:val="16"/>
          <w:color w:val="auto"/>
        </w:rPr>
        <w:t>Our 5% Senior Notes due 2023 with an aggregate principal balance of $1.5 billion were repurchased or redeemed as of March 15, 2023, the instrument’s maturity date.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2 3/8% Convertible Notes due 2024</w:t>
      </w:r>
    </w:p>
    <w:p>
      <w:pPr>
        <w:spacing w:after="0" w:line="177"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Our 2 3/8% Convertible Notes due 2024 with an aggregate principal balance of $1.0 billion were repurchased or redeemed as of March 15, 2024, the instrument’s maturity date.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5 7/8% Senior Notes due 2024</w:t>
      </w:r>
    </w:p>
    <w:p>
      <w:pPr>
        <w:spacing w:after="0" w:line="177" w:lineRule="exact"/>
        <w:rPr>
          <w:sz w:val="20"/>
          <w:szCs w:val="20"/>
          <w:color w:val="auto"/>
        </w:rPr>
      </w:pPr>
    </w:p>
    <w:p>
      <w:pPr>
        <w:ind w:left="40" w:right="199"/>
        <w:spacing w:after="0" w:line="275" w:lineRule="auto"/>
        <w:rPr>
          <w:sz w:val="20"/>
          <w:szCs w:val="20"/>
          <w:color w:val="auto"/>
        </w:rPr>
      </w:pPr>
      <w:r>
        <w:rPr>
          <w:rFonts w:ascii="Arial" w:cs="Arial" w:eastAsia="Arial" w:hAnsi="Arial"/>
          <w:sz w:val="16"/>
          <w:szCs w:val="16"/>
          <w:color w:val="auto"/>
        </w:rPr>
        <w:t>Our 5 7/8% Senior Notes due 2024 with an aggregate principal balance of $2.0 billion were repurchased or redeemed as of November 15, 2024, the instrument’s maturity date.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0% Convertible Notes due 2025</w:t>
      </w:r>
    </w:p>
    <w:p>
      <w:pPr>
        <w:spacing w:after="0" w:line="177"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color w:val="auto"/>
        </w:rPr>
        <w:t xml:space="preserve">On November 12, 2024, </w:t>
      </w:r>
      <w:r>
        <w:rPr>
          <w:rFonts w:ascii="Arial" w:cs="Arial" w:eastAsia="Arial" w:hAnsi="Arial"/>
          <w:sz w:val="16"/>
          <w:szCs w:val="16"/>
          <w:color w:val="222222"/>
        </w:rPr>
        <w:t>$1.819 billion aggregate principal amount of our</w:t>
      </w:r>
      <w:r>
        <w:rPr>
          <w:rFonts w:ascii="Arial" w:cs="Arial" w:eastAsia="Arial" w:hAnsi="Arial"/>
          <w:sz w:val="16"/>
          <w:szCs w:val="16"/>
          <w:color w:val="auto"/>
        </w:rPr>
        <w:t xml:space="preserve"> 0% Convertible Notes due 2025 were extinguished as a result of the consummation of the EchoStar Exchange Offers, as detailed and defined in Note 10 to the Notes to our Consolidated Financial Statements in this Annual Report on Form 10-K. </w:t>
      </w:r>
      <w:r>
        <w:rPr>
          <w:rFonts w:ascii="Arial" w:cs="Arial" w:eastAsia="Arial" w:hAnsi="Arial"/>
          <w:sz w:val="16"/>
          <w:szCs w:val="16"/>
          <w:color w:val="222222"/>
        </w:rPr>
        <w:t>A total of $138 million aggregate principal amount of</w:t>
      </w:r>
      <w:r>
        <w:rPr>
          <w:rFonts w:ascii="Arial" w:cs="Arial" w:eastAsia="Arial" w:hAnsi="Arial"/>
          <w:sz w:val="16"/>
          <w:szCs w:val="16"/>
          <w:color w:val="auto"/>
        </w:rPr>
        <w:t xml:space="preserve"> </w:t>
      </w:r>
      <w:r>
        <w:rPr>
          <w:rFonts w:ascii="Arial" w:cs="Arial" w:eastAsia="Arial" w:hAnsi="Arial"/>
          <w:sz w:val="16"/>
          <w:szCs w:val="16"/>
          <w:color w:val="222222"/>
        </w:rPr>
        <w:t xml:space="preserve">our </w:t>
      </w:r>
      <w:r>
        <w:rPr>
          <w:rFonts w:ascii="Arial" w:cs="Arial" w:eastAsia="Arial" w:hAnsi="Arial"/>
          <w:sz w:val="16"/>
          <w:szCs w:val="16"/>
          <w:color w:val="000000"/>
        </w:rPr>
        <w:t>0% Convertible Notes due 2025</w:t>
      </w:r>
      <w:r>
        <w:rPr>
          <w:rFonts w:ascii="Arial" w:cs="Arial" w:eastAsia="Arial" w:hAnsi="Arial"/>
          <w:sz w:val="16"/>
          <w:szCs w:val="16"/>
          <w:color w:val="222222"/>
        </w:rPr>
        <w:t xml:space="preserve"> remain outstanding.</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3 3/8% Convertible Notes due 2026</w:t>
      </w:r>
    </w:p>
    <w:p>
      <w:pPr>
        <w:spacing w:after="0" w:line="177" w:lineRule="exact"/>
        <w:rPr>
          <w:sz w:val="20"/>
          <w:szCs w:val="20"/>
          <w:color w:val="auto"/>
        </w:rPr>
      </w:pPr>
    </w:p>
    <w:p>
      <w:pPr>
        <w:ind w:left="40" w:right="359"/>
        <w:spacing w:after="0" w:line="249" w:lineRule="auto"/>
        <w:rPr>
          <w:sz w:val="20"/>
          <w:szCs w:val="20"/>
          <w:color w:val="auto"/>
        </w:rPr>
      </w:pPr>
      <w:r>
        <w:rPr>
          <w:rFonts w:ascii="Arial" w:cs="Arial" w:eastAsia="Arial" w:hAnsi="Arial"/>
          <w:sz w:val="16"/>
          <w:szCs w:val="16"/>
          <w:color w:val="auto"/>
        </w:rPr>
        <w:t xml:space="preserve">On November 12, 2024, </w:t>
      </w:r>
      <w:r>
        <w:rPr>
          <w:rFonts w:ascii="Arial" w:cs="Arial" w:eastAsia="Arial" w:hAnsi="Arial"/>
          <w:sz w:val="16"/>
          <w:szCs w:val="16"/>
          <w:color w:val="222222"/>
        </w:rPr>
        <w:t>$2.863 billion aggregate principal amount of our</w:t>
      </w:r>
      <w:r>
        <w:rPr>
          <w:rFonts w:ascii="Arial" w:cs="Arial" w:eastAsia="Arial" w:hAnsi="Arial"/>
          <w:sz w:val="16"/>
          <w:szCs w:val="16"/>
          <w:color w:val="auto"/>
        </w:rPr>
        <w:t xml:space="preserve"> 3 3/8% Convertible Notes due 2026 were extinguished as a result of the consummation of the EchoStar Exchange Offers, as detailed and defined in Note 10 to the Notes to our Consolidated Financial Statements in this Annual Report on Form 10-K. </w:t>
      </w:r>
      <w:r>
        <w:rPr>
          <w:rFonts w:ascii="Arial" w:cs="Arial" w:eastAsia="Arial" w:hAnsi="Arial"/>
          <w:sz w:val="16"/>
          <w:szCs w:val="16"/>
          <w:color w:val="222222"/>
        </w:rPr>
        <w:t>A total of $45 million aggregate</w:t>
      </w:r>
      <w:r>
        <w:rPr>
          <w:rFonts w:ascii="Arial" w:cs="Arial" w:eastAsia="Arial" w:hAnsi="Arial"/>
          <w:sz w:val="16"/>
          <w:szCs w:val="16"/>
          <w:color w:val="auto"/>
        </w:rPr>
        <w:t xml:space="preserve"> </w:t>
      </w:r>
      <w:r>
        <w:rPr>
          <w:rFonts w:ascii="Arial" w:cs="Arial" w:eastAsia="Arial" w:hAnsi="Arial"/>
          <w:sz w:val="16"/>
          <w:szCs w:val="16"/>
          <w:color w:val="222222"/>
        </w:rPr>
        <w:t xml:space="preserve">principal amount of our </w:t>
      </w:r>
      <w:r>
        <w:rPr>
          <w:rFonts w:ascii="Arial" w:cs="Arial" w:eastAsia="Arial" w:hAnsi="Arial"/>
          <w:sz w:val="16"/>
          <w:szCs w:val="16"/>
          <w:color w:val="000000"/>
        </w:rPr>
        <w:t>3 3/8% Convertible Notes due 2026</w:t>
      </w:r>
      <w:r>
        <w:rPr>
          <w:rFonts w:ascii="Arial" w:cs="Arial" w:eastAsia="Arial" w:hAnsi="Arial"/>
          <w:sz w:val="16"/>
          <w:szCs w:val="16"/>
          <w:color w:val="222222"/>
        </w:rPr>
        <w:t xml:space="preserve"> remain outstanding.</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Cash Flow</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discussion highlights our cash flow activities during the years ended December 31, 2024, 2023 and 2022.</w:t>
      </w:r>
    </w:p>
    <w:p>
      <w:pPr>
        <w:spacing w:after="0" w:line="179" w:lineRule="exact"/>
        <w:rPr>
          <w:sz w:val="20"/>
          <w:szCs w:val="20"/>
          <w:color w:val="auto"/>
        </w:rPr>
      </w:pPr>
    </w:p>
    <w:p>
      <w:pPr>
        <w:ind w:left="40" w:right="139"/>
        <w:spacing w:after="0"/>
        <w:rPr>
          <w:sz w:val="20"/>
          <w:szCs w:val="20"/>
          <w:color w:val="auto"/>
        </w:rPr>
      </w:pPr>
      <w:r>
        <w:rPr>
          <w:rFonts w:ascii="Arial" w:cs="Arial" w:eastAsia="Arial" w:hAnsi="Arial"/>
          <w:sz w:val="16"/>
          <w:szCs w:val="16"/>
          <w:b w:val="1"/>
          <w:bCs w:val="1"/>
          <w:i w:val="1"/>
          <w:iCs w:val="1"/>
          <w:color w:val="auto"/>
        </w:rPr>
        <w:t xml:space="preserve">Cash flows from operating activities. </w:t>
      </w:r>
      <w:r>
        <w:rPr>
          <w:rFonts w:ascii="Arial" w:cs="Arial" w:eastAsia="Arial" w:hAnsi="Arial"/>
          <w:sz w:val="16"/>
          <w:szCs w:val="16"/>
          <w:color w:val="auto"/>
        </w:rPr>
        <w:t>We typically reinvest the cash flow from operating activities in our business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grow our subscriber base, expand our infrastructure, make strategic investments, such as significant investments in our Wireless business, including our 5G Network Deployment, and repay debt obligations. For the years ended December 31, 2024, 2023 and 2022, we reported “Net cash flows from operating activities” of $1.253 billion, $2.433 billion and $3.621 billion, respectively.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6" w:name="page97"/>
    <w:bookmarkEnd w:id="9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119"/>
        <w:spacing w:after="0" w:line="242" w:lineRule="auto"/>
        <w:rPr>
          <w:sz w:val="20"/>
          <w:szCs w:val="20"/>
          <w:color w:val="auto"/>
        </w:rPr>
      </w:pPr>
      <w:r>
        <w:rPr>
          <w:rFonts w:ascii="Arial" w:cs="Arial" w:eastAsia="Arial" w:hAnsi="Arial"/>
          <w:sz w:val="16"/>
          <w:szCs w:val="16"/>
          <w:color w:val="auto"/>
        </w:rPr>
        <w:t>Net cash flows from operating activities from 2023 to 2024 decreased $1.180 billion, primarily attributable to a $815 million decrease in income adjusted to exclude non-cash charges for “Depreciation and amortization” expense, “Realized and unrealized losses (gains) on investments, impairments and other,” “EchoStar Exchange Offers debt extinguishment losses (gains),” “Liberty Puerto Rico Asset Sale losses (gains),” “Realized and unrealized losses (gains) on derivatives,” “Non-cash, stock-based compensation” expense, “Deferred tax expense (benefit),” “Equity in (earnings) losses of affiliates,” and “Impairment of long-lived assets and goodwill.” In addition, this change also includes decreases in cash flows resulting from changes in operating assets and liabilities principally attributable to timing differences between book expense and cash payments, including taxes.</w:t>
      </w:r>
    </w:p>
    <w:p>
      <w:pPr>
        <w:spacing w:after="0" w:line="150" w:lineRule="exact"/>
        <w:rPr>
          <w:sz w:val="20"/>
          <w:szCs w:val="20"/>
          <w:color w:val="auto"/>
        </w:rPr>
      </w:pPr>
    </w:p>
    <w:p>
      <w:pPr>
        <w:ind w:left="40" w:right="179"/>
        <w:spacing w:after="0" w:line="244" w:lineRule="auto"/>
        <w:rPr>
          <w:sz w:val="20"/>
          <w:szCs w:val="20"/>
          <w:color w:val="auto"/>
        </w:rPr>
      </w:pPr>
      <w:r>
        <w:rPr>
          <w:rFonts w:ascii="Arial" w:cs="Arial" w:eastAsia="Arial" w:hAnsi="Arial"/>
          <w:sz w:val="16"/>
          <w:szCs w:val="16"/>
          <w:color w:val="auto"/>
        </w:rPr>
        <w:t>Net cash flows from operating activities from 2022 to 2023 decreased $1.189 billion, primarily attributable to a $1.352 billion decrease in income adjusted to exclude non-cash charges for “Depreciation and amortization” expense, “Realized and unrealized losses (gains) on investments, impairments and other,” “Realized and unrealized losses (gains) on derivatives,” “Non-cash, stock-based compensation” expense, “Deferred tax expense (benefit) and “Impairment of long-lived assets and goodwill.” In addition, this change also includes decreases in cash flows resulting from changes in operating assets and liabilities principally attributable to timing differences between book expense and cash payments, including taxes.</w:t>
      </w:r>
    </w:p>
    <w:p>
      <w:pPr>
        <w:spacing w:after="0" w:line="148"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b w:val="1"/>
          <w:bCs w:val="1"/>
          <w:i w:val="1"/>
          <w:iCs w:val="1"/>
          <w:color w:val="auto"/>
        </w:rPr>
        <w:t xml:space="preserve">Cash flows from investing activities. </w:t>
      </w:r>
      <w:r>
        <w:rPr>
          <w:rFonts w:ascii="Arial" w:cs="Arial" w:eastAsia="Arial" w:hAnsi="Arial"/>
          <w:sz w:val="16"/>
          <w:szCs w:val="16"/>
          <w:color w:val="auto"/>
        </w:rPr>
        <w:t>Our investing activities generally include purchases and sales of marketable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securities, acquisitions, strategic investments, including purchases and settlements of derivative financial instruments, and purchases of wireless spectrum licenses, capital expenditures and capitalized interest. For the years ended December 31, 2024, 2023 and 2022, we reported outflows from “Net cash flows from investing activities” of $3.048 billion, $2.809 billion and $9.060 billion, respectively.</w:t>
      </w:r>
    </w:p>
    <w:p>
      <w:pPr>
        <w:spacing w:after="0" w:line="146" w:lineRule="exact"/>
        <w:rPr>
          <w:sz w:val="20"/>
          <w:szCs w:val="20"/>
          <w:color w:val="auto"/>
        </w:rPr>
      </w:pPr>
    </w:p>
    <w:p>
      <w:pPr>
        <w:ind w:left="40" w:right="139"/>
        <w:spacing w:after="0" w:line="256" w:lineRule="auto"/>
        <w:rPr>
          <w:sz w:val="20"/>
          <w:szCs w:val="20"/>
          <w:color w:val="auto"/>
        </w:rPr>
      </w:pPr>
      <w:r>
        <w:rPr>
          <w:rFonts w:ascii="Arial" w:cs="Arial" w:eastAsia="Arial" w:hAnsi="Arial"/>
          <w:sz w:val="16"/>
          <w:szCs w:val="16"/>
          <w:color w:val="auto"/>
        </w:rPr>
        <w:t>The year ended December 31, 2024 was impacted by cash outflows primarily related to capital expenditures, net of refunds, of $2.497 billion (including capitalized interest related to Regulatory authorizations) and $681 million in net purchases of marketable investment securities, partially offset by $95 million in proceeds from the Liberty Puerto Rico Asset Sale.</w:t>
      </w:r>
    </w:p>
    <w:p>
      <w:pPr>
        <w:spacing w:after="0" w:line="137" w:lineRule="exact"/>
        <w:rPr>
          <w:sz w:val="20"/>
          <w:szCs w:val="20"/>
          <w:color w:val="auto"/>
        </w:rPr>
      </w:pPr>
    </w:p>
    <w:p>
      <w:pPr>
        <w:ind w:left="40" w:right="139"/>
        <w:spacing w:after="0" w:line="256" w:lineRule="auto"/>
        <w:rPr>
          <w:sz w:val="20"/>
          <w:szCs w:val="20"/>
          <w:color w:val="auto"/>
        </w:rPr>
      </w:pPr>
      <w:r>
        <w:rPr>
          <w:rFonts w:ascii="Arial" w:cs="Arial" w:eastAsia="Arial" w:hAnsi="Arial"/>
          <w:sz w:val="16"/>
          <w:szCs w:val="16"/>
          <w:color w:val="auto"/>
        </w:rPr>
        <w:t>The year ended December 31, 2023 was impacted by cash outflows primarily related to capital expenditures, net of refunds, of $4.225 billion (including capitalized interest related to Regulatory authorizations), partially offset by $1.303 billion in net sales of marketable investment securities and $148 million in proceeds from other debt investments.</w:t>
      </w:r>
    </w:p>
    <w:p>
      <w:pPr>
        <w:spacing w:after="0" w:line="137" w:lineRule="exact"/>
        <w:rPr>
          <w:sz w:val="20"/>
          <w:szCs w:val="20"/>
          <w:color w:val="auto"/>
        </w:rPr>
      </w:pPr>
    </w:p>
    <w:p>
      <w:pPr>
        <w:jc w:val="both"/>
        <w:ind w:left="40" w:right="119"/>
        <w:spacing w:after="0" w:line="256" w:lineRule="auto"/>
        <w:rPr>
          <w:sz w:val="20"/>
          <w:szCs w:val="20"/>
          <w:color w:val="auto"/>
        </w:rPr>
      </w:pPr>
      <w:r>
        <w:rPr>
          <w:rFonts w:ascii="Arial" w:cs="Arial" w:eastAsia="Arial" w:hAnsi="Arial"/>
          <w:sz w:val="16"/>
          <w:szCs w:val="16"/>
          <w:color w:val="auto"/>
        </w:rPr>
        <w:t>The year ended December 31, 2022 was impacted by cash outflows primarily related to a $7.207 billion payment to the FCC for the 3.45–3.55 GHz band licenses and capital expenditures, net of refunds, of $4.035 billion (including capitalized interest related to Regulatory authorizations), partially offset by $2.194 billion in net sales of marketable investment securities.</w:t>
      </w:r>
    </w:p>
    <w:p>
      <w:pPr>
        <w:spacing w:after="0" w:line="137" w:lineRule="exact"/>
        <w:rPr>
          <w:sz w:val="20"/>
          <w:szCs w:val="20"/>
          <w:color w:val="auto"/>
        </w:rPr>
      </w:pPr>
    </w:p>
    <w:p>
      <w:pPr>
        <w:ind w:left="40" w:right="139"/>
        <w:spacing w:after="0" w:line="243" w:lineRule="auto"/>
        <w:rPr>
          <w:sz w:val="20"/>
          <w:szCs w:val="20"/>
          <w:color w:val="auto"/>
        </w:rPr>
      </w:pPr>
      <w:r>
        <w:rPr>
          <w:rFonts w:ascii="Arial" w:cs="Arial" w:eastAsia="Arial" w:hAnsi="Arial"/>
          <w:sz w:val="16"/>
          <w:szCs w:val="16"/>
          <w:color w:val="auto"/>
        </w:rPr>
        <w:t>During the years ended December 31, 2024, 2023 and 2022, capital expenditures for wireless equipment totaled $1.114 billion, $2.586 billion and $ 2.596 billion, respectively. The decrease in 2024 for wireless equipment was primarily driven by the deceleration of our 5G Network Deployment as a result of achieving several build-out deadlines during 2023. In addition, capital expenditures during the years ended December 31, 2024, 2023 and 2022 for new and existing DISH TV customer equipment totaled $52 million, $75 million and $78 million, respectively. The decrease in 2024 for new and existing DISH TV customer equipment primarily resulted from lower gross new DISH TV subscriber activations and a higher percentage of remanufactured receivers being activated on new subscriber accounts.</w:t>
      </w:r>
    </w:p>
    <w:p>
      <w:pPr>
        <w:spacing w:after="0" w:line="148" w:lineRule="exact"/>
        <w:rPr>
          <w:sz w:val="20"/>
          <w:szCs w:val="20"/>
          <w:color w:val="auto"/>
        </w:rPr>
      </w:pPr>
    </w:p>
    <w:p>
      <w:pPr>
        <w:ind w:left="40" w:right="199"/>
        <w:spacing w:after="0" w:line="246" w:lineRule="auto"/>
        <w:rPr>
          <w:sz w:val="20"/>
          <w:szCs w:val="20"/>
          <w:color w:val="auto"/>
        </w:rPr>
      </w:pPr>
      <w:r>
        <w:rPr>
          <w:rFonts w:ascii="Arial" w:cs="Arial" w:eastAsia="Arial" w:hAnsi="Arial"/>
          <w:sz w:val="16"/>
          <w:szCs w:val="16"/>
          <w:color w:val="auto"/>
        </w:rPr>
        <w:t>During the years ended December 31, 2024 and 2023, capital expenditures for satellites related to our Pay-TV segment totaled $121 million and $105 million, respectively. During the years ended December 31, 2024, 2023 and 2022, other corporate capital expenditures totaled $46 million, $63 million and $50 million, respectively. During the years ended December 31, 2024, 2023 and 2022 capital expenditures for our Broadband and Satellite Services segment, net of refunds, totaled $212 million, $233 million and $326 million, respectively.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b w:val="1"/>
          <w:bCs w:val="1"/>
          <w:i w:val="1"/>
          <w:iCs w:val="1"/>
          <w:color w:val="auto"/>
        </w:rPr>
        <w:t xml:space="preserve">Cash flows from financing activities. </w:t>
      </w:r>
      <w:r>
        <w:rPr>
          <w:rFonts w:ascii="Arial" w:cs="Arial" w:eastAsia="Arial" w:hAnsi="Arial"/>
          <w:sz w:val="16"/>
          <w:szCs w:val="16"/>
          <w:color w:val="auto"/>
        </w:rPr>
        <w:t>Our financing activities generally include net proceeds related to the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equity and short-term, long-term and convertible debt, cash used for the repurchase, redemption or payment of long-term debt and finance lease obligations, and repurchases of our Class A common stock. For the years ended December 31, 2024, 2023 and 2022, we reported “Net cash flows from financing activities” inflows of $4.484 billion, outflows of $277 million and $274 million, respectively.</w:t>
      </w:r>
    </w:p>
    <w:p>
      <w:pPr>
        <w:spacing w:after="0" w:line="146" w:lineRule="exact"/>
        <w:rPr>
          <w:sz w:val="20"/>
          <w:szCs w:val="20"/>
          <w:color w:val="auto"/>
        </w:rPr>
      </w:pPr>
    </w:p>
    <w:p>
      <w:pPr>
        <w:ind w:left="40" w:right="319"/>
        <w:spacing w:after="0" w:line="246" w:lineRule="auto"/>
        <w:rPr>
          <w:sz w:val="20"/>
          <w:szCs w:val="20"/>
          <w:color w:val="auto"/>
        </w:rPr>
      </w:pPr>
      <w:r>
        <w:rPr>
          <w:rFonts w:ascii="Arial" w:cs="Arial" w:eastAsia="Arial" w:hAnsi="Arial"/>
          <w:sz w:val="16"/>
          <w:szCs w:val="16"/>
          <w:color w:val="auto"/>
        </w:rPr>
        <w:t>The net cash inflows in 2024 primarily related to $ 5.204 billion in net proceeds from the issuance of our 10 3/4% Senior Secured Notes due 2029 and 3 7/8% Convertible Secured Notes due 2030, $ 2.365 billion in net proceeds from the New DISH DBS Financing, $ 400 million in net proceeds from the issuance of PIPE Shares, partially offset by the redemption of our 2 3/8% Convertible Notes due 2024 and 5 7/8% Senior Notes due 2024 of $2.934 billion and the purchase of SNR Management’s ownership interest in SNR HoldCo of $442 million.</w:t>
      </w:r>
    </w:p>
    <w:p>
      <w:pPr>
        <w:spacing w:after="0" w:line="146" w:lineRule="exact"/>
        <w:rPr>
          <w:sz w:val="20"/>
          <w:szCs w:val="20"/>
          <w:color w:val="auto"/>
        </w:rPr>
      </w:pPr>
    </w:p>
    <w:p>
      <w:pPr>
        <w:ind w:left="40" w:right="59"/>
        <w:spacing w:after="0" w:line="256" w:lineRule="auto"/>
        <w:rPr>
          <w:sz w:val="20"/>
          <w:szCs w:val="20"/>
          <w:color w:val="auto"/>
        </w:rPr>
      </w:pPr>
      <w:r>
        <w:rPr>
          <w:rFonts w:ascii="Arial" w:cs="Arial" w:eastAsia="Arial" w:hAnsi="Arial"/>
          <w:sz w:val="16"/>
          <w:szCs w:val="16"/>
          <w:color w:val="auto"/>
        </w:rPr>
        <w:t>The net cash outflows in 2023 primarily related to the repurchases and redemption of our senior notes of $1.461 billion, net repurchases of our Convertible Notes of $110 million and repayments of long-term debt and finance lease obligations of $122 million, partially offset by $1.522 billion in net proceeds from the issuance of our 11 3/4% Senior Notes due 2027.</w:t>
      </w:r>
    </w:p>
    <w:p>
      <w:pPr>
        <w:spacing w:after="0" w:line="137"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The net cash outflows in 2022 primarily related to the repurchases and redemption of our 5 7/8% Senior Notes due 2022 with an aggregate principal balance of $2.0 billion, $89 million of repurchases of our treasury shares and $ 57 million of repurchases of our 5% Senior Notes due 2023 in open market trades, partially offset by $1.949 billion in net proceeds from the issuance of our 11 3/4% Senior Notes due 2027.</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Free Cash Flow</w:t>
      </w:r>
    </w:p>
    <w:p>
      <w:pPr>
        <w:spacing w:after="0" w:line="179"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We define free cash flow as “Net cash flows from operating activities” less: (i) “Purchases of property and equipment” net of “Refunds and other receipts of purchases of property and equipment,” and (ii) “Capitalized interest related to Regulatory authorizations,” as shown on our Consolidated Statements of Cash Flows. We believe free cash flow is an important liquidity metric because it measures, during a given period, the amount of cash generated that is available to repay debt obligations, make investments (including strategic wireless investments), fund acquisitions and for certain other activities. Free cash flow is not a measure determined in accordance with GAAP and should not be considered a substitute for “Operating income (loss),” “Net income (loss),” “Net cash flows from operating activities” or any other measure determined in accordance with GAAP. Since free cash flow includes investments in operating assets, we believe this non-GAAP liquidity measure is useful in addition to the most directly comparable GAAP measure “Net cash flows from operating activities.”</w:t>
      </w:r>
    </w:p>
    <w:p>
      <w:pPr>
        <w:spacing w:after="0" w:line="152" w:lineRule="exact"/>
        <w:rPr>
          <w:sz w:val="20"/>
          <w:szCs w:val="20"/>
          <w:color w:val="auto"/>
        </w:rPr>
      </w:pPr>
    </w:p>
    <w:p>
      <w:pPr>
        <w:ind w:left="40" w:right="119"/>
        <w:spacing w:after="0"/>
        <w:rPr>
          <w:sz w:val="20"/>
          <w:szCs w:val="20"/>
          <w:color w:val="auto"/>
        </w:rPr>
      </w:pPr>
      <w:r>
        <w:rPr>
          <w:rFonts w:ascii="Arial" w:cs="Arial" w:eastAsia="Arial" w:hAnsi="Arial"/>
          <w:sz w:val="16"/>
          <w:szCs w:val="16"/>
          <w:color w:val="auto"/>
        </w:rPr>
        <w:t>Free cash flow can be significantly impacted from period to period by changes in “Net income (loss)” adjusted to exclude certain non-cash charges, operating assets and liabilities, “Purchases of property and equipment,” net of “Refunds and other receipts of purchases of property and equipment,” and “Capitalized interest related to Regulatory authorizations.” These items are shown in the “Net cash flows from operating activities” and “Net cash flows from investing activities” sections on our Consolidated Statements of Cash Flows included herein. Operating asset and liability balances can fluctuate significantly from period to period and there can be no assurance that free cash flow will not be negatively impacted by material changes in operating assets and liabilities in future periods, since these changes depend upon, among other things, management’s timing of payments and control of inventory levels, and cash receipts. In addition to fluctuations resulting from changes in operating assets and liabilities, free cash flow can vary significantly from period to period depending upon, among other things, subscriber additions (losses), service revenue, subscriber churn, subscriber acquisition and retention costs including amounts capitalized under our equipment lease programs for DISH TV subscribers, operating efficiencies, increases or decreases in purchases of property and equipment, expenditures related to our 5G Network Deployment and other factors.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8" w:name="page99"/>
    <w:bookmarkEnd w:id="9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reconciles free cash flow to “Net cash flows from operating activities.”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center"/>
              <w:ind w:right="87"/>
              <w:spacing w:after="0"/>
              <w:rPr>
                <w:sz w:val="20"/>
                <w:szCs w:val="20"/>
                <w:color w:val="auto"/>
              </w:rPr>
            </w:pPr>
            <w:r>
              <w:rPr>
                <w:rFonts w:ascii="Arial" w:cs="Arial" w:eastAsia="Arial" w:hAnsi="Arial"/>
                <w:sz w:val="15"/>
                <w:szCs w:val="15"/>
                <w:b w:val="1"/>
                <w:bCs w:val="1"/>
                <w:color w:val="auto"/>
                <w:w w:val="96"/>
              </w:rPr>
              <w:t>For the Years Ended December 31,</w:t>
            </w:r>
          </w:p>
        </w:tc>
      </w:tr>
      <w:tr>
        <w:trPr>
          <w:trHeight w:val="169"/>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7"/>
              <w:spacing w:after="0" w:line="169" w:lineRule="exact"/>
              <w:rPr>
                <w:sz w:val="20"/>
                <w:szCs w:val="20"/>
                <w:color w:val="auto"/>
              </w:rPr>
            </w:pPr>
            <w:r>
              <w:rPr>
                <w:rFonts w:ascii="Arial" w:cs="Arial" w:eastAsia="Arial" w:hAnsi="Arial"/>
                <w:sz w:val="15"/>
                <w:szCs w:val="15"/>
                <w:b w:val="1"/>
                <w:bCs w:val="1"/>
                <w:color w:val="auto"/>
              </w:rPr>
              <w:t>2024</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87"/>
              <w:spacing w:after="0" w:line="169" w:lineRule="exact"/>
              <w:rPr>
                <w:sz w:val="20"/>
                <w:szCs w:val="20"/>
                <w:color w:val="auto"/>
              </w:rPr>
            </w:pPr>
            <w:r>
              <w:rPr>
                <w:rFonts w:ascii="Arial" w:cs="Arial" w:eastAsia="Arial" w:hAnsi="Arial"/>
                <w:sz w:val="15"/>
                <w:szCs w:val="15"/>
                <w:b w:val="1"/>
                <w:bCs w:val="1"/>
                <w:color w:val="auto"/>
              </w:rPr>
              <w:t>2023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7"/>
              <w:spacing w:after="0" w:line="169" w:lineRule="exact"/>
              <w:rPr>
                <w:sz w:val="20"/>
                <w:szCs w:val="20"/>
                <w:color w:val="auto"/>
              </w:rPr>
            </w:pPr>
            <w:r>
              <w:rPr>
                <w:rFonts w:ascii="Arial" w:cs="Arial" w:eastAsia="Arial" w:hAnsi="Arial"/>
                <w:sz w:val="15"/>
                <w:szCs w:val="15"/>
                <w:b w:val="1"/>
                <w:bCs w:val="1"/>
                <w:color w:val="auto"/>
              </w:rPr>
              <w:t>2022</w:t>
            </w:r>
          </w:p>
        </w:tc>
      </w:tr>
      <w:tr>
        <w:trPr>
          <w:trHeight w:val="149"/>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5"/>
                <w:szCs w:val="15"/>
                <w:color w:val="auto"/>
                <w:w w:val="95"/>
              </w:rPr>
              <w:t>(In thousands)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9"/>
        </w:trPr>
        <w:tc>
          <w:tcPr>
            <w:tcW w:w="56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Net cash flows from operating activities</w:t>
            </w: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1,252,697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2,432,647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3,621,190</w:t>
            </w:r>
          </w:p>
        </w:tc>
      </w:tr>
      <w:tr>
        <w:trPr>
          <w:trHeight w:val="157"/>
        </w:trPr>
        <w:tc>
          <w:tcPr>
            <w:tcW w:w="5620" w:type="dxa"/>
            <w:vAlign w:val="bottom"/>
          </w:tcPr>
          <w:p>
            <w:pPr>
              <w:ind w:left="100"/>
              <w:spacing w:after="0" w:line="157" w:lineRule="exact"/>
              <w:rPr>
                <w:sz w:val="20"/>
                <w:szCs w:val="20"/>
                <w:color w:val="auto"/>
              </w:rPr>
            </w:pPr>
            <w:r>
              <w:rPr>
                <w:rFonts w:ascii="Arial" w:cs="Arial" w:eastAsia="Arial" w:hAnsi="Arial"/>
                <w:sz w:val="15"/>
                <w:szCs w:val="15"/>
                <w:color w:val="auto"/>
              </w:rPr>
              <w:t>Purchases of property and equipment, net of refunds (including capitalized interest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2"/>
        </w:trPr>
        <w:tc>
          <w:tcPr>
            <w:tcW w:w="5620" w:type="dxa"/>
            <w:vAlign w:val="bottom"/>
          </w:tcPr>
          <w:p>
            <w:pPr>
              <w:ind w:left="100"/>
              <w:spacing w:after="0"/>
              <w:rPr>
                <w:sz w:val="20"/>
                <w:szCs w:val="20"/>
                <w:color w:val="auto"/>
              </w:rPr>
            </w:pPr>
            <w:r>
              <w:rPr>
                <w:rFonts w:ascii="Arial" w:cs="Arial" w:eastAsia="Arial" w:hAnsi="Arial"/>
                <w:sz w:val="15"/>
                <w:szCs w:val="15"/>
                <w:color w:val="auto"/>
              </w:rPr>
              <w:t>related to Regulatory authorizations)</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(2,496,624)</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(4,224,783)</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(4,034,781)</w:t>
            </w:r>
          </w:p>
        </w:tc>
      </w:tr>
      <w:tr>
        <w:trPr>
          <w:trHeight w:val="162"/>
        </w:trPr>
        <w:tc>
          <w:tcPr>
            <w:tcW w:w="562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Free cash flow</w:t>
            </w:r>
          </w:p>
        </w:tc>
        <w:tc>
          <w:tcPr>
            <w:tcW w:w="160" w:type="dxa"/>
            <w:vAlign w:val="bottom"/>
            <w:tcBorders>
              <w:top w:val="single" w:sz="8" w:color="auto"/>
              <w:bottom w:val="single" w:sz="8" w:color="auto"/>
            </w:tcBorders>
            <w:shd w:val="clear" w:color="auto" w:fill="CCEEFF"/>
          </w:tcPr>
          <w:p>
            <w:pPr>
              <w:jc w:val="right"/>
              <w:ind w:right="7"/>
              <w:spacing w:after="0" w:line="161"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(1,243,927)</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7"/>
              <w:spacing w:after="0" w:line="161"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(1,792,136)</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7"/>
              <w:spacing w:after="0" w:line="161"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(413,591)</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Operational Liquidity</w:t>
      </w:r>
    </w:p>
    <w:p>
      <w:pPr>
        <w:spacing w:after="0" w:line="179"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color w:val="auto"/>
        </w:rPr>
        <w:t>We make general investments in property such as, among others, satellites, wireless devices, set-top boxes, information technology and facilities that support our Pay-TV, Wireless and Broadband and Satellite Services segments. We are also making significant additional investments and may partner with others to, among other things, continue our 5G Network Deployment and further commercialize, build-out and integrate our Wireless spectrum licenses and related assets. Moreover, since we are primarily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149" w:lineRule="exact"/>
        <w:rPr>
          <w:sz w:val="20"/>
          <w:szCs w:val="20"/>
          <w:color w:val="auto"/>
        </w:rPr>
      </w:pPr>
    </w:p>
    <w:p>
      <w:pPr>
        <w:ind w:left="40" w:right="99"/>
        <w:spacing w:after="0"/>
        <w:rPr>
          <w:sz w:val="20"/>
          <w:szCs w:val="20"/>
          <w:color w:val="auto"/>
        </w:rPr>
      </w:pPr>
      <w:r>
        <w:rPr>
          <w:rFonts w:ascii="Arial" w:cs="Arial" w:eastAsia="Arial" w:hAnsi="Arial"/>
          <w:sz w:val="16"/>
          <w:szCs w:val="16"/>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Wireless service margins are impacted by, among other things, our MNSA agreement with T-Mobile and our NSA agreement with AT&amp;T and the speed with which we are able to migrate Wireless subscribers onto our 5G Network. The third factor is the rate at which we acquire new Pay-TV, Wireless and Broadband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99" w:name="page100"/>
    <w:bookmarkEnd w:id="9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59" w:hanging="5"/>
        <w:spacing w:after="0" w:line="241" w:lineRule="auto"/>
        <w:rPr>
          <w:sz w:val="20"/>
          <w:szCs w:val="20"/>
          <w:color w:val="auto"/>
        </w:rPr>
      </w:pPr>
      <w:r>
        <w:rPr>
          <w:rFonts w:ascii="Arial" w:cs="Arial" w:eastAsia="Arial" w:hAnsi="Arial"/>
          <w:sz w:val="16"/>
          <w:szCs w:val="16"/>
          <w:color w:val="auto"/>
        </w:rPr>
        <w:t>Finally, our future cash flow is impacted by, among other things, the rate at which we complete our 5G Network Deployment, incur litigation expense, make cash interest payments, and any cash flow from financing activities. We anticipate operating expenditures for our 5G Network Deployment to increase for 2025 as we continue to, among other things, deploy cell sites and communication towers to continue to commercialize our 5G Network. We expect our capital expenditures may decrease in the near term. However, as we prepare for our next build-out requirement deadlines, we expect our capital expenditures to increase as we approach these deadlines. As a result, our historical cash flow is not necessarily indicative of our future cash flows. As of December 31, 2024, as a result of, among other things, capital expenditures for our 5G Network Deployment, we experienced negative free cash flow. We expect that this trend will continue in 2025 and in future periods. In addition, declines in our Pay-TV and Wireless subscriber base and any decrease in subscriber-related margins negatively impact our cash flow, and there can be no assurance that our subscriber declines will not continue.</w:t>
      </w:r>
    </w:p>
    <w:p>
      <w:pPr>
        <w:spacing w:after="0" w:line="149" w:lineRule="exact"/>
        <w:rPr>
          <w:sz w:val="20"/>
          <w:szCs w:val="20"/>
          <w:color w:val="auto"/>
        </w:rPr>
      </w:pPr>
    </w:p>
    <w:p>
      <w:pPr>
        <w:ind w:left="40" w:right="2499"/>
        <w:spacing w:after="0" w:line="473" w:lineRule="auto"/>
        <w:rPr>
          <w:sz w:val="20"/>
          <w:szCs w:val="20"/>
          <w:color w:val="auto"/>
        </w:rPr>
      </w:pPr>
      <w:r>
        <w:rPr>
          <w:rFonts w:ascii="Arial" w:cs="Arial" w:eastAsia="Arial" w:hAnsi="Arial"/>
          <w:sz w:val="16"/>
          <w:szCs w:val="16"/>
          <w:b w:val="1"/>
          <w:bCs w:val="1"/>
          <w:color w:val="auto"/>
        </w:rPr>
        <w:t xml:space="preserve">Subscriber Base – Pay TV, Wireless and Broadband and Satellite Services Segments </w:t>
      </w:r>
      <w:r>
        <w:rPr>
          <w:rFonts w:ascii="Arial" w:cs="Arial" w:eastAsia="Arial" w:hAnsi="Arial"/>
          <w:sz w:val="16"/>
          <w:szCs w:val="16"/>
          <w:color w:val="auto"/>
        </w:rPr>
        <w:t xml:space="preserve">See “Results of Operations” above for further information. </w:t>
      </w:r>
      <w:r>
        <w:rPr>
          <w:rFonts w:ascii="Arial" w:cs="Arial" w:eastAsia="Arial" w:hAnsi="Arial"/>
          <w:sz w:val="16"/>
          <w:szCs w:val="16"/>
          <w:b w:val="1"/>
          <w:bCs w:val="1"/>
          <w:color w:val="auto"/>
        </w:rPr>
        <w:t>Subscriber Acquisition and Retention Costs</w:t>
      </w:r>
    </w:p>
    <w:p>
      <w:pPr>
        <w:spacing w:after="0" w:line="1" w:lineRule="exact"/>
        <w:rPr>
          <w:sz w:val="20"/>
          <w:szCs w:val="20"/>
          <w:color w:val="auto"/>
        </w:rPr>
      </w:pPr>
    </w:p>
    <w:p>
      <w:pPr>
        <w:ind w:left="40" w:right="299"/>
        <w:spacing w:after="0" w:line="242" w:lineRule="auto"/>
        <w:rPr>
          <w:sz w:val="20"/>
          <w:szCs w:val="20"/>
          <w:color w:val="auto"/>
        </w:rPr>
      </w:pPr>
      <w:r>
        <w:rPr>
          <w:rFonts w:ascii="Arial" w:cs="Arial" w:eastAsia="Arial" w:hAnsi="Arial"/>
          <w:sz w:val="16"/>
          <w:szCs w:val="16"/>
          <w:color w:val="auto"/>
        </w:rPr>
        <w:t>We incur significant upfront costs to acquire Pay-TV, Wireless and Broadband subscribers, including, but not limited to, advertising, independent third-party retailer incentives, payments made to third parties, equipment and wireless device subsidies, installation services, and/or new customer promotions. While we attempt to recoup these upfront costs over the lives of their subscription, there can be no assurance that we will be successful in achieving that objective. We employ certain business rules for acquiring subscribers, including, but not limited to, minimum credit requirements, identity verification and contractual commitments. We strive to provide outstanding customer service to increase the likelihood of customers keeping their service over longer periods of time. Our subscriber acquisition costs may vary significantly from period to period.</w:t>
      </w:r>
    </w:p>
    <w:p>
      <w:pPr>
        <w:spacing w:after="0" w:line="150" w:lineRule="exact"/>
        <w:rPr>
          <w:sz w:val="20"/>
          <w:szCs w:val="20"/>
          <w:color w:val="auto"/>
        </w:rPr>
      </w:pPr>
    </w:p>
    <w:p>
      <w:pPr>
        <w:ind w:left="40" w:right="119"/>
        <w:spacing w:after="0" w:line="242" w:lineRule="auto"/>
        <w:rPr>
          <w:sz w:val="20"/>
          <w:szCs w:val="20"/>
          <w:color w:val="auto"/>
        </w:rPr>
      </w:pPr>
      <w:r>
        <w:rPr>
          <w:rFonts w:ascii="Arial" w:cs="Arial" w:eastAsia="Arial" w:hAnsi="Arial"/>
          <w:sz w:val="16"/>
          <w:szCs w:val="16"/>
          <w:color w:val="auto"/>
        </w:rPr>
        <w:t>We incur significant costs to retain our existing DISH TV subscribers, generally as a result of upgrading their equipment to next generation receivers, primarily including our Hopper® receivers, and by providing retention credits. As with our subscriber acquisition costs, our retention upgrade spending includes the cost of equipment and installation services. In certain circumstances, we also offer programming at no additional charge and/or promotional pricing for limited periods to existing customers in exchange for a contractual commitment to receive service for a minimum term. A component of our retention efforts includes the installation of equipment for customers who move. Retention costs for Wireless subscribers are primarily related to promotional pricing on upgraded wireless devices for qualified existing subscribers and promotional credits. Our DISH TV and Wireless subscriber retention costs may vary significantly from period to period.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Seasonality</w:t>
      </w:r>
    </w:p>
    <w:p>
      <w:pPr>
        <w:spacing w:after="0" w:line="179" w:lineRule="exact"/>
        <w:rPr>
          <w:sz w:val="20"/>
          <w:szCs w:val="20"/>
          <w:color w:val="auto"/>
        </w:rPr>
      </w:pPr>
    </w:p>
    <w:p>
      <w:pPr>
        <w:ind w:left="40" w:right="79"/>
        <w:spacing w:after="0" w:line="244" w:lineRule="auto"/>
        <w:rPr>
          <w:sz w:val="20"/>
          <w:szCs w:val="20"/>
          <w:color w:val="auto"/>
        </w:rPr>
      </w:pPr>
      <w:r>
        <w:rPr>
          <w:rFonts w:ascii="Arial" w:cs="Arial" w:eastAsia="Arial" w:hAnsi="Arial"/>
          <w:sz w:val="16"/>
          <w:szCs w:val="16"/>
          <w:color w:val="auto"/>
        </w:rPr>
        <w:t>Historically, the first half of the year generally produces fewer gross new DISH TV subscriber activations than the second half of the year, as is typical in the pay-TV industry. In addition, the first and fourth quarters generally produce a lower DISH TV churn rate than the second and third quarters. However, in recent years, as the pay-TV industry has matured, we and our competitors increasingly must seek to attract a greater proportion of new subscribers from each other’s existing subscriber bases rather than from first-time purchasers of pay-TV services. As a result, historical trends in seasonality described above may not be indicative of future trends.</w:t>
      </w:r>
    </w:p>
    <w:p>
      <w:pPr>
        <w:spacing w:after="0" w:line="148" w:lineRule="exact"/>
        <w:rPr>
          <w:sz w:val="20"/>
          <w:szCs w:val="20"/>
          <w:color w:val="auto"/>
        </w:rPr>
      </w:pPr>
    </w:p>
    <w:p>
      <w:pPr>
        <w:ind w:left="40" w:right="199"/>
        <w:spacing w:after="0" w:line="246" w:lineRule="auto"/>
        <w:rPr>
          <w:sz w:val="20"/>
          <w:szCs w:val="20"/>
          <w:color w:val="auto"/>
        </w:rPr>
      </w:pPr>
      <w:r>
        <w:rPr>
          <w:rFonts w:ascii="Arial" w:cs="Arial" w:eastAsia="Arial" w:hAnsi="Arial"/>
          <w:sz w:val="16"/>
          <w:szCs w:val="16"/>
          <w:color w:val="auto"/>
        </w:rPr>
        <w:t>Our net SLING TV subscriber additions are impacted by, among other things, certain major sporting events and other major television events. The first and third quarters generally produce higher gross new Wireless subscriber activations. The historical trends discussed above, for net DISH TV subscriber additions, net SLING TV subscriber additions and gross new Wireless subscriber activations, may not be indicative of future trends. There can be no assurance that these trends will not continue and/or accelerate.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Satellites</w:t>
      </w:r>
    </w:p>
    <w:p>
      <w:pPr>
        <w:spacing w:after="0" w:line="167" w:lineRule="exact"/>
        <w:rPr>
          <w:sz w:val="20"/>
          <w:szCs w:val="20"/>
          <w:color w:val="auto"/>
        </w:rPr>
      </w:pPr>
    </w:p>
    <w:p>
      <w:pPr>
        <w:jc w:val="both"/>
        <w:ind w:left="40" w:right="139"/>
        <w:spacing w:after="0" w:line="247" w:lineRule="auto"/>
        <w:rPr>
          <w:sz w:val="20"/>
          <w:szCs w:val="20"/>
          <w:color w:val="auto"/>
        </w:rPr>
      </w:pPr>
      <w:r>
        <w:rPr>
          <w:rFonts w:ascii="Arial" w:cs="Arial" w:eastAsia="Arial" w:hAnsi="Arial"/>
          <w:sz w:val="16"/>
          <w:szCs w:val="16"/>
          <w:b w:val="1"/>
          <w:bCs w:val="1"/>
          <w:i w:val="1"/>
          <w:iCs w:val="1"/>
          <w:color w:val="auto"/>
        </w:rPr>
        <w:t xml:space="preserve">Pay-TV Segment. </w:t>
      </w:r>
      <w:r>
        <w:rPr>
          <w:rFonts w:ascii="Arial" w:cs="Arial" w:eastAsia="Arial" w:hAnsi="Arial"/>
          <w:sz w:val="16"/>
          <w:szCs w:val="16"/>
          <w:color w:val="auto"/>
        </w:rPr>
        <w:t>Operation of our DISH TV services requires that we have adequate satellite transmission capacity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programming that we offer. Moreover, competitive conditions may require that we expand our offering of new programming.</w:t>
      </w:r>
    </w:p>
    <w:p>
      <w:pPr>
        <w:ind w:left="40" w:right="159"/>
        <w:spacing w:after="0" w:line="228" w:lineRule="auto"/>
        <w:rPr>
          <w:sz w:val="20"/>
          <w:szCs w:val="20"/>
          <w:color w:val="auto"/>
        </w:rPr>
      </w:pPr>
      <w:r>
        <w:rPr>
          <w:rFonts w:ascii="Arial" w:cs="Arial" w:eastAsia="Arial" w:hAnsi="Arial"/>
          <w:sz w:val="16"/>
          <w:szCs w:val="16"/>
          <w:color w:val="auto"/>
        </w:rPr>
        <w:t>While we generally have had in-orbit satellite capacity sufficient to transmit our existing channels and some backup capacity to recover the transmission of certain critical programming, our backup capacity is limited. In the event of a failure or loss of</w:t>
      </w:r>
    </w:p>
    <w:p>
      <w:pPr>
        <w:ind w:left="40"/>
        <w:spacing w:after="0" w:line="238" w:lineRule="auto"/>
        <w:rPr>
          <w:sz w:val="20"/>
          <w:szCs w:val="20"/>
          <w:color w:val="auto"/>
        </w:rPr>
      </w:pPr>
      <w:r>
        <w:rPr>
          <w:rFonts w:ascii="Arial" w:cs="Arial" w:eastAsia="Arial" w:hAnsi="Arial"/>
          <w:sz w:val="16"/>
          <w:szCs w:val="16"/>
          <w:color w:val="auto"/>
        </w:rPr>
        <w:t>any of our owned or leased satellites, we may need to acquire or lease additional satellite capacity or relocate one of our</w:t>
      </w:r>
    </w:p>
    <w:p>
      <w:pPr>
        <w:ind w:left="40" w:right="379"/>
        <w:spacing w:after="0" w:line="228" w:lineRule="auto"/>
        <w:rPr>
          <w:sz w:val="20"/>
          <w:szCs w:val="20"/>
          <w:color w:val="auto"/>
        </w:rPr>
      </w:pPr>
      <w:r>
        <w:rPr>
          <w:rFonts w:ascii="Arial" w:cs="Arial" w:eastAsia="Arial" w:hAnsi="Arial"/>
          <w:sz w:val="16"/>
          <w:szCs w:val="16"/>
          <w:color w:val="auto"/>
        </w:rPr>
        <w:t>other satellites and use it as a replacement for the failed or lost satellite. Such a failure could result in a prolonged loss of critical programming or a significant delay in our plans to expand programming as necessary to remain competitive and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cause us to expend a significant portion of our cash to acquire or lease additional satellite capacity.</w:t>
      </w:r>
    </w:p>
    <w:p>
      <w:pPr>
        <w:spacing w:after="0" w:line="175" w:lineRule="exact"/>
        <w:rPr>
          <w:sz w:val="20"/>
          <w:szCs w:val="20"/>
          <w:color w:val="auto"/>
        </w:rPr>
      </w:pPr>
    </w:p>
    <w:p>
      <w:pPr>
        <w:ind w:left="40" w:right="159"/>
        <w:spacing w:after="0" w:line="249" w:lineRule="auto"/>
        <w:rPr>
          <w:sz w:val="20"/>
          <w:szCs w:val="20"/>
          <w:color w:val="auto"/>
        </w:rPr>
      </w:pPr>
      <w:r>
        <w:rPr>
          <w:rFonts w:ascii="Arial" w:cs="Arial" w:eastAsia="Arial" w:hAnsi="Arial"/>
          <w:sz w:val="16"/>
          <w:szCs w:val="16"/>
          <w:b w:val="1"/>
          <w:bCs w:val="1"/>
          <w:i w:val="1"/>
          <w:iCs w:val="1"/>
          <w:color w:val="auto"/>
        </w:rPr>
        <w:t xml:space="preserve">Broadband and Satellite Services Segment. </w:t>
      </w:r>
      <w:r>
        <w:rPr>
          <w:rFonts w:ascii="Arial" w:cs="Arial" w:eastAsia="Arial" w:hAnsi="Arial"/>
          <w:sz w:val="16"/>
          <w:szCs w:val="16"/>
          <w:color w:val="auto"/>
        </w:rPr>
        <w:t>Operation of our Broadband and Satellite Services segment also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adequate satellite transmission capacity for the services that we offer.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Satellite Insurance</w:t>
      </w:r>
    </w:p>
    <w:p>
      <w:pPr>
        <w:spacing w:after="0" w:line="177"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We generally do not carry commercial in-orbit insurance on any of the satellites that we own and therefore, we will bear the risk associated with any uninsured in-orbit satellite failures.</w:t>
      </w:r>
    </w:p>
    <w:p>
      <w:pPr>
        <w:spacing w:after="0" w:line="123"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Pursuant to the terms of our joint venture agreement with Al Yah Satellite Communications Company PrJSC (“Yahsat”) in Brazil in 2019, we are required to maintain insurance for the Al Yah 3 Brazilian payload during the commercial in-orbit service of such payload, subject to certain limitations on coverage. The insurance policies were procured by Yahsat, under which we and Yahsat are the beneficiaries of any claims in proportion to their shareholdings. An insurance claim was submitted in the second quarter of 2023 for compensation with respect to the reduction in estimated useful life of the Al Yah 3 satellite. As of December 31, 2024, we have yet to receive any compensation from the insurance claim. We will continue to assess circumstances going forward and make insurance-related decisions on a case-by-case basis.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 Repurchases</w:t>
      </w:r>
    </w:p>
    <w:p>
      <w:pPr>
        <w:spacing w:after="0" w:line="179" w:lineRule="exact"/>
        <w:rPr>
          <w:sz w:val="20"/>
          <w:szCs w:val="20"/>
          <w:color w:val="auto"/>
        </w:rPr>
      </w:pPr>
    </w:p>
    <w:p>
      <w:pPr>
        <w:ind w:left="40" w:right="119"/>
        <w:spacing w:after="0" w:line="243" w:lineRule="auto"/>
        <w:rPr>
          <w:sz w:val="20"/>
          <w:szCs w:val="20"/>
          <w:color w:val="auto"/>
        </w:rPr>
      </w:pPr>
      <w:r>
        <w:rPr>
          <w:rFonts w:ascii="Arial" w:cs="Arial" w:eastAsia="Arial" w:hAnsi="Arial"/>
          <w:sz w:val="16"/>
          <w:szCs w:val="16"/>
          <w:color w:val="auto"/>
        </w:rPr>
        <w:t>Our Board of Directors previously authorized stock repurchases of up to $500 million of our outstanding Class A common stock. On October 20, 2022, our Board of Directors extended this authorization to repurchase up to $ 500 million of our outstanding Class A common stock through and including December 31, 2023. This program expired December 31, 2023. On October 25, 2024, our Board of Directors authorized stock repurchases of up to $1.0 billion of our outstanding Class A common stock through and including December 31, 2025. During both the years ended December 31, 2024 and 2023, there were no repurchases of our Class A common stock. During the year ended December 31, 2022, we repurchased 3,980,612 shares of our Class A common stock.</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1" w:name="page102"/>
    <w:bookmarkEnd w:id="10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Covenants and Restrictions Related to our Long-Term Debt</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are subject to the covenants and restrictions set forth in the indentures related to our long-term debt.</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EchoStar Corporation</w:t>
      </w:r>
    </w:p>
    <w:p>
      <w:pPr>
        <w:spacing w:after="0" w:line="177" w:lineRule="exact"/>
        <w:rPr>
          <w:sz w:val="20"/>
          <w:szCs w:val="20"/>
          <w:color w:val="auto"/>
        </w:rPr>
      </w:pPr>
    </w:p>
    <w:p>
      <w:pPr>
        <w:ind w:left="40" w:right="99"/>
        <w:spacing w:after="0"/>
        <w:rPr>
          <w:sz w:val="20"/>
          <w:szCs w:val="20"/>
          <w:color w:val="auto"/>
        </w:rPr>
      </w:pPr>
      <w:r>
        <w:rPr>
          <w:rFonts w:ascii="Arial" w:cs="Arial" w:eastAsia="Arial" w:hAnsi="Arial"/>
          <w:sz w:val="16"/>
          <w:szCs w:val="16"/>
          <w:color w:val="auto"/>
        </w:rPr>
        <w:t>The indentures related to our outstanding EchoStar senior secured notes and convertible senior secured notes contain restrictive covenants that, among other things, impose limitations on our and certain of our subsidiaries’ ability to: (i) incur or guarantee additional indebtedness; (ii) make certain investments and other restricted payments; (iii) create liens; (iv) enter into certain transactions with affiliates; (v) merge or consolidate with another company; (vi) transfer or sell assets; (vii) allow to exist certain restrictions on paying dividends or other payments; and (viii) guarantor engagement in new activities. Should we fail to comply with these covenants, all or a portion of the debt under the senior secured notes could become immediately payable. The senior secured notes also provide that the debt may be required to be prepaid if certain change-in-control events occur. In addition, the convertible senior secured notes provide that, if a “fundamental change” (as defined in the related indenture) occurs, holders may require us to repurchase for cash all or part of their convertible notes. As of the date of filing of this Annual Report on Form 10-K, we were in compliance with the covenants and restrictions related to our respective long-term debt.</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DISH Network and DISH DBS Corporation</w:t>
      </w:r>
    </w:p>
    <w:p>
      <w:pPr>
        <w:spacing w:after="0" w:line="177" w:lineRule="exact"/>
        <w:rPr>
          <w:sz w:val="20"/>
          <w:szCs w:val="20"/>
          <w:color w:val="auto"/>
        </w:rPr>
      </w:pPr>
    </w:p>
    <w:p>
      <w:pPr>
        <w:ind w:left="40" w:right="179"/>
        <w:spacing w:after="0" w:line="239" w:lineRule="auto"/>
        <w:rPr>
          <w:sz w:val="20"/>
          <w:szCs w:val="20"/>
          <w:color w:val="auto"/>
        </w:rPr>
      </w:pPr>
      <w:r>
        <w:rPr>
          <w:rFonts w:ascii="Arial" w:cs="Arial" w:eastAsia="Arial" w:hAnsi="Arial"/>
          <w:sz w:val="16"/>
          <w:szCs w:val="16"/>
          <w:color w:val="auto"/>
        </w:rPr>
        <w:t>The indentures related to our outstanding senior notes issued by DISH DBS Corporation (“DISH DBS”) contain restrictive covenants that, among other things, impose limitations on the ability of DISH DBS and its restricted subsidiaries to: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DISH Network and DISH DBS senior secured notes contain restrictive covenants that, among other things, impose limitations on our ability and certain of our subsidiaries to: (i) incur additional indebtedness;</w:t>
      </w:r>
    </w:p>
    <w:p>
      <w:pPr>
        <w:spacing w:after="0" w:line="4" w:lineRule="exact"/>
        <w:rPr>
          <w:sz w:val="20"/>
          <w:szCs w:val="20"/>
          <w:color w:val="auto"/>
        </w:rPr>
      </w:pPr>
    </w:p>
    <w:p>
      <w:pPr>
        <w:ind w:left="40" w:right="119" w:firstLine="2"/>
        <w:spacing w:after="0" w:line="239" w:lineRule="auto"/>
        <w:tabs>
          <w:tab w:leader="none" w:pos="264" w:val="left"/>
        </w:tabs>
        <w:numPr>
          <w:ilvl w:val="0"/>
          <w:numId w:val="48"/>
        </w:numPr>
        <w:rPr>
          <w:rFonts w:ascii="Arial" w:cs="Arial" w:eastAsia="Arial" w:hAnsi="Arial"/>
          <w:sz w:val="16"/>
          <w:szCs w:val="16"/>
          <w:color w:val="auto"/>
        </w:rPr>
      </w:pPr>
      <w:r>
        <w:rPr>
          <w:rFonts w:ascii="Arial" w:cs="Arial" w:eastAsia="Arial" w:hAnsi="Arial"/>
          <w:sz w:val="16"/>
          <w:szCs w:val="16"/>
          <w:color w:val="auto"/>
        </w:rPr>
        <w:t>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 As of the date of filing of this Annual Report on Form 10-K, we, DISH Network and DISH DBS were in compliance with the covenants and restrictions related to our respective long-term debt.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Hughes Satellite Systems Corporation</w:t>
      </w:r>
    </w:p>
    <w:p>
      <w:pPr>
        <w:spacing w:after="0" w:line="177" w:lineRule="exact"/>
        <w:rPr>
          <w:sz w:val="20"/>
          <w:szCs w:val="20"/>
          <w:color w:val="auto"/>
        </w:rPr>
      </w:pPr>
    </w:p>
    <w:p>
      <w:pPr>
        <w:jc w:val="both"/>
        <w:ind w:left="40" w:right="339"/>
        <w:spacing w:after="0" w:line="247" w:lineRule="auto"/>
        <w:rPr>
          <w:sz w:val="20"/>
          <w:szCs w:val="20"/>
          <w:color w:val="auto"/>
        </w:rPr>
      </w:pPr>
      <w:r>
        <w:rPr>
          <w:rFonts w:ascii="Arial" w:cs="Arial" w:eastAsia="Arial" w:hAnsi="Arial"/>
          <w:sz w:val="16"/>
          <w:szCs w:val="16"/>
          <w:color w:val="auto"/>
        </w:rPr>
        <w:t>The indentures related to our outstanding senior notes issued by Hughes Satellite Systems Corporation (“HSSC”) contain restrictive covenants that, among other things, impose limitations on the ability of HSSC and its restricted subsidiaries to:</w:t>
      </w:r>
    </w:p>
    <w:p>
      <w:pPr>
        <w:ind w:left="40" w:right="99" w:firstLine="2"/>
        <w:spacing w:after="0"/>
        <w:tabs>
          <w:tab w:leader="none" w:pos="228"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incur additional indebtedness; (ii) pay dividends or make distributions on HSSC’s capital stock or repurchase HSSC’s capital stock; (iii) allow to exist certain restrictions on such subsidiaries’ ability to pay dividends, make distributions, make other payments, or transfer assets; (iv) make certain investments; (v) create liens; (vi) enter into certain transactions with affiliates; (vii) merge or consolidate with another company; and (viii) transfer or sell assets. As of the date of filing of this Annual Report on Form 10-K, we and HSSC were in compliance with the covenants and restrictions related to our respective long-term debt.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2" w:name="page103"/>
    <w:bookmarkEnd w:id="10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w:t>
      </w:r>
    </w:p>
    <w:p>
      <w:pPr>
        <w:spacing w:after="0" w:line="179"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We are also vulnerable to fraud, particularly in the acquisition of new subscribers, which includes the sale of wireless devices. While we are addressing the impact of subscriber fraud through a number of actions, there can be no assurance that we will not continue to experience fraud or that any fraud we have experienced does not accelerate, which could impact our subscriber growth and churn. Economic weakness may create greater incentive for signal theft, piracy and subscriber fraud, which could lead to higher subscriber churn and reduced revenue.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Obligations and Future Capital Requirements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77" w:lineRule="exact"/>
        <w:rPr>
          <w:sz w:val="20"/>
          <w:szCs w:val="20"/>
          <w:color w:val="auto"/>
        </w:rPr>
      </w:pPr>
    </w:p>
    <w:p>
      <w:pPr>
        <w:ind w:left="40" w:right="859"/>
        <w:spacing w:after="0" w:line="275" w:lineRule="auto"/>
        <w:rPr>
          <w:sz w:val="20"/>
          <w:szCs w:val="20"/>
          <w:color w:val="auto"/>
        </w:rPr>
      </w:pPr>
      <w:r>
        <w:rPr>
          <w:rFonts w:ascii="Arial" w:cs="Arial" w:eastAsia="Arial" w:hAnsi="Arial"/>
          <w:sz w:val="16"/>
          <w:szCs w:val="16"/>
          <w:color w:val="auto"/>
        </w:rPr>
        <w:t>See Note 15 in the Notes to our Consolidated Financial Statements in this Annual Report on Form 10-K for further information.</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Future Capital Requirements</w:t>
      </w:r>
    </w:p>
    <w:p>
      <w:pPr>
        <w:spacing w:after="0" w:line="177" w:lineRule="exact"/>
        <w:rPr>
          <w:sz w:val="20"/>
          <w:szCs w:val="20"/>
          <w:color w:val="auto"/>
        </w:rPr>
      </w:pPr>
    </w:p>
    <w:p>
      <w:pPr>
        <w:ind w:left="40" w:right="59"/>
        <w:spacing w:after="0"/>
        <w:rPr>
          <w:sz w:val="20"/>
          <w:szCs w:val="20"/>
          <w:color w:val="auto"/>
        </w:rPr>
      </w:pPr>
      <w:r>
        <w:rPr>
          <w:rFonts w:ascii="Arial" w:cs="Arial" w:eastAsia="Arial" w:hAnsi="Arial"/>
          <w:sz w:val="16"/>
          <w:szCs w:val="16"/>
          <w:color w:val="auto"/>
        </w:rPr>
        <w:t>We expect to fund our future working capital, capital expenditures, other investments and debt service requirements for the next twelve months from cash generated from operations, existing cash, cash equivalents and marketable investment securities balances and cash generated through raising additional capital. We may need to make significant additional investments to, among other things, continue our 5G Network Deployment and further commercialize, build-out and integrate our Wireless spectrum licenses and related assets. The amount of capital required to fund our future working capital, capital expenditure and other investment needs varies and we may need to raise additional capital, depending on, among other things, the rate at which we complete our 5G Network Deployment, the potential purchase of additional wireless spectrum licenses and the rate at which we acquire new subscribers and the cost of subscriber acquisition and retention. Certain of our capital expenditures for 2025 are expected to be driven by the rate of our 5G Network Deployment as well as costs associated with subscriber premises equipment. These expenditures are necessary for our 5G Network Deployment as well as to operate and maintain our DISH TV services. Consequently, we consider certain of them to be non-discretionary.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capital expenditures vary depending on, among other things, the number of satellites leased or under construction at any</w:t>
      </w:r>
    </w:p>
    <w:p>
      <w:pPr>
        <w:spacing w:after="0" w:line="14" w:lineRule="exact"/>
        <w:rPr>
          <w:sz w:val="20"/>
          <w:szCs w:val="20"/>
          <w:color w:val="auto"/>
        </w:rPr>
      </w:pPr>
    </w:p>
    <w:p>
      <w:pPr>
        <w:ind w:left="40" w:right="219"/>
        <w:spacing w:after="0" w:line="228" w:lineRule="auto"/>
        <w:rPr>
          <w:sz w:val="20"/>
          <w:szCs w:val="20"/>
          <w:color w:val="auto"/>
        </w:rPr>
      </w:pPr>
      <w:r>
        <w:rPr>
          <w:rFonts w:ascii="Arial" w:cs="Arial" w:eastAsia="Arial" w:hAnsi="Arial"/>
          <w:sz w:val="16"/>
          <w:szCs w:val="16"/>
          <w:color w:val="auto"/>
        </w:rPr>
        <w:t>point in time and could increase materially as a result of increased competition, significant satellite failures or economic weakness and uncertainty. Our DISH TV subscriber base has been declining and there can be no assurance that our DISH</w:t>
      </w:r>
    </w:p>
    <w:p>
      <w:pPr>
        <w:spacing w:after="0" w:line="1" w:lineRule="exact"/>
        <w:rPr>
          <w:sz w:val="20"/>
          <w:szCs w:val="20"/>
          <w:color w:val="auto"/>
        </w:rPr>
      </w:pPr>
    </w:p>
    <w:p>
      <w:pPr>
        <w:ind w:left="40" w:right="399"/>
        <w:spacing w:after="0" w:line="255" w:lineRule="auto"/>
        <w:rPr>
          <w:sz w:val="20"/>
          <w:szCs w:val="20"/>
          <w:color w:val="auto"/>
        </w:rPr>
      </w:pPr>
      <w:r>
        <w:rPr>
          <w:rFonts w:ascii="Arial" w:cs="Arial" w:eastAsia="Arial" w:hAnsi="Arial"/>
          <w:sz w:val="16"/>
          <w:szCs w:val="16"/>
          <w:color w:val="auto"/>
        </w:rPr>
        <w:t>TV subscriber base will not continue to decline and that the pace of such decline will not accelerate. In the event that our DISH TV subscriber base continues to decline, it will have a material adverse long-term effect on our cash flow.</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and expect to continue to incur expenditures in 2025 related to our 5G Network Deployment, including, but not</w:t>
      </w:r>
    </w:p>
    <w:p>
      <w:pPr>
        <w:spacing w:after="0" w:line="14" w:lineRule="exact"/>
        <w:rPr>
          <w:sz w:val="20"/>
          <w:szCs w:val="20"/>
          <w:color w:val="auto"/>
        </w:rPr>
      </w:pPr>
    </w:p>
    <w:p>
      <w:pPr>
        <w:ind w:left="40" w:right="99"/>
        <w:spacing w:after="0" w:line="228" w:lineRule="auto"/>
        <w:rPr>
          <w:sz w:val="20"/>
          <w:szCs w:val="20"/>
          <w:color w:val="auto"/>
        </w:rPr>
      </w:pPr>
      <w:r>
        <w:rPr>
          <w:rFonts w:ascii="Arial" w:cs="Arial" w:eastAsia="Arial" w:hAnsi="Arial"/>
          <w:sz w:val="16"/>
          <w:szCs w:val="16"/>
          <w:color w:val="auto"/>
        </w:rPr>
        <w:t>limited to, capital expenditures associated with our 5G Network Deployment and the potential purchase of additional wireless spectrum licenses, including any potential Northstar Re-Auction Payment and SNR Re-Auction Payment for the AWS-3</w:t>
      </w:r>
    </w:p>
    <w:p>
      <w:pPr>
        <w:ind w:left="40"/>
        <w:spacing w:after="0" w:line="238" w:lineRule="auto"/>
        <w:rPr>
          <w:sz w:val="20"/>
          <w:szCs w:val="20"/>
          <w:color w:val="auto"/>
        </w:rPr>
      </w:pPr>
      <w:r>
        <w:rPr>
          <w:rFonts w:ascii="Arial" w:cs="Arial" w:eastAsia="Arial" w:hAnsi="Arial"/>
          <w:sz w:val="16"/>
          <w:szCs w:val="16"/>
          <w:color w:val="auto"/>
        </w:rPr>
        <w:t>licenses retained by the FCC. The amount of capital required will also depend on, among other things, our available liquidity,</w:t>
      </w:r>
    </w:p>
    <w:p>
      <w:pPr>
        <w:ind w:left="40" w:right="79"/>
        <w:spacing w:after="0" w:line="228" w:lineRule="auto"/>
        <w:rPr>
          <w:sz w:val="20"/>
          <w:szCs w:val="20"/>
          <w:color w:val="auto"/>
        </w:rPr>
      </w:pPr>
      <w:r>
        <w:rPr>
          <w:rFonts w:ascii="Arial" w:cs="Arial" w:eastAsia="Arial" w:hAnsi="Arial"/>
          <w:sz w:val="16"/>
          <w:szCs w:val="16"/>
          <w:color w:val="auto"/>
        </w:rPr>
        <w:t>the growth of our Wireless segment and the levels of investment necessary to support potential strategic initiatives that may arise from time to time. These factors, including, but not limited to, a reduction in our available future cash flows as a result of</w:t>
      </w:r>
    </w:p>
    <w:p>
      <w:pPr>
        <w:spacing w:after="0" w:line="1" w:lineRule="exact"/>
        <w:rPr>
          <w:sz w:val="20"/>
          <w:szCs w:val="20"/>
          <w:color w:val="auto"/>
        </w:rPr>
      </w:pPr>
    </w:p>
    <w:p>
      <w:pPr>
        <w:ind w:left="40" w:right="119"/>
        <w:spacing w:after="0" w:line="255" w:lineRule="auto"/>
        <w:rPr>
          <w:sz w:val="20"/>
          <w:szCs w:val="20"/>
          <w:color w:val="auto"/>
        </w:rPr>
      </w:pPr>
      <w:r>
        <w:rPr>
          <w:rFonts w:ascii="Arial" w:cs="Arial" w:eastAsia="Arial" w:hAnsi="Arial"/>
          <w:sz w:val="16"/>
          <w:szCs w:val="16"/>
          <w:color w:val="auto"/>
        </w:rPr>
        <w:t>our 5G Network Deployment, may require us to raise additional capital in the future, which may not be available on favorable terms or at all.</w:t>
      </w:r>
    </w:p>
    <w:p>
      <w:pPr>
        <w:spacing w:after="0" w:line="113" w:lineRule="exact"/>
        <w:rPr>
          <w:sz w:val="20"/>
          <w:szCs w:val="20"/>
          <w:color w:val="auto"/>
        </w:rPr>
      </w:pPr>
    </w:p>
    <w:p>
      <w:pPr>
        <w:ind w:left="40" w:right="459"/>
        <w:spacing w:after="0" w:line="239" w:lineRule="auto"/>
        <w:rPr>
          <w:sz w:val="20"/>
          <w:szCs w:val="20"/>
          <w:color w:val="auto"/>
        </w:rPr>
      </w:pPr>
      <w:r>
        <w:rPr>
          <w:rFonts w:ascii="Arial" w:cs="Arial" w:eastAsia="Arial" w:hAnsi="Arial"/>
          <w:sz w:val="16"/>
          <w:szCs w:val="16"/>
          <w:color w:val="auto"/>
        </w:rPr>
        <w:t>Volatility in the financial markets has made it more difficult at times for issuers of high-yield indebtedness, such as us, to access capital markets at favorable terms or at all. These developments may have a significant effect on our cost of</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and our liquidity position.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3" w:name="page104"/>
    <w:bookmarkEnd w:id="10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Wireless Segment - 5G Network Deployment</w:t>
      </w:r>
    </w:p>
    <w:p>
      <w:pPr>
        <w:spacing w:after="0" w:line="189" w:lineRule="exact"/>
        <w:rPr>
          <w:sz w:val="20"/>
          <w:szCs w:val="20"/>
          <w:color w:val="auto"/>
        </w:rPr>
      </w:pPr>
    </w:p>
    <w:p>
      <w:pPr>
        <w:ind w:left="40" w:right="859"/>
        <w:spacing w:after="0" w:line="275" w:lineRule="auto"/>
        <w:rPr>
          <w:sz w:val="20"/>
          <w:szCs w:val="20"/>
          <w:color w:val="auto"/>
        </w:rPr>
      </w:pPr>
      <w:r>
        <w:rPr>
          <w:rFonts w:ascii="Arial" w:cs="Arial" w:eastAsia="Arial" w:hAnsi="Arial"/>
          <w:sz w:val="16"/>
          <w:szCs w:val="16"/>
          <w:color w:val="auto"/>
        </w:rPr>
        <w:t>See Note 15 in the Notes to our Consolidated Financial Statements in this Annual Report on Form 10-K for further information.</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Availability of Credit and Effect on Liquidity</w:t>
      </w:r>
    </w:p>
    <w:p>
      <w:pPr>
        <w:spacing w:after="0" w:line="189" w:lineRule="exact"/>
        <w:rPr>
          <w:sz w:val="20"/>
          <w:szCs w:val="20"/>
          <w:color w:val="auto"/>
        </w:rPr>
      </w:pPr>
    </w:p>
    <w:p>
      <w:pPr>
        <w:ind w:left="40" w:right="499"/>
        <w:spacing w:after="0" w:line="256" w:lineRule="auto"/>
        <w:rPr>
          <w:sz w:val="20"/>
          <w:szCs w:val="20"/>
          <w:color w:val="auto"/>
        </w:rPr>
      </w:pPr>
      <w:r>
        <w:rPr>
          <w:rFonts w:ascii="Arial" w:cs="Arial" w:eastAsia="Arial" w:hAnsi="Arial"/>
          <w:sz w:val="16"/>
          <w:szCs w:val="16"/>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Backlog</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“Broadband and Satellite Services Segment” above for further information.</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Critical Accounting Estimates</w:t>
      </w:r>
    </w:p>
    <w:p>
      <w:pPr>
        <w:spacing w:after="0" w:line="191"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judgments and assumptions that affect amounts reported therein. Management bases its estimates, judgments and assumptions on historical experience and on various other factors that are believed to be reasonable under the circumstances. Actual results may differ from previously estimated amounts and such differences may be material to our consolidated financial statements. Estimates and assumptions are reviewed periodically and the effects of revisions are reflected prospectively in the period they occur. The following represent what we believe are the critical accounting policies that may involve a high degree of estimation, judgment and complexity. For a summary of our significant accounting policies, including those discussed below, see Note 2 in the Notes to our Consolidated Financial Statements in this Annual Report on Form 10-K.</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Income Taxes</w:t>
      </w:r>
    </w:p>
    <w:p>
      <w:pPr>
        <w:spacing w:after="0" w:line="177"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color w:val="auto"/>
        </w:rPr>
        <w:t>Our income tax policy is to record the estimated future tax effects of temporary differences between the tax bases of assets and liabilities and amounts reported in the accompanying consolidated balance sheets, as well as operating loss and tax credit carryforwards. Determining necessary valuation allowances requires us to make assessments about the timing of future events, including the probability of expected future taxable income and available tax planning opportunities. We periodically evaluate our need for a valuation allowance based on both historical evidence, including trends, and future expectations in each reporting period. Any such valuation allowance is recorded in either “Income tax (provision) benefit, net” on our Consolidated Statements of Operations and Comprehensive Income (Loss) or “Accumulated other comprehensive income (loss)” within “Stockholders’ Equity (Deficit)” on our Consolidated Balance Sheets. Future performance could have a significant effect on the realization of tax benefits, or reversals of valuation allowances, as reported in our consolidated results of operations.</w:t>
      </w:r>
    </w:p>
    <w:p>
      <w:pPr>
        <w:spacing w:after="0" w:line="149"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color w:val="auto"/>
        </w:rPr>
        <w:t>Management evaluates the recognition and measurement of uncertain tax positions based on applicable tax law, regulations, case law, administrative rulings and pronouncements and the facts and circumstances surrounding the tax position. Changes in our estimates related to the recognition and measurement of the amount recorded for uncertain tax positions could result in significant changes in our “Income tax provision (benefit), net,” which could be material to our consolidated results of operations.</w:t>
      </w:r>
    </w:p>
    <w:p>
      <w:pPr>
        <w:spacing w:after="0" w:line="158" w:lineRule="exact"/>
        <w:rPr>
          <w:sz w:val="20"/>
          <w:szCs w:val="20"/>
          <w:color w:val="auto"/>
        </w:rPr>
      </w:pPr>
    </w:p>
    <w:p>
      <w:pPr>
        <w:ind w:left="40" w:right="179"/>
        <w:spacing w:after="0" w:line="256" w:lineRule="auto"/>
        <w:rPr>
          <w:sz w:val="20"/>
          <w:szCs w:val="20"/>
          <w:color w:val="auto"/>
        </w:rPr>
      </w:pPr>
      <w:r>
        <w:rPr>
          <w:rFonts w:ascii="Arial" w:cs="Arial" w:eastAsia="Arial" w:hAnsi="Arial"/>
          <w:sz w:val="16"/>
          <w:szCs w:val="16"/>
          <w:color w:val="auto"/>
        </w:rPr>
        <w:t>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Contingent Liabilities</w:t>
      </w:r>
    </w:p>
    <w:p>
      <w:pPr>
        <w:spacing w:after="0" w:line="177" w:lineRule="exact"/>
        <w:rPr>
          <w:sz w:val="20"/>
          <w:szCs w:val="20"/>
          <w:color w:val="auto"/>
        </w:rPr>
      </w:pPr>
    </w:p>
    <w:p>
      <w:pPr>
        <w:ind w:left="40" w:right="139"/>
        <w:spacing w:after="0" w:line="243" w:lineRule="auto"/>
        <w:rPr>
          <w:sz w:val="20"/>
          <w:szCs w:val="20"/>
          <w:color w:val="auto"/>
        </w:rPr>
      </w:pPr>
      <w:r>
        <w:rPr>
          <w:rFonts w:ascii="Arial" w:cs="Arial" w:eastAsia="Arial" w:hAnsi="Arial"/>
          <w:sz w:val="16"/>
          <w:szCs w:val="16"/>
          <w:color w:val="auto"/>
        </w:rPr>
        <w:t>A significant amount of management judgment is required in determining when, or if, an accrual should be recorded for a contingency and the amount of such accrual. Estimates generally are developed in consultation with counsel and are based on an analysis of potential outcomes. Due to the uncertainty of determining the likelihood of a future event occurring and the potential financial statement impact of such an event, it is possible that upon further development or resolution of a contingent matter, a charge could be recorded in a future period to “Selling, general and administrative expenses” or “Litigation expense” on our Consolidated Statements of Operations and Comprehensive Income (Loss) that would be material to our consolidated results of operations and financial condition.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New Accounting Pronouncements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Note 2 in the Notes to our Consolidated Financial Statements in this Annual Report on Form 10-K for further information.</w:t>
      </w:r>
    </w:p>
    <w:p>
      <w:pPr>
        <w:spacing w:after="0" w:line="191"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Market Risks Associated with Financial Instruments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investments and debt are exposed to market risks, discussed below.</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Cash, Cash Equivalents and Current Marketable Investment Securities</w:t>
      </w:r>
    </w:p>
    <w:p>
      <w:pPr>
        <w:spacing w:after="0" w:line="177" w:lineRule="exact"/>
        <w:rPr>
          <w:sz w:val="20"/>
          <w:szCs w:val="20"/>
          <w:color w:val="auto"/>
        </w:rPr>
      </w:pPr>
    </w:p>
    <w:p>
      <w:pPr>
        <w:ind w:left="40" w:right="219"/>
        <w:spacing w:after="0"/>
        <w:rPr>
          <w:sz w:val="20"/>
          <w:szCs w:val="20"/>
          <w:color w:val="auto"/>
        </w:rPr>
      </w:pPr>
      <w:r>
        <w:rPr>
          <w:rFonts w:ascii="Arial" w:cs="Arial" w:eastAsia="Arial" w:hAnsi="Arial"/>
          <w:sz w:val="16"/>
          <w:szCs w:val="16"/>
          <w:color w:val="auto"/>
        </w:rPr>
        <w:t>As of December 31, 2024, our unrestricted cash, cash equivalents and current marketable investment securities had a fair value of $5.547 billion. Of that amount, a total of $ 5.521 billion was invested in: (a) cash; (b) money market funds; (c) debt instruments of the United States Government and its agencies; (d) commercial paper and corporate notes with an overall average maturity of less than one year and rated in one of the four highest rating categories by at least two nationally recognized statistical rating organizations; and/or (e) instruments with similar risk, duration and credit quality characteristics to the commercial paper and corporate obligations described above. The primary purpose of these investing activities has been to preserve principal until the cash is required to, among other things, continue investing in our business, pursue acquisitions and other strategic transactions, fund ongoing operations, repay debt obligations and expand our business. Consequently, the size of this portfolio can fluctuate significantly as cash is received and used in our business for these or other purposes. The value of this portfolio is negatively impacted by credit losses; however, this risk is mitigated through diversification that limits our exposure to any one issuer.</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Interest Rate Risk</w:t>
      </w:r>
    </w:p>
    <w:p>
      <w:pPr>
        <w:spacing w:after="0" w:line="177"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A change in interest rates would affect the fair value of our cash, cash equivalents and current marketable investment securities portfolio; however, we normally hold these investments to maturity. Based on our December 31, 2024 current non-strategic investment portfolio of $5.521 billion, a hypothetical 10% change in average interest rates would not have a material impact on the fair value due to the limited duration of our investments.</w:t>
      </w:r>
    </w:p>
    <w:p>
      <w:pPr>
        <w:spacing w:after="0" w:line="144" w:lineRule="exact"/>
        <w:rPr>
          <w:sz w:val="20"/>
          <w:szCs w:val="20"/>
          <w:color w:val="auto"/>
        </w:rPr>
      </w:pPr>
    </w:p>
    <w:p>
      <w:pPr>
        <w:ind w:left="40" w:right="259"/>
        <w:spacing w:after="0" w:line="249" w:lineRule="auto"/>
        <w:rPr>
          <w:sz w:val="20"/>
          <w:szCs w:val="20"/>
          <w:color w:val="auto"/>
        </w:rPr>
      </w:pPr>
      <w:r>
        <w:rPr>
          <w:rFonts w:ascii="Arial" w:cs="Arial" w:eastAsia="Arial" w:hAnsi="Arial"/>
          <w:sz w:val="16"/>
          <w:szCs w:val="16"/>
          <w:color w:val="auto"/>
        </w:rPr>
        <w:t>Our cash, cash equivalents and current marketable investment securities had an average annual rate of return for the year ended December 31, 2024 of 5.3%. A change in interest rates would affect our future annual interest income from this portfolio, since funds would be re-invested at different rates as the instruments mature. A hypothetical 10% decrease in average interest rates during 2024 would result in a decrease of approximately $11 million in annual interest income.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5" w:name="page106"/>
    <w:bookmarkEnd w:id="10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Strategic Marketable Investment Securities</w:t>
      </w:r>
    </w:p>
    <w:p>
      <w:pPr>
        <w:spacing w:after="0" w:line="177"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As of December 31, 2024, we held investments in several companies, generally with publicly traded securities, with a fair value of $27 million. These investments, which are held for strategic and financial purposes, are concentrated in a small number of companies, are highly speculative and have historically experienced, and continue to experience volatility. The fair value of these investments are subject to significant fluctuations in fair value and can be significantly impacted by the risk of adverse changes in securities markets generally, as well as risks related to the performance of the companies whose securities we have invested in, risks associated with specific industries and other factors. In general, our strategic marketable investment securities portfolio is not significantly impacted by interest rate fluctuations as it currently consists primarily of equity securities, the value of which is more closely related to factors specific to the underlying business. A hypothetical 10% adverse change in the market price of our public strategic equity investments during 2024 would have resulted in a decrease of $3 million in the fair value of these investments.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Restricted Cash, Cash Equivalents and Marketable Investment Securities</w:t>
      </w:r>
    </w:p>
    <w:p>
      <w:pPr>
        <w:spacing w:after="0" w:line="177" w:lineRule="exact"/>
        <w:rPr>
          <w:sz w:val="20"/>
          <w:szCs w:val="20"/>
          <w:color w:val="auto"/>
        </w:rPr>
      </w:pPr>
    </w:p>
    <w:p>
      <w:pPr>
        <w:ind w:left="40" w:right="79"/>
        <w:spacing w:after="0" w:line="247" w:lineRule="auto"/>
        <w:rPr>
          <w:sz w:val="20"/>
          <w:szCs w:val="20"/>
          <w:color w:val="auto"/>
        </w:rPr>
      </w:pPr>
      <w:r>
        <w:rPr>
          <w:rFonts w:ascii="Arial" w:cs="Arial" w:eastAsia="Arial" w:hAnsi="Arial"/>
          <w:sz w:val="16"/>
          <w:szCs w:val="16"/>
          <w:color w:val="auto"/>
        </w:rPr>
        <w:t>As of December 31, 2024, we had $321 million of restricted cash, cash equivalents and marketable investment securities invested in: (a) cash; (b) money market funds; (c) debt instruments of the United States Government and its agencies; and/or</w:t>
      </w:r>
    </w:p>
    <w:p>
      <w:pPr>
        <w:jc w:val="both"/>
        <w:ind w:left="40" w:right="119" w:firstLine="2"/>
        <w:spacing w:after="0" w:line="245" w:lineRule="auto"/>
        <w:tabs>
          <w:tab w:leader="none" w:pos="2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instruments with similar risk, duration and credit quality characteristics to commercial paper. Based on our December 31, 2024 investment portfolio, a hypothetical 10% increase in average interest rates would not have a material impact on the fair value of our restricted cash, cash equivalents and marketable investment securities.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77" w:lineRule="exact"/>
        <w:rPr>
          <w:sz w:val="20"/>
          <w:szCs w:val="20"/>
          <w:color w:val="auto"/>
        </w:rPr>
      </w:pPr>
    </w:p>
    <w:p>
      <w:pPr>
        <w:ind w:left="40" w:right="339"/>
        <w:spacing w:after="0" w:line="249" w:lineRule="auto"/>
        <w:rPr>
          <w:sz w:val="20"/>
          <w:szCs w:val="20"/>
          <w:color w:val="auto"/>
        </w:rPr>
      </w:pPr>
      <w:r>
        <w:rPr>
          <w:rFonts w:ascii="Arial" w:cs="Arial" w:eastAsia="Arial" w:hAnsi="Arial"/>
          <w:sz w:val="16"/>
          <w:szCs w:val="16"/>
          <w:color w:val="auto"/>
        </w:rPr>
        <w:t>Our international business is conducted in a variety of foreign currencies with our largest exposures being to the Brazilian real, the Indian rupee, European euro and the British pound. Transactions in foreign currencies are converted into U.S. dollars using exchange rates in effect on the dates of the transactions. This exposes us to fluctuations in foreign currency exchange rates.</w:t>
      </w:r>
    </w:p>
    <w:p>
      <w:pPr>
        <w:spacing w:after="0" w:line="144"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color w:val="auto"/>
        </w:rPr>
        <w:t>Our objective in managing our exposure to foreign currency changes is to reduce earnings and cash flow volatility associated with foreign currency exchange rate fluctuations, primarily resulting from loans to foreign subsidiaries in U.S. dollars. Accordingly, we may enter into foreign currency forward contracts, or take other measures, to mitigate risks associated with foreign currency denominated assets, liabilities, commitments and anticipated foreign currency transactions. As of December 31, 2024, we had foreign currency forward contracts with a notional amount of $1 million in place to partially mitigate foreign currency exchange risk. The estimated fair values of the foreign currency contracts were not material as of December 31, 2024. The impact of a hypothetical 10% adverse change in exchange rates on the carrying amount of the net assets and liabilities of our foreign subsidiaries during 2024 would have resulted in an estimated loss to the cumulative translation adjustment of $32 million as of December 31, 2024.</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Debt</w:t>
      </w:r>
    </w:p>
    <w:p>
      <w:pPr>
        <w:spacing w:after="0" w:line="179" w:lineRule="exact"/>
        <w:rPr>
          <w:sz w:val="20"/>
          <w:szCs w:val="20"/>
          <w:color w:val="auto"/>
        </w:rPr>
      </w:pPr>
    </w:p>
    <w:p>
      <w:pPr>
        <w:ind w:left="40" w:right="419"/>
        <w:spacing w:after="0" w:line="244" w:lineRule="auto"/>
        <w:rPr>
          <w:sz w:val="20"/>
          <w:szCs w:val="20"/>
          <w:color w:val="auto"/>
        </w:rPr>
      </w:pPr>
      <w:r>
        <w:rPr>
          <w:rFonts w:ascii="Arial" w:cs="Arial" w:eastAsia="Arial" w:hAnsi="Arial"/>
          <w:sz w:val="16"/>
          <w:szCs w:val="16"/>
          <w:color w:val="auto"/>
        </w:rPr>
        <w:t>As of December 31, 2024, we had debt of $27.092 billion, excluding finance lease obligations and unamortized deferred financing costs and debt discounts, on our Consolidated Balance Sheets. We estimated the fair value of this debt to be approximately $25.631 billion using quoted market prices. The fair value of our debt is affected by fluctuations in interest rates. A hypothetical 10% decrease in assumed interest rates would increase the fair value of our debt by approximately $730 million. To the extent interest rates increase, our future costs of financing would increase at the time of any future financings. As of December 31, 2024, primarily all of our long-term debt consisted of fixed rate indebtedness.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6" w:name="page107"/>
    <w:bookmarkEnd w:id="10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 Financial Instruments</w:t>
      </w:r>
    </w:p>
    <w:p>
      <w:pPr>
        <w:spacing w:after="0" w:line="179" w:lineRule="exact"/>
        <w:rPr>
          <w:sz w:val="20"/>
          <w:szCs w:val="20"/>
          <w:color w:val="auto"/>
        </w:rPr>
      </w:pPr>
    </w:p>
    <w:p>
      <w:pPr>
        <w:ind w:left="40" w:right="139"/>
        <w:spacing w:after="0" w:line="275" w:lineRule="auto"/>
        <w:rPr>
          <w:sz w:val="20"/>
          <w:szCs w:val="20"/>
          <w:color w:val="auto"/>
        </w:rPr>
      </w:pPr>
      <w:r>
        <w:rPr>
          <w:rFonts w:ascii="Arial" w:cs="Arial" w:eastAsia="Arial" w:hAnsi="Arial"/>
          <w:sz w:val="16"/>
          <w:szCs w:val="16"/>
          <w:color w:val="auto"/>
        </w:rPr>
        <w:t>From time to time, we invest in speculative financial instruments, including derivatives. As of December 31, 2024, we did not hold any material derivative financial instruments.</w:t>
      </w:r>
    </w:p>
    <w:p>
      <w:pPr>
        <w:spacing w:after="0" w:line="123"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consolidated financial statements are included in this Annual Report on Form 10-K beginning on page F-1.</w:t>
      </w:r>
    </w:p>
    <w:p>
      <w:pPr>
        <w:spacing w:after="0" w:line="191" w:lineRule="exact"/>
        <w:rPr>
          <w:sz w:val="20"/>
          <w:szCs w:val="20"/>
          <w:color w:val="auto"/>
        </w:rPr>
      </w:pPr>
    </w:p>
    <w:p>
      <w:pPr>
        <w:ind w:left="40" w:right="839"/>
        <w:spacing w:after="0" w:line="286" w:lineRule="auto"/>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9A.</w:t>
        <w:tab/>
        <w:t>CONTROLS AND PROCEDURES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Disclosure controls and procedures</w:t>
      </w:r>
    </w:p>
    <w:p>
      <w:pPr>
        <w:spacing w:after="0" w:line="179"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Principal Financial Officer, we evaluated the effectiveness of our disclosure controls and procedures (as defined in Rule 13a-15(e) under the Securities Exchange Act of 1934) as of the end of the period covered by this report. Based upon that evaluation, our Chief Executive Officer and Principal Financial Officer concluded that our disclosure controls and procedures were effective as of the end of the period covered by this report.</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79" w:lineRule="exact"/>
        <w:rPr>
          <w:sz w:val="20"/>
          <w:szCs w:val="20"/>
          <w:color w:val="auto"/>
        </w:rPr>
      </w:pPr>
    </w:p>
    <w:p>
      <w:pPr>
        <w:jc w:val="both"/>
        <w:ind w:left="40" w:right="199"/>
        <w:spacing w:after="0" w:line="256"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91" w:lineRule="exact"/>
        <w:rPr>
          <w:sz w:val="20"/>
          <w:szCs w:val="20"/>
          <w:color w:val="auto"/>
        </w:rPr>
      </w:pPr>
    </w:p>
    <w:p>
      <w:pPr>
        <w:jc w:val="both"/>
        <w:ind w:left="40" w:right="519"/>
        <w:spacing w:after="0" w:line="24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United States generally accepted accounting principles.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internal control over financial reporting includes those policies and procedures that:</w:t>
      </w:r>
    </w:p>
    <w:p>
      <w:pPr>
        <w:spacing w:after="0" w:line="191" w:lineRule="exact"/>
        <w:rPr>
          <w:sz w:val="20"/>
          <w:szCs w:val="20"/>
          <w:color w:val="auto"/>
        </w:rPr>
      </w:pPr>
    </w:p>
    <w:p>
      <w:pPr>
        <w:ind w:left="940" w:right="99" w:hanging="584"/>
        <w:spacing w:after="0" w:line="275" w:lineRule="auto"/>
        <w:tabs>
          <w:tab w:leader="none" w:pos="9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our transactions and dispositions of our assets;</w:t>
      </w:r>
    </w:p>
    <w:p>
      <w:pPr>
        <w:spacing w:after="0" w:line="135" w:lineRule="exact"/>
        <w:rPr>
          <w:rFonts w:ascii="Arial" w:cs="Arial" w:eastAsia="Arial" w:hAnsi="Arial"/>
          <w:sz w:val="16"/>
          <w:szCs w:val="16"/>
          <w:color w:val="auto"/>
        </w:rPr>
      </w:pPr>
    </w:p>
    <w:p>
      <w:pPr>
        <w:ind w:left="940" w:right="159" w:hanging="584"/>
        <w:spacing w:after="0" w:line="256" w:lineRule="auto"/>
        <w:tabs>
          <w:tab w:leader="none" w:pos="9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reasonable assurance that our transactions are recorded as necessary to permit preparation of our financial statements in accordance with generally accepted accounting principles, and that our receipts and expenditures are being made only in accordance with authorizations of our management and our directors; and</w:t>
      </w:r>
    </w:p>
    <w:p>
      <w:pPr>
        <w:spacing w:after="0" w:line="149" w:lineRule="exact"/>
        <w:rPr>
          <w:rFonts w:ascii="Arial" w:cs="Arial" w:eastAsia="Arial" w:hAnsi="Arial"/>
          <w:sz w:val="16"/>
          <w:szCs w:val="16"/>
          <w:color w:val="auto"/>
        </w:rPr>
      </w:pPr>
    </w:p>
    <w:p>
      <w:pPr>
        <w:ind w:left="940" w:right="499" w:hanging="584"/>
        <w:spacing w:after="0" w:line="275" w:lineRule="auto"/>
        <w:tabs>
          <w:tab w:leader="none" w:pos="9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our financial statements.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40" w:right="239"/>
        <w:spacing w:after="0" w:line="25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37"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(COSO). Based on this evaluation, our management concluded that our internal control over financial reporting was effective as of December 31, 2024.</w:t>
      </w:r>
    </w:p>
    <w:p>
      <w:pPr>
        <w:spacing w:after="0" w:line="156" w:lineRule="exact"/>
        <w:rPr>
          <w:sz w:val="20"/>
          <w:szCs w:val="20"/>
          <w:color w:val="auto"/>
        </w:rPr>
      </w:pPr>
    </w:p>
    <w:p>
      <w:pPr>
        <w:jc w:val="both"/>
        <w:ind w:left="40" w:right="179"/>
        <w:spacing w:after="0" w:line="256" w:lineRule="auto"/>
        <w:rPr>
          <w:sz w:val="20"/>
          <w:szCs w:val="20"/>
          <w:color w:val="auto"/>
        </w:rPr>
      </w:pPr>
      <w:r>
        <w:rPr>
          <w:rFonts w:ascii="Arial" w:cs="Arial" w:eastAsia="Arial" w:hAnsi="Arial"/>
          <w:sz w:val="16"/>
          <w:szCs w:val="16"/>
          <w:color w:val="auto"/>
        </w:rPr>
        <w:t>The effectiveness of our internal control over financial reporting as of December 31, 2024 has been audited by KPMG LLP, an independent registered public accounting firm, as stated in their report which appears in Item 15(a) of this Annual Report on Form 10-K.</w:t>
      </w:r>
    </w:p>
    <w:p>
      <w:pPr>
        <w:spacing w:after="0" w:line="149"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5"/>
          <w:szCs w:val="15"/>
          <w:b w:val="1"/>
          <w:bCs w:val="1"/>
          <w:color w:val="auto"/>
        </w:rPr>
        <w:t>OTHER INFORMATION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10b5-1 Trading Arrangements</w:t>
      </w:r>
    </w:p>
    <w:p>
      <w:pPr>
        <w:spacing w:after="0" w:line="189" w:lineRule="exact"/>
        <w:rPr>
          <w:sz w:val="20"/>
          <w:szCs w:val="20"/>
          <w:color w:val="auto"/>
        </w:rPr>
      </w:pPr>
    </w:p>
    <w:p>
      <w:pPr>
        <w:ind w:left="40" w:right="199"/>
        <w:spacing w:after="0" w:line="256" w:lineRule="auto"/>
        <w:rPr>
          <w:sz w:val="20"/>
          <w:szCs w:val="20"/>
          <w:color w:val="auto"/>
        </w:rPr>
      </w:pPr>
      <w:r>
        <w:rPr>
          <w:rFonts w:ascii="Arial" w:cs="Arial" w:eastAsia="Arial" w:hAnsi="Arial"/>
          <w:sz w:val="16"/>
          <w:szCs w:val="16"/>
          <w:color w:val="auto"/>
        </w:rPr>
        <w:t>None of the Company’s directors or Section 16 officers adopted, modified or terminated a Rule 10b5-1 trading arrangement or a non-Rule 10b5-1 trading arrangement during the Company’s fiscal quarter ended December 31, 2024, as such terms are defined under Item 408(a) of Regulation S-K, except as follows:</w:t>
      </w:r>
    </w:p>
    <w:p>
      <w:pPr>
        <w:spacing w:after="0" w:line="137" w:lineRule="exact"/>
        <w:rPr>
          <w:sz w:val="20"/>
          <w:szCs w:val="20"/>
          <w:color w:val="auto"/>
        </w:rPr>
      </w:pPr>
    </w:p>
    <w:p>
      <w:pPr>
        <w:ind w:left="40" w:right="119"/>
        <w:spacing w:after="0" w:line="256" w:lineRule="auto"/>
        <w:rPr>
          <w:sz w:val="20"/>
          <w:szCs w:val="20"/>
          <w:color w:val="auto"/>
        </w:rPr>
      </w:pPr>
      <w:r>
        <w:rPr>
          <w:rFonts w:ascii="Arial" w:cs="Arial" w:eastAsia="Arial" w:hAnsi="Arial"/>
          <w:sz w:val="16"/>
          <w:szCs w:val="16"/>
          <w:color w:val="auto"/>
        </w:rPr>
        <w:t>On November 26, 2024, Dean Manson, Chief Legal Officer and Secretary, adopted a Rule 10b5-1 trading arrangement for the potential sale of up to 30,000 shares (including certain options that expire on April 1, 2034) of our common stock, subject to certain conditions. The arrangement's expiration date is November 25, 2025.</w:t>
      </w:r>
    </w:p>
    <w:p>
      <w:pPr>
        <w:spacing w:after="0" w:line="137"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On December 3, 2024, Paul Orban, Executive Vice President and Chief Financial Officer, DISH, adopted a Rule 10b5-1 trading arrangement for the potential sale of up to 81,211 shares (including certain options that expire on April 1, 2034) of our common stock, subject to certain conditions. The arrangement's expiration date is December 2, 2025.</w:t>
      </w:r>
    </w:p>
    <w:p>
      <w:pPr>
        <w:spacing w:after="0" w:line="137" w:lineRule="exact"/>
        <w:rPr>
          <w:sz w:val="20"/>
          <w:szCs w:val="20"/>
          <w:color w:val="auto"/>
        </w:rPr>
      </w:pPr>
    </w:p>
    <w:p>
      <w:pPr>
        <w:ind w:left="40" w:right="1599"/>
        <w:spacing w:after="0" w:line="473" w:lineRule="auto"/>
        <w:rPr>
          <w:sz w:val="20"/>
          <w:szCs w:val="20"/>
          <w:color w:val="auto"/>
        </w:rPr>
      </w:pPr>
      <w:r>
        <w:rPr>
          <w:rFonts w:ascii="Arial" w:cs="Arial" w:eastAsia="Arial" w:hAnsi="Arial"/>
          <w:sz w:val="16"/>
          <w:szCs w:val="16"/>
          <w:b w:val="1"/>
          <w:bCs w:val="1"/>
          <w:color w:val="auto"/>
        </w:rPr>
        <w:t xml:space="preserve">Item 9C. DISCLOSURE REGARDING FOREIGN JURISDICTIONS THAT PREVENT INSPECTIONS </w:t>
      </w:r>
      <w:r>
        <w:rPr>
          <w:rFonts w:ascii="Arial" w:cs="Arial" w:eastAsia="Arial" w:hAnsi="Arial"/>
          <w:sz w:val="16"/>
          <w:szCs w:val="16"/>
          <w:color w:val="auto"/>
        </w:rPr>
        <w:t>Not applicable.</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PART III</w:t>
      </w:r>
    </w:p>
    <w:p>
      <w:pPr>
        <w:spacing w:after="0" w:line="179"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10.</w:t>
        <w:tab/>
        <w:t>DIRECTORS, EXECUTIVE OFFICERS AND CORPORATE GOVERNANCE</w:t>
      </w:r>
    </w:p>
    <w:p>
      <w:pPr>
        <w:spacing w:after="0" w:line="179"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The information required by this Item will be set forth in our Proxy Statement for the 2025 Annual Meeting of Shareholders, which information is hereby incorporated herein by reference.</w:t>
      </w:r>
    </w:p>
    <w:p>
      <w:pPr>
        <w:spacing w:after="0" w:line="123" w:lineRule="exact"/>
        <w:rPr>
          <w:sz w:val="20"/>
          <w:szCs w:val="20"/>
          <w:color w:val="auto"/>
        </w:rPr>
      </w:pPr>
    </w:p>
    <w:p>
      <w:pPr>
        <w:ind w:left="40" w:right="79"/>
        <w:spacing w:after="0" w:line="275" w:lineRule="auto"/>
        <w:rPr>
          <w:sz w:val="20"/>
          <w:szCs w:val="20"/>
          <w:color w:val="auto"/>
        </w:rPr>
      </w:pPr>
      <w:r>
        <w:rPr>
          <w:rFonts w:ascii="Arial" w:cs="Arial" w:eastAsia="Arial" w:hAnsi="Arial"/>
          <w:sz w:val="16"/>
          <w:szCs w:val="16"/>
          <w:color w:val="auto"/>
        </w:rPr>
        <w:t>The information required by this Item with respect to the identity and business experience of our executive officers is set forth under the caption “Information About Our Executive Officers” in this Annual Report on Form 10-K.</w:t>
      </w:r>
    </w:p>
    <w:p>
      <w:pPr>
        <w:spacing w:after="0" w:line="123"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179"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The information required by this Item will be set forth in our Proxy Statement for the 2025 Annual Meeting of Shareholders, which information is hereby incorporated herein by reference.</w:t>
      </w:r>
    </w:p>
    <w:p>
      <w:pPr>
        <w:spacing w:after="0" w:line="123" w:lineRule="exact"/>
        <w:rPr>
          <w:sz w:val="20"/>
          <w:szCs w:val="20"/>
          <w:color w:val="auto"/>
        </w:rPr>
      </w:pPr>
    </w:p>
    <w:p>
      <w:pPr>
        <w:ind w:left="860" w:right="699" w:hanging="810"/>
        <w:spacing w:after="0" w:line="286" w:lineRule="auto"/>
        <w:tabs>
          <w:tab w:leader="none" w:pos="840"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 AND RELATED STOCKHOLDER MATTERS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8" w:name="page109"/>
    <w:bookmarkEnd w:id="10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The information required by this Item will be set forth in our Proxy Statement for the 2025 Annual Meeting of Shareholders, which information is hereby incorporated herein by reference.</w:t>
      </w:r>
    </w:p>
    <w:p>
      <w:pPr>
        <w:spacing w:after="0" w:line="123"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13.</w:t>
        <w:tab/>
        <w:t>CERTAIN RELATIONSHIPS AND RELATED TRANSACTIONS, AND DIRECTOR INDEPENDENCE</w:t>
      </w:r>
    </w:p>
    <w:p>
      <w:pPr>
        <w:spacing w:after="0" w:line="191"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The information required by this Item will be set forth in our Proxy Statement for the 2025 Annual Meeting of Shareholders, which information is hereby incorporated herein by reference.</w:t>
      </w:r>
    </w:p>
    <w:p>
      <w:pPr>
        <w:spacing w:after="0" w:line="135"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14.</w:t>
        <w:tab/>
        <w:t>PRINCIPAL ACCOUNTING FEES AND SERVICES</w:t>
      </w:r>
    </w:p>
    <w:p>
      <w:pPr>
        <w:spacing w:after="0" w:line="191"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The information required by this Item will be set forth in our Proxy Statement for the 2025 Annual Meeting of Shareholders, which information is hereby incorporated herein by reference.</w:t>
      </w:r>
    </w:p>
    <w:p>
      <w:pPr>
        <w:spacing w:after="0" w:line="329"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PART IV</w:t>
      </w:r>
    </w:p>
    <w:p>
      <w:pPr>
        <w:spacing w:after="0" w:line="191"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The following documents are filed as part of this report:</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Financial Statements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98"/>
        </w:trPr>
        <w:tc>
          <w:tcPr>
            <w:tcW w:w="2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1"/>
        </w:trPr>
        <w:tc>
          <w:tcPr>
            <w:tcW w:w="6620" w:type="dxa"/>
            <w:vAlign w:val="bottom"/>
            <w:gridSpan w:val="7"/>
          </w:tcPr>
          <w:p>
            <w:pPr>
              <w:spacing w:after="0"/>
              <w:rPr>
                <w:sz w:val="20"/>
                <w:szCs w:val="20"/>
                <w:color w:val="auto"/>
              </w:rPr>
            </w:pPr>
            <w:r>
              <w:rPr>
                <w:rFonts w:ascii="Arial" w:cs="Arial" w:eastAsia="Arial" w:hAnsi="Arial"/>
                <w:sz w:val="16"/>
                <w:szCs w:val="16"/>
                <w:color w:val="0000EE"/>
              </w:rPr>
              <w:t>Report of KPMG LLP, Independent Registered Public Accounting Firm</w:t>
            </w:r>
          </w:p>
        </w:tc>
        <w:tc>
          <w:tcPr>
            <w:tcW w:w="540" w:type="dxa"/>
            <w:vAlign w:val="bottom"/>
          </w:tcPr>
          <w:p>
            <w:pPr>
              <w:ind w:left="300"/>
              <w:spacing w:after="0"/>
              <w:rPr>
                <w:sz w:val="20"/>
                <w:szCs w:val="20"/>
                <w:color w:val="auto"/>
              </w:rPr>
            </w:pPr>
            <w:r>
              <w:rPr>
                <w:rFonts w:ascii="Arial" w:cs="Arial" w:eastAsia="Arial" w:hAnsi="Arial"/>
                <w:sz w:val="16"/>
                <w:szCs w:val="16"/>
                <w:color w:val="auto"/>
                <w:w w:val="91"/>
              </w:rPr>
              <w:t>F-2</w:t>
            </w:r>
          </w:p>
        </w:tc>
        <w:tc>
          <w:tcPr>
            <w:tcW w:w="0" w:type="dxa"/>
            <w:vAlign w:val="bottom"/>
          </w:tcPr>
          <w:p>
            <w:pPr>
              <w:spacing w:after="0"/>
              <w:rPr>
                <w:sz w:val="1"/>
                <w:szCs w:val="1"/>
                <w:color w:val="auto"/>
              </w:rPr>
            </w:pPr>
          </w:p>
        </w:tc>
      </w:tr>
      <w:tr>
        <w:trPr>
          <w:trHeight w:val="162"/>
        </w:trPr>
        <w:tc>
          <w:tcPr>
            <w:tcW w:w="5000" w:type="dxa"/>
            <w:vAlign w:val="bottom"/>
            <w:tcBorders>
              <w:top w:val="single" w:sz="8" w:color="0000EE"/>
            </w:tcBorders>
            <w:gridSpan w:val="5"/>
          </w:tcPr>
          <w:p>
            <w:pPr>
              <w:spacing w:after="0" w:line="161" w:lineRule="exact"/>
              <w:rPr>
                <w:sz w:val="20"/>
                <w:szCs w:val="20"/>
                <w:color w:val="auto"/>
              </w:rPr>
            </w:pPr>
            <w:r>
              <w:rPr>
                <w:rFonts w:ascii="Arial" w:cs="Arial" w:eastAsia="Arial" w:hAnsi="Arial"/>
                <w:sz w:val="16"/>
                <w:szCs w:val="16"/>
                <w:color w:val="0000EE"/>
              </w:rPr>
              <w:t>Consolidated Balance Sheets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ind w:left="300"/>
              <w:spacing w:after="0" w:line="161" w:lineRule="exact"/>
              <w:rPr>
                <w:sz w:val="20"/>
                <w:szCs w:val="20"/>
                <w:color w:val="auto"/>
              </w:rPr>
            </w:pPr>
            <w:r>
              <w:rPr>
                <w:rFonts w:ascii="Arial" w:cs="Arial" w:eastAsia="Arial" w:hAnsi="Arial"/>
                <w:sz w:val="16"/>
                <w:szCs w:val="16"/>
                <w:color w:val="auto"/>
                <w:w w:val="91"/>
              </w:rPr>
              <w:t>F-5</w:t>
            </w:r>
          </w:p>
        </w:tc>
        <w:tc>
          <w:tcPr>
            <w:tcW w:w="0" w:type="dxa"/>
            <w:vAlign w:val="bottom"/>
          </w:tcPr>
          <w:p>
            <w:pPr>
              <w:spacing w:after="0"/>
              <w:rPr>
                <w:sz w:val="1"/>
                <w:szCs w:val="1"/>
                <w:color w:val="auto"/>
              </w:rPr>
            </w:pPr>
          </w:p>
        </w:tc>
      </w:tr>
      <w:tr>
        <w:trPr>
          <w:trHeight w:val="162"/>
        </w:trPr>
        <w:tc>
          <w:tcPr>
            <w:tcW w:w="2100" w:type="dxa"/>
            <w:vAlign w:val="bottom"/>
            <w:tcBorders>
              <w:top w:val="single" w:sz="8" w:color="0000EE"/>
            </w:tcBorders>
          </w:tcPr>
          <w:p>
            <w:pPr>
              <w:spacing w:after="0" w:line="161" w:lineRule="exact"/>
              <w:rPr>
                <w:sz w:val="20"/>
                <w:szCs w:val="20"/>
                <w:color w:val="auto"/>
              </w:rPr>
            </w:pPr>
            <w:r>
              <w:rPr>
                <w:rFonts w:ascii="Arial" w:cs="Arial" w:eastAsia="Arial" w:hAnsi="Arial"/>
                <w:sz w:val="16"/>
                <w:szCs w:val="16"/>
                <w:color w:val="0000EE"/>
              </w:rPr>
              <w:t>Consolidated Statements of</w:t>
            </w:r>
          </w:p>
        </w:tc>
        <w:tc>
          <w:tcPr>
            <w:tcW w:w="4520" w:type="dxa"/>
            <w:vAlign w:val="bottom"/>
            <w:gridSpan w:val="6"/>
          </w:tcPr>
          <w:p>
            <w:pPr>
              <w:spacing w:after="0" w:line="161" w:lineRule="exact"/>
              <w:rPr>
                <w:sz w:val="20"/>
                <w:szCs w:val="20"/>
                <w:color w:val="auto"/>
              </w:rPr>
            </w:pPr>
            <w:r>
              <w:rPr>
                <w:rFonts w:ascii="Arial" w:cs="Arial" w:eastAsia="Arial" w:hAnsi="Arial"/>
                <w:sz w:val="16"/>
                <w:szCs w:val="16"/>
                <w:color w:val="0000EE"/>
              </w:rPr>
              <w:t>Operations and Comprehensive Income (Loss)</w:t>
            </w:r>
          </w:p>
        </w:tc>
        <w:tc>
          <w:tcPr>
            <w:tcW w:w="540" w:type="dxa"/>
            <w:vAlign w:val="bottom"/>
          </w:tcPr>
          <w:p>
            <w:pPr>
              <w:ind w:left="300"/>
              <w:spacing w:after="0" w:line="161" w:lineRule="exact"/>
              <w:rPr>
                <w:sz w:val="20"/>
                <w:szCs w:val="20"/>
                <w:color w:val="auto"/>
              </w:rPr>
            </w:pPr>
            <w:r>
              <w:rPr>
                <w:rFonts w:ascii="Arial" w:cs="Arial" w:eastAsia="Arial" w:hAnsi="Arial"/>
                <w:sz w:val="16"/>
                <w:szCs w:val="16"/>
                <w:color w:val="auto"/>
                <w:w w:val="91"/>
              </w:rPr>
              <w:t>F-6</w:t>
            </w:r>
          </w:p>
        </w:tc>
        <w:tc>
          <w:tcPr>
            <w:tcW w:w="0" w:type="dxa"/>
            <w:vAlign w:val="bottom"/>
          </w:tcPr>
          <w:p>
            <w:pPr>
              <w:spacing w:after="0"/>
              <w:rPr>
                <w:sz w:val="1"/>
                <w:szCs w:val="1"/>
                <w:color w:val="auto"/>
              </w:rPr>
            </w:pPr>
          </w:p>
        </w:tc>
      </w:tr>
      <w:tr>
        <w:trPr>
          <w:trHeight w:val="162"/>
        </w:trPr>
        <w:tc>
          <w:tcPr>
            <w:tcW w:w="5360" w:type="dxa"/>
            <w:vAlign w:val="bottom"/>
            <w:tcBorders>
              <w:top w:val="single" w:sz="8" w:color="0000EE"/>
            </w:tcBorders>
            <w:gridSpan w:val="6"/>
          </w:tcPr>
          <w:p>
            <w:pPr>
              <w:spacing w:after="0" w:line="161" w:lineRule="exact"/>
              <w:rPr>
                <w:sz w:val="20"/>
                <w:szCs w:val="20"/>
                <w:color w:val="auto"/>
              </w:rPr>
            </w:pPr>
            <w:r>
              <w:rPr>
                <w:rFonts w:ascii="Arial" w:cs="Arial" w:eastAsia="Arial" w:hAnsi="Arial"/>
                <w:sz w:val="16"/>
                <w:szCs w:val="16"/>
                <w:color w:val="0000EE"/>
              </w:rPr>
              <w:t>Consolidated Statements of Changes in Stockholders’ Equity (Deficit)</w:t>
            </w:r>
          </w:p>
        </w:tc>
        <w:tc>
          <w:tcPr>
            <w:tcW w:w="1260" w:type="dxa"/>
            <w:vAlign w:val="bottom"/>
          </w:tcPr>
          <w:p>
            <w:pPr>
              <w:spacing w:after="0"/>
              <w:rPr>
                <w:sz w:val="14"/>
                <w:szCs w:val="14"/>
                <w:color w:val="auto"/>
              </w:rPr>
            </w:pPr>
          </w:p>
        </w:tc>
        <w:tc>
          <w:tcPr>
            <w:tcW w:w="540" w:type="dxa"/>
            <w:vAlign w:val="bottom"/>
          </w:tcPr>
          <w:p>
            <w:pPr>
              <w:ind w:left="300"/>
              <w:spacing w:after="0" w:line="161" w:lineRule="exact"/>
              <w:rPr>
                <w:sz w:val="20"/>
                <w:szCs w:val="20"/>
                <w:color w:val="auto"/>
              </w:rPr>
            </w:pPr>
            <w:r>
              <w:rPr>
                <w:rFonts w:ascii="Arial" w:cs="Arial" w:eastAsia="Arial" w:hAnsi="Arial"/>
                <w:sz w:val="16"/>
                <w:szCs w:val="16"/>
                <w:color w:val="auto"/>
                <w:w w:val="91"/>
              </w:rPr>
              <w:t>F-7</w:t>
            </w:r>
          </w:p>
        </w:tc>
        <w:tc>
          <w:tcPr>
            <w:tcW w:w="0" w:type="dxa"/>
            <w:vAlign w:val="bottom"/>
          </w:tcPr>
          <w:p>
            <w:pPr>
              <w:spacing w:after="0"/>
              <w:rPr>
                <w:sz w:val="1"/>
                <w:szCs w:val="1"/>
                <w:color w:val="auto"/>
              </w:rPr>
            </w:pPr>
          </w:p>
        </w:tc>
      </w:tr>
      <w:tr>
        <w:trPr>
          <w:trHeight w:val="162"/>
        </w:trPr>
        <w:tc>
          <w:tcPr>
            <w:tcW w:w="4940" w:type="dxa"/>
            <w:vAlign w:val="bottom"/>
            <w:tcBorders>
              <w:top w:val="single" w:sz="8" w:color="0000EE"/>
            </w:tcBorders>
            <w:gridSpan w:val="4"/>
          </w:tcPr>
          <w:p>
            <w:pPr>
              <w:spacing w:after="0" w:line="161" w:lineRule="exact"/>
              <w:rPr>
                <w:sz w:val="20"/>
                <w:szCs w:val="20"/>
                <w:color w:val="auto"/>
              </w:rPr>
            </w:pPr>
            <w:r>
              <w:rPr>
                <w:rFonts w:ascii="Arial" w:cs="Arial" w:eastAsia="Arial" w:hAnsi="Arial"/>
                <w:sz w:val="16"/>
                <w:szCs w:val="16"/>
                <w:color w:val="0000EE"/>
              </w:rPr>
              <w:t>Consolidated Statements of Cash Flows</w:t>
            </w:r>
          </w:p>
        </w:tc>
        <w:tc>
          <w:tcPr>
            <w:tcW w:w="1680" w:type="dxa"/>
            <w:vAlign w:val="bottom"/>
            <w:gridSpan w:val="3"/>
          </w:tcPr>
          <w:p>
            <w:pPr>
              <w:spacing w:after="0"/>
              <w:rPr>
                <w:sz w:val="14"/>
                <w:szCs w:val="14"/>
                <w:color w:val="auto"/>
              </w:rPr>
            </w:pPr>
          </w:p>
        </w:tc>
        <w:tc>
          <w:tcPr>
            <w:tcW w:w="540" w:type="dxa"/>
            <w:vAlign w:val="bottom"/>
          </w:tcPr>
          <w:p>
            <w:pPr>
              <w:ind w:left="300"/>
              <w:spacing w:after="0" w:line="161" w:lineRule="exact"/>
              <w:rPr>
                <w:sz w:val="20"/>
                <w:szCs w:val="20"/>
                <w:color w:val="auto"/>
              </w:rPr>
            </w:pPr>
            <w:r>
              <w:rPr>
                <w:rFonts w:ascii="Arial" w:cs="Arial" w:eastAsia="Arial" w:hAnsi="Arial"/>
                <w:sz w:val="16"/>
                <w:szCs w:val="16"/>
                <w:color w:val="auto"/>
                <w:w w:val="91"/>
              </w:rPr>
              <w:t>F-8</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540" w:type="dxa"/>
            <w:vAlign w:val="bottom"/>
            <w:vMerge w:val="restart"/>
          </w:tcPr>
          <w:p>
            <w:pPr>
              <w:ind w:left="300"/>
              <w:spacing w:after="0" w:line="181" w:lineRule="exact"/>
              <w:rPr>
                <w:sz w:val="20"/>
                <w:szCs w:val="20"/>
                <w:color w:val="auto"/>
              </w:rPr>
            </w:pPr>
            <w:r>
              <w:rPr>
                <w:rFonts w:ascii="Arial" w:cs="Arial" w:eastAsia="Arial" w:hAnsi="Arial"/>
                <w:sz w:val="16"/>
                <w:szCs w:val="16"/>
                <w:color w:val="auto"/>
                <w:w w:val="91"/>
              </w:rPr>
              <w:t>F-9</w:t>
            </w:r>
          </w:p>
        </w:tc>
        <w:tc>
          <w:tcPr>
            <w:tcW w:w="0" w:type="dxa"/>
            <w:vAlign w:val="bottom"/>
          </w:tcPr>
          <w:p>
            <w:pPr>
              <w:spacing w:after="0" w:line="20" w:lineRule="exact"/>
              <w:rPr>
                <w:sz w:val="1"/>
                <w:szCs w:val="1"/>
                <w:color w:val="auto"/>
              </w:rPr>
            </w:pPr>
          </w:p>
        </w:tc>
      </w:tr>
      <w:tr>
        <w:trPr>
          <w:trHeight w:val="162"/>
        </w:trPr>
        <w:tc>
          <w:tcPr>
            <w:tcW w:w="3140" w:type="dxa"/>
            <w:vAlign w:val="bottom"/>
            <w:tcBorders>
              <w:bottom w:val="single" w:sz="8" w:color="0000EE"/>
            </w:tcBorders>
            <w:gridSpan w:val="3"/>
          </w:tcPr>
          <w:p>
            <w:pPr>
              <w:spacing w:after="0" w:line="161" w:lineRule="exact"/>
              <w:rPr>
                <w:sz w:val="20"/>
                <w:szCs w:val="20"/>
                <w:color w:val="auto"/>
              </w:rPr>
            </w:pPr>
            <w:r>
              <w:rPr>
                <w:rFonts w:ascii="Arial" w:cs="Arial" w:eastAsia="Arial" w:hAnsi="Arial"/>
                <w:sz w:val="16"/>
                <w:szCs w:val="16"/>
                <w:color w:val="0000EE"/>
              </w:rPr>
              <w:t>Notes to Consolidated Financial Statements</w:t>
            </w:r>
          </w:p>
        </w:tc>
        <w:tc>
          <w:tcPr>
            <w:tcW w:w="3480" w:type="dxa"/>
            <w:vAlign w:val="bottom"/>
            <w:gridSpan w:val="4"/>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i w:val="1"/>
          <w:iCs w:val="1"/>
          <w:color w:val="auto"/>
        </w:rPr>
        <w:t>Financial Statement Schedules</w:t>
      </w:r>
    </w:p>
    <w:p>
      <w:pPr>
        <w:spacing w:after="0" w:line="3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None. All schedules have been included in the consolidated financial statements or notes thereto.</w:t>
      </w:r>
    </w:p>
    <w:p>
      <w:pPr>
        <w:spacing w:after="0" w:line="181" w:lineRule="exact"/>
        <w:rPr>
          <w:sz w:val="20"/>
          <w:szCs w:val="20"/>
          <w:color w:val="auto"/>
        </w:rPr>
      </w:pPr>
    </w:p>
    <w:p>
      <w:pPr>
        <w:ind w:left="940" w:hanging="293"/>
        <w:spacing w:after="0"/>
        <w:tabs>
          <w:tab w:leader="none" w:pos="94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383" w:lineRule="exact"/>
        <w:rPr>
          <w:sz w:val="20"/>
          <w:szCs w:val="20"/>
          <w:color w:val="auto"/>
        </w:rPr>
      </w:pPr>
    </w:p>
    <w:p>
      <w:pPr>
        <w:ind w:left="1020" w:right="79" w:hanging="742"/>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2.1*</w:t>
      </w:r>
      <w:r>
        <w:rPr>
          <w:sz w:val="20"/>
          <w:szCs w:val="20"/>
          <w:color w:val="auto"/>
        </w:rPr>
        <w:tab/>
      </w:r>
      <w:hyperlink r:id="rId124">
        <w:r>
          <w:rPr>
            <w:rFonts w:ascii="Arial" w:cs="Arial" w:eastAsia="Arial" w:hAnsi="Arial"/>
            <w:sz w:val="16"/>
            <w:szCs w:val="16"/>
            <w:u w:val="single" w:color="auto"/>
            <w:color w:val="0000EE"/>
          </w:rPr>
          <w:t>Asset Purchase Agreement, dated as of July 26, 2019, by and among T-Mobile US, Inc., Sprint Corporation</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and DISH Network Corporation (incorporated by reference from Exhibit 2.2 to the Quarterly Report on Form 10-</w:t>
        </w:r>
      </w:hyperlink>
      <w:hyperlink r:id="rId124">
        <w:r>
          <w:rPr>
            <w:rFonts w:ascii="Arial" w:cs="Arial" w:eastAsia="Arial" w:hAnsi="Arial"/>
            <w:sz w:val="16"/>
            <w:szCs w:val="16"/>
            <w:u w:val="single" w:color="auto"/>
            <w:color w:val="0000EE"/>
          </w:rPr>
          <w:t>Q of DISH Network Corporation filed July 29, 2019).</w:t>
        </w:r>
      </w:hyperlink>
    </w:p>
    <w:p>
      <w:pPr>
        <w:spacing w:after="0" w:line="163" w:lineRule="exact"/>
        <w:rPr>
          <w:rFonts w:ascii="Arial" w:cs="Arial" w:eastAsia="Arial" w:hAnsi="Arial"/>
          <w:sz w:val="16"/>
          <w:szCs w:val="16"/>
          <w:u w:val="single" w:color="auto"/>
          <w:color w:val="0000EE"/>
        </w:rPr>
      </w:pPr>
    </w:p>
    <w:p>
      <w:pPr>
        <w:ind w:left="1020" w:right="159" w:hanging="742"/>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2.2*</w:t>
      </w:r>
      <w:r>
        <w:rPr>
          <w:sz w:val="20"/>
          <w:szCs w:val="20"/>
          <w:color w:val="auto"/>
        </w:rPr>
        <w:tab/>
      </w:r>
      <w:hyperlink r:id="rId125">
        <w:r>
          <w:rPr>
            <w:rFonts w:ascii="Arial" w:cs="Arial" w:eastAsia="Arial" w:hAnsi="Arial"/>
            <w:sz w:val="16"/>
            <w:szCs w:val="16"/>
            <w:u w:val="single" w:color="auto"/>
            <w:color w:val="0000EE"/>
          </w:rPr>
          <w:t>First Amendment to the Asset Purchase Agreement, dated June 17, 2020, by and between DISH Network and</w:t>
        </w:r>
      </w:hyperlink>
      <w:r>
        <w:rPr>
          <w:rFonts w:ascii="Arial" w:cs="Arial" w:eastAsia="Arial" w:hAnsi="Arial"/>
          <w:sz w:val="16"/>
          <w:szCs w:val="16"/>
          <w:u w:val="single" w:color="auto"/>
          <w:color w:val="0000EE"/>
        </w:rPr>
        <w:t xml:space="preserve"> </w:t>
      </w:r>
      <w:hyperlink r:id="rId125">
        <w:r>
          <w:rPr>
            <w:rFonts w:ascii="Arial" w:cs="Arial" w:eastAsia="Arial" w:hAnsi="Arial"/>
            <w:sz w:val="16"/>
            <w:szCs w:val="16"/>
            <w:u w:val="single" w:color="auto"/>
            <w:color w:val="0000EE"/>
          </w:rPr>
          <w:t>NTM (incorporated by reference from Exhibit 99.1 of the Current Report on Form 8-K of DISH Network</w:t>
        </w:r>
      </w:hyperlink>
      <w:r>
        <w:rPr>
          <w:rFonts w:ascii="Arial" w:cs="Arial" w:eastAsia="Arial" w:hAnsi="Arial"/>
          <w:sz w:val="16"/>
          <w:szCs w:val="16"/>
          <w:u w:val="single" w:color="auto"/>
          <w:color w:val="0000EE"/>
        </w:rPr>
        <w:t xml:space="preserve"> </w:t>
      </w:r>
      <w:hyperlink r:id="rId125">
        <w:r>
          <w:rPr>
            <w:rFonts w:ascii="Arial" w:cs="Arial" w:eastAsia="Arial" w:hAnsi="Arial"/>
            <w:sz w:val="16"/>
            <w:szCs w:val="16"/>
            <w:u w:val="single" w:color="auto"/>
            <w:color w:val="0000EE"/>
          </w:rPr>
          <w:t>Corporation filed June 17, 2020).</w:t>
        </w:r>
      </w:hyperlink>
    </w:p>
    <w:p>
      <w:pPr>
        <w:spacing w:after="0" w:line="163" w:lineRule="exact"/>
        <w:rPr>
          <w:rFonts w:ascii="Arial" w:cs="Arial" w:eastAsia="Arial" w:hAnsi="Arial"/>
          <w:sz w:val="16"/>
          <w:szCs w:val="16"/>
          <w:u w:val="single" w:color="auto"/>
          <w:color w:val="0000EE"/>
        </w:rPr>
      </w:pPr>
    </w:p>
    <w:p>
      <w:pPr>
        <w:ind w:left="1020" w:right="159" w:hanging="710"/>
        <w:spacing w:after="0" w:line="27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2.3</w:t>
      </w:r>
      <w:r>
        <w:rPr>
          <w:sz w:val="20"/>
          <w:szCs w:val="20"/>
          <w:color w:val="auto"/>
        </w:rPr>
        <w:tab/>
      </w:r>
      <w:hyperlink r:id="rId126">
        <w:r>
          <w:rPr>
            <w:rFonts w:ascii="Arial" w:cs="Arial" w:eastAsia="Arial" w:hAnsi="Arial"/>
            <w:sz w:val="16"/>
            <w:szCs w:val="16"/>
            <w:u w:val="single" w:color="auto"/>
            <w:color w:val="0000EE"/>
          </w:rPr>
          <w:t>Amended and Restated Agreement and Plan of Merger, dated as of October 2, 2023, by and among EchoStar</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Corporation, DISH Network Corporation and EAV Corp. (incorporated by reference from Exhibit 2.1 to</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EchoStar’s Current Report on Form 8-K filed on October 3, 2023).*</w:t>
        </w:r>
      </w:hyperlink>
    </w:p>
    <w:p>
      <w:pPr>
        <w:spacing w:after="0" w:line="2"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24765</wp:posOffset>
            </wp:positionH>
            <wp:positionV relativeFrom="paragraph">
              <wp:posOffset>680085</wp:posOffset>
            </wp:positionV>
            <wp:extent cx="5671185" cy="22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09" w:name="page110"/>
    <w:bookmarkEnd w:id="10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20" w:right="79" w:hanging="710"/>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3.1</w:t>
      </w:r>
      <w:r>
        <w:rPr>
          <w:sz w:val="20"/>
          <w:szCs w:val="20"/>
          <w:color w:val="auto"/>
        </w:rPr>
        <w:tab/>
      </w:r>
      <w:hyperlink r:id="rId128">
        <w:r>
          <w:rPr>
            <w:rFonts w:ascii="Arial" w:cs="Arial" w:eastAsia="Arial" w:hAnsi="Arial"/>
            <w:sz w:val="16"/>
            <w:szCs w:val="16"/>
            <w:u w:val="single" w:color="auto"/>
            <w:color w:val="0000EE"/>
          </w:rPr>
          <w:t>Complied Articles of Incorporation of EchoStar Corporation (incorporated by reference to Exhibit 3.1 to</w:t>
        </w:r>
      </w:hyperlink>
      <w:r>
        <w:rPr>
          <w:rFonts w:ascii="Arial" w:cs="Arial" w:eastAsia="Arial" w:hAnsi="Arial"/>
          <w:sz w:val="16"/>
          <w:szCs w:val="16"/>
          <w:u w:val="single" w:color="auto"/>
          <w:color w:val="0000EE"/>
        </w:rPr>
        <w:t xml:space="preserve"> </w:t>
      </w:r>
      <w:hyperlink r:id="rId128">
        <w:r>
          <w:rPr>
            <w:rFonts w:ascii="Arial" w:cs="Arial" w:eastAsia="Arial" w:hAnsi="Arial"/>
            <w:sz w:val="16"/>
            <w:szCs w:val="16"/>
            <w:u w:val="single" w:color="auto"/>
            <w:color w:val="0000EE"/>
          </w:rPr>
          <w:t>EchoStar Corporation’s Annual Report on Form 10-K for the year ended December 31, 2023, filed February 29,</w:t>
        </w:r>
      </w:hyperlink>
      <w:r>
        <w:rPr>
          <w:rFonts w:ascii="Arial" w:cs="Arial" w:eastAsia="Arial" w:hAnsi="Arial"/>
          <w:sz w:val="16"/>
          <w:szCs w:val="16"/>
          <w:u w:val="single" w:color="auto"/>
          <w:color w:val="0000EE"/>
        </w:rPr>
        <w:t xml:space="preserve"> </w:t>
      </w:r>
      <w:hyperlink r:id="rId128">
        <w:r>
          <w:rPr>
            <w:rFonts w:ascii="Arial" w:cs="Arial" w:eastAsia="Arial" w:hAnsi="Arial"/>
            <w:sz w:val="16"/>
            <w:szCs w:val="16"/>
            <w:u w:val="single" w:color="auto"/>
            <w:color w:val="0000EE"/>
          </w:rPr>
          <w:t>2024).</w:t>
        </w:r>
      </w:hyperlink>
    </w:p>
    <w:p>
      <w:pPr>
        <w:spacing w:after="0" w:line="163" w:lineRule="exact"/>
        <w:rPr>
          <w:rFonts w:ascii="Arial" w:cs="Arial" w:eastAsia="Arial" w:hAnsi="Arial"/>
          <w:sz w:val="16"/>
          <w:szCs w:val="16"/>
          <w:u w:val="single" w:color="auto"/>
          <w:color w:val="0000EE"/>
        </w:rPr>
      </w:pPr>
    </w:p>
    <w:p>
      <w:pPr>
        <w:ind w:left="1020" w:right="199" w:hanging="710"/>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3.2</w:t>
      </w:r>
      <w:r>
        <w:rPr>
          <w:sz w:val="20"/>
          <w:szCs w:val="20"/>
          <w:color w:val="auto"/>
        </w:rPr>
        <w:tab/>
      </w:r>
      <w:hyperlink r:id="rId129">
        <w:r>
          <w:rPr>
            <w:rFonts w:ascii="Arial" w:cs="Arial" w:eastAsia="Arial" w:hAnsi="Arial"/>
            <w:sz w:val="16"/>
            <w:szCs w:val="16"/>
            <w:u w:val="single" w:color="auto"/>
            <w:color w:val="0000EE"/>
          </w:rPr>
          <w:t>Complied Bylaws of EchoStar Corporation (incorporated by reference to Exhibit 3.2 to EchoStar Corporation’s</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Annual Report on Form 10-K for the year ended December 31, 2023, filed February 29, 2024).</w:t>
        </w:r>
      </w:hyperlink>
    </w:p>
    <w:p>
      <w:pPr>
        <w:spacing w:after="0" w:line="146" w:lineRule="exact"/>
        <w:rPr>
          <w:sz w:val="20"/>
          <w:szCs w:val="20"/>
          <w:color w:val="auto"/>
        </w:rPr>
      </w:pPr>
    </w:p>
    <w:p>
      <w:pPr>
        <w:ind w:left="1020" w:right="79" w:hanging="742"/>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4.1*</w:t>
      </w:r>
      <w:r>
        <w:rPr>
          <w:sz w:val="20"/>
          <w:szCs w:val="20"/>
          <w:color w:val="auto"/>
        </w:rPr>
        <w:tab/>
      </w:r>
      <w:hyperlink r:id="rId130">
        <w:r>
          <w:rPr>
            <w:rFonts w:ascii="Arial" w:cs="Arial" w:eastAsia="Arial" w:hAnsi="Arial"/>
            <w:sz w:val="16"/>
            <w:szCs w:val="16"/>
            <w:u w:val="single" w:color="auto"/>
            <w:color w:val="0000EE"/>
          </w:rPr>
          <w:t>Specimen Class A Common Stock Certificate of EchoStar Corporation (incorporated by reference to Exhibit 4.1</w:t>
        </w:r>
      </w:hyperlink>
      <w:r>
        <w:rPr>
          <w:rFonts w:ascii="Arial" w:cs="Arial" w:eastAsia="Arial" w:hAnsi="Arial"/>
          <w:sz w:val="16"/>
          <w:szCs w:val="16"/>
          <w:u w:val="single" w:color="auto"/>
          <w:color w:val="0000EE"/>
        </w:rPr>
        <w:t xml:space="preserve"> </w:t>
      </w:r>
      <w:hyperlink r:id="rId130">
        <w:r>
          <w:rPr>
            <w:rFonts w:ascii="Arial" w:cs="Arial" w:eastAsia="Arial" w:hAnsi="Arial"/>
            <w:sz w:val="16"/>
            <w:szCs w:val="16"/>
            <w:u w:val="single" w:color="auto"/>
            <w:color w:val="0000EE"/>
          </w:rPr>
          <w:t>to Amendment No. 1 of EchoStar Corporation’s Form 10 filed December 12, 2007, Commission File No. 001-</w:t>
        </w:r>
      </w:hyperlink>
      <w:hyperlink r:id="rId130">
        <w:r>
          <w:rPr>
            <w:rFonts w:ascii="Arial" w:cs="Arial" w:eastAsia="Arial" w:hAnsi="Arial"/>
            <w:sz w:val="16"/>
            <w:szCs w:val="16"/>
            <w:u w:val="single" w:color="auto"/>
            <w:color w:val="0000EE"/>
          </w:rPr>
          <w:t>33807).</w:t>
        </w:r>
      </w:hyperlink>
    </w:p>
    <w:p>
      <w:pPr>
        <w:spacing w:after="0" w:line="163" w:lineRule="exact"/>
        <w:rPr>
          <w:rFonts w:ascii="Arial" w:cs="Arial" w:eastAsia="Arial" w:hAnsi="Arial"/>
          <w:sz w:val="16"/>
          <w:szCs w:val="16"/>
          <w:u w:val="single" w:color="auto"/>
          <w:color w:val="0000EE"/>
        </w:rPr>
      </w:pPr>
    </w:p>
    <w:p>
      <w:pPr>
        <w:jc w:val="both"/>
        <w:ind w:left="1020" w:right="219" w:hanging="742"/>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4.2*</w:t>
      </w:r>
      <w:r>
        <w:rPr>
          <w:sz w:val="20"/>
          <w:szCs w:val="20"/>
          <w:color w:val="auto"/>
        </w:rPr>
        <w:tab/>
      </w:r>
      <w:hyperlink r:id="rId131">
        <w:r>
          <w:rPr>
            <w:rFonts w:ascii="Arial" w:cs="Arial" w:eastAsia="Arial" w:hAnsi="Arial"/>
            <w:sz w:val="16"/>
            <w:szCs w:val="16"/>
            <w:u w:val="single" w:color="auto"/>
            <w:color w:val="0000EE"/>
          </w:rPr>
          <w:t>Security Agreement, dated as of June 8, 2011, among EH Holding Corporation (currently known as Hughes</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Satellite Systems Corporation), the guarantors listed on the signature pages thereto, and U.S. Bank National</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Association, as successor collateral agent (incorporated by reference to Exhibit 4.1 to EchoStar Corporation’s</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Current Report on Form 8-K filed June 9, 2011, Commission File No. 001-33807).</w:t>
        </w:r>
      </w:hyperlink>
    </w:p>
    <w:p>
      <w:pPr>
        <w:spacing w:after="0" w:line="167" w:lineRule="exact"/>
        <w:rPr>
          <w:rFonts w:ascii="Arial" w:cs="Arial" w:eastAsia="Arial" w:hAnsi="Arial"/>
          <w:sz w:val="16"/>
          <w:szCs w:val="16"/>
          <w:u w:val="single" w:color="auto"/>
          <w:color w:val="0000EE"/>
        </w:rPr>
      </w:pPr>
    </w:p>
    <w:p>
      <w:pPr>
        <w:ind w:left="1020" w:right="419" w:hanging="742"/>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4.3*</w:t>
      </w:r>
      <w:r>
        <w:rPr>
          <w:sz w:val="20"/>
          <w:szCs w:val="20"/>
          <w:color w:val="auto"/>
        </w:rPr>
        <w:tab/>
      </w:r>
      <w:hyperlink r:id="rId132">
        <w:r>
          <w:rPr>
            <w:rFonts w:ascii="Arial" w:cs="Arial" w:eastAsia="Arial" w:hAnsi="Arial"/>
            <w:sz w:val="16"/>
            <w:szCs w:val="16"/>
            <w:u w:val="single" w:color="auto"/>
            <w:color w:val="0000EE"/>
          </w:rPr>
          <w:t>Indenture, relating to the 7 3/4% Senior Notes due 2026, dated as of June 13, 2016, among DISH DBS</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Corporation, the guarantors named on the signature pages thereto and U.S. Bank National Association, as</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Trustee (incorporated by reference from Exhibit 4.1 to the Current Report on Form 8-K of DISH Network</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Corporation filed June 13, 2016).</w:t>
        </w:r>
      </w:hyperlink>
    </w:p>
    <w:p>
      <w:pPr>
        <w:spacing w:after="0" w:line="167" w:lineRule="exact"/>
        <w:rPr>
          <w:rFonts w:ascii="Arial" w:cs="Arial" w:eastAsia="Arial" w:hAnsi="Arial"/>
          <w:sz w:val="16"/>
          <w:szCs w:val="16"/>
          <w:u w:val="single" w:color="auto"/>
          <w:color w:val="0000EE"/>
        </w:rPr>
      </w:pPr>
    </w:p>
    <w:p>
      <w:pPr>
        <w:ind w:left="1020" w:right="59" w:hanging="742"/>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4.4*</w:t>
      </w:r>
      <w:r>
        <w:rPr>
          <w:sz w:val="20"/>
          <w:szCs w:val="20"/>
          <w:color w:val="auto"/>
        </w:rPr>
        <w:tab/>
      </w:r>
      <w:hyperlink r:id="rId133">
        <w:r>
          <w:rPr>
            <w:rFonts w:ascii="Arial" w:cs="Arial" w:eastAsia="Arial" w:hAnsi="Arial"/>
            <w:sz w:val="16"/>
            <w:szCs w:val="16"/>
            <w:u w:val="single" w:color="auto"/>
            <w:color w:val="0000EE"/>
          </w:rPr>
          <w:t>Indenture, relating to the 5.250% Senior Secured Notes, dated as of July 27, 2016, among Hughes Satellite</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Systems Corporation, the guarantors party thereto, U.S. Bank National Association, as trustee and successor</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collateral agent (incorporated by reference to Exhibit 4.1 to EchoStar Corporation’s Current Report on Form 8-K</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filed on July 27, 2016, Commission File No. 001-33807).</w:t>
        </w:r>
      </w:hyperlink>
    </w:p>
    <w:p>
      <w:pPr>
        <w:spacing w:after="0" w:line="167" w:lineRule="exact"/>
        <w:rPr>
          <w:rFonts w:ascii="Arial" w:cs="Arial" w:eastAsia="Arial" w:hAnsi="Arial"/>
          <w:sz w:val="16"/>
          <w:szCs w:val="16"/>
          <w:u w:val="single" w:color="auto"/>
          <w:color w:val="0000EE"/>
        </w:rPr>
      </w:pPr>
    </w:p>
    <w:p>
      <w:pPr>
        <w:ind w:left="1020" w:right="179" w:hanging="742"/>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4.5*</w:t>
      </w:r>
      <w:r>
        <w:rPr>
          <w:sz w:val="20"/>
          <w:szCs w:val="20"/>
          <w:color w:val="auto"/>
        </w:rPr>
        <w:tab/>
      </w:r>
      <w:hyperlink r:id="rId134">
        <w:r>
          <w:rPr>
            <w:rFonts w:ascii="Arial" w:cs="Arial" w:eastAsia="Arial" w:hAnsi="Arial"/>
            <w:sz w:val="16"/>
            <w:szCs w:val="16"/>
            <w:u w:val="single" w:color="auto"/>
            <w:color w:val="0000EE"/>
          </w:rPr>
          <w:t>Indenture, relating to the 6.625% Senior Unsecured Notes, dated as of July 27, 2016, among Hughes Satellite</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Systems Corporation, the guarantors party thereto and U.S. Bank National Association, as trustee</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(incorporated by reference to Exhibit 4.2 to EchoStar Corporation’s Current Report on Form 8-K filed on July</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27, 2016, Commission File No. 001-33807).</w:t>
        </w:r>
      </w:hyperlink>
    </w:p>
    <w:p>
      <w:pPr>
        <w:spacing w:after="0" w:line="167" w:lineRule="exact"/>
        <w:rPr>
          <w:rFonts w:ascii="Arial" w:cs="Arial" w:eastAsia="Arial" w:hAnsi="Arial"/>
          <w:sz w:val="16"/>
          <w:szCs w:val="16"/>
          <w:u w:val="single" w:color="auto"/>
          <w:color w:val="0000EE"/>
        </w:rPr>
      </w:pPr>
    </w:p>
    <w:p>
      <w:pPr>
        <w:ind w:left="1020" w:right="119" w:hanging="742"/>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4.6*</w:t>
      </w:r>
      <w:r>
        <w:rPr>
          <w:sz w:val="20"/>
          <w:szCs w:val="20"/>
          <w:color w:val="auto"/>
        </w:rPr>
        <w:tab/>
      </w:r>
      <w:hyperlink r:id="rId135">
        <w:r>
          <w:rPr>
            <w:rFonts w:ascii="Arial" w:cs="Arial" w:eastAsia="Arial" w:hAnsi="Arial"/>
            <w:sz w:val="16"/>
            <w:szCs w:val="16"/>
            <w:u w:val="single" w:color="auto"/>
            <w:color w:val="0000EE"/>
          </w:rPr>
          <w:t>Additional Secured Party Joinder, dated as of July 27, 2016, among U.S. Bank National Association, as trustee</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and successor collateral agent, and Hughes Satellite Systems Corporation (incorporated by reference to</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Exhibit 4.4 to EchoStar Corporation’s Current Report on Form 8-K filed on July 27, 2016, Commission File No.</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001-33807).</w:t>
        </w:r>
      </w:hyperlink>
    </w:p>
    <w:p>
      <w:pPr>
        <w:spacing w:after="0" w:line="167" w:lineRule="exact"/>
        <w:rPr>
          <w:rFonts w:ascii="Arial" w:cs="Arial" w:eastAsia="Arial" w:hAnsi="Arial"/>
          <w:sz w:val="16"/>
          <w:szCs w:val="16"/>
          <w:u w:val="single" w:color="auto"/>
          <w:color w:val="0000EE"/>
        </w:rPr>
      </w:pPr>
    </w:p>
    <w:p>
      <w:pPr>
        <w:jc w:val="both"/>
        <w:ind w:left="1020" w:right="359" w:hanging="742"/>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4.7*</w:t>
      </w:r>
      <w:r>
        <w:rPr>
          <w:sz w:val="20"/>
          <w:szCs w:val="20"/>
          <w:color w:val="auto"/>
        </w:rPr>
        <w:tab/>
      </w:r>
      <w:hyperlink r:id="rId136">
        <w:r>
          <w:rPr>
            <w:rFonts w:ascii="Arial" w:cs="Arial" w:eastAsia="Arial" w:hAnsi="Arial"/>
            <w:sz w:val="16"/>
            <w:szCs w:val="16"/>
            <w:u w:val="single" w:color="auto"/>
            <w:color w:val="0000EE"/>
          </w:rPr>
          <w:t>Indenture, relating to the 3 3/8% Convertible Notes due 2026, dated as of August 8, 2016, by and between</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DISH Network Corporation and U.S. Bank National Association, as Trustee (incorporated by reference from</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Exhibit 4.1 to the Current Report on Form 8-K of DISH Network Corporation filed August 8, 2016).</w:t>
        </w:r>
      </w:hyperlink>
    </w:p>
    <w:p>
      <w:pPr>
        <w:spacing w:after="0" w:line="163" w:lineRule="exact"/>
        <w:rPr>
          <w:rFonts w:ascii="Arial" w:cs="Arial" w:eastAsia="Arial" w:hAnsi="Arial"/>
          <w:sz w:val="16"/>
          <w:szCs w:val="16"/>
          <w:u w:val="single" w:color="auto"/>
          <w:color w:val="0000EE"/>
        </w:rPr>
      </w:pPr>
    </w:p>
    <w:p>
      <w:pPr>
        <w:ind w:left="1020" w:right="79" w:hanging="742"/>
        <w:spacing w:after="0" w:line="278"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4.8*</w:t>
      </w:r>
      <w:r>
        <w:rPr>
          <w:sz w:val="20"/>
          <w:szCs w:val="20"/>
          <w:color w:val="auto"/>
        </w:rPr>
        <w:tab/>
      </w:r>
      <w:hyperlink r:id="rId137">
        <w:r>
          <w:rPr>
            <w:rFonts w:ascii="Arial" w:cs="Arial" w:eastAsia="Arial" w:hAnsi="Arial"/>
            <w:sz w:val="16"/>
            <w:szCs w:val="16"/>
            <w:u w:val="single" w:color="auto"/>
            <w:color w:val="0000EE"/>
          </w:rPr>
          <w:t>Supplemental Indenture relating to Hughes Satellite Systems Corporation’s 5.250% Senior Secured Notes due</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2026, dated March 23, 2017, by and among Hughes Satellite Systems Corporation, the guarantors and the</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supplemental guarantor listed on the signature pages thereto, U.S. Bank National Association, as trustee and</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successor collateral agent (incorporated by reference to Exhibit 4.19 to Hughes Satellite Systems Corporation’s</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Registration Statement on Form S-4, filed April 6, 2017, Commission File No. 333-179121).</w:t>
        </w:r>
      </w:hyperlink>
    </w:p>
    <w:p>
      <w:pPr>
        <w:spacing w:after="0" w:line="169"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right="79" w:hanging="742"/>
        <w:spacing w:after="0" w:line="278"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4.9*</w:t>
      </w:r>
      <w:r>
        <w:rPr>
          <w:sz w:val="20"/>
          <w:szCs w:val="20"/>
          <w:color w:val="auto"/>
        </w:rPr>
        <w:tab/>
      </w:r>
      <w:hyperlink r:id="rId139">
        <w:r>
          <w:rPr>
            <w:rFonts w:ascii="Arial" w:cs="Arial" w:eastAsia="Arial" w:hAnsi="Arial"/>
            <w:sz w:val="16"/>
            <w:szCs w:val="16"/>
            <w:u w:val="single" w:color="auto"/>
            <w:color w:val="0000EE"/>
          </w:rPr>
          <w:t>Supplemental Indenture relating to Hughes Satellite Systems Corporation’s 6.625% Senior Notes due 2026,</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dated as of March 23, 2017, by and among Hughes Satellite Systems Corporation, the guarantors and the</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supplemental guarantor listed on the signature pages thereto and U.S. Bank National Association, as trustee</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(incorporated by reference to Exhibit 4.20 to Hughes Satellite Systems Corporation’s Registration Statement on</w:t>
        </w:r>
      </w:hyperlink>
      <w:r>
        <w:rPr>
          <w:rFonts w:ascii="Arial" w:cs="Arial" w:eastAsia="Arial" w:hAnsi="Arial"/>
          <w:sz w:val="16"/>
          <w:szCs w:val="16"/>
          <w:u w:val="single" w:color="auto"/>
          <w:color w:val="0000EE"/>
        </w:rPr>
        <w:t xml:space="preserve"> </w:t>
      </w:r>
      <w:hyperlink r:id="rId139">
        <w:r>
          <w:rPr>
            <w:rFonts w:ascii="Arial" w:cs="Arial" w:eastAsia="Arial" w:hAnsi="Arial"/>
            <w:sz w:val="16"/>
            <w:szCs w:val="16"/>
            <w:u w:val="single" w:color="auto"/>
            <w:color w:val="0000EE"/>
          </w:rPr>
          <w:t>Form S-4, filed April 6, 2017, Commission File No. 333- 179121).</w:t>
        </w:r>
      </w:hyperlink>
    </w:p>
    <w:p>
      <w:pPr>
        <w:spacing w:after="0" w:line="169" w:lineRule="exact"/>
        <w:rPr>
          <w:rFonts w:ascii="Arial" w:cs="Arial" w:eastAsia="Arial" w:hAnsi="Arial"/>
          <w:sz w:val="16"/>
          <w:szCs w:val="16"/>
          <w:u w:val="single" w:color="auto"/>
          <w:color w:val="0000EE"/>
        </w:rPr>
      </w:pPr>
    </w:p>
    <w:p>
      <w:pPr>
        <w:ind w:left="1020" w:right="19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4.10*</w:t>
      </w:r>
      <w:r>
        <w:rPr>
          <w:sz w:val="20"/>
          <w:szCs w:val="20"/>
          <w:color w:val="auto"/>
        </w:rPr>
        <w:tab/>
      </w:r>
      <w:hyperlink r:id="rId140">
        <w:r>
          <w:rPr>
            <w:rFonts w:ascii="Arial" w:cs="Arial" w:eastAsia="Arial" w:hAnsi="Arial"/>
            <w:sz w:val="16"/>
            <w:szCs w:val="16"/>
            <w:u w:val="single" w:color="auto"/>
            <w:color w:val="0000EE"/>
          </w:rPr>
          <w:t>Joinder Agreement, dated as of August 10, 2017, to the Security Agreement dated as of June 8, 2011, by and</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between HNS Americas, L.L.C., HNS Americas II, L.L.C. and U.S. Bank National Association, as successor</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collateral agent (incorporated by reference to Exhibit 4.24 to EchoStar Corporation’s Annual Report on Form</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10-K for the year ended December 31, 2017, filed February 22, 2018, Commission File No. 001-33807).</w:t>
        </w:r>
      </w:hyperlink>
    </w:p>
    <w:p>
      <w:pPr>
        <w:spacing w:after="0" w:line="167" w:lineRule="exact"/>
        <w:rPr>
          <w:rFonts w:ascii="Arial" w:cs="Arial" w:eastAsia="Arial" w:hAnsi="Arial"/>
          <w:sz w:val="16"/>
          <w:szCs w:val="16"/>
          <w:u w:val="single" w:color="auto"/>
          <w:color w:val="0000EE"/>
        </w:rPr>
      </w:pPr>
    </w:p>
    <w:p>
      <w:pPr>
        <w:ind w:left="1020" w:right="99" w:hanging="780"/>
        <w:spacing w:after="0" w:line="276"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4.11*</w:t>
      </w:r>
      <w:r>
        <w:rPr>
          <w:sz w:val="20"/>
          <w:szCs w:val="20"/>
          <w:color w:val="auto"/>
        </w:rPr>
        <w:tab/>
      </w:r>
      <w:hyperlink r:id="rId141">
        <w:r>
          <w:rPr>
            <w:rFonts w:ascii="Arial" w:cs="Arial" w:eastAsia="Arial" w:hAnsi="Arial"/>
            <w:sz w:val="16"/>
            <w:szCs w:val="16"/>
            <w:u w:val="single" w:color="auto"/>
            <w:color w:val="0000EE"/>
          </w:rPr>
          <w:t>Second Supplemental Indenture relating to Hughes Satellite Systems Corporation’s 5.250% Senior Secured</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Notes due 2026, dated August 10, 2017, by and among Hughes Satellite Systems Corporation, the guarantors</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and the supplemental guarantor listed on the signature pages thereto, U.S. Bank National Association, as</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trustee and successor collateral agent (incorporated by reference to Exhibit 4.25 to EchoStar Corporation’s</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Annual Report on Form 10-K for the year ended December 31, 2017, filed February 22, 2018, Commission File</w:t>
        </w:r>
      </w:hyperlink>
      <w:r>
        <w:rPr>
          <w:rFonts w:ascii="Arial" w:cs="Arial" w:eastAsia="Arial" w:hAnsi="Arial"/>
          <w:sz w:val="16"/>
          <w:szCs w:val="16"/>
          <w:u w:val="single" w:color="auto"/>
          <w:color w:val="0000EE"/>
        </w:rPr>
        <w:t xml:space="preserve"> </w:t>
      </w:r>
      <w:hyperlink r:id="rId141">
        <w:r>
          <w:rPr>
            <w:rFonts w:ascii="Arial" w:cs="Arial" w:eastAsia="Arial" w:hAnsi="Arial"/>
            <w:sz w:val="16"/>
            <w:szCs w:val="16"/>
            <w:u w:val="single" w:color="auto"/>
            <w:color w:val="0000EE"/>
          </w:rPr>
          <w:t>No. 001-33807).</w:t>
        </w:r>
      </w:hyperlink>
    </w:p>
    <w:p>
      <w:pPr>
        <w:spacing w:after="0" w:line="171" w:lineRule="exact"/>
        <w:rPr>
          <w:rFonts w:ascii="Arial" w:cs="Arial" w:eastAsia="Arial" w:hAnsi="Arial"/>
          <w:sz w:val="16"/>
          <w:szCs w:val="16"/>
          <w:u w:val="single" w:color="auto"/>
          <w:color w:val="0000EE"/>
        </w:rPr>
      </w:pPr>
    </w:p>
    <w:p>
      <w:pPr>
        <w:ind w:left="1020" w:right="179" w:hanging="786"/>
        <w:spacing w:after="0" w:line="278"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4.12*</w:t>
      </w:r>
      <w:r>
        <w:rPr>
          <w:sz w:val="20"/>
          <w:szCs w:val="20"/>
          <w:color w:val="auto"/>
        </w:rPr>
        <w:tab/>
      </w:r>
      <w:hyperlink r:id="rId142">
        <w:r>
          <w:rPr>
            <w:rFonts w:ascii="Arial" w:cs="Arial" w:eastAsia="Arial" w:hAnsi="Arial"/>
            <w:sz w:val="16"/>
            <w:szCs w:val="16"/>
            <w:u w:val="single" w:color="auto"/>
            <w:color w:val="0000EE"/>
          </w:rPr>
          <w:t>Second Supplemental Indenture relating to Hughes Satellite Systems Corporation’s 6.625% Senior Notes due</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2026, dated as of August 10, 2017, by and among Hughes Satellite Systems Corporation, the guarantors and</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the supplemental guarantor listed on the signature pages thereto and U.S. Bank National Association, as</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trustee (incorporated by reference to Exhibit 4.26 to EchoStar Corporation’s Annual Report on Form 10-K for</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the year ended December 31, 2017, filed February 22, 2018, Commission File No. 001-33807).</w:t>
        </w:r>
      </w:hyperlink>
    </w:p>
    <w:p>
      <w:pPr>
        <w:spacing w:after="0" w:line="169" w:lineRule="exact"/>
        <w:rPr>
          <w:rFonts w:ascii="Arial" w:cs="Arial" w:eastAsia="Arial" w:hAnsi="Arial"/>
          <w:sz w:val="16"/>
          <w:szCs w:val="16"/>
          <w:u w:val="single" w:color="auto"/>
          <w:color w:val="0000EE"/>
        </w:rPr>
      </w:pPr>
    </w:p>
    <w:p>
      <w:pPr>
        <w:ind w:left="1020" w:right="719" w:hanging="786"/>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4.13*</w:t>
      </w:r>
      <w:r>
        <w:rPr>
          <w:sz w:val="20"/>
          <w:szCs w:val="20"/>
          <w:color w:val="auto"/>
        </w:rPr>
        <w:tab/>
      </w:r>
      <w:hyperlink r:id="rId143">
        <w:r>
          <w:rPr>
            <w:rFonts w:ascii="Arial" w:cs="Arial" w:eastAsia="Arial" w:hAnsi="Arial"/>
            <w:sz w:val="16"/>
            <w:szCs w:val="16"/>
            <w:u w:val="single" w:color="auto"/>
            <w:color w:val="0000EE"/>
          </w:rPr>
          <w:t>Supplemental Indenture relating to the 7 3/4% Senior Notes due 2026 (incorporated by reference from</w:t>
        </w:r>
      </w:hyperlink>
      <w:r>
        <w:rPr>
          <w:rFonts w:ascii="Arial" w:cs="Arial" w:eastAsia="Arial" w:hAnsi="Arial"/>
          <w:sz w:val="16"/>
          <w:szCs w:val="16"/>
          <w:u w:val="single" w:color="auto"/>
          <w:color w:val="0000EE"/>
        </w:rPr>
        <w:t xml:space="preserve"> </w:t>
      </w:r>
      <w:hyperlink r:id="rId143">
        <w:r>
          <w:rPr>
            <w:rFonts w:ascii="Arial" w:cs="Arial" w:eastAsia="Arial" w:hAnsi="Arial"/>
            <w:sz w:val="16"/>
            <w:szCs w:val="16"/>
            <w:u w:val="single" w:color="auto"/>
            <w:color w:val="0000EE"/>
          </w:rPr>
          <w:t>Exhibit 4.16 to the Annual Report on Form 10-K of DISH DBS Corporation filed March 29, 2018).</w:t>
        </w:r>
      </w:hyperlink>
    </w:p>
    <w:p>
      <w:pPr>
        <w:spacing w:after="0" w:line="146" w:lineRule="exact"/>
        <w:rPr>
          <w:sz w:val="20"/>
          <w:szCs w:val="20"/>
          <w:color w:val="auto"/>
        </w:rPr>
      </w:pPr>
    </w:p>
    <w:p>
      <w:pPr>
        <w:ind w:left="1020" w:right="21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4.14*</w:t>
      </w:r>
      <w:r>
        <w:rPr>
          <w:sz w:val="20"/>
          <w:szCs w:val="20"/>
          <w:color w:val="auto"/>
        </w:rPr>
        <w:tab/>
      </w:r>
      <w:hyperlink r:id="rId144">
        <w:r>
          <w:rPr>
            <w:rFonts w:ascii="Arial" w:cs="Arial" w:eastAsia="Arial" w:hAnsi="Arial"/>
            <w:sz w:val="16"/>
            <w:szCs w:val="16"/>
            <w:u w:val="single" w:color="auto"/>
            <w:color w:val="0000EE"/>
          </w:rPr>
          <w:t>Joinder Agreement, dated as of June 12, 2019, to the Security Agreement dated as of June 8, 2011, by and</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between EchoStar BSS Corporation, EchoStar FSS L.L.C. and U.S. Bank National Association, as successor</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collateral agent (incorporated by reference to Exhibit 4.1 to EchoStar Corporation’s Quarterly Report on Form</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10-Q for the quarter ended June 30, 2019, filed August 8, 2019, Commission File No. 001-33807).</w:t>
        </w:r>
      </w:hyperlink>
    </w:p>
    <w:p>
      <w:pPr>
        <w:spacing w:after="0" w:line="167" w:lineRule="exact"/>
        <w:rPr>
          <w:rFonts w:ascii="Arial" w:cs="Arial" w:eastAsia="Arial" w:hAnsi="Arial"/>
          <w:sz w:val="16"/>
          <w:szCs w:val="16"/>
          <w:u w:val="single" w:color="auto"/>
          <w:color w:val="0000EE"/>
        </w:rPr>
      </w:pPr>
    </w:p>
    <w:p>
      <w:pPr>
        <w:ind w:left="1020" w:right="299" w:hanging="786"/>
        <w:spacing w:after="0" w:line="276"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4.15*</w:t>
      </w:r>
      <w:r>
        <w:rPr>
          <w:sz w:val="20"/>
          <w:szCs w:val="20"/>
          <w:color w:val="auto"/>
        </w:rPr>
        <w:tab/>
      </w:r>
      <w:hyperlink r:id="rId145">
        <w:r>
          <w:rPr>
            <w:rFonts w:ascii="Arial" w:cs="Arial" w:eastAsia="Arial" w:hAnsi="Arial"/>
            <w:sz w:val="16"/>
            <w:szCs w:val="16"/>
            <w:u w:val="single" w:color="auto"/>
            <w:color w:val="0000EE"/>
          </w:rPr>
          <w:t>Third Supplemental Indenture relating to Hughes Satellite Systems Corporation’s 5.250% Senior Secured</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Notes due 2026, dated June 12, 2019, by and among Hughes Satellite Systems Corporation, the guarantors</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and the supplemental guarantors listed on the signature pages thereto, U.S. Bank National Association, as</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trustee and successor collateral agent (incorporated by reference to Exhibit 4.2 to EchoStar Corporation’s</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Quarterly Report on Form 10-Q for the quarter ended June 30, 2019, filed August 8, 2019, Commission File</w:t>
        </w:r>
      </w:hyperlink>
      <w:r>
        <w:rPr>
          <w:rFonts w:ascii="Arial" w:cs="Arial" w:eastAsia="Arial" w:hAnsi="Arial"/>
          <w:sz w:val="16"/>
          <w:szCs w:val="16"/>
          <w:u w:val="single" w:color="auto"/>
          <w:color w:val="0000EE"/>
        </w:rPr>
        <w:t xml:space="preserve"> </w:t>
      </w:r>
      <w:hyperlink r:id="rId145">
        <w:r>
          <w:rPr>
            <w:rFonts w:ascii="Arial" w:cs="Arial" w:eastAsia="Arial" w:hAnsi="Arial"/>
            <w:sz w:val="16"/>
            <w:szCs w:val="16"/>
            <w:u w:val="single" w:color="auto"/>
            <w:color w:val="0000EE"/>
          </w:rPr>
          <w:t>No. 001-33807).</w:t>
        </w:r>
      </w:hyperlink>
    </w:p>
    <w:p>
      <w:pPr>
        <w:spacing w:after="0" w:line="171" w:lineRule="exact"/>
        <w:rPr>
          <w:rFonts w:ascii="Arial" w:cs="Arial" w:eastAsia="Arial" w:hAnsi="Arial"/>
          <w:sz w:val="16"/>
          <w:szCs w:val="16"/>
          <w:u w:val="single" w:color="auto"/>
          <w:color w:val="0000EE"/>
        </w:rPr>
      </w:pPr>
    </w:p>
    <w:p>
      <w:pPr>
        <w:ind w:left="1020" w:right="99" w:hanging="786"/>
        <w:spacing w:after="0" w:line="278"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4.16*</w:t>
      </w:r>
      <w:r>
        <w:rPr>
          <w:sz w:val="20"/>
          <w:szCs w:val="20"/>
          <w:color w:val="auto"/>
        </w:rPr>
        <w:tab/>
      </w:r>
      <w:hyperlink r:id="rId146">
        <w:r>
          <w:rPr>
            <w:rFonts w:ascii="Arial" w:cs="Arial" w:eastAsia="Arial" w:hAnsi="Arial"/>
            <w:sz w:val="16"/>
            <w:szCs w:val="16"/>
            <w:u w:val="single" w:color="auto"/>
            <w:color w:val="0000EE"/>
          </w:rPr>
          <w:t>Third Supplemental Indenture relating to Hughes Satellite Systems Corporation’s 6.625% Senior Notes due</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2026, dated as of June 12, 2019, by and among Hughes Satellite Systems Corporation, the guarantors and the</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supplemental guarantors listed on the signature pages thereto and U.S. Bank National Association, as trustee</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(incorporated by reference to Exhibit 4.3 to EchoStar Corporation’s Quarterly Report on Form 10-Q for the</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quarter ended June 30, 2019, filed August 8, 2019, Commission File No. 001-33807).</w:t>
        </w:r>
      </w:hyperlink>
    </w:p>
    <w:p>
      <w:pPr>
        <w:spacing w:after="0" w:line="169"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right="41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4.17*</w:t>
      </w:r>
      <w:r>
        <w:rPr>
          <w:sz w:val="20"/>
          <w:szCs w:val="20"/>
          <w:color w:val="auto"/>
        </w:rPr>
        <w:tab/>
      </w:r>
      <w:hyperlink r:id="rId148">
        <w:r>
          <w:rPr>
            <w:rFonts w:ascii="Arial" w:cs="Arial" w:eastAsia="Arial" w:hAnsi="Arial"/>
            <w:sz w:val="16"/>
            <w:szCs w:val="16"/>
            <w:u w:val="single" w:color="auto"/>
            <w:color w:val="0000EE"/>
          </w:rPr>
          <w:t>Indenture, relating to the 7 3/8% Senior Notes due 2028, dated as of July 1, 2020, among DISH DBS</w:t>
        </w:r>
      </w:hyperlink>
      <w:r>
        <w:rPr>
          <w:rFonts w:ascii="Arial" w:cs="Arial" w:eastAsia="Arial" w:hAnsi="Arial"/>
          <w:sz w:val="16"/>
          <w:szCs w:val="16"/>
          <w:u w:val="single" w:color="auto"/>
          <w:color w:val="0000EE"/>
        </w:rPr>
        <w:t xml:space="preserve"> </w:t>
      </w:r>
      <w:hyperlink r:id="rId148">
        <w:r>
          <w:rPr>
            <w:rFonts w:ascii="Arial" w:cs="Arial" w:eastAsia="Arial" w:hAnsi="Arial"/>
            <w:sz w:val="16"/>
            <w:szCs w:val="16"/>
            <w:u w:val="single" w:color="auto"/>
            <w:color w:val="0000EE"/>
          </w:rPr>
          <w:t>Corporation, the guarantors named on the signature pages thereto and U.S. Bank National Association, as</w:t>
        </w:r>
      </w:hyperlink>
      <w:r>
        <w:rPr>
          <w:rFonts w:ascii="Arial" w:cs="Arial" w:eastAsia="Arial" w:hAnsi="Arial"/>
          <w:sz w:val="16"/>
          <w:szCs w:val="16"/>
          <w:u w:val="single" w:color="auto"/>
          <w:color w:val="0000EE"/>
        </w:rPr>
        <w:t xml:space="preserve"> </w:t>
      </w:r>
      <w:hyperlink r:id="rId148">
        <w:r>
          <w:rPr>
            <w:rFonts w:ascii="Arial" w:cs="Arial" w:eastAsia="Arial" w:hAnsi="Arial"/>
            <w:sz w:val="16"/>
            <w:szCs w:val="16"/>
            <w:u w:val="single" w:color="auto"/>
            <w:color w:val="0000EE"/>
          </w:rPr>
          <w:t>Trustee (incorporated by reference from Exhibit 4.1 to the Current Report on Form 8-K of DISH Network</w:t>
        </w:r>
      </w:hyperlink>
      <w:r>
        <w:rPr>
          <w:rFonts w:ascii="Arial" w:cs="Arial" w:eastAsia="Arial" w:hAnsi="Arial"/>
          <w:sz w:val="16"/>
          <w:szCs w:val="16"/>
          <w:u w:val="single" w:color="auto"/>
          <w:color w:val="0000EE"/>
        </w:rPr>
        <w:t xml:space="preserve"> </w:t>
      </w:r>
      <w:hyperlink r:id="rId148">
        <w:r>
          <w:rPr>
            <w:rFonts w:ascii="Arial" w:cs="Arial" w:eastAsia="Arial" w:hAnsi="Arial"/>
            <w:sz w:val="16"/>
            <w:szCs w:val="16"/>
            <w:u w:val="single" w:color="auto"/>
            <w:color w:val="0000EE"/>
          </w:rPr>
          <w:t>Corporation filed July 1, 2020).</w:t>
        </w:r>
      </w:hyperlink>
    </w:p>
    <w:p>
      <w:pPr>
        <w:spacing w:after="0" w:line="167" w:lineRule="exact"/>
        <w:rPr>
          <w:rFonts w:ascii="Arial" w:cs="Arial" w:eastAsia="Arial" w:hAnsi="Arial"/>
          <w:sz w:val="16"/>
          <w:szCs w:val="16"/>
          <w:u w:val="single" w:color="auto"/>
          <w:color w:val="0000EE"/>
        </w:rPr>
      </w:pPr>
    </w:p>
    <w:p>
      <w:pPr>
        <w:jc w:val="both"/>
        <w:ind w:left="1020" w:right="359" w:hanging="786"/>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4.18*</w:t>
      </w:r>
      <w:r>
        <w:rPr>
          <w:sz w:val="20"/>
          <w:szCs w:val="20"/>
          <w:color w:val="auto"/>
        </w:rPr>
        <w:tab/>
      </w:r>
      <w:hyperlink r:id="rId149">
        <w:r>
          <w:rPr>
            <w:rFonts w:ascii="Arial" w:cs="Arial" w:eastAsia="Arial" w:hAnsi="Arial"/>
            <w:sz w:val="16"/>
            <w:szCs w:val="16"/>
            <w:u w:val="single" w:color="auto"/>
            <w:color w:val="0000EE"/>
          </w:rPr>
          <w:t>Indenture, relating to the 0% Convertible Notes due 2025, dated as of December 21, 2020, by and between</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DISH Network Corporation and U.S. Bank National Association, as Trustee (incorporated by reference from</w:t>
        </w:r>
      </w:hyperlink>
      <w:r>
        <w:rPr>
          <w:rFonts w:ascii="Arial" w:cs="Arial" w:eastAsia="Arial" w:hAnsi="Arial"/>
          <w:sz w:val="16"/>
          <w:szCs w:val="16"/>
          <w:u w:val="single" w:color="auto"/>
          <w:color w:val="0000EE"/>
        </w:rPr>
        <w:t xml:space="preserve"> </w:t>
      </w:r>
      <w:hyperlink r:id="rId149">
        <w:r>
          <w:rPr>
            <w:rFonts w:ascii="Arial" w:cs="Arial" w:eastAsia="Arial" w:hAnsi="Arial"/>
            <w:sz w:val="16"/>
            <w:szCs w:val="16"/>
            <w:u w:val="single" w:color="auto"/>
            <w:color w:val="0000EE"/>
          </w:rPr>
          <w:t>Exhibit 4.1 to the Current Report on Form 8-K of DISH Network Corporation filed December 22, 2020).</w:t>
        </w:r>
      </w:hyperlink>
    </w:p>
    <w:p>
      <w:pPr>
        <w:spacing w:after="0" w:line="163" w:lineRule="exact"/>
        <w:rPr>
          <w:rFonts w:ascii="Arial" w:cs="Arial" w:eastAsia="Arial" w:hAnsi="Arial"/>
          <w:sz w:val="16"/>
          <w:szCs w:val="16"/>
          <w:u w:val="single" w:color="auto"/>
          <w:color w:val="0000EE"/>
        </w:rPr>
      </w:pPr>
    </w:p>
    <w:p>
      <w:pPr>
        <w:ind w:left="1020" w:right="15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4.19*</w:t>
      </w:r>
      <w:r>
        <w:rPr>
          <w:sz w:val="20"/>
          <w:szCs w:val="20"/>
          <w:color w:val="auto"/>
        </w:rPr>
        <w:tab/>
      </w:r>
      <w:hyperlink r:id="rId150">
        <w:r>
          <w:rPr>
            <w:rFonts w:ascii="Arial" w:cs="Arial" w:eastAsia="Arial" w:hAnsi="Arial"/>
            <w:sz w:val="16"/>
            <w:szCs w:val="16"/>
            <w:u w:val="single" w:color="auto"/>
            <w:color w:val="0000EE"/>
          </w:rPr>
          <w:t>First Supplemental Indenture, relating to the DISH 3.375% Convertible Notes due 2026, dated as of</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December 29, 2023, among DISH Network Corporation, EchoStar Corporation and U.S. Bank Trust Company,</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National Association (as successor to U.S. Bank National Association), as Trustee (incorporated by reference</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from Exhibit 4.2 to the Current Report on Form 8-K of EchoStar Corporation filed January 2, 2024).</w:t>
        </w:r>
      </w:hyperlink>
    </w:p>
    <w:p>
      <w:pPr>
        <w:spacing w:after="0" w:line="167" w:lineRule="exact"/>
        <w:rPr>
          <w:rFonts w:ascii="Arial" w:cs="Arial" w:eastAsia="Arial" w:hAnsi="Arial"/>
          <w:sz w:val="16"/>
          <w:szCs w:val="16"/>
          <w:u w:val="single" w:color="auto"/>
          <w:color w:val="0000EE"/>
        </w:rPr>
      </w:pPr>
    </w:p>
    <w:p>
      <w:pPr>
        <w:ind w:left="1020" w:right="15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4.20*</w:t>
      </w:r>
      <w:r>
        <w:rPr>
          <w:sz w:val="20"/>
          <w:szCs w:val="20"/>
          <w:color w:val="auto"/>
        </w:rPr>
        <w:tab/>
      </w:r>
      <w:hyperlink r:id="rId151">
        <w:r>
          <w:rPr>
            <w:rFonts w:ascii="Arial" w:cs="Arial" w:eastAsia="Arial" w:hAnsi="Arial"/>
            <w:sz w:val="16"/>
            <w:szCs w:val="16"/>
            <w:u w:val="single" w:color="auto"/>
            <w:color w:val="0000EE"/>
          </w:rPr>
          <w:t>First Supplemental Indenture, relating to the DISH 2.375% Convertible Notes due 2024, dated as of</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December 29, 2023, among DISH Network Corporation, EchoStar Corporation and U.S. Bank Trust Company,</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National Association (as successor to U.S. Bank National Association), as Trustee (incorporated by reference</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from Exhibit 4.4 to the Current Report on Form 8-K of EchoStar Corporation filed January 2, 2024).</w:t>
        </w:r>
      </w:hyperlink>
    </w:p>
    <w:p>
      <w:pPr>
        <w:spacing w:after="0" w:line="167" w:lineRule="exact"/>
        <w:rPr>
          <w:rFonts w:ascii="Arial" w:cs="Arial" w:eastAsia="Arial" w:hAnsi="Arial"/>
          <w:sz w:val="16"/>
          <w:szCs w:val="16"/>
          <w:u w:val="single" w:color="auto"/>
          <w:color w:val="0000EE"/>
        </w:rPr>
      </w:pPr>
    </w:p>
    <w:p>
      <w:pPr>
        <w:ind w:left="1020" w:right="17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4.21*</w:t>
      </w:r>
      <w:r>
        <w:rPr>
          <w:sz w:val="20"/>
          <w:szCs w:val="20"/>
          <w:color w:val="auto"/>
        </w:rPr>
        <w:tab/>
      </w:r>
      <w:hyperlink r:id="rId152">
        <w:r>
          <w:rPr>
            <w:rFonts w:ascii="Arial" w:cs="Arial" w:eastAsia="Arial" w:hAnsi="Arial"/>
            <w:sz w:val="16"/>
            <w:szCs w:val="16"/>
            <w:u w:val="single" w:color="auto"/>
            <w:color w:val="0000EE"/>
          </w:rPr>
          <w:t>First Supplemental Indenture, relating to the DISH 0% Convertible Notes due 2025, dated as of December 29,</w:t>
        </w:r>
      </w:hyperlink>
      <w:r>
        <w:rPr>
          <w:rFonts w:ascii="Arial" w:cs="Arial" w:eastAsia="Arial" w:hAnsi="Arial"/>
          <w:sz w:val="16"/>
          <w:szCs w:val="16"/>
          <w:u w:val="single" w:color="auto"/>
          <w:color w:val="0000EE"/>
        </w:rPr>
        <w:t xml:space="preserve"> </w:t>
      </w:r>
      <w:hyperlink r:id="rId152">
        <w:r>
          <w:rPr>
            <w:rFonts w:ascii="Arial" w:cs="Arial" w:eastAsia="Arial" w:hAnsi="Arial"/>
            <w:sz w:val="16"/>
            <w:szCs w:val="16"/>
            <w:u w:val="single" w:color="auto"/>
            <w:color w:val="0000EE"/>
          </w:rPr>
          <w:t>2023, among DISH Network Corporation, EchoStar Corporation and U.S. Bank Trust Company, National</w:t>
        </w:r>
      </w:hyperlink>
      <w:r>
        <w:rPr>
          <w:rFonts w:ascii="Arial" w:cs="Arial" w:eastAsia="Arial" w:hAnsi="Arial"/>
          <w:sz w:val="16"/>
          <w:szCs w:val="16"/>
          <w:u w:val="single" w:color="auto"/>
          <w:color w:val="0000EE"/>
        </w:rPr>
        <w:t xml:space="preserve"> </w:t>
      </w:r>
      <w:hyperlink r:id="rId152">
        <w:r>
          <w:rPr>
            <w:rFonts w:ascii="Arial" w:cs="Arial" w:eastAsia="Arial" w:hAnsi="Arial"/>
            <w:sz w:val="16"/>
            <w:szCs w:val="16"/>
            <w:u w:val="single" w:color="auto"/>
            <w:color w:val="0000EE"/>
          </w:rPr>
          <w:t>Association (as successor to U.S. Bank National Association), as Trustee (incorporated by reference from</w:t>
        </w:r>
      </w:hyperlink>
      <w:r>
        <w:rPr>
          <w:rFonts w:ascii="Arial" w:cs="Arial" w:eastAsia="Arial" w:hAnsi="Arial"/>
          <w:sz w:val="16"/>
          <w:szCs w:val="16"/>
          <w:u w:val="single" w:color="auto"/>
          <w:color w:val="0000EE"/>
        </w:rPr>
        <w:t xml:space="preserve"> </w:t>
      </w:r>
      <w:hyperlink r:id="rId152">
        <w:r>
          <w:rPr>
            <w:rFonts w:ascii="Arial" w:cs="Arial" w:eastAsia="Arial" w:hAnsi="Arial"/>
            <w:sz w:val="16"/>
            <w:szCs w:val="16"/>
            <w:u w:val="single" w:color="auto"/>
            <w:color w:val="0000EE"/>
          </w:rPr>
          <w:t>Exhibit 4.6 to the Current Report on Form 8-K of EchoStar Corporation filed January 2, 2024).</w:t>
        </w:r>
      </w:hyperlink>
    </w:p>
    <w:p>
      <w:pPr>
        <w:spacing w:after="0" w:line="167" w:lineRule="exact"/>
        <w:rPr>
          <w:rFonts w:ascii="Arial" w:cs="Arial" w:eastAsia="Arial" w:hAnsi="Arial"/>
          <w:sz w:val="16"/>
          <w:szCs w:val="16"/>
          <w:u w:val="single" w:color="auto"/>
          <w:color w:val="0000EE"/>
        </w:rPr>
      </w:pPr>
    </w:p>
    <w:p>
      <w:pPr>
        <w:ind w:left="1020" w:right="35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4.22*</w:t>
      </w:r>
      <w:r>
        <w:rPr>
          <w:sz w:val="20"/>
          <w:szCs w:val="20"/>
          <w:color w:val="auto"/>
        </w:rPr>
        <w:tab/>
      </w:r>
      <w:hyperlink r:id="rId153">
        <w:r>
          <w:rPr>
            <w:rFonts w:ascii="Arial" w:cs="Arial" w:eastAsia="Arial" w:hAnsi="Arial"/>
            <w:sz w:val="16"/>
            <w:szCs w:val="16"/>
            <w:u w:val="single" w:color="auto"/>
            <w:color w:val="0000EE"/>
          </w:rPr>
          <w:t>Indenture, relating to the 5 1/8% Senior Notes due 2029, dated as of May 24, 2021 among DISH DBS</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Corporation, the guarantors named on the signature pages thereto and U.S. Bank, National Association, as</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Trustee (incorporated by reference from Exhibit 4.1 to the Current Report on Form 8-K of DISH Network</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Corporation filed May 24, 2021).</w:t>
        </w:r>
      </w:hyperlink>
    </w:p>
    <w:p>
      <w:pPr>
        <w:spacing w:after="0" w:line="167" w:lineRule="exact"/>
        <w:rPr>
          <w:rFonts w:ascii="Arial" w:cs="Arial" w:eastAsia="Arial" w:hAnsi="Arial"/>
          <w:sz w:val="16"/>
          <w:szCs w:val="16"/>
          <w:u w:val="single" w:color="auto"/>
          <w:color w:val="0000EE"/>
        </w:rPr>
      </w:pPr>
    </w:p>
    <w:p>
      <w:pPr>
        <w:ind w:left="1020" w:right="139" w:hanging="786"/>
        <w:spacing w:after="0" w:line="27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4.23*</w:t>
      </w:r>
      <w:r>
        <w:rPr>
          <w:sz w:val="20"/>
          <w:szCs w:val="20"/>
          <w:color w:val="auto"/>
        </w:rPr>
        <w:tab/>
      </w:r>
      <w:hyperlink r:id="rId154">
        <w:r>
          <w:rPr>
            <w:rFonts w:ascii="Arial" w:cs="Arial" w:eastAsia="Arial" w:hAnsi="Arial"/>
            <w:sz w:val="16"/>
            <w:szCs w:val="16"/>
            <w:u w:val="single" w:color="auto"/>
            <w:color w:val="0000EE"/>
          </w:rPr>
          <w:t>Indenture, relating to the 5 1/4% Senior Secured Notes due 2026 and the 5 3/4% Senior Secured Notes due</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2028, dated as of November 26, 2021, among DISH DBS Corporation, the guarantors named on the signature</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pages thereto and U.S. Bank National Association, as Trustee and Collateral Agent (incorporated by reference</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from Exhibit 4.1 to the Current Report on Form 8-K of DISH Network Corporation filed November 26, 2021).</w:t>
        </w:r>
      </w:hyperlink>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24765</wp:posOffset>
            </wp:positionH>
            <wp:positionV relativeFrom="paragraph">
              <wp:posOffset>680085</wp:posOffset>
            </wp:positionV>
            <wp:extent cx="5671185" cy="22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2" w:name="page113"/>
    <w:bookmarkEnd w:id="11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020" w:right="59" w:hanging="786"/>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4.24*</w:t>
      </w:r>
      <w:r>
        <w:rPr>
          <w:sz w:val="20"/>
          <w:szCs w:val="20"/>
          <w:color w:val="auto"/>
        </w:rPr>
        <w:tab/>
      </w:r>
      <w:hyperlink r:id="rId156">
        <w:r>
          <w:rPr>
            <w:rFonts w:ascii="Arial" w:cs="Arial" w:eastAsia="Arial" w:hAnsi="Arial"/>
            <w:sz w:val="16"/>
            <w:szCs w:val="16"/>
            <w:u w:val="single" w:color="auto"/>
            <w:color w:val="0000EE"/>
          </w:rPr>
          <w:t>Security Agreement, dated as of November 26, 2021, among DISH DBS Corporation, the guarantors named on</w:t>
        </w:r>
      </w:hyperlink>
      <w:r>
        <w:rPr>
          <w:rFonts w:ascii="Arial" w:cs="Arial" w:eastAsia="Arial" w:hAnsi="Arial"/>
          <w:sz w:val="16"/>
          <w:szCs w:val="16"/>
          <w:u w:val="single" w:color="auto"/>
          <w:color w:val="0000EE"/>
        </w:rPr>
        <w:t xml:space="preserve"> </w:t>
      </w:r>
      <w:hyperlink r:id="rId156">
        <w:r>
          <w:rPr>
            <w:rFonts w:ascii="Arial" w:cs="Arial" w:eastAsia="Arial" w:hAnsi="Arial"/>
            <w:sz w:val="16"/>
            <w:szCs w:val="16"/>
            <w:u w:val="single" w:color="auto"/>
            <w:color w:val="0000EE"/>
          </w:rPr>
          <w:t>the signature pages thereto and U.S. Bank National Association, as Collateral Agent (incorporated by reference</w:t>
        </w:r>
      </w:hyperlink>
      <w:r>
        <w:rPr>
          <w:rFonts w:ascii="Arial" w:cs="Arial" w:eastAsia="Arial" w:hAnsi="Arial"/>
          <w:sz w:val="16"/>
          <w:szCs w:val="16"/>
          <w:u w:val="single" w:color="auto"/>
          <w:color w:val="0000EE"/>
        </w:rPr>
        <w:t xml:space="preserve"> </w:t>
      </w:r>
      <w:hyperlink r:id="rId156">
        <w:r>
          <w:rPr>
            <w:rFonts w:ascii="Arial" w:cs="Arial" w:eastAsia="Arial" w:hAnsi="Arial"/>
            <w:sz w:val="16"/>
            <w:szCs w:val="16"/>
            <w:u w:val="single" w:color="auto"/>
            <w:color w:val="0000EE"/>
          </w:rPr>
          <w:t>from Exhibit 4.2 to the Current Report on Form 8-K of DISH Network Corporation filed November 26, 2021).</w:t>
        </w:r>
      </w:hyperlink>
    </w:p>
    <w:p>
      <w:pPr>
        <w:spacing w:after="0" w:line="163" w:lineRule="exact"/>
        <w:rPr>
          <w:rFonts w:ascii="Arial" w:cs="Arial" w:eastAsia="Arial" w:hAnsi="Arial"/>
          <w:sz w:val="16"/>
          <w:szCs w:val="16"/>
          <w:u w:val="single" w:color="auto"/>
          <w:color w:val="0000EE"/>
        </w:rPr>
      </w:pPr>
    </w:p>
    <w:p>
      <w:pPr>
        <w:jc w:val="both"/>
        <w:ind w:left="1020" w:right="319" w:hanging="786"/>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4.25*</w:t>
      </w:r>
      <w:r>
        <w:rPr>
          <w:sz w:val="20"/>
          <w:szCs w:val="20"/>
          <w:color w:val="auto"/>
        </w:rPr>
        <w:tab/>
      </w:r>
      <w:hyperlink r:id="rId157">
        <w:r>
          <w:rPr>
            <w:rFonts w:ascii="Arial" w:cs="Arial" w:eastAsia="Arial" w:hAnsi="Arial"/>
            <w:sz w:val="16"/>
            <w:szCs w:val="16"/>
            <w:u w:val="single" w:color="auto"/>
            <w:color w:val="0000EE"/>
          </w:rPr>
          <w:t>Loan and Security Agreement, dated as of November 26, 2021, between DISH DBS Corporation and DISH</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Network Corporation (incorporated by reference from Exhibit 4.3 to the Current Report on Form 8-K of DISH</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Network Corporation filed November 26, 2021).</w:t>
        </w:r>
      </w:hyperlink>
    </w:p>
    <w:p>
      <w:pPr>
        <w:spacing w:after="0" w:line="163" w:lineRule="exact"/>
        <w:rPr>
          <w:rFonts w:ascii="Arial" w:cs="Arial" w:eastAsia="Arial" w:hAnsi="Arial"/>
          <w:sz w:val="16"/>
          <w:szCs w:val="16"/>
          <w:u w:val="single" w:color="auto"/>
          <w:color w:val="0000EE"/>
        </w:rPr>
      </w:pPr>
    </w:p>
    <w:p>
      <w:pPr>
        <w:ind w:left="1020" w:right="15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4.26*</w:t>
      </w:r>
      <w:r>
        <w:rPr>
          <w:sz w:val="20"/>
          <w:szCs w:val="20"/>
          <w:color w:val="auto"/>
        </w:rPr>
        <w:tab/>
      </w:r>
      <w:hyperlink r:id="rId158">
        <w:r>
          <w:rPr>
            <w:rFonts w:ascii="Arial" w:cs="Arial" w:eastAsia="Arial" w:hAnsi="Arial"/>
            <w:sz w:val="16"/>
            <w:szCs w:val="16"/>
            <w:u w:val="single" w:color="auto"/>
            <w:color w:val="0000EE"/>
          </w:rPr>
          <w:t>Secured Indenture, relating to the 11.75% Senior Secured Notes due 2027, dated as of November 15, 2022,</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among DISH Network Corporation, the guarantors named on the signature pages thereto and U.S. Bank Trust</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Company, National Association, as trustee and collateral agent (incorporated by reference from Exhibit 4.1 to</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the Current Report on Form 8-K of DISH Network Corporation filed January 26, 2023).</w:t>
        </w:r>
      </w:hyperlink>
    </w:p>
    <w:p>
      <w:pPr>
        <w:spacing w:after="0" w:line="167" w:lineRule="exact"/>
        <w:rPr>
          <w:rFonts w:ascii="Arial" w:cs="Arial" w:eastAsia="Arial" w:hAnsi="Arial"/>
          <w:sz w:val="16"/>
          <w:szCs w:val="16"/>
          <w:u w:val="single" w:color="auto"/>
          <w:color w:val="0000EE"/>
        </w:rPr>
      </w:pPr>
    </w:p>
    <w:p>
      <w:pPr>
        <w:ind w:left="1020" w:right="11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4.27*</w:t>
      </w:r>
      <w:r>
        <w:rPr>
          <w:sz w:val="20"/>
          <w:szCs w:val="20"/>
          <w:color w:val="auto"/>
        </w:rPr>
        <w:tab/>
      </w:r>
      <w:hyperlink r:id="rId159">
        <w:r>
          <w:rPr>
            <w:rFonts w:ascii="Arial" w:cs="Arial" w:eastAsia="Arial" w:hAnsi="Arial"/>
            <w:sz w:val="16"/>
            <w:szCs w:val="16"/>
            <w:u w:val="single" w:color="auto"/>
            <w:color w:val="0000EE"/>
          </w:rPr>
          <w:t>Security Agreement, dated as of November 15, 2022, among the secured guarantors named on the signature</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pages thereto and U.S. Bank Trust Company, National Association, as collateral agent (incorporated by</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reference from Exhibit 4.2 to the Current Report on Form 8-K of DISH Network Corporation filed November 15,</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2022).</w:t>
        </w:r>
      </w:hyperlink>
    </w:p>
    <w:p>
      <w:pPr>
        <w:spacing w:after="0" w:line="167" w:lineRule="exact"/>
        <w:rPr>
          <w:rFonts w:ascii="Arial" w:cs="Arial" w:eastAsia="Arial" w:hAnsi="Arial"/>
          <w:sz w:val="16"/>
          <w:szCs w:val="16"/>
          <w:u w:val="single" w:color="auto"/>
          <w:color w:val="0000EE"/>
        </w:rPr>
      </w:pPr>
    </w:p>
    <w:p>
      <w:pPr>
        <w:ind w:left="1020" w:right="259" w:hanging="786"/>
        <w:spacing w:after="0" w:line="273"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4.28*</w:t>
      </w:r>
      <w:r>
        <w:rPr>
          <w:sz w:val="20"/>
          <w:szCs w:val="20"/>
          <w:color w:val="auto"/>
        </w:rPr>
        <w:tab/>
      </w:r>
      <w:hyperlink r:id="rId160">
        <w:r>
          <w:rPr>
            <w:rFonts w:ascii="Arial" w:cs="Arial" w:eastAsia="Arial" w:hAnsi="Arial"/>
            <w:sz w:val="16"/>
            <w:szCs w:val="16"/>
            <w:u w:val="single" w:color="auto"/>
            <w:color w:val="0000EE"/>
          </w:rPr>
          <w:t>Description of our Capital Stock ((incorporated by reference to Exhibit 4.25 to EchoStar Corporations’ Annual</w:t>
        </w:r>
      </w:hyperlink>
      <w:r>
        <w:rPr>
          <w:rFonts w:ascii="Arial" w:cs="Arial" w:eastAsia="Arial" w:hAnsi="Arial"/>
          <w:sz w:val="16"/>
          <w:szCs w:val="16"/>
          <w:u w:val="single" w:color="auto"/>
          <w:color w:val="0000EE"/>
        </w:rPr>
        <w:t xml:space="preserve"> </w:t>
      </w:r>
      <w:hyperlink r:id="rId160">
        <w:r>
          <w:rPr>
            <w:rFonts w:ascii="Arial" w:cs="Arial" w:eastAsia="Arial" w:hAnsi="Arial"/>
            <w:sz w:val="16"/>
            <w:szCs w:val="16"/>
            <w:u w:val="single" w:color="auto"/>
            <w:color w:val="0000EE"/>
          </w:rPr>
          <w:t>Report on Form 10-K for the year ended December 31, 2019, filed February 20, 2020, Commission File No.</w:t>
        </w:r>
      </w:hyperlink>
    </w:p>
    <w:p>
      <w:pPr>
        <w:spacing w:after="0" w:line="1" w:lineRule="exact"/>
        <w:rPr>
          <w:sz w:val="20"/>
          <w:szCs w:val="20"/>
          <w:color w:val="auto"/>
        </w:rPr>
      </w:pPr>
    </w:p>
    <w:p>
      <w:pPr>
        <w:ind w:left="1020"/>
        <w:spacing w:after="0"/>
        <w:rPr>
          <w:rFonts w:ascii="Arial" w:cs="Arial" w:eastAsia="Arial" w:hAnsi="Arial"/>
          <w:sz w:val="16"/>
          <w:szCs w:val="16"/>
          <w:u w:val="single" w:color="auto"/>
          <w:color w:val="0000EE"/>
        </w:rPr>
      </w:pPr>
      <w:hyperlink r:id="rId160">
        <w:r>
          <w:rPr>
            <w:rFonts w:ascii="Arial" w:cs="Arial" w:eastAsia="Arial" w:hAnsi="Arial"/>
            <w:sz w:val="16"/>
            <w:szCs w:val="16"/>
            <w:u w:val="single" w:color="auto"/>
            <w:color w:val="0000EE"/>
          </w:rPr>
          <w:t>001-33807).</w:t>
        </w:r>
      </w:hyperlink>
    </w:p>
    <w:p>
      <w:pPr>
        <w:spacing w:after="0" w:line="219" w:lineRule="exact"/>
        <w:rPr>
          <w:sz w:val="20"/>
          <w:szCs w:val="20"/>
          <w:color w:val="auto"/>
        </w:rPr>
      </w:pPr>
    </w:p>
    <w:p>
      <w:pPr>
        <w:ind w:left="1020" w:right="5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4.29*</w:t>
      </w:r>
      <w:r>
        <w:rPr>
          <w:sz w:val="20"/>
          <w:szCs w:val="20"/>
          <w:color w:val="auto"/>
        </w:rPr>
        <w:tab/>
      </w:r>
      <w:hyperlink r:id="rId161">
        <w:r>
          <w:rPr>
            <w:rFonts w:ascii="Arial" w:cs="Arial" w:eastAsia="Arial" w:hAnsi="Arial"/>
            <w:sz w:val="16"/>
            <w:szCs w:val="16"/>
            <w:u w:val="single" w:color="auto"/>
            <w:color w:val="0000EE"/>
          </w:rPr>
          <w:t>Second Supplemental Indenture relating to DISH Network Corporation’s 0% Convertible Notes due 2025, dated</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as of November 12, 2024, by and among EchoStar Corporation, DISH Network Corporation and U.S. Bank</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Trust Company, National Association (incorporated by reference from Exhibit 4.1 to the Current Report on</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Form 8-K of EchoStar Corporation filed November 14, 2024).</w:t>
        </w:r>
      </w:hyperlink>
    </w:p>
    <w:p>
      <w:pPr>
        <w:spacing w:after="0" w:line="167" w:lineRule="exact"/>
        <w:rPr>
          <w:rFonts w:ascii="Arial" w:cs="Arial" w:eastAsia="Arial" w:hAnsi="Arial"/>
          <w:sz w:val="16"/>
          <w:szCs w:val="16"/>
          <w:u w:val="single" w:color="auto"/>
          <w:color w:val="0000EE"/>
        </w:rPr>
      </w:pPr>
    </w:p>
    <w:p>
      <w:pPr>
        <w:ind w:left="1020" w:right="7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4.30*</w:t>
      </w:r>
      <w:r>
        <w:rPr>
          <w:sz w:val="20"/>
          <w:szCs w:val="20"/>
          <w:color w:val="auto"/>
        </w:rPr>
        <w:tab/>
      </w:r>
      <w:hyperlink r:id="rId162">
        <w:r>
          <w:rPr>
            <w:rFonts w:ascii="Arial" w:cs="Arial" w:eastAsia="Arial" w:hAnsi="Arial"/>
            <w:sz w:val="16"/>
            <w:szCs w:val="16"/>
            <w:u w:val="single" w:color="auto"/>
            <w:color w:val="0000EE"/>
          </w:rPr>
          <w:t>Second Supplemental Indenture relating to DISH Network Corporation’s 3.375% Convertible Notes due 2026,</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dated as of November 12, 2024, by and among EchoStar Corporation, DISH Network Corporation and U.S.</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Bank Trust Company, National Association (incorporated by reference from Exhibit 4.2 to the Current Report on</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Form 8-K of EchoStar Corporation filed November 14, 2024).</w:t>
        </w:r>
      </w:hyperlink>
    </w:p>
    <w:p>
      <w:pPr>
        <w:spacing w:after="0" w:line="167" w:lineRule="exact"/>
        <w:rPr>
          <w:rFonts w:ascii="Arial" w:cs="Arial" w:eastAsia="Arial" w:hAnsi="Arial"/>
          <w:sz w:val="16"/>
          <w:szCs w:val="16"/>
          <w:u w:val="single" w:color="auto"/>
          <w:color w:val="0000EE"/>
        </w:rPr>
      </w:pPr>
    </w:p>
    <w:p>
      <w:pPr>
        <w:ind w:left="1020" w:right="159" w:hanging="786"/>
        <w:spacing w:after="0" w:line="278"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4.31*</w:t>
      </w:r>
      <w:r>
        <w:rPr>
          <w:sz w:val="20"/>
          <w:szCs w:val="20"/>
          <w:color w:val="auto"/>
        </w:rPr>
        <w:tab/>
      </w:r>
      <w:hyperlink r:id="rId163">
        <w:r>
          <w:rPr>
            <w:rFonts w:ascii="Arial" w:cs="Arial" w:eastAsia="Arial" w:hAnsi="Arial"/>
            <w:sz w:val="16"/>
            <w:szCs w:val="16"/>
            <w:u w:val="single" w:color="auto"/>
            <w:color w:val="0000EE"/>
          </w:rPr>
          <w:t>Indenture relating to EchoStar Corporation’s 6.75% Senior Spectrum Secured Exchange Notes due 2030,</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dated as of November 12, 2024, by and among EchoStar Corporation, the guarantors named therein, and The</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Bank of New York Mellon Trust Company, N.A., as trustee and notes collateral agent (incorporated by</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reference from Exhibit 4.3 to the Current Report on Form 8-K of EchoStar Corporation filed November 14,</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2024).</w:t>
        </w:r>
      </w:hyperlink>
    </w:p>
    <w:p>
      <w:pPr>
        <w:spacing w:after="0" w:line="169" w:lineRule="exact"/>
        <w:rPr>
          <w:rFonts w:ascii="Arial" w:cs="Arial" w:eastAsia="Arial" w:hAnsi="Arial"/>
          <w:sz w:val="16"/>
          <w:szCs w:val="16"/>
          <w:u w:val="single" w:color="auto"/>
          <w:color w:val="0000EE"/>
        </w:rPr>
      </w:pPr>
    </w:p>
    <w:p>
      <w:pPr>
        <w:ind w:left="1020" w:right="5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4.32*</w:t>
      </w:r>
      <w:r>
        <w:rPr>
          <w:sz w:val="20"/>
          <w:szCs w:val="20"/>
          <w:color w:val="auto"/>
        </w:rPr>
        <w:tab/>
      </w:r>
      <w:hyperlink r:id="rId164">
        <w:r>
          <w:rPr>
            <w:rFonts w:ascii="Arial" w:cs="Arial" w:eastAsia="Arial" w:hAnsi="Arial"/>
            <w:sz w:val="16"/>
            <w:szCs w:val="16"/>
            <w:u w:val="single" w:color="auto"/>
            <w:color w:val="0000EE"/>
          </w:rPr>
          <w:t>Security Agreement relating to EchoStar Corporation’s 6.75% Senior Spectrum Secured Exchange Notes due</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2030, dated as of November 12, 2024, by and among the guarantors named therein and The Bank of New York</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Mellon Trust Company, N.A., as notes collateral agent (incorporated by reference from Exhibit 4.4 to the</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Current Report on Form 8-K of EchoStar Corporation filed November 14, 2024).</w:t>
        </w:r>
      </w:hyperlink>
    </w:p>
    <w:p>
      <w:pPr>
        <w:spacing w:after="0" w:line="167" w:lineRule="exact"/>
        <w:rPr>
          <w:rFonts w:ascii="Arial" w:cs="Arial" w:eastAsia="Arial" w:hAnsi="Arial"/>
          <w:sz w:val="16"/>
          <w:szCs w:val="16"/>
          <w:u w:val="single" w:color="auto"/>
          <w:color w:val="0000EE"/>
        </w:rPr>
      </w:pPr>
    </w:p>
    <w:p>
      <w:pPr>
        <w:ind w:left="1020" w:right="59" w:hanging="786"/>
        <w:spacing w:after="0" w:line="27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4.33*</w:t>
      </w:r>
      <w:r>
        <w:rPr>
          <w:sz w:val="20"/>
          <w:szCs w:val="20"/>
          <w:color w:val="auto"/>
        </w:rPr>
        <w:tab/>
      </w:r>
      <w:hyperlink r:id="rId165">
        <w:r>
          <w:rPr>
            <w:rFonts w:ascii="Arial" w:cs="Arial" w:eastAsia="Arial" w:hAnsi="Arial"/>
            <w:sz w:val="16"/>
            <w:szCs w:val="16"/>
            <w:u w:val="single" w:color="auto"/>
            <w:color w:val="0000EE"/>
          </w:rPr>
          <w:t>Pledge Agreement relating to EchoStar Corporation’s 6.75% Senior Spectrum Secured Exchange Notes due</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2030, dated as of November 12, 2024, by and among the guarantors named therein and The Bank of New York</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Mellon Trust Company, N.A., as notes collateral agent (incorporated by reference from Exhibit 4.5 to the</w:t>
        </w:r>
      </w:hyperlink>
      <w:r>
        <w:rPr>
          <w:rFonts w:ascii="Arial" w:cs="Arial" w:eastAsia="Arial" w:hAnsi="Arial"/>
          <w:sz w:val="16"/>
          <w:szCs w:val="16"/>
          <w:u w:val="single" w:color="auto"/>
          <w:color w:val="0000EE"/>
        </w:rPr>
        <w:t xml:space="preserve"> </w:t>
      </w:r>
      <w:hyperlink r:id="rId165">
        <w:r>
          <w:rPr>
            <w:rFonts w:ascii="Arial" w:cs="Arial" w:eastAsia="Arial" w:hAnsi="Arial"/>
            <w:sz w:val="16"/>
            <w:szCs w:val="16"/>
            <w:u w:val="single" w:color="auto"/>
            <w:color w:val="0000EE"/>
          </w:rPr>
          <w:t>Current Report on Form 8-K of EchoStar Corporation filed November 14, 2024).</w:t>
        </w:r>
      </w:hyperlink>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24765</wp:posOffset>
            </wp:positionH>
            <wp:positionV relativeFrom="paragraph">
              <wp:posOffset>680085</wp:posOffset>
            </wp:positionV>
            <wp:extent cx="5671185" cy="22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right="17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4.34*</w:t>
      </w:r>
      <w:r>
        <w:rPr>
          <w:sz w:val="20"/>
          <w:szCs w:val="20"/>
          <w:color w:val="auto"/>
        </w:rPr>
        <w:tab/>
      </w:r>
      <w:hyperlink r:id="rId167">
        <w:r>
          <w:rPr>
            <w:rFonts w:ascii="Arial" w:cs="Arial" w:eastAsia="Arial" w:hAnsi="Arial"/>
            <w:sz w:val="16"/>
            <w:szCs w:val="16"/>
            <w:u w:val="single" w:color="auto"/>
            <w:color w:val="0000EE"/>
          </w:rPr>
          <w:t>Indenture relating to EchoStar Corporation’s 3.875% Convertible Senior Secured Notes due 2030, dated as of</w:t>
        </w:r>
      </w:hyperlink>
      <w:r>
        <w:rPr>
          <w:rFonts w:ascii="Arial" w:cs="Arial" w:eastAsia="Arial" w:hAnsi="Arial"/>
          <w:sz w:val="16"/>
          <w:szCs w:val="16"/>
          <w:u w:val="single" w:color="auto"/>
          <w:color w:val="0000EE"/>
        </w:rPr>
        <w:t xml:space="preserve"> </w:t>
      </w:r>
      <w:hyperlink r:id="rId167">
        <w:r>
          <w:rPr>
            <w:rFonts w:ascii="Arial" w:cs="Arial" w:eastAsia="Arial" w:hAnsi="Arial"/>
            <w:sz w:val="16"/>
            <w:szCs w:val="16"/>
            <w:u w:val="single" w:color="auto"/>
            <w:color w:val="0000EE"/>
          </w:rPr>
          <w:t>November 12, 2024, by and among EchoStar Corporation, the guarantors named therein, and The Bank of</w:t>
        </w:r>
      </w:hyperlink>
      <w:r>
        <w:rPr>
          <w:rFonts w:ascii="Arial" w:cs="Arial" w:eastAsia="Arial" w:hAnsi="Arial"/>
          <w:sz w:val="16"/>
          <w:szCs w:val="16"/>
          <w:u w:val="single" w:color="auto"/>
          <w:color w:val="0000EE"/>
        </w:rPr>
        <w:t xml:space="preserve"> </w:t>
      </w:r>
      <w:hyperlink r:id="rId167">
        <w:r>
          <w:rPr>
            <w:rFonts w:ascii="Arial" w:cs="Arial" w:eastAsia="Arial" w:hAnsi="Arial"/>
            <w:sz w:val="16"/>
            <w:szCs w:val="16"/>
            <w:u w:val="single" w:color="auto"/>
            <w:color w:val="0000EE"/>
          </w:rPr>
          <w:t>New York Mellon Trust Company, N.A., as trustee and notes collateral agent (incorporated by reference from</w:t>
        </w:r>
      </w:hyperlink>
      <w:r>
        <w:rPr>
          <w:rFonts w:ascii="Arial" w:cs="Arial" w:eastAsia="Arial" w:hAnsi="Arial"/>
          <w:sz w:val="16"/>
          <w:szCs w:val="16"/>
          <w:u w:val="single" w:color="auto"/>
          <w:color w:val="0000EE"/>
        </w:rPr>
        <w:t xml:space="preserve"> </w:t>
      </w:r>
      <w:hyperlink r:id="rId167">
        <w:r>
          <w:rPr>
            <w:rFonts w:ascii="Arial" w:cs="Arial" w:eastAsia="Arial" w:hAnsi="Arial"/>
            <w:sz w:val="16"/>
            <w:szCs w:val="16"/>
            <w:u w:val="single" w:color="auto"/>
            <w:color w:val="0000EE"/>
          </w:rPr>
          <w:t>Exhibit 4.6 to the Current Report on Form 8-K of EchoStar Corporation filed November 14, 2024).</w:t>
        </w:r>
      </w:hyperlink>
    </w:p>
    <w:p>
      <w:pPr>
        <w:spacing w:after="0" w:line="167" w:lineRule="exact"/>
        <w:rPr>
          <w:rFonts w:ascii="Arial" w:cs="Arial" w:eastAsia="Arial" w:hAnsi="Arial"/>
          <w:sz w:val="16"/>
          <w:szCs w:val="16"/>
          <w:u w:val="single" w:color="auto"/>
          <w:color w:val="0000EE"/>
        </w:rPr>
      </w:pPr>
    </w:p>
    <w:p>
      <w:pPr>
        <w:ind w:left="1020" w:right="29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4.35*</w:t>
      </w:r>
      <w:r>
        <w:rPr>
          <w:sz w:val="20"/>
          <w:szCs w:val="20"/>
          <w:color w:val="auto"/>
        </w:rPr>
        <w:tab/>
      </w:r>
      <w:hyperlink r:id="rId168">
        <w:r>
          <w:rPr>
            <w:rFonts w:ascii="Arial" w:cs="Arial" w:eastAsia="Arial" w:hAnsi="Arial"/>
            <w:sz w:val="16"/>
            <w:szCs w:val="16"/>
            <w:u w:val="single" w:color="auto"/>
            <w:color w:val="0000EE"/>
          </w:rPr>
          <w:t>Security Agreement relating to EchoStar Corporation’s 3.875% Convertible Senior Secured Notes due 2030,</w:t>
        </w:r>
      </w:hyperlink>
      <w:r>
        <w:rPr>
          <w:rFonts w:ascii="Arial" w:cs="Arial" w:eastAsia="Arial" w:hAnsi="Arial"/>
          <w:sz w:val="16"/>
          <w:szCs w:val="16"/>
          <w:u w:val="single" w:color="auto"/>
          <w:color w:val="0000EE"/>
        </w:rPr>
        <w:t xml:space="preserve"> </w:t>
      </w:r>
      <w:hyperlink r:id="rId168">
        <w:r>
          <w:rPr>
            <w:rFonts w:ascii="Arial" w:cs="Arial" w:eastAsia="Arial" w:hAnsi="Arial"/>
            <w:sz w:val="16"/>
            <w:szCs w:val="16"/>
            <w:u w:val="single" w:color="auto"/>
            <w:color w:val="0000EE"/>
          </w:rPr>
          <w:t>dated as of November 12, 2024, by and among the guarantors named therein and The Bank of New York</w:t>
        </w:r>
      </w:hyperlink>
      <w:r>
        <w:rPr>
          <w:rFonts w:ascii="Arial" w:cs="Arial" w:eastAsia="Arial" w:hAnsi="Arial"/>
          <w:sz w:val="16"/>
          <w:szCs w:val="16"/>
          <w:u w:val="single" w:color="auto"/>
          <w:color w:val="0000EE"/>
        </w:rPr>
        <w:t xml:space="preserve"> </w:t>
      </w:r>
      <w:hyperlink r:id="rId168">
        <w:r>
          <w:rPr>
            <w:rFonts w:ascii="Arial" w:cs="Arial" w:eastAsia="Arial" w:hAnsi="Arial"/>
            <w:sz w:val="16"/>
            <w:szCs w:val="16"/>
            <w:u w:val="single" w:color="auto"/>
            <w:color w:val="0000EE"/>
          </w:rPr>
          <w:t>Mellon Trust Company, N.A., as notes collateral agent (incorporated by reference from Exhibit 4.7 to the</w:t>
        </w:r>
      </w:hyperlink>
      <w:r>
        <w:rPr>
          <w:rFonts w:ascii="Arial" w:cs="Arial" w:eastAsia="Arial" w:hAnsi="Arial"/>
          <w:sz w:val="16"/>
          <w:szCs w:val="16"/>
          <w:u w:val="single" w:color="auto"/>
          <w:color w:val="0000EE"/>
        </w:rPr>
        <w:t xml:space="preserve"> </w:t>
      </w:r>
      <w:hyperlink r:id="rId168">
        <w:r>
          <w:rPr>
            <w:rFonts w:ascii="Arial" w:cs="Arial" w:eastAsia="Arial" w:hAnsi="Arial"/>
            <w:sz w:val="16"/>
            <w:szCs w:val="16"/>
            <w:u w:val="single" w:color="auto"/>
            <w:color w:val="0000EE"/>
          </w:rPr>
          <w:t>Current Report on Form 8-K of EchoStar Corporation filed November 14, 2024).</w:t>
        </w:r>
      </w:hyperlink>
    </w:p>
    <w:p>
      <w:pPr>
        <w:spacing w:after="0" w:line="167" w:lineRule="exact"/>
        <w:rPr>
          <w:rFonts w:ascii="Arial" w:cs="Arial" w:eastAsia="Arial" w:hAnsi="Arial"/>
          <w:sz w:val="16"/>
          <w:szCs w:val="16"/>
          <w:u w:val="single" w:color="auto"/>
          <w:color w:val="0000EE"/>
        </w:rPr>
      </w:pPr>
    </w:p>
    <w:p>
      <w:pPr>
        <w:ind w:left="1020" w:right="37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4.36*</w:t>
      </w:r>
      <w:r>
        <w:rPr>
          <w:sz w:val="20"/>
          <w:szCs w:val="20"/>
          <w:color w:val="auto"/>
        </w:rPr>
        <w:tab/>
      </w:r>
      <w:hyperlink r:id="rId169">
        <w:r>
          <w:rPr>
            <w:rFonts w:ascii="Arial" w:cs="Arial" w:eastAsia="Arial" w:hAnsi="Arial"/>
            <w:sz w:val="16"/>
            <w:szCs w:val="16"/>
            <w:u w:val="single" w:color="auto"/>
            <w:color w:val="0000EE"/>
          </w:rPr>
          <w:t>Pledge Agreement relating to EchoStar Corporation’s 3.875% Convertible Senior Secured Notes due 2030,</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dated as of November 12, 2024, by and among the guarantors named therein and The Bank of New York</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Mellon Trust Company, N.A., as notes collateral agent (incorporated by reference from Exhibit 4.8 to the</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Current Report on Form 8-K of EchoStar Corporation filed November 14, 2024).</w:t>
        </w:r>
      </w:hyperlink>
    </w:p>
    <w:p>
      <w:pPr>
        <w:spacing w:after="0" w:line="167" w:lineRule="exact"/>
        <w:rPr>
          <w:rFonts w:ascii="Arial" w:cs="Arial" w:eastAsia="Arial" w:hAnsi="Arial"/>
          <w:sz w:val="16"/>
          <w:szCs w:val="16"/>
          <w:u w:val="single" w:color="auto"/>
          <w:color w:val="0000EE"/>
        </w:rPr>
      </w:pPr>
    </w:p>
    <w:p>
      <w:pPr>
        <w:jc w:val="both"/>
        <w:ind w:left="1020" w:right="7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4.37*</w:t>
      </w:r>
      <w:r>
        <w:rPr>
          <w:sz w:val="20"/>
          <w:szCs w:val="20"/>
          <w:color w:val="auto"/>
        </w:rPr>
        <w:tab/>
      </w:r>
      <w:hyperlink r:id="rId170">
        <w:r>
          <w:rPr>
            <w:rFonts w:ascii="Arial" w:cs="Arial" w:eastAsia="Arial" w:hAnsi="Arial"/>
            <w:sz w:val="16"/>
            <w:szCs w:val="16"/>
            <w:u w:val="single" w:color="auto"/>
            <w:color w:val="0000EE"/>
          </w:rPr>
          <w:t>Notes Purchase Agreement relating to EchoStar Corporation’s 10.750% Senior Spectrum Secured Notes due</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2029, dated as of November 8, 2024, by and among EchoStar Corporation, the guarantors named therein and</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the purchasers named therein (incorporated by reference from Exhibit 4.9 to the Current Report on Form 8-K of</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EchoStar Corporation filed November 14, 2024).</w:t>
        </w:r>
      </w:hyperlink>
    </w:p>
    <w:p>
      <w:pPr>
        <w:spacing w:after="0" w:line="167" w:lineRule="exact"/>
        <w:rPr>
          <w:rFonts w:ascii="Arial" w:cs="Arial" w:eastAsia="Arial" w:hAnsi="Arial"/>
          <w:sz w:val="16"/>
          <w:szCs w:val="16"/>
          <w:u w:val="single" w:color="auto"/>
          <w:color w:val="0000EE"/>
        </w:rPr>
      </w:pPr>
    </w:p>
    <w:p>
      <w:pPr>
        <w:jc w:val="both"/>
        <w:ind w:left="1020" w:right="15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4.38*</w:t>
      </w:r>
      <w:r>
        <w:rPr>
          <w:sz w:val="20"/>
          <w:szCs w:val="20"/>
          <w:color w:val="auto"/>
        </w:rPr>
        <w:tab/>
      </w:r>
      <w:hyperlink r:id="rId171">
        <w:r>
          <w:rPr>
            <w:rFonts w:ascii="Arial" w:cs="Arial" w:eastAsia="Arial" w:hAnsi="Arial"/>
            <w:sz w:val="16"/>
            <w:szCs w:val="16"/>
            <w:u w:val="single" w:color="auto"/>
            <w:color w:val="0000EE"/>
          </w:rPr>
          <w:t>Notes Purchase Agreement relating to EchoStar Corporation's 3.875% Convertible Senior Secured Notes due</w:t>
        </w:r>
      </w:hyperlink>
      <w:r>
        <w:rPr>
          <w:rFonts w:ascii="Arial" w:cs="Arial" w:eastAsia="Arial" w:hAnsi="Arial"/>
          <w:sz w:val="16"/>
          <w:szCs w:val="16"/>
          <w:u w:val="single" w:color="auto"/>
          <w:color w:val="0000EE"/>
        </w:rPr>
        <w:t xml:space="preserve"> </w:t>
      </w:r>
      <w:hyperlink r:id="rId171">
        <w:r>
          <w:rPr>
            <w:rFonts w:ascii="Arial" w:cs="Arial" w:eastAsia="Arial" w:hAnsi="Arial"/>
            <w:sz w:val="16"/>
            <w:szCs w:val="16"/>
            <w:u w:val="single" w:color="auto"/>
            <w:color w:val="0000EE"/>
          </w:rPr>
          <w:t>2030, dated as of November 8, 2024, by and among EchoStar Corporation, the guarantors named therein and</w:t>
        </w:r>
      </w:hyperlink>
      <w:r>
        <w:rPr>
          <w:rFonts w:ascii="Arial" w:cs="Arial" w:eastAsia="Arial" w:hAnsi="Arial"/>
          <w:sz w:val="16"/>
          <w:szCs w:val="16"/>
          <w:u w:val="single" w:color="auto"/>
          <w:color w:val="0000EE"/>
        </w:rPr>
        <w:t xml:space="preserve"> </w:t>
      </w:r>
      <w:hyperlink r:id="rId171">
        <w:r>
          <w:rPr>
            <w:rFonts w:ascii="Arial" w:cs="Arial" w:eastAsia="Arial" w:hAnsi="Arial"/>
            <w:sz w:val="16"/>
            <w:szCs w:val="16"/>
            <w:u w:val="single" w:color="auto"/>
            <w:color w:val="0000EE"/>
          </w:rPr>
          <w:t>the purchasers named therein (incorporated by reference from Exhibit 4.10 to the Current Report on Form 8-K</w:t>
        </w:r>
      </w:hyperlink>
      <w:r>
        <w:rPr>
          <w:rFonts w:ascii="Arial" w:cs="Arial" w:eastAsia="Arial" w:hAnsi="Arial"/>
          <w:sz w:val="16"/>
          <w:szCs w:val="16"/>
          <w:u w:val="single" w:color="auto"/>
          <w:color w:val="0000EE"/>
        </w:rPr>
        <w:t xml:space="preserve"> </w:t>
      </w:r>
      <w:hyperlink r:id="rId171">
        <w:r>
          <w:rPr>
            <w:rFonts w:ascii="Arial" w:cs="Arial" w:eastAsia="Arial" w:hAnsi="Arial"/>
            <w:sz w:val="16"/>
            <w:szCs w:val="16"/>
            <w:u w:val="single" w:color="auto"/>
            <w:color w:val="0000EE"/>
          </w:rPr>
          <w:t>of EchoStar Corporation filed November 14, 2024).</w:t>
        </w:r>
      </w:hyperlink>
    </w:p>
    <w:p>
      <w:pPr>
        <w:spacing w:after="0" w:line="167" w:lineRule="exact"/>
        <w:rPr>
          <w:rFonts w:ascii="Arial" w:cs="Arial" w:eastAsia="Arial" w:hAnsi="Arial"/>
          <w:sz w:val="16"/>
          <w:szCs w:val="16"/>
          <w:u w:val="single" w:color="auto"/>
          <w:color w:val="0000EE"/>
        </w:rPr>
      </w:pPr>
    </w:p>
    <w:p>
      <w:pPr>
        <w:ind w:left="1020" w:right="21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4.39*</w:t>
      </w:r>
      <w:r>
        <w:rPr>
          <w:sz w:val="20"/>
          <w:szCs w:val="20"/>
          <w:color w:val="auto"/>
        </w:rPr>
        <w:tab/>
      </w:r>
      <w:hyperlink r:id="rId172">
        <w:r>
          <w:rPr>
            <w:rFonts w:ascii="Arial" w:cs="Arial" w:eastAsia="Arial" w:hAnsi="Arial"/>
            <w:sz w:val="16"/>
            <w:szCs w:val="16"/>
            <w:u w:val="single" w:color="auto"/>
            <w:color w:val="0000EE"/>
          </w:rPr>
          <w:t>Indenture relating to EchoStar Corporation’s 10.750% Senior Spectrum Secured Notes due 2029, dated as of</w:t>
        </w:r>
      </w:hyperlink>
      <w:r>
        <w:rPr>
          <w:rFonts w:ascii="Arial" w:cs="Arial" w:eastAsia="Arial" w:hAnsi="Arial"/>
          <w:sz w:val="16"/>
          <w:szCs w:val="16"/>
          <w:u w:val="single" w:color="auto"/>
          <w:color w:val="0000EE"/>
        </w:rPr>
        <w:t xml:space="preserve"> </w:t>
      </w:r>
      <w:hyperlink r:id="rId172">
        <w:r>
          <w:rPr>
            <w:rFonts w:ascii="Arial" w:cs="Arial" w:eastAsia="Arial" w:hAnsi="Arial"/>
            <w:sz w:val="16"/>
            <w:szCs w:val="16"/>
            <w:u w:val="single" w:color="auto"/>
            <w:color w:val="0000EE"/>
          </w:rPr>
          <w:t>November 12, 2024, by and among EchoStar Corporation, the guarantors named therein, and The Bank of</w:t>
        </w:r>
      </w:hyperlink>
      <w:r>
        <w:rPr>
          <w:rFonts w:ascii="Arial" w:cs="Arial" w:eastAsia="Arial" w:hAnsi="Arial"/>
          <w:sz w:val="16"/>
          <w:szCs w:val="16"/>
          <w:u w:val="single" w:color="auto"/>
          <w:color w:val="0000EE"/>
        </w:rPr>
        <w:t xml:space="preserve"> </w:t>
      </w:r>
      <w:hyperlink r:id="rId172">
        <w:r>
          <w:rPr>
            <w:rFonts w:ascii="Arial" w:cs="Arial" w:eastAsia="Arial" w:hAnsi="Arial"/>
            <w:sz w:val="16"/>
            <w:szCs w:val="16"/>
            <w:u w:val="single" w:color="auto"/>
            <w:color w:val="0000EE"/>
          </w:rPr>
          <w:t>New York Mellon Trust Company, N.A., as trustee and notes collateral agent (incorporated by reference from</w:t>
        </w:r>
      </w:hyperlink>
      <w:r>
        <w:rPr>
          <w:rFonts w:ascii="Arial" w:cs="Arial" w:eastAsia="Arial" w:hAnsi="Arial"/>
          <w:sz w:val="16"/>
          <w:szCs w:val="16"/>
          <w:u w:val="single" w:color="auto"/>
          <w:color w:val="0000EE"/>
        </w:rPr>
        <w:t xml:space="preserve"> </w:t>
      </w:r>
      <w:hyperlink r:id="rId172">
        <w:r>
          <w:rPr>
            <w:rFonts w:ascii="Arial" w:cs="Arial" w:eastAsia="Arial" w:hAnsi="Arial"/>
            <w:sz w:val="16"/>
            <w:szCs w:val="16"/>
            <w:u w:val="single" w:color="auto"/>
            <w:color w:val="0000EE"/>
          </w:rPr>
          <w:t>Exhibit 4.11 to the Current Report on Form 8-K of EchoStar Corporation filed November 14, 2024).</w:t>
        </w:r>
      </w:hyperlink>
    </w:p>
    <w:p>
      <w:pPr>
        <w:spacing w:after="0" w:line="167" w:lineRule="exact"/>
        <w:rPr>
          <w:rFonts w:ascii="Arial" w:cs="Arial" w:eastAsia="Arial" w:hAnsi="Arial"/>
          <w:sz w:val="16"/>
          <w:szCs w:val="16"/>
          <w:u w:val="single" w:color="auto"/>
          <w:color w:val="0000EE"/>
        </w:rPr>
      </w:pPr>
    </w:p>
    <w:p>
      <w:pPr>
        <w:ind w:left="1020" w:right="31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4.40*</w:t>
      </w:r>
      <w:r>
        <w:rPr>
          <w:sz w:val="20"/>
          <w:szCs w:val="20"/>
          <w:color w:val="auto"/>
        </w:rPr>
        <w:tab/>
      </w:r>
      <w:hyperlink r:id="rId173">
        <w:r>
          <w:rPr>
            <w:rFonts w:ascii="Arial" w:cs="Arial" w:eastAsia="Arial" w:hAnsi="Arial"/>
            <w:sz w:val="16"/>
            <w:szCs w:val="16"/>
            <w:u w:val="single" w:color="auto"/>
            <w:color w:val="0000EE"/>
          </w:rPr>
          <w:t>Security Agreement relating to EchoStar Corporation’s 10.750% Senior Spectrum Secured Notes due 2029,</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dated as of November 12, 2024, by and among the guarantors named therein and The Bank of New York</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Mellon Trust Company, N.A., as notes collateral agent (incorporated by reference from Exhibit 4.12 to the</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Current Report on Form 8-K of EchoStar Corporation filed November 14, 2024).</w:t>
        </w:r>
      </w:hyperlink>
    </w:p>
    <w:p>
      <w:pPr>
        <w:spacing w:after="0" w:line="167" w:lineRule="exact"/>
        <w:rPr>
          <w:rFonts w:ascii="Arial" w:cs="Arial" w:eastAsia="Arial" w:hAnsi="Arial"/>
          <w:sz w:val="16"/>
          <w:szCs w:val="16"/>
          <w:u w:val="single" w:color="auto"/>
          <w:color w:val="0000EE"/>
        </w:rPr>
      </w:pPr>
    </w:p>
    <w:p>
      <w:pPr>
        <w:ind w:left="1020" w:right="39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4.41*</w:t>
      </w:r>
      <w:r>
        <w:rPr>
          <w:sz w:val="20"/>
          <w:szCs w:val="20"/>
          <w:color w:val="auto"/>
        </w:rPr>
        <w:tab/>
      </w:r>
      <w:hyperlink r:id="rId174">
        <w:r>
          <w:rPr>
            <w:rFonts w:ascii="Arial" w:cs="Arial" w:eastAsia="Arial" w:hAnsi="Arial"/>
            <w:sz w:val="16"/>
            <w:szCs w:val="16"/>
            <w:u w:val="single" w:color="auto"/>
            <w:color w:val="0000EE"/>
          </w:rPr>
          <w:t>Pledge Agreement relating to EchoStar Corporation’s 10.750% Senior Spectrum Secured Notes due 2029,</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dated as of November 12, 2024, by and among the guarantors named therein and The Bank of New York</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Mellon Trust Company, N.A., as notes collateral agent (incorporated by reference from Exhibit 4.13 to the</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Current Report on Form 8-K of EchoStar Corporation filed November 14, 2024).</w:t>
        </w:r>
      </w:hyperlink>
    </w:p>
    <w:p>
      <w:pPr>
        <w:spacing w:after="0" w:line="167" w:lineRule="exact"/>
        <w:rPr>
          <w:rFonts w:ascii="Arial" w:cs="Arial" w:eastAsia="Arial" w:hAnsi="Arial"/>
          <w:sz w:val="16"/>
          <w:szCs w:val="16"/>
          <w:u w:val="single" w:color="auto"/>
          <w:color w:val="0000EE"/>
        </w:rPr>
      </w:pPr>
    </w:p>
    <w:p>
      <w:pPr>
        <w:ind w:left="1020" w:right="239" w:hanging="786"/>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4.42*</w:t>
      </w:r>
      <w:r>
        <w:rPr>
          <w:sz w:val="20"/>
          <w:szCs w:val="20"/>
          <w:color w:val="auto"/>
        </w:rPr>
        <w:tab/>
      </w:r>
      <w:hyperlink r:id="rId175">
        <w:r>
          <w:rPr>
            <w:rFonts w:ascii="Arial" w:cs="Arial" w:eastAsia="Arial" w:hAnsi="Arial"/>
            <w:sz w:val="16"/>
            <w:szCs w:val="16"/>
            <w:u w:val="single" w:color="auto"/>
            <w:color w:val="0000EE"/>
          </w:rPr>
          <w:t>First Lien Intercreditor Agreement, dated as of November 12, 2024, by and among the guarantors named</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therein and The Bank of New York Mellon Trust Company, N.A., as trustee and notes collateral agent</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(incorporated by reference from Exhibit 4.14 to the Current Report on Form 8-K of EchoStar Corporation filed</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November 14, 2024).</w:t>
        </w:r>
      </w:hyperlink>
    </w:p>
    <w:p>
      <w:pPr>
        <w:spacing w:after="0" w:line="167"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right="539" w:hanging="786"/>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4.43*</w:t>
      </w:r>
      <w:r>
        <w:rPr>
          <w:sz w:val="20"/>
          <w:szCs w:val="20"/>
          <w:color w:val="auto"/>
        </w:rPr>
        <w:tab/>
      </w:r>
      <w:hyperlink r:id="rId177">
        <w:r>
          <w:rPr>
            <w:rFonts w:ascii="Arial" w:cs="Arial" w:eastAsia="Arial" w:hAnsi="Arial"/>
            <w:sz w:val="16"/>
            <w:szCs w:val="16"/>
            <w:u w:val="single" w:color="auto"/>
            <w:color w:val="0000EE"/>
          </w:rPr>
          <w:t>Form of Second Lien Intercreditor Agreement (incorporated by reference from Exhibit 4.15 to the Current</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Report on Form 8-K of EchoStar Corporation filed November 14, 2024).</w:t>
        </w:r>
      </w:hyperlink>
    </w:p>
    <w:p>
      <w:pPr>
        <w:spacing w:after="0" w:line="146" w:lineRule="exact"/>
        <w:rPr>
          <w:sz w:val="20"/>
          <w:szCs w:val="20"/>
          <w:color w:val="auto"/>
        </w:rPr>
      </w:pPr>
    </w:p>
    <w:p>
      <w:pPr>
        <w:ind w:left="220"/>
        <w:spacing w:after="0"/>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10.1*</w:t>
      </w:r>
      <w:r>
        <w:rPr>
          <w:sz w:val="20"/>
          <w:szCs w:val="20"/>
          <w:color w:val="auto"/>
        </w:rPr>
        <w:tab/>
      </w:r>
      <w:hyperlink r:id="rId178">
        <w:r>
          <w:rPr>
            <w:rFonts w:ascii="Arial" w:cs="Arial" w:eastAsia="Arial" w:hAnsi="Arial"/>
            <w:sz w:val="16"/>
            <w:szCs w:val="16"/>
            <w:u w:val="single" w:color="auto"/>
            <w:color w:val="0000EE"/>
          </w:rPr>
          <w:t>Form of EchoStar Corporation 2008 Class B CEO Stock Option Plan (incorporated by reference to Exhibit</w:t>
        </w:r>
      </w:hyperlink>
    </w:p>
    <w:p>
      <w:pPr>
        <w:spacing w:after="0" w:line="30" w:lineRule="exact"/>
        <w:rPr>
          <w:sz w:val="20"/>
          <w:szCs w:val="20"/>
          <w:color w:val="auto"/>
        </w:rPr>
      </w:pPr>
    </w:p>
    <w:p>
      <w:pPr>
        <w:ind w:left="1020"/>
        <w:spacing w:after="0"/>
        <w:rPr>
          <w:rFonts w:ascii="Arial" w:cs="Arial" w:eastAsia="Arial" w:hAnsi="Arial"/>
          <w:sz w:val="16"/>
          <w:szCs w:val="16"/>
          <w:u w:val="single" w:color="auto"/>
          <w:color w:val="0000EE"/>
        </w:rPr>
      </w:pPr>
      <w:hyperlink r:id="rId178">
        <w:r>
          <w:rPr>
            <w:rFonts w:ascii="Arial" w:cs="Arial" w:eastAsia="Arial" w:hAnsi="Arial"/>
            <w:sz w:val="16"/>
            <w:szCs w:val="16"/>
            <w:u w:val="single" w:color="auto"/>
            <w:color w:val="0000EE"/>
          </w:rPr>
          <w:t>10.25 to Amendment No. 1 of EchoStar Corporation’s Form 10 filed December 12, 2007, Commission File No.</w:t>
        </w:r>
      </w:hyperlink>
    </w:p>
    <w:p>
      <w:pPr>
        <w:spacing w:after="0" w:line="22" w:lineRule="exact"/>
        <w:rPr>
          <w:sz w:val="20"/>
          <w:szCs w:val="20"/>
          <w:color w:val="auto"/>
        </w:rPr>
      </w:pPr>
    </w:p>
    <w:p>
      <w:pPr>
        <w:ind w:left="1020"/>
        <w:spacing w:after="0"/>
        <w:rPr>
          <w:rFonts w:ascii="Arial" w:cs="Arial" w:eastAsia="Arial" w:hAnsi="Arial"/>
          <w:sz w:val="16"/>
          <w:szCs w:val="16"/>
          <w:u w:val="single" w:color="auto"/>
          <w:color w:val="0000EE"/>
        </w:rPr>
      </w:pPr>
      <w:hyperlink r:id="rId178">
        <w:r>
          <w:rPr>
            <w:rFonts w:ascii="Arial" w:cs="Arial" w:eastAsia="Arial" w:hAnsi="Arial"/>
            <w:sz w:val="16"/>
            <w:szCs w:val="16"/>
            <w:u w:val="single" w:color="auto"/>
            <w:color w:val="0000EE"/>
          </w:rPr>
          <w:t>001-33807).**</w:t>
        </w:r>
      </w:hyperlink>
    </w:p>
    <w:p>
      <w:pPr>
        <w:spacing w:after="0" w:line="219" w:lineRule="exact"/>
        <w:rPr>
          <w:sz w:val="20"/>
          <w:szCs w:val="20"/>
          <w:color w:val="auto"/>
        </w:rPr>
      </w:pPr>
    </w:p>
    <w:p>
      <w:pPr>
        <w:ind w:left="1020" w:right="199" w:hanging="786"/>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10.2*</w:t>
      </w:r>
      <w:r>
        <w:rPr>
          <w:sz w:val="20"/>
          <w:szCs w:val="20"/>
          <w:color w:val="auto"/>
        </w:rPr>
        <w:tab/>
      </w:r>
      <w:hyperlink r:id="rId179">
        <w:r>
          <w:rPr>
            <w:rFonts w:ascii="Arial" w:cs="Arial" w:eastAsia="Arial" w:hAnsi="Arial"/>
            <w:sz w:val="16"/>
            <w:szCs w:val="16"/>
            <w:u w:val="single" w:color="auto"/>
            <w:color w:val="0000EE"/>
          </w:rPr>
          <w:t>Amended and Restated EchoStar Corporation 2008 Stock Incentive Plan (the “2008 Stock Incentive Plan”)</w:t>
        </w:r>
      </w:hyperlink>
      <w:r>
        <w:rPr>
          <w:rFonts w:ascii="Arial" w:cs="Arial" w:eastAsia="Arial" w:hAnsi="Arial"/>
          <w:sz w:val="16"/>
          <w:szCs w:val="16"/>
          <w:u w:val="single" w:color="auto"/>
          <w:color w:val="0000EE"/>
        </w:rPr>
        <w:t xml:space="preserve"> </w:t>
      </w:r>
      <w:hyperlink r:id="rId179">
        <w:r>
          <w:rPr>
            <w:rFonts w:ascii="Arial" w:cs="Arial" w:eastAsia="Arial" w:hAnsi="Arial"/>
            <w:sz w:val="16"/>
            <w:szCs w:val="16"/>
            <w:u w:val="single" w:color="auto"/>
            <w:color w:val="0000EE"/>
          </w:rPr>
          <w:t>(incorporated by reference to EchoStar Corporation’s Definitive Proxy Statement on Form 14, filed September</w:t>
        </w:r>
      </w:hyperlink>
      <w:r>
        <w:rPr>
          <w:rFonts w:ascii="Arial" w:cs="Arial" w:eastAsia="Arial" w:hAnsi="Arial"/>
          <w:sz w:val="16"/>
          <w:szCs w:val="16"/>
          <w:u w:val="single" w:color="auto"/>
          <w:color w:val="0000EE"/>
        </w:rPr>
        <w:t xml:space="preserve"> </w:t>
      </w:r>
      <w:hyperlink r:id="rId179">
        <w:r>
          <w:rPr>
            <w:rFonts w:ascii="Arial" w:cs="Arial" w:eastAsia="Arial" w:hAnsi="Arial"/>
            <w:sz w:val="16"/>
            <w:szCs w:val="16"/>
            <w:u w:val="single" w:color="auto"/>
            <w:color w:val="0000EE"/>
          </w:rPr>
          <w:t>18, 2014, Commission File No. 001-33807).**</w:t>
        </w:r>
      </w:hyperlink>
    </w:p>
    <w:p>
      <w:pPr>
        <w:spacing w:after="0" w:line="163" w:lineRule="exact"/>
        <w:rPr>
          <w:rFonts w:ascii="Arial" w:cs="Arial" w:eastAsia="Arial" w:hAnsi="Arial"/>
          <w:sz w:val="16"/>
          <w:szCs w:val="16"/>
          <w:u w:val="single" w:color="auto"/>
          <w:color w:val="0000EE"/>
        </w:rPr>
      </w:pPr>
    </w:p>
    <w:p>
      <w:pPr>
        <w:ind w:left="1020" w:right="79" w:hanging="786"/>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10.3*</w:t>
      </w:r>
      <w:r>
        <w:rPr>
          <w:sz w:val="20"/>
          <w:szCs w:val="20"/>
          <w:color w:val="auto"/>
        </w:rPr>
        <w:tab/>
      </w:r>
      <w:hyperlink r:id="rId180">
        <w:r>
          <w:rPr>
            <w:rFonts w:ascii="Arial" w:cs="Arial" w:eastAsia="Arial" w:hAnsi="Arial"/>
            <w:sz w:val="16"/>
            <w:szCs w:val="16"/>
            <w:u w:val="single" w:color="auto"/>
            <w:color w:val="0000EE"/>
          </w:rPr>
          <w:t>Amended and Restated EchoStar Corporation 2008 Non-Employee Director Stock Option Plan (the “2008 Non-</w:t>
        </w:r>
      </w:hyperlink>
      <w:hyperlink r:id="rId180">
        <w:r>
          <w:rPr>
            <w:rFonts w:ascii="Arial" w:cs="Arial" w:eastAsia="Arial" w:hAnsi="Arial"/>
            <w:sz w:val="16"/>
            <w:szCs w:val="16"/>
            <w:u w:val="single" w:color="auto"/>
            <w:color w:val="0000EE"/>
          </w:rPr>
          <w:t>Employee Director Stock Option Plan”) (incorporated by reference to EchoStar Corporation’s Definitive Proxy</w:t>
        </w:r>
      </w:hyperlink>
      <w:r>
        <w:rPr>
          <w:rFonts w:ascii="Arial" w:cs="Arial" w:eastAsia="Arial" w:hAnsi="Arial"/>
          <w:sz w:val="16"/>
          <w:szCs w:val="16"/>
          <w:u w:val="single" w:color="auto"/>
          <w:color w:val="0000EE"/>
        </w:rPr>
        <w:t xml:space="preserve"> </w:t>
      </w:r>
      <w:hyperlink r:id="rId180">
        <w:r>
          <w:rPr>
            <w:rFonts w:ascii="Arial" w:cs="Arial" w:eastAsia="Arial" w:hAnsi="Arial"/>
            <w:sz w:val="16"/>
            <w:szCs w:val="16"/>
            <w:u w:val="single" w:color="auto"/>
            <w:color w:val="0000EE"/>
          </w:rPr>
          <w:t>Statement on Form 14, filed March 31, 2009, Commission File No. 001-33807).**</w:t>
        </w:r>
      </w:hyperlink>
    </w:p>
    <w:p>
      <w:pPr>
        <w:spacing w:after="0" w:line="163" w:lineRule="exact"/>
        <w:rPr>
          <w:rFonts w:ascii="Arial" w:cs="Arial" w:eastAsia="Arial" w:hAnsi="Arial"/>
          <w:sz w:val="16"/>
          <w:szCs w:val="16"/>
          <w:u w:val="single" w:color="auto"/>
          <w:color w:val="0000EE"/>
        </w:rPr>
      </w:pPr>
    </w:p>
    <w:p>
      <w:pPr>
        <w:ind w:left="1020" w:right="179" w:hanging="786"/>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10.4*</w:t>
      </w:r>
      <w:r>
        <w:rPr>
          <w:sz w:val="20"/>
          <w:szCs w:val="20"/>
          <w:color w:val="auto"/>
        </w:rPr>
        <w:tab/>
      </w:r>
      <w:hyperlink r:id="rId181">
        <w:r>
          <w:rPr>
            <w:rFonts w:ascii="Arial" w:cs="Arial" w:eastAsia="Arial" w:hAnsi="Arial"/>
            <w:sz w:val="16"/>
            <w:szCs w:val="16"/>
            <w:u w:val="single" w:color="auto"/>
            <w:color w:val="0000EE"/>
          </w:rPr>
          <w:t>Form of Restricted Stock Unit Agreement for 2008 Stock Incentive Plan — Executive or Director (incorporated</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by reference to Exhibit 10.1 to EchoStar Corporation’s Quarterly Report on Form 10-Q for the quarter ended</w:t>
        </w:r>
      </w:hyperlink>
      <w:r>
        <w:rPr>
          <w:rFonts w:ascii="Arial" w:cs="Arial" w:eastAsia="Arial" w:hAnsi="Arial"/>
          <w:sz w:val="16"/>
          <w:szCs w:val="16"/>
          <w:u w:val="single" w:color="auto"/>
          <w:color w:val="0000EE"/>
        </w:rPr>
        <w:t xml:space="preserve"> </w:t>
      </w:r>
      <w:hyperlink r:id="rId181">
        <w:r>
          <w:rPr>
            <w:rFonts w:ascii="Arial" w:cs="Arial" w:eastAsia="Arial" w:hAnsi="Arial"/>
            <w:sz w:val="16"/>
            <w:szCs w:val="16"/>
            <w:u w:val="single" w:color="auto"/>
            <w:color w:val="0000EE"/>
          </w:rPr>
          <w:t>September 30, 2015, filed November 6, 2015, Commission File No. 001-33807).**</w:t>
        </w:r>
      </w:hyperlink>
    </w:p>
    <w:p>
      <w:pPr>
        <w:spacing w:after="0" w:line="163" w:lineRule="exact"/>
        <w:rPr>
          <w:rFonts w:ascii="Arial" w:cs="Arial" w:eastAsia="Arial" w:hAnsi="Arial"/>
          <w:sz w:val="16"/>
          <w:szCs w:val="16"/>
          <w:u w:val="single" w:color="auto"/>
          <w:color w:val="0000EE"/>
        </w:rPr>
      </w:pPr>
    </w:p>
    <w:p>
      <w:pPr>
        <w:jc w:val="both"/>
        <w:ind w:left="1020" w:right="359" w:hanging="786"/>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10.5*</w:t>
      </w:r>
      <w:r>
        <w:rPr>
          <w:sz w:val="20"/>
          <w:szCs w:val="20"/>
          <w:color w:val="auto"/>
        </w:rPr>
        <w:tab/>
      </w:r>
      <w:hyperlink r:id="rId182">
        <w:r>
          <w:rPr>
            <w:rFonts w:ascii="Arial" w:cs="Arial" w:eastAsia="Arial" w:hAnsi="Arial"/>
            <w:sz w:val="16"/>
            <w:szCs w:val="16"/>
            <w:u w:val="single" w:color="auto"/>
            <w:color w:val="0000EE"/>
          </w:rPr>
          <w:t>Form of Stock Option Agreement for 2008 Stock Incentive Plan (1999) (incorporated by reference to Exhibit</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10.39 to EchoStar Corporation’s Annual Report on Form 10-K for the year ended December 31, 2015, filed</w:t>
        </w:r>
      </w:hyperlink>
      <w:r>
        <w:rPr>
          <w:rFonts w:ascii="Arial" w:cs="Arial" w:eastAsia="Arial" w:hAnsi="Arial"/>
          <w:sz w:val="16"/>
          <w:szCs w:val="16"/>
          <w:u w:val="single" w:color="auto"/>
          <w:color w:val="0000EE"/>
        </w:rPr>
        <w:t xml:space="preserve"> </w:t>
      </w:r>
      <w:hyperlink r:id="rId182">
        <w:r>
          <w:rPr>
            <w:rFonts w:ascii="Arial" w:cs="Arial" w:eastAsia="Arial" w:hAnsi="Arial"/>
            <w:sz w:val="16"/>
            <w:szCs w:val="16"/>
            <w:u w:val="single" w:color="auto"/>
            <w:color w:val="0000EE"/>
          </w:rPr>
          <w:t>February 24, 2016, Commission File No. 001-33807).**</w:t>
        </w:r>
      </w:hyperlink>
    </w:p>
    <w:p>
      <w:pPr>
        <w:spacing w:after="0" w:line="163" w:lineRule="exact"/>
        <w:rPr>
          <w:rFonts w:ascii="Arial" w:cs="Arial" w:eastAsia="Arial" w:hAnsi="Arial"/>
          <w:sz w:val="16"/>
          <w:szCs w:val="16"/>
          <w:u w:val="single" w:color="auto"/>
          <w:color w:val="0000EE"/>
        </w:rPr>
      </w:pPr>
    </w:p>
    <w:p>
      <w:pPr>
        <w:ind w:left="1020" w:right="99" w:hanging="786"/>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10.6*</w:t>
      </w:r>
      <w:r>
        <w:rPr>
          <w:sz w:val="20"/>
          <w:szCs w:val="20"/>
          <w:color w:val="auto"/>
        </w:rPr>
        <w:tab/>
      </w:r>
      <w:hyperlink r:id="rId183">
        <w:r>
          <w:rPr>
            <w:rFonts w:ascii="Arial" w:cs="Arial" w:eastAsia="Arial" w:hAnsi="Arial"/>
            <w:sz w:val="16"/>
            <w:szCs w:val="16"/>
            <w:u w:val="single" w:color="auto"/>
            <w:color w:val="0000EE"/>
          </w:rPr>
          <w:t>Form of Stock Option Agreement for 2008 Stock Incentive Plan — Employee (2008) (incorporated by reference</w:t>
        </w:r>
      </w:hyperlink>
      <w:r>
        <w:rPr>
          <w:rFonts w:ascii="Arial" w:cs="Arial" w:eastAsia="Arial" w:hAnsi="Arial"/>
          <w:sz w:val="16"/>
          <w:szCs w:val="16"/>
          <w:u w:val="single" w:color="auto"/>
          <w:color w:val="0000EE"/>
        </w:rPr>
        <w:t xml:space="preserve"> </w:t>
      </w:r>
      <w:hyperlink r:id="rId183">
        <w:r>
          <w:rPr>
            <w:rFonts w:ascii="Arial" w:cs="Arial" w:eastAsia="Arial" w:hAnsi="Arial"/>
            <w:sz w:val="16"/>
            <w:szCs w:val="16"/>
            <w:u w:val="single" w:color="auto"/>
            <w:color w:val="0000EE"/>
          </w:rPr>
          <w:t>to Exhibit 10.40 to EchoStar Corporation’s Annual Report on Form 10-K for the year ended December 31,</w:t>
        </w:r>
      </w:hyperlink>
      <w:r>
        <w:rPr>
          <w:rFonts w:ascii="Arial" w:cs="Arial" w:eastAsia="Arial" w:hAnsi="Arial"/>
          <w:sz w:val="16"/>
          <w:szCs w:val="16"/>
          <w:u w:val="single" w:color="auto"/>
          <w:color w:val="0000EE"/>
        </w:rPr>
        <w:t xml:space="preserve"> </w:t>
      </w:r>
      <w:hyperlink r:id="rId183">
        <w:r>
          <w:rPr>
            <w:rFonts w:ascii="Arial" w:cs="Arial" w:eastAsia="Arial" w:hAnsi="Arial"/>
            <w:sz w:val="16"/>
            <w:szCs w:val="16"/>
            <w:u w:val="single" w:color="auto"/>
            <w:color w:val="0000EE"/>
          </w:rPr>
          <w:t>2015, filed February 24, 2016, Commission File No. 001-33807).**</w:t>
        </w:r>
      </w:hyperlink>
    </w:p>
    <w:p>
      <w:pPr>
        <w:spacing w:after="0" w:line="163" w:lineRule="exact"/>
        <w:rPr>
          <w:rFonts w:ascii="Arial" w:cs="Arial" w:eastAsia="Arial" w:hAnsi="Arial"/>
          <w:sz w:val="16"/>
          <w:szCs w:val="16"/>
          <w:u w:val="single" w:color="auto"/>
          <w:color w:val="0000EE"/>
        </w:rPr>
      </w:pPr>
    </w:p>
    <w:p>
      <w:pPr>
        <w:ind w:left="1020" w:right="99" w:hanging="786"/>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10.7*</w:t>
      </w:r>
      <w:r>
        <w:rPr>
          <w:sz w:val="20"/>
          <w:szCs w:val="20"/>
          <w:color w:val="auto"/>
        </w:rPr>
        <w:tab/>
      </w:r>
      <w:hyperlink r:id="rId184">
        <w:r>
          <w:rPr>
            <w:rFonts w:ascii="Arial" w:cs="Arial" w:eastAsia="Arial" w:hAnsi="Arial"/>
            <w:sz w:val="16"/>
            <w:szCs w:val="16"/>
            <w:u w:val="single" w:color="auto"/>
            <w:color w:val="0000EE"/>
          </w:rPr>
          <w:t>Form of Stock Option Agreement for 2008 Stock Incentive Plan — Executive (2008) (incorporated by reference</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to Exhibit 10.41 to EchoStar Corporation’s Annual Report on Form 10-K for the year ended December 31,</w:t>
        </w:r>
      </w:hyperlink>
      <w:r>
        <w:rPr>
          <w:rFonts w:ascii="Arial" w:cs="Arial" w:eastAsia="Arial" w:hAnsi="Arial"/>
          <w:sz w:val="16"/>
          <w:szCs w:val="16"/>
          <w:u w:val="single" w:color="auto"/>
          <w:color w:val="0000EE"/>
        </w:rPr>
        <w:t xml:space="preserve"> </w:t>
      </w:r>
      <w:hyperlink r:id="rId184">
        <w:r>
          <w:rPr>
            <w:rFonts w:ascii="Arial" w:cs="Arial" w:eastAsia="Arial" w:hAnsi="Arial"/>
            <w:sz w:val="16"/>
            <w:szCs w:val="16"/>
            <w:u w:val="single" w:color="auto"/>
            <w:color w:val="0000EE"/>
          </w:rPr>
          <w:t>2015, filed February 24, 2016, Commission File No. 001-33807).**</w:t>
        </w:r>
      </w:hyperlink>
    </w:p>
    <w:p>
      <w:pPr>
        <w:spacing w:after="0" w:line="163" w:lineRule="exact"/>
        <w:rPr>
          <w:rFonts w:ascii="Arial" w:cs="Arial" w:eastAsia="Arial" w:hAnsi="Arial"/>
          <w:sz w:val="16"/>
          <w:szCs w:val="16"/>
          <w:u w:val="single" w:color="auto"/>
          <w:color w:val="0000EE"/>
        </w:rPr>
      </w:pPr>
    </w:p>
    <w:p>
      <w:pPr>
        <w:ind w:left="1020" w:right="99" w:hanging="786"/>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10.8*</w:t>
      </w:r>
      <w:r>
        <w:rPr>
          <w:sz w:val="20"/>
          <w:szCs w:val="20"/>
          <w:color w:val="auto"/>
        </w:rPr>
        <w:tab/>
      </w:r>
      <w:hyperlink r:id="rId185">
        <w:r>
          <w:rPr>
            <w:rFonts w:ascii="Arial" w:cs="Arial" w:eastAsia="Arial" w:hAnsi="Arial"/>
            <w:sz w:val="16"/>
            <w:szCs w:val="16"/>
            <w:u w:val="single" w:color="auto"/>
            <w:color w:val="0000EE"/>
          </w:rPr>
          <w:t>Form of Stock Option Agreement for 2008 Stock Incentive Plan — Employee (2014) (incorporated by reference</w:t>
        </w:r>
      </w:hyperlink>
      <w:r>
        <w:rPr>
          <w:rFonts w:ascii="Arial" w:cs="Arial" w:eastAsia="Arial" w:hAnsi="Arial"/>
          <w:sz w:val="16"/>
          <w:szCs w:val="16"/>
          <w:u w:val="single" w:color="auto"/>
          <w:color w:val="0000EE"/>
        </w:rPr>
        <w:t xml:space="preserve"> </w:t>
      </w:r>
      <w:hyperlink r:id="rId185">
        <w:r>
          <w:rPr>
            <w:rFonts w:ascii="Arial" w:cs="Arial" w:eastAsia="Arial" w:hAnsi="Arial"/>
            <w:sz w:val="16"/>
            <w:szCs w:val="16"/>
            <w:u w:val="single" w:color="auto"/>
            <w:color w:val="0000EE"/>
          </w:rPr>
          <w:t>to Exhibit 10.42 to EchoStar Corporation’s Annual Report on Form 10-K for the year ended December 31,</w:t>
        </w:r>
      </w:hyperlink>
      <w:r>
        <w:rPr>
          <w:rFonts w:ascii="Arial" w:cs="Arial" w:eastAsia="Arial" w:hAnsi="Arial"/>
          <w:sz w:val="16"/>
          <w:szCs w:val="16"/>
          <w:u w:val="single" w:color="auto"/>
          <w:color w:val="0000EE"/>
        </w:rPr>
        <w:t xml:space="preserve"> </w:t>
      </w:r>
      <w:hyperlink r:id="rId185">
        <w:r>
          <w:rPr>
            <w:rFonts w:ascii="Arial" w:cs="Arial" w:eastAsia="Arial" w:hAnsi="Arial"/>
            <w:sz w:val="16"/>
            <w:szCs w:val="16"/>
            <w:u w:val="single" w:color="auto"/>
            <w:color w:val="0000EE"/>
          </w:rPr>
          <w:t>2015, filed February 24, 2016, Commission File No. 001-33807).**</w:t>
        </w:r>
      </w:hyperlink>
    </w:p>
    <w:p>
      <w:pPr>
        <w:spacing w:after="0" w:line="163" w:lineRule="exact"/>
        <w:rPr>
          <w:rFonts w:ascii="Arial" w:cs="Arial" w:eastAsia="Arial" w:hAnsi="Arial"/>
          <w:sz w:val="16"/>
          <w:szCs w:val="16"/>
          <w:u w:val="single" w:color="auto"/>
          <w:color w:val="0000EE"/>
        </w:rPr>
      </w:pPr>
    </w:p>
    <w:p>
      <w:pPr>
        <w:ind w:left="1020" w:right="99" w:hanging="786"/>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10.9*</w:t>
      </w:r>
      <w:r>
        <w:rPr>
          <w:sz w:val="20"/>
          <w:szCs w:val="20"/>
          <w:color w:val="auto"/>
        </w:rPr>
        <w:tab/>
      </w:r>
      <w:hyperlink r:id="rId186">
        <w:r>
          <w:rPr>
            <w:rFonts w:ascii="Arial" w:cs="Arial" w:eastAsia="Arial" w:hAnsi="Arial"/>
            <w:sz w:val="16"/>
            <w:szCs w:val="16"/>
            <w:u w:val="single" w:color="auto"/>
            <w:color w:val="0000EE"/>
          </w:rPr>
          <w:t>Form of Stock Option Agreement for 2008 Stock Incentive Plan — Executive (2014) (incorporated by reference</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to Exhibit 10.43 to EchoStar Corporation’s Annual Report on Form 10-K for the year ended December 31,</w:t>
        </w:r>
      </w:hyperlink>
      <w:r>
        <w:rPr>
          <w:rFonts w:ascii="Arial" w:cs="Arial" w:eastAsia="Arial" w:hAnsi="Arial"/>
          <w:sz w:val="16"/>
          <w:szCs w:val="16"/>
          <w:u w:val="single" w:color="auto"/>
          <w:color w:val="0000EE"/>
        </w:rPr>
        <w:t xml:space="preserve"> </w:t>
      </w:r>
      <w:hyperlink r:id="rId186">
        <w:r>
          <w:rPr>
            <w:rFonts w:ascii="Arial" w:cs="Arial" w:eastAsia="Arial" w:hAnsi="Arial"/>
            <w:sz w:val="16"/>
            <w:szCs w:val="16"/>
            <w:u w:val="single" w:color="auto"/>
            <w:color w:val="0000EE"/>
          </w:rPr>
          <w:t>2015, filed February 24, 2016, Commission File No. 001-33807). **</w:t>
        </w:r>
      </w:hyperlink>
    </w:p>
    <w:p>
      <w:pPr>
        <w:spacing w:after="0" w:line="163" w:lineRule="exact"/>
        <w:rPr>
          <w:rFonts w:ascii="Arial" w:cs="Arial" w:eastAsia="Arial" w:hAnsi="Arial"/>
          <w:sz w:val="16"/>
          <w:szCs w:val="16"/>
          <w:u w:val="single" w:color="auto"/>
          <w:color w:val="0000EE"/>
        </w:rPr>
      </w:pPr>
    </w:p>
    <w:p>
      <w:pPr>
        <w:ind w:left="1020" w:right="9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10.10*</w:t>
      </w:r>
      <w:r>
        <w:rPr>
          <w:sz w:val="20"/>
          <w:szCs w:val="20"/>
          <w:color w:val="auto"/>
        </w:rPr>
        <w:tab/>
      </w:r>
      <w:hyperlink r:id="rId187">
        <w:r>
          <w:rPr>
            <w:rFonts w:ascii="Arial" w:cs="Arial" w:eastAsia="Arial" w:hAnsi="Arial"/>
            <w:sz w:val="16"/>
            <w:szCs w:val="16"/>
            <w:u w:val="single" w:color="auto"/>
            <w:color w:val="0000EE"/>
          </w:rPr>
          <w:t>Form of Non-Employee Director Stock Option Agreement for 2008 Non-Employee Director Stock Option Plan</w:t>
        </w:r>
      </w:hyperlink>
      <w:r>
        <w:rPr>
          <w:rFonts w:ascii="Arial" w:cs="Arial" w:eastAsia="Arial" w:hAnsi="Arial"/>
          <w:sz w:val="16"/>
          <w:szCs w:val="16"/>
          <w:u w:val="single" w:color="auto"/>
          <w:color w:val="0000EE"/>
        </w:rPr>
        <w:t xml:space="preserve"> </w:t>
      </w:r>
      <w:hyperlink r:id="rId187">
        <w:r>
          <w:rPr>
            <w:rFonts w:ascii="Arial" w:cs="Arial" w:eastAsia="Arial" w:hAnsi="Arial"/>
            <w:sz w:val="16"/>
            <w:szCs w:val="16"/>
            <w:u w:val="single" w:color="auto"/>
            <w:color w:val="0000EE"/>
          </w:rPr>
          <w:t>(incorporated by reference to Exhibit 10.44 to EchoStar Corporation’s Annual Report on Form 10-K for the year</w:t>
        </w:r>
      </w:hyperlink>
      <w:r>
        <w:rPr>
          <w:rFonts w:ascii="Arial" w:cs="Arial" w:eastAsia="Arial" w:hAnsi="Arial"/>
          <w:sz w:val="16"/>
          <w:szCs w:val="16"/>
          <w:u w:val="single" w:color="auto"/>
          <w:color w:val="0000EE"/>
        </w:rPr>
        <w:t xml:space="preserve"> </w:t>
      </w:r>
      <w:hyperlink r:id="rId187">
        <w:r>
          <w:rPr>
            <w:rFonts w:ascii="Arial" w:cs="Arial" w:eastAsia="Arial" w:hAnsi="Arial"/>
            <w:sz w:val="16"/>
            <w:szCs w:val="16"/>
            <w:u w:val="single" w:color="auto"/>
            <w:color w:val="0000EE"/>
          </w:rPr>
          <w:t>ended December 31, 2015, filed February 24, 2016, Commission File No. 001-33807). **</w:t>
        </w:r>
      </w:hyperlink>
    </w:p>
    <w:p>
      <w:pPr>
        <w:spacing w:after="0" w:line="163" w:lineRule="exact"/>
        <w:rPr>
          <w:rFonts w:ascii="Arial" w:cs="Arial" w:eastAsia="Arial" w:hAnsi="Arial"/>
          <w:sz w:val="16"/>
          <w:szCs w:val="16"/>
          <w:u w:val="single" w:color="auto"/>
          <w:color w:val="0000EE"/>
        </w:rPr>
      </w:pPr>
    </w:p>
    <w:p>
      <w:pPr>
        <w:ind w:left="1020" w:right="99" w:hanging="825"/>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10.11*</w:t>
      </w:r>
      <w:r>
        <w:rPr>
          <w:sz w:val="20"/>
          <w:szCs w:val="20"/>
          <w:color w:val="auto"/>
        </w:rPr>
        <w:tab/>
      </w:r>
      <w:hyperlink r:id="rId188">
        <w:r>
          <w:rPr>
            <w:rFonts w:ascii="Arial" w:cs="Arial" w:eastAsia="Arial" w:hAnsi="Arial"/>
            <w:sz w:val="16"/>
            <w:szCs w:val="16"/>
            <w:u w:val="single" w:color="auto"/>
            <w:color w:val="0000EE"/>
          </w:rPr>
          <w:t>Form of Restricted Stock Unit Agreement for 2008 Stock Incentive Plan — Executive or Director (2011)</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(incorporated by reference to Exhibit 10.45 to EchoStar Corporation’s Annual Report on Form 10-K for the year</w:t>
        </w:r>
      </w:hyperlink>
      <w:r>
        <w:rPr>
          <w:rFonts w:ascii="Arial" w:cs="Arial" w:eastAsia="Arial" w:hAnsi="Arial"/>
          <w:sz w:val="16"/>
          <w:szCs w:val="16"/>
          <w:u w:val="single" w:color="auto"/>
          <w:color w:val="0000EE"/>
        </w:rPr>
        <w:t xml:space="preserve"> </w:t>
      </w:r>
      <w:hyperlink r:id="rId188">
        <w:r>
          <w:rPr>
            <w:rFonts w:ascii="Arial" w:cs="Arial" w:eastAsia="Arial" w:hAnsi="Arial"/>
            <w:sz w:val="16"/>
            <w:szCs w:val="16"/>
            <w:u w:val="single" w:color="auto"/>
            <w:color w:val="0000EE"/>
          </w:rPr>
          <w:t>ended December 31, 2015, filed February 24, 2016, Commission File No. 001-33807).**</w:t>
        </w:r>
      </w:hyperlink>
    </w:p>
    <w:p>
      <w:pPr>
        <w:spacing w:after="0" w:line="163"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right="719" w:hanging="831"/>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10.12*</w:t>
      </w:r>
      <w:r>
        <w:rPr>
          <w:sz w:val="20"/>
          <w:szCs w:val="20"/>
          <w:color w:val="auto"/>
        </w:rPr>
        <w:tab/>
      </w:r>
      <w:hyperlink r:id="rId190">
        <w:r>
          <w:rPr>
            <w:rFonts w:ascii="Arial" w:cs="Arial" w:eastAsia="Arial" w:hAnsi="Arial"/>
            <w:sz w:val="16"/>
            <w:szCs w:val="16"/>
            <w:u w:val="single" w:color="auto"/>
            <w:color w:val="0000EE"/>
          </w:rPr>
          <w:t>EchoStar Corporation 2017 Stock Incentive Plan (incorporated by reference to EchoStar Corporation’s</w:t>
        </w:r>
      </w:hyperlink>
      <w:r>
        <w:rPr>
          <w:rFonts w:ascii="Arial" w:cs="Arial" w:eastAsia="Arial" w:hAnsi="Arial"/>
          <w:sz w:val="16"/>
          <w:szCs w:val="16"/>
          <w:u w:val="single" w:color="auto"/>
          <w:color w:val="0000EE"/>
        </w:rPr>
        <w:t xml:space="preserve"> </w:t>
      </w:r>
      <w:hyperlink r:id="rId190">
        <w:r>
          <w:rPr>
            <w:rFonts w:ascii="Arial" w:cs="Arial" w:eastAsia="Arial" w:hAnsi="Arial"/>
            <w:sz w:val="16"/>
            <w:szCs w:val="16"/>
            <w:u w:val="single" w:color="auto"/>
            <w:color w:val="0000EE"/>
          </w:rPr>
          <w:t>Definitive Proxy Statement on Form 14, filed March 23, 2017, Commission File No. 001-33807).**</w:t>
        </w:r>
      </w:hyperlink>
    </w:p>
    <w:p>
      <w:pPr>
        <w:spacing w:after="0" w:line="146" w:lineRule="exact"/>
        <w:rPr>
          <w:sz w:val="20"/>
          <w:szCs w:val="20"/>
          <w:color w:val="auto"/>
        </w:rPr>
      </w:pPr>
    </w:p>
    <w:p>
      <w:pPr>
        <w:ind w:left="1020" w:right="39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10.13*</w:t>
      </w:r>
      <w:r>
        <w:rPr>
          <w:sz w:val="20"/>
          <w:szCs w:val="20"/>
          <w:color w:val="auto"/>
        </w:rPr>
        <w:tab/>
      </w:r>
      <w:hyperlink r:id="rId190">
        <w:r>
          <w:rPr>
            <w:rFonts w:ascii="Arial" w:cs="Arial" w:eastAsia="Arial" w:hAnsi="Arial"/>
            <w:sz w:val="16"/>
            <w:szCs w:val="16"/>
            <w:u w:val="single" w:color="auto"/>
            <w:color w:val="0000EE"/>
          </w:rPr>
          <w:t>EchoStar Corporation 2017 Non-Employee Director Stock Incentive Plan (incorporated by reference to</w:t>
        </w:r>
      </w:hyperlink>
      <w:r>
        <w:rPr>
          <w:rFonts w:ascii="Arial" w:cs="Arial" w:eastAsia="Arial" w:hAnsi="Arial"/>
          <w:sz w:val="16"/>
          <w:szCs w:val="16"/>
          <w:u w:val="single" w:color="auto"/>
          <w:color w:val="0000EE"/>
        </w:rPr>
        <w:t xml:space="preserve"> </w:t>
      </w:r>
      <w:hyperlink r:id="rId190">
        <w:r>
          <w:rPr>
            <w:rFonts w:ascii="Arial" w:cs="Arial" w:eastAsia="Arial" w:hAnsi="Arial"/>
            <w:sz w:val="16"/>
            <w:szCs w:val="16"/>
            <w:u w:val="single" w:color="auto"/>
            <w:color w:val="0000EE"/>
          </w:rPr>
          <w:t>EchoStar Corporation’s Definitive Proxy Statement on Form 14, filed March 23, 2017, Commission File No.</w:t>
        </w:r>
      </w:hyperlink>
      <w:r>
        <w:rPr>
          <w:rFonts w:ascii="Arial" w:cs="Arial" w:eastAsia="Arial" w:hAnsi="Arial"/>
          <w:sz w:val="16"/>
          <w:szCs w:val="16"/>
          <w:u w:val="single" w:color="auto"/>
          <w:color w:val="0000EE"/>
        </w:rPr>
        <w:t xml:space="preserve"> </w:t>
      </w:r>
      <w:hyperlink r:id="rId190">
        <w:r>
          <w:rPr>
            <w:rFonts w:ascii="Arial" w:cs="Arial" w:eastAsia="Arial" w:hAnsi="Arial"/>
            <w:sz w:val="16"/>
            <w:szCs w:val="16"/>
            <w:u w:val="single" w:color="auto"/>
            <w:color w:val="0000EE"/>
          </w:rPr>
          <w:t>001-33807).**</w:t>
        </w:r>
      </w:hyperlink>
    </w:p>
    <w:p>
      <w:pPr>
        <w:spacing w:after="0" w:line="163" w:lineRule="exact"/>
        <w:rPr>
          <w:rFonts w:ascii="Arial" w:cs="Arial" w:eastAsia="Arial" w:hAnsi="Arial"/>
          <w:sz w:val="16"/>
          <w:szCs w:val="16"/>
          <w:u w:val="single" w:color="auto"/>
          <w:color w:val="0000EE"/>
        </w:rPr>
      </w:pPr>
    </w:p>
    <w:p>
      <w:pPr>
        <w:ind w:left="1020" w:right="7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10.14*</w:t>
      </w:r>
      <w:r>
        <w:rPr>
          <w:sz w:val="20"/>
          <w:szCs w:val="20"/>
          <w:color w:val="auto"/>
        </w:rPr>
        <w:tab/>
      </w:r>
      <w:hyperlink r:id="rId190">
        <w:r>
          <w:rPr>
            <w:rFonts w:ascii="Arial" w:cs="Arial" w:eastAsia="Arial" w:hAnsi="Arial"/>
            <w:sz w:val="16"/>
            <w:szCs w:val="16"/>
            <w:u w:val="single" w:color="auto"/>
            <w:color w:val="0000EE"/>
          </w:rPr>
          <w:t>Amended and Restated EchoStar Corporation 2017 Employee Stock Purchase Plan (incorporated by reference</w:t>
        </w:r>
      </w:hyperlink>
      <w:r>
        <w:rPr>
          <w:rFonts w:ascii="Arial" w:cs="Arial" w:eastAsia="Arial" w:hAnsi="Arial"/>
          <w:sz w:val="16"/>
          <w:szCs w:val="16"/>
          <w:u w:val="single" w:color="auto"/>
          <w:color w:val="0000EE"/>
        </w:rPr>
        <w:t xml:space="preserve"> </w:t>
      </w:r>
      <w:hyperlink r:id="rId190">
        <w:r>
          <w:rPr>
            <w:rFonts w:ascii="Arial" w:cs="Arial" w:eastAsia="Arial" w:hAnsi="Arial"/>
            <w:sz w:val="16"/>
            <w:szCs w:val="16"/>
            <w:u w:val="single" w:color="auto"/>
            <w:color w:val="0000EE"/>
          </w:rPr>
          <w:t>to EchoStar Corporation’s Definitive Proxy Statement on Form 14, filed March 23, 2017, Commission File No.</w:t>
        </w:r>
      </w:hyperlink>
      <w:r>
        <w:rPr>
          <w:rFonts w:ascii="Arial" w:cs="Arial" w:eastAsia="Arial" w:hAnsi="Arial"/>
          <w:sz w:val="16"/>
          <w:szCs w:val="16"/>
          <w:u w:val="single" w:color="auto"/>
          <w:color w:val="0000EE"/>
        </w:rPr>
        <w:t xml:space="preserve"> </w:t>
      </w:r>
      <w:hyperlink r:id="rId190">
        <w:r>
          <w:rPr>
            <w:rFonts w:ascii="Arial" w:cs="Arial" w:eastAsia="Arial" w:hAnsi="Arial"/>
            <w:sz w:val="16"/>
            <w:szCs w:val="16"/>
            <w:u w:val="single" w:color="auto"/>
            <w:color w:val="0000EE"/>
          </w:rPr>
          <w:t>001-33807).**</w:t>
        </w:r>
      </w:hyperlink>
    </w:p>
    <w:p>
      <w:pPr>
        <w:spacing w:after="0" w:line="163" w:lineRule="exact"/>
        <w:rPr>
          <w:rFonts w:ascii="Arial" w:cs="Arial" w:eastAsia="Arial" w:hAnsi="Arial"/>
          <w:sz w:val="16"/>
          <w:szCs w:val="16"/>
          <w:u w:val="single" w:color="auto"/>
          <w:color w:val="0000EE"/>
        </w:rPr>
      </w:pPr>
    </w:p>
    <w:p>
      <w:pPr>
        <w:ind w:left="1020" w:right="179" w:hanging="831"/>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10.15*</w:t>
      </w:r>
      <w:r>
        <w:rPr>
          <w:sz w:val="20"/>
          <w:szCs w:val="20"/>
          <w:color w:val="auto"/>
        </w:rPr>
        <w:tab/>
      </w:r>
      <w:hyperlink r:id="rId191">
        <w:r>
          <w:rPr>
            <w:rFonts w:ascii="Arial" w:cs="Arial" w:eastAsia="Arial" w:hAnsi="Arial"/>
            <w:sz w:val="16"/>
            <w:szCs w:val="16"/>
            <w:u w:val="single" w:color="auto"/>
            <w:color w:val="0000EE"/>
          </w:rPr>
          <w:t>Amendment No. 1 to EchoStar Corporation 2017 Amended and Restated Employee Stock Purchase Plan</w:t>
        </w:r>
      </w:hyperlink>
      <w:r>
        <w:rPr>
          <w:rFonts w:ascii="Arial" w:cs="Arial" w:eastAsia="Arial" w:hAnsi="Arial"/>
          <w:sz w:val="16"/>
          <w:szCs w:val="16"/>
          <w:u w:val="single" w:color="auto"/>
          <w:color w:val="0000EE"/>
        </w:rPr>
        <w:t xml:space="preserve"> </w:t>
      </w:r>
      <w:hyperlink r:id="rId191">
        <w:r>
          <w:rPr>
            <w:rFonts w:ascii="Arial" w:cs="Arial" w:eastAsia="Arial" w:hAnsi="Arial"/>
            <w:sz w:val="16"/>
            <w:szCs w:val="16"/>
            <w:u w:val="single" w:color="auto"/>
            <w:color w:val="0000EE"/>
          </w:rPr>
          <w:t>dated October 20, 2022 (incorporated by reference to Exhibit 10.5 to EchoStar Corporation’s Quarterly Report</w:t>
        </w:r>
      </w:hyperlink>
      <w:r>
        <w:rPr>
          <w:rFonts w:ascii="Arial" w:cs="Arial" w:eastAsia="Arial" w:hAnsi="Arial"/>
          <w:sz w:val="16"/>
          <w:szCs w:val="16"/>
          <w:u w:val="single" w:color="auto"/>
          <w:color w:val="0000EE"/>
        </w:rPr>
        <w:t xml:space="preserve"> </w:t>
      </w:r>
      <w:hyperlink r:id="rId191">
        <w:r>
          <w:rPr>
            <w:rFonts w:ascii="Arial" w:cs="Arial" w:eastAsia="Arial" w:hAnsi="Arial"/>
            <w:sz w:val="16"/>
            <w:szCs w:val="16"/>
            <w:u w:val="single" w:color="auto"/>
            <w:color w:val="0000EE"/>
          </w:rPr>
          <w:t>on Form 10-Q for the quarter ended September 30, 2022, filed November 3, 2022, Commission File No. 001-</w:t>
        </w:r>
      </w:hyperlink>
      <w:hyperlink r:id="rId191">
        <w:r>
          <w:rPr>
            <w:rFonts w:ascii="Arial" w:cs="Arial" w:eastAsia="Arial" w:hAnsi="Arial"/>
            <w:sz w:val="16"/>
            <w:szCs w:val="16"/>
            <w:u w:val="single" w:color="auto"/>
            <w:color w:val="0000EE"/>
          </w:rPr>
          <w:t>33807)**</w:t>
        </w:r>
      </w:hyperlink>
    </w:p>
    <w:p>
      <w:pPr>
        <w:spacing w:after="0" w:line="167" w:lineRule="exact"/>
        <w:rPr>
          <w:rFonts w:ascii="Arial" w:cs="Arial" w:eastAsia="Arial" w:hAnsi="Arial"/>
          <w:sz w:val="16"/>
          <w:szCs w:val="16"/>
          <w:u w:val="single" w:color="auto"/>
          <w:color w:val="0000EE"/>
        </w:rPr>
      </w:pPr>
    </w:p>
    <w:p>
      <w:pPr>
        <w:ind w:left="1020" w:right="13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10.16*</w:t>
      </w:r>
      <w:r>
        <w:rPr>
          <w:sz w:val="20"/>
          <w:szCs w:val="20"/>
          <w:color w:val="auto"/>
        </w:rPr>
        <w:tab/>
      </w:r>
      <w:hyperlink r:id="rId192">
        <w:r>
          <w:rPr>
            <w:rFonts w:ascii="Arial" w:cs="Arial" w:eastAsia="Arial" w:hAnsi="Arial"/>
            <w:sz w:val="16"/>
            <w:szCs w:val="16"/>
            <w:u w:val="single" w:color="auto"/>
            <w:color w:val="0000EE"/>
          </w:rPr>
          <w:t>EchoStar Non-Qualified Plan -- Executive Plan and Adoption Agreement, as amended (incorporated by</w:t>
        </w:r>
      </w:hyperlink>
      <w:r>
        <w:rPr>
          <w:rFonts w:ascii="Arial" w:cs="Arial" w:eastAsia="Arial" w:hAnsi="Arial"/>
          <w:sz w:val="16"/>
          <w:szCs w:val="16"/>
          <w:u w:val="single" w:color="auto"/>
          <w:color w:val="0000EE"/>
        </w:rPr>
        <w:t xml:space="preserve"> </w:t>
      </w:r>
      <w:hyperlink r:id="rId192">
        <w:r>
          <w:rPr>
            <w:rFonts w:ascii="Arial" w:cs="Arial" w:eastAsia="Arial" w:hAnsi="Arial"/>
            <w:sz w:val="16"/>
            <w:szCs w:val="16"/>
            <w:u w:val="single" w:color="auto"/>
            <w:color w:val="0000EE"/>
          </w:rPr>
          <w:t>reference to Exhibit 10.1 to EchoStar Corporation’s Quarterly Report on Form 10-Q for the quarter ended June</w:t>
        </w:r>
      </w:hyperlink>
      <w:r>
        <w:rPr>
          <w:rFonts w:ascii="Arial" w:cs="Arial" w:eastAsia="Arial" w:hAnsi="Arial"/>
          <w:sz w:val="16"/>
          <w:szCs w:val="16"/>
          <w:u w:val="single" w:color="auto"/>
          <w:color w:val="0000EE"/>
        </w:rPr>
        <w:t xml:space="preserve"> </w:t>
      </w:r>
      <w:hyperlink r:id="rId192">
        <w:r>
          <w:rPr>
            <w:rFonts w:ascii="Arial" w:cs="Arial" w:eastAsia="Arial" w:hAnsi="Arial"/>
            <w:sz w:val="16"/>
            <w:szCs w:val="16"/>
            <w:u w:val="single" w:color="auto"/>
            <w:color w:val="0000EE"/>
          </w:rPr>
          <w:t>30, 2017, filed August 9, 2017, Commission File No. 001-33807).**</w:t>
        </w:r>
      </w:hyperlink>
    </w:p>
    <w:p>
      <w:pPr>
        <w:spacing w:after="0" w:line="163" w:lineRule="exact"/>
        <w:rPr>
          <w:rFonts w:ascii="Arial" w:cs="Arial" w:eastAsia="Arial" w:hAnsi="Arial"/>
          <w:sz w:val="16"/>
          <w:szCs w:val="16"/>
          <w:u w:val="single" w:color="auto"/>
          <w:color w:val="0000EE"/>
        </w:rPr>
      </w:pPr>
    </w:p>
    <w:p>
      <w:pPr>
        <w:jc w:val="both"/>
        <w:ind w:left="1020" w:right="27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10.17*</w:t>
      </w:r>
      <w:r>
        <w:rPr>
          <w:sz w:val="20"/>
          <w:szCs w:val="20"/>
          <w:color w:val="auto"/>
        </w:rPr>
        <w:tab/>
      </w:r>
      <w:hyperlink r:id="rId193">
        <w:r>
          <w:rPr>
            <w:rFonts w:ascii="Arial" w:cs="Arial" w:eastAsia="Arial" w:hAnsi="Arial"/>
            <w:sz w:val="16"/>
            <w:szCs w:val="16"/>
            <w:u w:val="single" w:color="auto"/>
            <w:color w:val="0000EE"/>
          </w:rPr>
          <w:t>Form of Stock Option Agreement for the EchoStar Corporation 2017 Stock Incentive Plan - Employee (2017)</w:t>
        </w:r>
      </w:hyperlink>
      <w:r>
        <w:rPr>
          <w:rFonts w:ascii="Arial" w:cs="Arial" w:eastAsia="Arial" w:hAnsi="Arial"/>
          <w:sz w:val="16"/>
          <w:szCs w:val="16"/>
          <w:u w:val="single" w:color="auto"/>
          <w:color w:val="0000EE"/>
        </w:rPr>
        <w:t xml:space="preserve"> </w:t>
      </w:r>
      <w:hyperlink r:id="rId193">
        <w:r>
          <w:rPr>
            <w:rFonts w:ascii="Arial" w:cs="Arial" w:eastAsia="Arial" w:hAnsi="Arial"/>
            <w:sz w:val="16"/>
            <w:szCs w:val="16"/>
            <w:u w:val="single" w:color="auto"/>
            <w:color w:val="0000EE"/>
          </w:rPr>
          <w:t>(incorporated by reference to Exhibit 10.2 to EchoStar Corporation’s Quarterly Report on Form 10-Q for the</w:t>
        </w:r>
      </w:hyperlink>
      <w:r>
        <w:rPr>
          <w:rFonts w:ascii="Arial" w:cs="Arial" w:eastAsia="Arial" w:hAnsi="Arial"/>
          <w:sz w:val="16"/>
          <w:szCs w:val="16"/>
          <w:u w:val="single" w:color="auto"/>
          <w:color w:val="0000EE"/>
        </w:rPr>
        <w:t xml:space="preserve"> </w:t>
      </w:r>
      <w:hyperlink r:id="rId193">
        <w:r>
          <w:rPr>
            <w:rFonts w:ascii="Arial" w:cs="Arial" w:eastAsia="Arial" w:hAnsi="Arial"/>
            <w:sz w:val="16"/>
            <w:szCs w:val="16"/>
            <w:u w:val="single" w:color="auto"/>
            <w:color w:val="0000EE"/>
          </w:rPr>
          <w:t>quarter ended June 30, 2017, filed August 9, 2017, Commission File No. 001-33807).**</w:t>
        </w:r>
      </w:hyperlink>
    </w:p>
    <w:p>
      <w:pPr>
        <w:spacing w:after="0" w:line="163" w:lineRule="exact"/>
        <w:rPr>
          <w:rFonts w:ascii="Arial" w:cs="Arial" w:eastAsia="Arial" w:hAnsi="Arial"/>
          <w:sz w:val="16"/>
          <w:szCs w:val="16"/>
          <w:u w:val="single" w:color="auto"/>
          <w:color w:val="0000EE"/>
        </w:rPr>
      </w:pPr>
    </w:p>
    <w:p>
      <w:pPr>
        <w:jc w:val="both"/>
        <w:ind w:left="1020" w:right="27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10.18*</w:t>
      </w:r>
      <w:r>
        <w:rPr>
          <w:sz w:val="20"/>
          <w:szCs w:val="20"/>
          <w:color w:val="auto"/>
        </w:rPr>
        <w:tab/>
      </w:r>
      <w:hyperlink r:id="rId194">
        <w:r>
          <w:rPr>
            <w:rFonts w:ascii="Arial" w:cs="Arial" w:eastAsia="Arial" w:hAnsi="Arial"/>
            <w:sz w:val="16"/>
            <w:szCs w:val="16"/>
            <w:u w:val="single" w:color="auto"/>
            <w:color w:val="0000EE"/>
          </w:rPr>
          <w:t>Form of Stock Option Agreement for the EchoStar Corporation 2017 Stock Incentive Plan - Executive (2017)</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(incorporated by reference to Exhibit 10.3 to EchoStar Corporation’s Quarterly Report on Form 10-Q for the</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quarter ended June 30, 2017, filed August 9, 2017, Commission File No. 001-33807). **</w:t>
        </w:r>
      </w:hyperlink>
    </w:p>
    <w:p>
      <w:pPr>
        <w:spacing w:after="0" w:line="163" w:lineRule="exact"/>
        <w:rPr>
          <w:rFonts w:ascii="Arial" w:cs="Arial" w:eastAsia="Arial" w:hAnsi="Arial"/>
          <w:sz w:val="16"/>
          <w:szCs w:val="16"/>
          <w:u w:val="single" w:color="auto"/>
          <w:color w:val="0000EE"/>
        </w:rPr>
      </w:pPr>
    </w:p>
    <w:p>
      <w:pPr>
        <w:jc w:val="both"/>
        <w:ind w:left="1020" w:right="319" w:hanging="831"/>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10.19*</w:t>
      </w:r>
      <w:r>
        <w:rPr>
          <w:sz w:val="20"/>
          <w:szCs w:val="20"/>
          <w:color w:val="auto"/>
        </w:rPr>
        <w:tab/>
      </w:r>
      <w:hyperlink r:id="rId195">
        <w:r>
          <w:rPr>
            <w:rFonts w:ascii="Arial" w:cs="Arial" w:eastAsia="Arial" w:hAnsi="Arial"/>
            <w:sz w:val="16"/>
            <w:szCs w:val="16"/>
            <w:u w:val="single" w:color="auto"/>
            <w:color w:val="0000EE"/>
          </w:rPr>
          <w:t>Form of Non-Employee Director Stock Option Agreement for the EchoStar Corporation 2017 Non-Employee</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Director Stock Incentive Plan (incorporated by reference to Exhibit 10.4 to EchoStar Corporation’s Quarterly</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Report on Form 10-Q for the quarter ended June 30, 2017, filed August 9, 2017, Commission File No. 001-</w:t>
        </w:r>
      </w:hyperlink>
      <w:hyperlink r:id="rId195">
        <w:r>
          <w:rPr>
            <w:rFonts w:ascii="Arial" w:cs="Arial" w:eastAsia="Arial" w:hAnsi="Arial"/>
            <w:sz w:val="16"/>
            <w:szCs w:val="16"/>
            <w:u w:val="single" w:color="auto"/>
            <w:color w:val="0000EE"/>
          </w:rPr>
          <w:t>33807).**</w:t>
        </w:r>
      </w:hyperlink>
    </w:p>
    <w:p>
      <w:pPr>
        <w:spacing w:after="0" w:line="167" w:lineRule="exact"/>
        <w:rPr>
          <w:rFonts w:ascii="Arial" w:cs="Arial" w:eastAsia="Arial" w:hAnsi="Arial"/>
          <w:sz w:val="16"/>
          <w:szCs w:val="16"/>
          <w:u w:val="single" w:color="auto"/>
          <w:color w:val="0000EE"/>
        </w:rPr>
      </w:pPr>
    </w:p>
    <w:p>
      <w:pPr>
        <w:jc w:val="both"/>
        <w:ind w:left="1020" w:right="13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10.20*</w:t>
      </w:r>
      <w:r>
        <w:rPr>
          <w:sz w:val="20"/>
          <w:szCs w:val="20"/>
          <w:color w:val="auto"/>
        </w:rPr>
        <w:tab/>
      </w:r>
      <w:hyperlink r:id="rId196">
        <w:r>
          <w:rPr>
            <w:rFonts w:ascii="Arial" w:cs="Arial" w:eastAsia="Arial" w:hAnsi="Arial"/>
            <w:sz w:val="16"/>
            <w:szCs w:val="16"/>
            <w:u w:val="single" w:color="auto"/>
            <w:color w:val="0000EE"/>
          </w:rPr>
          <w:t>Form of Restricted Stock Unit Agreement for the EchoStar Corporation 2017 Stock Incentive Plan - Executive</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(2017) (incorporated by reference to Exhibit 10.5 to EchoStar Corporation’s Quarterly Report on Form 10-Q for</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the quarter ended June 30, 2017, filed August 9, 2017, Commission File No. 001-33807).**</w:t>
        </w:r>
      </w:hyperlink>
    </w:p>
    <w:p>
      <w:pPr>
        <w:spacing w:after="0" w:line="163" w:lineRule="exact"/>
        <w:rPr>
          <w:rFonts w:ascii="Arial" w:cs="Arial" w:eastAsia="Arial" w:hAnsi="Arial"/>
          <w:sz w:val="16"/>
          <w:szCs w:val="16"/>
          <w:u w:val="single" w:color="auto"/>
          <w:color w:val="0000EE"/>
        </w:rPr>
      </w:pPr>
    </w:p>
    <w:p>
      <w:pPr>
        <w:ind w:left="1020" w:right="15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10.21*</w:t>
      </w:r>
      <w:r>
        <w:rPr>
          <w:sz w:val="20"/>
          <w:szCs w:val="20"/>
          <w:color w:val="auto"/>
        </w:rPr>
        <w:tab/>
      </w:r>
      <w:hyperlink r:id="rId197">
        <w:r>
          <w:rPr>
            <w:rFonts w:ascii="Arial" w:cs="Arial" w:eastAsia="Arial" w:hAnsi="Arial"/>
            <w:sz w:val="16"/>
            <w:szCs w:val="16"/>
            <w:u w:val="single" w:color="auto"/>
            <w:color w:val="0000EE"/>
          </w:rPr>
          <w:t>Form of Stock Option Agreement for the EchoStar Corporation 2017 Stock Incentive Plan — Employee (2022)</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(incorporated by reference to Exhibit 10.1 to EchoStar Corporation’s Quarterly Report on Form 10-Q for the</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quarter ended September 30, 2022, filed November 3, 2022, Commission File No. 001-33807)**</w:t>
        </w:r>
      </w:hyperlink>
    </w:p>
    <w:p>
      <w:pPr>
        <w:spacing w:after="0" w:line="163" w:lineRule="exact"/>
        <w:rPr>
          <w:rFonts w:ascii="Arial" w:cs="Arial" w:eastAsia="Arial" w:hAnsi="Arial"/>
          <w:sz w:val="16"/>
          <w:szCs w:val="16"/>
          <w:u w:val="single" w:color="auto"/>
          <w:color w:val="0000EE"/>
        </w:rPr>
      </w:pPr>
    </w:p>
    <w:p>
      <w:pPr>
        <w:ind w:left="1020" w:right="17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10.22*</w:t>
      </w:r>
      <w:r>
        <w:rPr>
          <w:sz w:val="20"/>
          <w:szCs w:val="20"/>
          <w:color w:val="auto"/>
        </w:rPr>
        <w:tab/>
      </w:r>
      <w:hyperlink r:id="rId198">
        <w:r>
          <w:rPr>
            <w:rFonts w:ascii="Arial" w:cs="Arial" w:eastAsia="Arial" w:hAnsi="Arial"/>
            <w:sz w:val="16"/>
            <w:szCs w:val="16"/>
            <w:u w:val="single" w:color="auto"/>
            <w:color w:val="0000EE"/>
          </w:rPr>
          <w:t>Form of Stock Option Agreement for the EchoStar Corporation 2017 Stock Incentive Plan — Executive (2022)</w:t>
        </w:r>
      </w:hyperlink>
      <w:r>
        <w:rPr>
          <w:rFonts w:ascii="Arial" w:cs="Arial" w:eastAsia="Arial" w:hAnsi="Arial"/>
          <w:sz w:val="16"/>
          <w:szCs w:val="16"/>
          <w:u w:val="single" w:color="auto"/>
          <w:color w:val="0000EE"/>
        </w:rPr>
        <w:t xml:space="preserve"> </w:t>
      </w:r>
      <w:hyperlink r:id="rId198">
        <w:r>
          <w:rPr>
            <w:rFonts w:ascii="Arial" w:cs="Arial" w:eastAsia="Arial" w:hAnsi="Arial"/>
            <w:sz w:val="16"/>
            <w:szCs w:val="16"/>
            <w:u w:val="single" w:color="auto"/>
            <w:color w:val="0000EE"/>
          </w:rPr>
          <w:t>(incorporated by reference to Exhibit 10.2 to EchoStar Corporation’s Quarterly Report on Form 10-Q for the</w:t>
        </w:r>
      </w:hyperlink>
      <w:r>
        <w:rPr>
          <w:rFonts w:ascii="Arial" w:cs="Arial" w:eastAsia="Arial" w:hAnsi="Arial"/>
          <w:sz w:val="16"/>
          <w:szCs w:val="16"/>
          <w:u w:val="single" w:color="auto"/>
          <w:color w:val="0000EE"/>
        </w:rPr>
        <w:t xml:space="preserve"> </w:t>
      </w:r>
      <w:hyperlink r:id="rId198">
        <w:r>
          <w:rPr>
            <w:rFonts w:ascii="Arial" w:cs="Arial" w:eastAsia="Arial" w:hAnsi="Arial"/>
            <w:sz w:val="16"/>
            <w:szCs w:val="16"/>
            <w:u w:val="single" w:color="auto"/>
            <w:color w:val="0000EE"/>
          </w:rPr>
          <w:t>quarter ended September 30, 2022, filed November 3, 2022, Commission File No. 001-33807) **</w:t>
        </w:r>
      </w:hyperlink>
    </w:p>
    <w:p>
      <w:pPr>
        <w:spacing w:after="0" w:line="163"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right="319" w:hanging="831"/>
        <w:spacing w:after="0" w:line="281"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10.23*</w:t>
      </w:r>
      <w:r>
        <w:rPr>
          <w:sz w:val="20"/>
          <w:szCs w:val="20"/>
          <w:color w:val="auto"/>
        </w:rPr>
        <w:tab/>
      </w:r>
      <w:hyperlink r:id="rId200">
        <w:r>
          <w:rPr>
            <w:rFonts w:ascii="Arial" w:cs="Arial" w:eastAsia="Arial" w:hAnsi="Arial"/>
            <w:sz w:val="16"/>
            <w:szCs w:val="16"/>
            <w:u w:val="single" w:color="auto"/>
            <w:color w:val="0000EE"/>
          </w:rPr>
          <w:t>Form of Non-Employee Director Stock Option Agreement for the EchoStar Corporation 2017 Non-Employee</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Director Stock Incentive Plan (2022) (incorporated by reference to Exhibit 10.3 to EchoStar Corporation’s</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Quarterly Report on Form 10-Q for the quarter ended September 30, 2022, filed November 3, 2022,</w:t>
        </w:r>
      </w:hyperlink>
      <w:r>
        <w:rPr>
          <w:rFonts w:ascii="Arial" w:cs="Arial" w:eastAsia="Arial" w:hAnsi="Arial"/>
          <w:sz w:val="16"/>
          <w:szCs w:val="16"/>
          <w:u w:val="single" w:color="auto"/>
          <w:color w:val="0000EE"/>
        </w:rPr>
        <w:t xml:space="preserve"> </w:t>
      </w:r>
      <w:hyperlink r:id="rId200">
        <w:r>
          <w:rPr>
            <w:rFonts w:ascii="Arial" w:cs="Arial" w:eastAsia="Arial" w:hAnsi="Arial"/>
            <w:sz w:val="16"/>
            <w:szCs w:val="16"/>
            <w:u w:val="single" w:color="auto"/>
            <w:color w:val="0000EE"/>
          </w:rPr>
          <w:t>Commission File No. 001-33807)**</w:t>
        </w:r>
      </w:hyperlink>
    </w:p>
    <w:p>
      <w:pPr>
        <w:spacing w:after="0" w:line="167" w:lineRule="exact"/>
        <w:rPr>
          <w:rFonts w:ascii="Arial" w:cs="Arial" w:eastAsia="Arial" w:hAnsi="Arial"/>
          <w:sz w:val="16"/>
          <w:szCs w:val="16"/>
          <w:u w:val="single" w:color="auto"/>
          <w:color w:val="0000EE"/>
        </w:rPr>
      </w:pPr>
    </w:p>
    <w:p>
      <w:pPr>
        <w:jc w:val="both"/>
        <w:ind w:left="1020" w:right="9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10.24*</w:t>
      </w:r>
      <w:r>
        <w:rPr>
          <w:sz w:val="20"/>
          <w:szCs w:val="20"/>
          <w:color w:val="auto"/>
        </w:rPr>
        <w:tab/>
      </w:r>
      <w:hyperlink r:id="rId201">
        <w:r>
          <w:rPr>
            <w:rFonts w:ascii="Arial" w:cs="Arial" w:eastAsia="Arial" w:hAnsi="Arial"/>
            <w:sz w:val="16"/>
            <w:szCs w:val="16"/>
            <w:u w:val="single" w:color="auto"/>
            <w:color w:val="0000EE"/>
          </w:rPr>
          <w:t>Form of Restricted Stock Unit Agreement for the EchoStar Corporation 2017 Stock Incentive Plan — Executive</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(2022) (incorporated by reference to Exhibit 10.4 to EchoStar Corporation’s Quarterly Report on Form 10-Q for</w:t>
        </w:r>
      </w:hyperlink>
      <w:r>
        <w:rPr>
          <w:rFonts w:ascii="Arial" w:cs="Arial" w:eastAsia="Arial" w:hAnsi="Arial"/>
          <w:sz w:val="16"/>
          <w:szCs w:val="16"/>
          <w:u w:val="single" w:color="auto"/>
          <w:color w:val="0000EE"/>
        </w:rPr>
        <w:t xml:space="preserve"> </w:t>
      </w:r>
      <w:hyperlink r:id="rId201">
        <w:r>
          <w:rPr>
            <w:rFonts w:ascii="Arial" w:cs="Arial" w:eastAsia="Arial" w:hAnsi="Arial"/>
            <w:sz w:val="16"/>
            <w:szCs w:val="16"/>
            <w:u w:val="single" w:color="auto"/>
            <w:color w:val="0000EE"/>
          </w:rPr>
          <w:t>the quarter ended September 30, 2022, filed November 3, 2022, Commission File No. 001-33807) **</w:t>
        </w:r>
      </w:hyperlink>
    </w:p>
    <w:p>
      <w:pPr>
        <w:spacing w:after="0" w:line="163" w:lineRule="exact"/>
        <w:rPr>
          <w:rFonts w:ascii="Arial" w:cs="Arial" w:eastAsia="Arial" w:hAnsi="Arial"/>
          <w:sz w:val="16"/>
          <w:szCs w:val="16"/>
          <w:u w:val="single" w:color="auto"/>
          <w:color w:val="0000EE"/>
        </w:rPr>
      </w:pPr>
    </w:p>
    <w:p>
      <w:pPr>
        <w:ind w:left="1020" w:right="33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10.25*</w:t>
      </w:r>
      <w:r>
        <w:rPr>
          <w:sz w:val="20"/>
          <w:szCs w:val="20"/>
          <w:color w:val="auto"/>
        </w:rPr>
        <w:tab/>
      </w:r>
      <w:hyperlink r:id="rId202">
        <w:r>
          <w:rPr>
            <w:rFonts w:ascii="Arial" w:cs="Arial" w:eastAsia="Arial" w:hAnsi="Arial"/>
            <w:sz w:val="16"/>
            <w:szCs w:val="16"/>
            <w:u w:val="single" w:color="auto"/>
            <w:color w:val="0000EE"/>
          </w:rPr>
          <w:t>Form of Stock Option Agreement for Hamid Akhavan (incorporated by reference to Exhibit 10.2 to EchoStar</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Corporation’s Quarterly Report on Form 10-Q for the quarter ended March 31, 2022, filed May 5, 2022,</w:t>
        </w:r>
      </w:hyperlink>
      <w:r>
        <w:rPr>
          <w:rFonts w:ascii="Arial" w:cs="Arial" w:eastAsia="Arial" w:hAnsi="Arial"/>
          <w:sz w:val="16"/>
          <w:szCs w:val="16"/>
          <w:u w:val="single" w:color="auto"/>
          <w:color w:val="0000EE"/>
        </w:rPr>
        <w:t xml:space="preserve"> </w:t>
      </w:r>
      <w:hyperlink r:id="rId202">
        <w:r>
          <w:rPr>
            <w:rFonts w:ascii="Arial" w:cs="Arial" w:eastAsia="Arial" w:hAnsi="Arial"/>
            <w:sz w:val="16"/>
            <w:szCs w:val="16"/>
            <w:u w:val="single" w:color="auto"/>
            <w:color w:val="0000EE"/>
          </w:rPr>
          <w:t>Commission File No. 001-33807)**</w:t>
        </w:r>
      </w:hyperlink>
    </w:p>
    <w:p>
      <w:pPr>
        <w:spacing w:after="0" w:line="163" w:lineRule="exact"/>
        <w:rPr>
          <w:rFonts w:ascii="Arial" w:cs="Arial" w:eastAsia="Arial" w:hAnsi="Arial"/>
          <w:sz w:val="16"/>
          <w:szCs w:val="16"/>
          <w:u w:val="single" w:color="auto"/>
          <w:color w:val="0000EE"/>
        </w:rPr>
      </w:pPr>
    </w:p>
    <w:p>
      <w:pPr>
        <w:jc w:val="both"/>
        <w:ind w:left="1020" w:right="41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10.26*</w:t>
      </w:r>
      <w:r>
        <w:rPr>
          <w:sz w:val="20"/>
          <w:szCs w:val="20"/>
          <w:color w:val="auto"/>
        </w:rPr>
        <w:tab/>
      </w:r>
      <w:hyperlink r:id="rId203">
        <w:r>
          <w:rPr>
            <w:rFonts w:ascii="Arial" w:cs="Arial" w:eastAsia="Arial" w:hAnsi="Arial"/>
            <w:sz w:val="16"/>
            <w:szCs w:val="16"/>
            <w:u w:val="single" w:color="auto"/>
            <w:color w:val="0000EE"/>
          </w:rPr>
          <w:t>Form of Restricted Stock Unit Agreement for Hamid Akhavan (incorporated by reference to Exhibit 10.3 to</w:t>
        </w:r>
      </w:hyperlink>
      <w:r>
        <w:rPr>
          <w:rFonts w:ascii="Arial" w:cs="Arial" w:eastAsia="Arial" w:hAnsi="Arial"/>
          <w:sz w:val="16"/>
          <w:szCs w:val="16"/>
          <w:u w:val="single" w:color="auto"/>
          <w:color w:val="0000EE"/>
        </w:rPr>
        <w:t xml:space="preserve"> </w:t>
      </w:r>
      <w:hyperlink r:id="rId203">
        <w:r>
          <w:rPr>
            <w:rFonts w:ascii="Arial" w:cs="Arial" w:eastAsia="Arial" w:hAnsi="Arial"/>
            <w:sz w:val="16"/>
            <w:szCs w:val="16"/>
            <w:u w:val="single" w:color="auto"/>
            <w:color w:val="0000EE"/>
          </w:rPr>
          <w:t>EchoStar Corporation’s Quarterly Report on Form 10-Q for the quarter ended March 31, 2022, filed May 5,</w:t>
        </w:r>
      </w:hyperlink>
      <w:r>
        <w:rPr>
          <w:rFonts w:ascii="Arial" w:cs="Arial" w:eastAsia="Arial" w:hAnsi="Arial"/>
          <w:sz w:val="16"/>
          <w:szCs w:val="16"/>
          <w:u w:val="single" w:color="auto"/>
          <w:color w:val="0000EE"/>
        </w:rPr>
        <w:t xml:space="preserve"> </w:t>
      </w:r>
      <w:hyperlink r:id="rId203">
        <w:r>
          <w:rPr>
            <w:rFonts w:ascii="Arial" w:cs="Arial" w:eastAsia="Arial" w:hAnsi="Arial"/>
            <w:sz w:val="16"/>
            <w:szCs w:val="16"/>
            <w:u w:val="single" w:color="auto"/>
            <w:color w:val="0000EE"/>
          </w:rPr>
          <w:t>2022, Commission File No. 001-33807)**</w:t>
        </w:r>
      </w:hyperlink>
    </w:p>
    <w:p>
      <w:pPr>
        <w:spacing w:after="0" w:line="163" w:lineRule="exact"/>
        <w:rPr>
          <w:rFonts w:ascii="Arial" w:cs="Arial" w:eastAsia="Arial" w:hAnsi="Arial"/>
          <w:sz w:val="16"/>
          <w:szCs w:val="16"/>
          <w:u w:val="single" w:color="auto"/>
          <w:color w:val="0000EE"/>
        </w:rPr>
      </w:pPr>
    </w:p>
    <w:p>
      <w:pPr>
        <w:ind w:left="1020" w:right="5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10.27*</w:t>
      </w:r>
      <w:r>
        <w:rPr>
          <w:sz w:val="20"/>
          <w:szCs w:val="20"/>
          <w:color w:val="auto"/>
        </w:rPr>
        <w:tab/>
      </w:r>
      <w:hyperlink r:id="rId204">
        <w:r>
          <w:rPr>
            <w:rFonts w:ascii="Arial" w:cs="Arial" w:eastAsia="Arial" w:hAnsi="Arial"/>
            <w:sz w:val="16"/>
            <w:szCs w:val="16"/>
            <w:u w:val="single" w:color="auto"/>
            <w:color w:val="0000EE"/>
          </w:rPr>
          <w:t>Amendment to EchoStar Non-Qualified Plan -- Executive Plan and Adoption Agreement, dated November 1,</w:t>
        </w:r>
      </w:hyperlink>
      <w:r>
        <w:rPr>
          <w:rFonts w:ascii="Arial" w:cs="Arial" w:eastAsia="Arial" w:hAnsi="Arial"/>
          <w:sz w:val="16"/>
          <w:szCs w:val="16"/>
          <w:u w:val="single" w:color="auto"/>
          <w:color w:val="0000EE"/>
        </w:rPr>
        <w:t xml:space="preserve"> </w:t>
      </w:r>
      <w:hyperlink r:id="rId204">
        <w:r>
          <w:rPr>
            <w:rFonts w:ascii="Arial" w:cs="Arial" w:eastAsia="Arial" w:hAnsi="Arial"/>
            <w:sz w:val="16"/>
            <w:szCs w:val="16"/>
            <w:u w:val="single" w:color="auto"/>
            <w:color w:val="0000EE"/>
          </w:rPr>
          <w:t>2018 (incorporated by reference to Exhibit 10.35 to EchoStar Corporation’s Annual Report on Form 10-K for the</w:t>
        </w:r>
      </w:hyperlink>
      <w:r>
        <w:rPr>
          <w:rFonts w:ascii="Arial" w:cs="Arial" w:eastAsia="Arial" w:hAnsi="Arial"/>
          <w:sz w:val="16"/>
          <w:szCs w:val="16"/>
          <w:u w:val="single" w:color="auto"/>
          <w:color w:val="0000EE"/>
        </w:rPr>
        <w:t xml:space="preserve"> </w:t>
      </w:r>
      <w:hyperlink r:id="rId204">
        <w:r>
          <w:rPr>
            <w:rFonts w:ascii="Arial" w:cs="Arial" w:eastAsia="Arial" w:hAnsi="Arial"/>
            <w:sz w:val="16"/>
            <w:szCs w:val="16"/>
            <w:u w:val="single" w:color="auto"/>
            <w:color w:val="0000EE"/>
          </w:rPr>
          <w:t>year ended December 31, 2018, filed February 21, 2019, Commission File No. 001-33807).**</w:t>
        </w:r>
      </w:hyperlink>
    </w:p>
    <w:p>
      <w:pPr>
        <w:spacing w:after="0" w:line="163" w:lineRule="exact"/>
        <w:rPr>
          <w:rFonts w:ascii="Arial" w:cs="Arial" w:eastAsia="Arial" w:hAnsi="Arial"/>
          <w:sz w:val="16"/>
          <w:szCs w:val="16"/>
          <w:u w:val="single" w:color="auto"/>
          <w:color w:val="0000EE"/>
        </w:rPr>
      </w:pPr>
    </w:p>
    <w:p>
      <w:pPr>
        <w:ind w:left="1020" w:right="23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10.28*</w:t>
      </w:r>
      <w:r>
        <w:rPr>
          <w:sz w:val="20"/>
          <w:szCs w:val="20"/>
          <w:color w:val="auto"/>
        </w:rPr>
        <w:tab/>
      </w:r>
      <w:hyperlink r:id="rId205">
        <w:r>
          <w:rPr>
            <w:rFonts w:ascii="Arial" w:cs="Arial" w:eastAsia="Arial" w:hAnsi="Arial"/>
            <w:sz w:val="16"/>
            <w:szCs w:val="16"/>
            <w:u w:val="single" w:color="auto"/>
            <w:color w:val="0000EE"/>
          </w:rPr>
          <w:t>Amended and Restated EchoStar Corporation Executive Officer Bonus Incentive Plan, dated as of April 30,</w:t>
        </w:r>
      </w:hyperlink>
      <w:r>
        <w:rPr>
          <w:rFonts w:ascii="Arial" w:cs="Arial" w:eastAsia="Arial" w:hAnsi="Arial"/>
          <w:sz w:val="16"/>
          <w:szCs w:val="16"/>
          <w:u w:val="single" w:color="auto"/>
          <w:color w:val="0000EE"/>
        </w:rPr>
        <w:t xml:space="preserve"> </w:t>
      </w:r>
      <w:hyperlink r:id="rId205">
        <w:r>
          <w:rPr>
            <w:rFonts w:ascii="Arial" w:cs="Arial" w:eastAsia="Arial" w:hAnsi="Arial"/>
            <w:sz w:val="16"/>
            <w:szCs w:val="16"/>
            <w:u w:val="single" w:color="auto"/>
            <w:color w:val="0000EE"/>
          </w:rPr>
          <w:t>2019 (incorporated by reference to Exhibit 10.1 to EchoStar Corporation’s Quarterly Report on Form 10-Q for</w:t>
        </w:r>
      </w:hyperlink>
      <w:r>
        <w:rPr>
          <w:rFonts w:ascii="Arial" w:cs="Arial" w:eastAsia="Arial" w:hAnsi="Arial"/>
          <w:sz w:val="16"/>
          <w:szCs w:val="16"/>
          <w:u w:val="single" w:color="auto"/>
          <w:color w:val="0000EE"/>
        </w:rPr>
        <w:t xml:space="preserve"> </w:t>
      </w:r>
      <w:hyperlink r:id="rId205">
        <w:r>
          <w:rPr>
            <w:rFonts w:ascii="Arial" w:cs="Arial" w:eastAsia="Arial" w:hAnsi="Arial"/>
            <w:sz w:val="16"/>
            <w:szCs w:val="16"/>
            <w:u w:val="single" w:color="auto"/>
            <w:color w:val="0000EE"/>
          </w:rPr>
          <w:t>the quarter ended June 30, 2019, filed August 8, 2019, Commission File No. 001-33807).**</w:t>
        </w:r>
      </w:hyperlink>
    </w:p>
    <w:p>
      <w:pPr>
        <w:spacing w:after="0" w:line="163" w:lineRule="exact"/>
        <w:rPr>
          <w:rFonts w:ascii="Arial" w:cs="Arial" w:eastAsia="Arial" w:hAnsi="Arial"/>
          <w:sz w:val="16"/>
          <w:szCs w:val="16"/>
          <w:u w:val="single" w:color="auto"/>
          <w:color w:val="0000EE"/>
        </w:rPr>
      </w:pPr>
    </w:p>
    <w:p>
      <w:pPr>
        <w:ind w:left="1020" w:right="23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10.29*</w:t>
      </w:r>
      <w:r>
        <w:rPr>
          <w:sz w:val="20"/>
          <w:szCs w:val="20"/>
          <w:color w:val="auto"/>
        </w:rPr>
        <w:tab/>
      </w:r>
      <w:hyperlink r:id="rId206">
        <w:r>
          <w:rPr>
            <w:rFonts w:ascii="Arial" w:cs="Arial" w:eastAsia="Arial" w:hAnsi="Arial"/>
            <w:sz w:val="16"/>
            <w:szCs w:val="16"/>
            <w:u w:val="single" w:color="auto"/>
            <w:color w:val="0000EE"/>
          </w:rPr>
          <w:t>Amendment to EchoStar Non-Qualified Plan – Executive Plan and Adoption Agreement, dated October 21,</w:t>
        </w:r>
      </w:hyperlink>
      <w:r>
        <w:rPr>
          <w:rFonts w:ascii="Arial" w:cs="Arial" w:eastAsia="Arial" w:hAnsi="Arial"/>
          <w:sz w:val="16"/>
          <w:szCs w:val="16"/>
          <w:u w:val="single" w:color="auto"/>
          <w:color w:val="0000EE"/>
        </w:rPr>
        <w:t xml:space="preserve"> </w:t>
      </w:r>
      <w:hyperlink r:id="rId206">
        <w:r>
          <w:rPr>
            <w:rFonts w:ascii="Arial" w:cs="Arial" w:eastAsia="Arial" w:hAnsi="Arial"/>
            <w:sz w:val="16"/>
            <w:szCs w:val="16"/>
            <w:u w:val="single" w:color="auto"/>
            <w:color w:val="0000EE"/>
          </w:rPr>
          <w:t>2019 (incorporated by reference to Exhibit 10.1 to EchoStar Corporation’s Quarterly Report on Form 10-Q for</w:t>
        </w:r>
      </w:hyperlink>
      <w:r>
        <w:rPr>
          <w:rFonts w:ascii="Arial" w:cs="Arial" w:eastAsia="Arial" w:hAnsi="Arial"/>
          <w:sz w:val="16"/>
          <w:szCs w:val="16"/>
          <w:u w:val="single" w:color="auto"/>
          <w:color w:val="0000EE"/>
        </w:rPr>
        <w:t xml:space="preserve"> </w:t>
      </w:r>
      <w:hyperlink r:id="rId206">
        <w:r>
          <w:rPr>
            <w:rFonts w:ascii="Arial" w:cs="Arial" w:eastAsia="Arial" w:hAnsi="Arial"/>
            <w:sz w:val="16"/>
            <w:szCs w:val="16"/>
            <w:u w:val="single" w:color="auto"/>
            <w:color w:val="0000EE"/>
          </w:rPr>
          <w:t>the quarter ended September 30, 2020, filed November 5, 2020, Commission File No. 001-33807). **</w:t>
        </w:r>
      </w:hyperlink>
    </w:p>
    <w:p>
      <w:pPr>
        <w:spacing w:after="0" w:line="163" w:lineRule="exact"/>
        <w:rPr>
          <w:rFonts w:ascii="Arial" w:cs="Arial" w:eastAsia="Arial" w:hAnsi="Arial"/>
          <w:sz w:val="16"/>
          <w:szCs w:val="16"/>
          <w:u w:val="single" w:color="auto"/>
          <w:color w:val="0000EE"/>
        </w:rPr>
      </w:pPr>
    </w:p>
    <w:p>
      <w:pPr>
        <w:ind w:left="1020" w:right="9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10.30*</w:t>
      </w:r>
      <w:r>
        <w:rPr>
          <w:sz w:val="20"/>
          <w:szCs w:val="20"/>
          <w:color w:val="auto"/>
        </w:rPr>
        <w:tab/>
      </w:r>
      <w:hyperlink r:id="rId207">
        <w:r>
          <w:rPr>
            <w:rFonts w:ascii="Arial" w:cs="Arial" w:eastAsia="Arial" w:hAnsi="Arial"/>
            <w:sz w:val="16"/>
            <w:szCs w:val="16"/>
            <w:u w:val="single" w:color="auto"/>
            <w:color w:val="0000EE"/>
          </w:rPr>
          <w:t>Amendment No. 1 to EchoStar Corporation 2017 Non-Employee Director Stock Incentive Plan (incorporated by</w:t>
        </w:r>
      </w:hyperlink>
      <w:r>
        <w:rPr>
          <w:rFonts w:ascii="Arial" w:cs="Arial" w:eastAsia="Arial" w:hAnsi="Arial"/>
          <w:sz w:val="16"/>
          <w:szCs w:val="16"/>
          <w:u w:val="single" w:color="auto"/>
          <w:color w:val="0000EE"/>
        </w:rPr>
        <w:t xml:space="preserve"> </w:t>
      </w:r>
      <w:hyperlink r:id="rId207">
        <w:r>
          <w:rPr>
            <w:rFonts w:ascii="Arial" w:cs="Arial" w:eastAsia="Arial" w:hAnsi="Arial"/>
            <w:sz w:val="16"/>
            <w:szCs w:val="16"/>
            <w:u w:val="single" w:color="auto"/>
            <w:color w:val="0000EE"/>
          </w:rPr>
          <w:t>reference to EchoStar Corporation’s Definitive Proxy Statement on Schedule 14A, filed March 17, 2021,</w:t>
        </w:r>
      </w:hyperlink>
      <w:r>
        <w:rPr>
          <w:rFonts w:ascii="Arial" w:cs="Arial" w:eastAsia="Arial" w:hAnsi="Arial"/>
          <w:sz w:val="16"/>
          <w:szCs w:val="16"/>
          <w:u w:val="single" w:color="auto"/>
          <w:color w:val="0000EE"/>
        </w:rPr>
        <w:t xml:space="preserve"> </w:t>
      </w:r>
      <w:hyperlink r:id="rId207">
        <w:r>
          <w:rPr>
            <w:rFonts w:ascii="Arial" w:cs="Arial" w:eastAsia="Arial" w:hAnsi="Arial"/>
            <w:sz w:val="16"/>
            <w:szCs w:val="16"/>
            <w:u w:val="single" w:color="auto"/>
            <w:color w:val="0000EE"/>
          </w:rPr>
          <w:t>Commission File No. 001- 33807). **</w:t>
        </w:r>
      </w:hyperlink>
    </w:p>
    <w:p>
      <w:pPr>
        <w:spacing w:after="0" w:line="163" w:lineRule="exact"/>
        <w:rPr>
          <w:rFonts w:ascii="Arial" w:cs="Arial" w:eastAsia="Arial" w:hAnsi="Arial"/>
          <w:sz w:val="16"/>
          <w:szCs w:val="16"/>
          <w:u w:val="single" w:color="auto"/>
          <w:color w:val="0000EE"/>
        </w:rPr>
      </w:pPr>
    </w:p>
    <w:p>
      <w:pPr>
        <w:ind w:left="1020" w:right="179" w:hanging="831"/>
        <w:spacing w:after="0" w:line="243"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10.31*</w:t>
      </w:r>
      <w:r>
        <w:rPr>
          <w:sz w:val="20"/>
          <w:szCs w:val="20"/>
          <w:color w:val="auto"/>
        </w:rPr>
        <w:tab/>
      </w:r>
      <w:hyperlink r:id="rId208">
        <w:r>
          <w:rPr>
            <w:rFonts w:ascii="Arial" w:cs="Arial" w:eastAsia="Arial" w:hAnsi="Arial"/>
            <w:sz w:val="16"/>
            <w:szCs w:val="16"/>
            <w:u w:val="single" w:color="auto"/>
            <w:color w:val="0000EE"/>
          </w:rPr>
          <w:t>Second Amended and Restated EchoStar Corporation Executive Officer Bonus Incentive Plan, dated as of</w:t>
        </w:r>
      </w:hyperlink>
      <w:r>
        <w:rPr>
          <w:rFonts w:ascii="Arial" w:cs="Arial" w:eastAsia="Arial" w:hAnsi="Arial"/>
          <w:sz w:val="16"/>
          <w:szCs w:val="16"/>
          <w:u w:val="single" w:color="auto"/>
          <w:color w:val="0000EE"/>
        </w:rPr>
        <w:t xml:space="preserve"> </w:t>
      </w:r>
      <w:hyperlink r:id="rId208">
        <w:r>
          <w:rPr>
            <w:rFonts w:ascii="Arial" w:cs="Arial" w:eastAsia="Arial" w:hAnsi="Arial"/>
            <w:sz w:val="16"/>
            <w:szCs w:val="16"/>
            <w:u w:val="single" w:color="auto"/>
            <w:color w:val="0000EE"/>
          </w:rPr>
          <w:t>November 2, 2021 (incorporated by reference to Exhibit 10.30 to EchoStar Corporation’s Annual Report on</w:t>
        </w:r>
      </w:hyperlink>
      <w:r>
        <w:rPr>
          <w:rFonts w:ascii="Arial" w:cs="Arial" w:eastAsia="Arial" w:hAnsi="Arial"/>
          <w:sz w:val="16"/>
          <w:szCs w:val="16"/>
          <w:u w:val="single" w:color="auto"/>
          <w:color w:val="0000EE"/>
        </w:rPr>
        <w:t xml:space="preserve"> </w:t>
      </w:r>
      <w:hyperlink r:id="rId208">
        <w:r>
          <w:rPr>
            <w:rFonts w:ascii="Arial" w:cs="Arial" w:eastAsia="Arial" w:hAnsi="Arial"/>
            <w:sz w:val="16"/>
            <w:szCs w:val="16"/>
            <w:u w:val="single" w:color="auto"/>
            <w:color w:val="0000EE"/>
          </w:rPr>
          <w:t>Form 10-K for the year ended December 31, 2021, filed February 24, 2022, Commission File No. 001-33807).</w:t>
        </w:r>
      </w:hyperlink>
    </w:p>
    <w:p>
      <w:pPr>
        <w:spacing w:after="0" w:line="2" w:lineRule="exact"/>
        <w:rPr>
          <w:rFonts w:ascii="Arial" w:cs="Arial" w:eastAsia="Arial" w:hAnsi="Arial"/>
          <w:sz w:val="16"/>
          <w:szCs w:val="16"/>
          <w:u w:val="single" w:color="auto"/>
          <w:color w:val="0000EE"/>
        </w:rPr>
      </w:pPr>
    </w:p>
    <w:p>
      <w:pPr>
        <w:ind w:left="1020"/>
        <w:spacing w:after="0"/>
        <w:rPr>
          <w:rFonts w:ascii="Arial" w:cs="Arial" w:eastAsia="Arial" w:hAnsi="Arial"/>
          <w:sz w:val="16"/>
          <w:szCs w:val="16"/>
          <w:u w:val="single" w:color="auto"/>
          <w:color w:val="0000EE"/>
        </w:rPr>
      </w:pPr>
      <w:hyperlink r:id="rId208">
        <w:r>
          <w:rPr>
            <w:rFonts w:ascii="Arial" w:cs="Arial" w:eastAsia="Arial" w:hAnsi="Arial"/>
            <w:sz w:val="16"/>
            <w:szCs w:val="16"/>
            <w:u w:val="single" w:color="auto"/>
            <w:color w:val="0000EE"/>
          </w:rPr>
          <w:t>**</w:t>
        </w:r>
      </w:hyperlink>
    </w:p>
    <w:p>
      <w:pPr>
        <w:spacing w:after="0" w:line="187" w:lineRule="exact"/>
        <w:rPr>
          <w:rFonts w:ascii="Arial" w:cs="Arial" w:eastAsia="Arial" w:hAnsi="Arial"/>
          <w:sz w:val="16"/>
          <w:szCs w:val="16"/>
          <w:u w:val="single" w:color="auto"/>
          <w:color w:val="0000EE"/>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right="899" w:hanging="831"/>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10.32*</w:t>
      </w:r>
      <w:r>
        <w:rPr>
          <w:sz w:val="20"/>
          <w:szCs w:val="20"/>
          <w:color w:val="auto"/>
        </w:rPr>
        <w:tab/>
      </w:r>
      <w:hyperlink r:id="rId210">
        <w:r>
          <w:rPr>
            <w:rFonts w:ascii="Arial" w:cs="Arial" w:eastAsia="Arial" w:hAnsi="Arial"/>
            <w:sz w:val="16"/>
            <w:szCs w:val="16"/>
            <w:u w:val="single" w:color="auto"/>
            <w:color w:val="0000EE"/>
          </w:rPr>
          <w:t>2002 Class B CEO Stock Option Plan (incorporated by reference from Appendix A to DISH Network</w:t>
        </w:r>
      </w:hyperlink>
      <w:r>
        <w:rPr>
          <w:rFonts w:ascii="Arial" w:cs="Arial" w:eastAsia="Arial" w:hAnsi="Arial"/>
          <w:sz w:val="16"/>
          <w:szCs w:val="16"/>
          <w:u w:val="single" w:color="auto"/>
          <w:color w:val="0000EE"/>
        </w:rPr>
        <w:t xml:space="preserve"> </w:t>
      </w:r>
      <w:hyperlink r:id="rId210">
        <w:r>
          <w:rPr>
            <w:rFonts w:ascii="Arial" w:cs="Arial" w:eastAsia="Arial" w:hAnsi="Arial"/>
            <w:sz w:val="16"/>
            <w:szCs w:val="16"/>
            <w:u w:val="single" w:color="auto"/>
            <w:color w:val="0000EE"/>
          </w:rPr>
          <w:t>Corporation’s Definitive Proxy Statement on Schedule 14A dated April 9, 2002). **</w:t>
        </w:r>
      </w:hyperlink>
    </w:p>
    <w:p>
      <w:pPr>
        <w:spacing w:after="0" w:line="146" w:lineRule="exact"/>
        <w:rPr>
          <w:sz w:val="20"/>
          <w:szCs w:val="20"/>
          <w:color w:val="auto"/>
        </w:rPr>
      </w:pPr>
    </w:p>
    <w:p>
      <w:pPr>
        <w:ind w:left="1020" w:right="559" w:hanging="831"/>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10.33*</w:t>
      </w:r>
      <w:r>
        <w:rPr>
          <w:sz w:val="20"/>
          <w:szCs w:val="20"/>
          <w:color w:val="auto"/>
        </w:rPr>
        <w:tab/>
      </w:r>
      <w:hyperlink r:id="rId211">
        <w:r>
          <w:rPr>
            <w:rFonts w:ascii="Arial" w:cs="Arial" w:eastAsia="Arial" w:hAnsi="Arial"/>
            <w:sz w:val="16"/>
            <w:szCs w:val="16"/>
            <w:u w:val="single" w:color="auto"/>
            <w:color w:val="0000EE"/>
          </w:rPr>
          <w:t>Nonemployee Director Stock Option Agreement (incorporated by reference to Exhibit 99.6 to the Current</w:t>
        </w:r>
      </w:hyperlink>
      <w:r>
        <w:rPr>
          <w:rFonts w:ascii="Arial" w:cs="Arial" w:eastAsia="Arial" w:hAnsi="Arial"/>
          <w:sz w:val="16"/>
          <w:szCs w:val="16"/>
          <w:u w:val="single" w:color="auto"/>
          <w:color w:val="0000EE"/>
        </w:rPr>
        <w:t xml:space="preserve"> </w:t>
      </w:r>
      <w:hyperlink r:id="rId211">
        <w:r>
          <w:rPr>
            <w:rFonts w:ascii="Arial" w:cs="Arial" w:eastAsia="Arial" w:hAnsi="Arial"/>
            <w:sz w:val="16"/>
            <w:szCs w:val="16"/>
            <w:u w:val="single" w:color="auto"/>
            <w:color w:val="0000EE"/>
          </w:rPr>
          <w:t>Report on Form 8-K of DISH Network Corporation filed July 7, 2005). **</w:t>
        </w:r>
      </w:hyperlink>
    </w:p>
    <w:p>
      <w:pPr>
        <w:spacing w:after="0" w:line="146" w:lineRule="exact"/>
        <w:rPr>
          <w:sz w:val="20"/>
          <w:szCs w:val="20"/>
          <w:color w:val="auto"/>
        </w:rPr>
      </w:pPr>
    </w:p>
    <w:p>
      <w:pPr>
        <w:jc w:val="center"/>
        <w:ind w:left="40" w:right="459"/>
        <w:spacing w:after="0" w:line="307"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10.34*    </w:t>
      </w:r>
      <w:hyperlink r:id="rId212">
        <w:r>
          <w:rPr>
            <w:rFonts w:ascii="Arial" w:cs="Arial" w:eastAsia="Arial" w:hAnsi="Arial"/>
            <w:sz w:val="16"/>
            <w:szCs w:val="16"/>
            <w:u w:val="single" w:color="auto"/>
            <w:color w:val="0000EE"/>
          </w:rPr>
          <w:t>DISH Network Corporation 2009 Stock Incentive Plan (incorporated by reference to Appendix A to DISH</w:t>
        </w:r>
      </w:hyperlink>
      <w:r>
        <w:rPr>
          <w:rFonts w:ascii="Arial" w:cs="Arial" w:eastAsia="Arial" w:hAnsi="Arial"/>
          <w:sz w:val="16"/>
          <w:szCs w:val="16"/>
          <w:color w:val="auto"/>
        </w:rPr>
        <w:t xml:space="preserve"> </w:t>
      </w:r>
      <w:hyperlink r:id="rId212">
        <w:r>
          <w:rPr>
            <w:rFonts w:ascii="Arial" w:cs="Arial" w:eastAsia="Arial" w:hAnsi="Arial"/>
            <w:sz w:val="16"/>
            <w:szCs w:val="16"/>
            <w:u w:val="single" w:color="auto"/>
            <w:color w:val="0000EE"/>
          </w:rPr>
          <w:t>Network Corporation’s Definitive Proxy Statement on Form 14A filed September 19, 2014). **</w:t>
        </w:r>
      </w:hyperlink>
    </w:p>
    <w:p>
      <w:pPr>
        <w:spacing w:after="0" w:line="146" w:lineRule="exact"/>
        <w:rPr>
          <w:sz w:val="20"/>
          <w:szCs w:val="20"/>
          <w:color w:val="auto"/>
        </w:rPr>
      </w:pPr>
    </w:p>
    <w:p>
      <w:pPr>
        <w:ind w:left="1020" w:right="21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10.35*</w:t>
      </w:r>
      <w:r>
        <w:rPr>
          <w:sz w:val="20"/>
          <w:szCs w:val="20"/>
          <w:color w:val="auto"/>
        </w:rPr>
        <w:tab/>
      </w:r>
      <w:hyperlink r:id="rId213">
        <w:r>
          <w:rPr>
            <w:rFonts w:ascii="Arial" w:cs="Arial" w:eastAsia="Arial" w:hAnsi="Arial"/>
            <w:sz w:val="16"/>
            <w:szCs w:val="16"/>
            <w:u w:val="single" w:color="auto"/>
            <w:color w:val="0000EE"/>
          </w:rPr>
          <w:t>Amended and Restated DISH Network Corporation 2001 Nonemployee Director Stock Option Plan</w:t>
        </w:r>
      </w:hyperlink>
      <w:r>
        <w:rPr>
          <w:rFonts w:ascii="Arial" w:cs="Arial" w:eastAsia="Arial" w:hAnsi="Arial"/>
          <w:sz w:val="16"/>
          <w:szCs w:val="16"/>
          <w:u w:val="single" w:color="auto"/>
          <w:color w:val="0000EE"/>
        </w:rPr>
        <w:t xml:space="preserve"> </w:t>
      </w:r>
      <w:hyperlink r:id="rId213">
        <w:r>
          <w:rPr>
            <w:rFonts w:ascii="Arial" w:cs="Arial" w:eastAsia="Arial" w:hAnsi="Arial"/>
            <w:sz w:val="16"/>
            <w:szCs w:val="16"/>
            <w:u w:val="single" w:color="auto"/>
            <w:color w:val="0000EE"/>
          </w:rPr>
          <w:t>(incorporated by reference to Appendix B to DISH Network Corporation’s Definitive Proxy Statement on Form</w:t>
        </w:r>
      </w:hyperlink>
      <w:r>
        <w:rPr>
          <w:rFonts w:ascii="Arial" w:cs="Arial" w:eastAsia="Arial" w:hAnsi="Arial"/>
          <w:sz w:val="16"/>
          <w:szCs w:val="16"/>
          <w:u w:val="single" w:color="auto"/>
          <w:color w:val="0000EE"/>
        </w:rPr>
        <w:t xml:space="preserve"> </w:t>
      </w:r>
      <w:hyperlink r:id="rId213">
        <w:r>
          <w:rPr>
            <w:rFonts w:ascii="Arial" w:cs="Arial" w:eastAsia="Arial" w:hAnsi="Arial"/>
            <w:sz w:val="16"/>
            <w:szCs w:val="16"/>
            <w:u w:val="single" w:color="auto"/>
            <w:color w:val="0000EE"/>
          </w:rPr>
          <w:t>14A filed March 31, 2009). **</w:t>
        </w:r>
      </w:hyperlink>
    </w:p>
    <w:p>
      <w:pPr>
        <w:spacing w:after="0" w:line="163" w:lineRule="exact"/>
        <w:rPr>
          <w:rFonts w:ascii="Arial" w:cs="Arial" w:eastAsia="Arial" w:hAnsi="Arial"/>
          <w:sz w:val="16"/>
          <w:szCs w:val="16"/>
          <w:u w:val="single" w:color="auto"/>
          <w:color w:val="0000EE"/>
        </w:rPr>
      </w:pPr>
    </w:p>
    <w:p>
      <w:pPr>
        <w:ind w:left="1020" w:right="219" w:hanging="831"/>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10.36*</w:t>
      </w:r>
      <w:r>
        <w:rPr>
          <w:sz w:val="20"/>
          <w:szCs w:val="20"/>
          <w:color w:val="auto"/>
        </w:rPr>
        <w:tab/>
      </w:r>
      <w:hyperlink r:id="rId213">
        <w:r>
          <w:rPr>
            <w:rFonts w:ascii="Arial" w:cs="Arial" w:eastAsia="Arial" w:hAnsi="Arial"/>
            <w:sz w:val="16"/>
            <w:szCs w:val="16"/>
            <w:u w:val="single" w:color="auto"/>
            <w:color w:val="0000EE"/>
          </w:rPr>
          <w:t>Amended and Restated DISH Network Corporation 1999 Stock Incentive Plan (incorporated by reference to</w:t>
        </w:r>
      </w:hyperlink>
      <w:r>
        <w:rPr>
          <w:rFonts w:ascii="Arial" w:cs="Arial" w:eastAsia="Arial" w:hAnsi="Arial"/>
          <w:sz w:val="16"/>
          <w:szCs w:val="16"/>
          <w:u w:val="single" w:color="auto"/>
          <w:color w:val="0000EE"/>
        </w:rPr>
        <w:t xml:space="preserve"> </w:t>
      </w:r>
      <w:hyperlink r:id="rId213">
        <w:r>
          <w:rPr>
            <w:rFonts w:ascii="Arial" w:cs="Arial" w:eastAsia="Arial" w:hAnsi="Arial"/>
            <w:sz w:val="16"/>
            <w:szCs w:val="16"/>
            <w:u w:val="single" w:color="auto"/>
            <w:color w:val="0000EE"/>
          </w:rPr>
          <w:t>Appendix C to DISH Network Corporation’s Definitive Proxy Statement on Form 14A filed March 31, 2009). **</w:t>
        </w:r>
      </w:hyperlink>
    </w:p>
    <w:p>
      <w:pPr>
        <w:spacing w:after="0" w:line="146" w:lineRule="exact"/>
        <w:rPr>
          <w:sz w:val="20"/>
          <w:szCs w:val="20"/>
          <w:color w:val="auto"/>
        </w:rPr>
      </w:pPr>
    </w:p>
    <w:p>
      <w:pPr>
        <w:ind w:left="1020" w:right="279" w:hanging="831"/>
        <w:spacing w:after="0" w:line="256"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10.37*</w:t>
      </w:r>
      <w:r>
        <w:rPr>
          <w:sz w:val="20"/>
          <w:szCs w:val="20"/>
          <w:color w:val="auto"/>
        </w:rPr>
        <w:tab/>
      </w:r>
      <w:hyperlink r:id="rId214">
        <w:r>
          <w:rPr>
            <w:rFonts w:ascii="Arial" w:cs="Arial" w:eastAsia="Arial" w:hAnsi="Arial"/>
            <w:sz w:val="16"/>
            <w:szCs w:val="16"/>
            <w:u w:val="single" w:color="auto"/>
            <w:color w:val="0000EE"/>
          </w:rPr>
          <w:t>Guaranty of Certain Obligations to FCC, dated as of October 1, 2015, made by DISH Network Corporation in</w:t>
        </w:r>
      </w:hyperlink>
      <w:r>
        <w:rPr>
          <w:rFonts w:ascii="Arial" w:cs="Arial" w:eastAsia="Arial" w:hAnsi="Arial"/>
          <w:sz w:val="16"/>
          <w:szCs w:val="16"/>
          <w:u w:val="single" w:color="auto"/>
          <w:color w:val="0000EE"/>
        </w:rPr>
        <w:t xml:space="preserve"> </w:t>
      </w:r>
      <w:hyperlink r:id="rId214">
        <w:r>
          <w:rPr>
            <w:rFonts w:ascii="Arial" w:cs="Arial" w:eastAsia="Arial" w:hAnsi="Arial"/>
            <w:sz w:val="16"/>
            <w:szCs w:val="16"/>
            <w:u w:val="single" w:color="auto"/>
            <w:color w:val="0000EE"/>
          </w:rPr>
          <w:t>favor of the Federal Communications Commission (Northstar Wireless) (incorporated by reference from</w:t>
        </w:r>
      </w:hyperlink>
      <w:r>
        <w:rPr>
          <w:rFonts w:ascii="Arial" w:cs="Arial" w:eastAsia="Arial" w:hAnsi="Arial"/>
          <w:sz w:val="16"/>
          <w:szCs w:val="16"/>
          <w:u w:val="single" w:color="auto"/>
          <w:color w:val="0000EE"/>
        </w:rPr>
        <w:t xml:space="preserve"> </w:t>
      </w:r>
      <w:hyperlink r:id="rId214">
        <w:r>
          <w:rPr>
            <w:rFonts w:ascii="Arial" w:cs="Arial" w:eastAsia="Arial" w:hAnsi="Arial"/>
            <w:sz w:val="16"/>
            <w:szCs w:val="16"/>
            <w:u w:val="single" w:color="auto"/>
            <w:color w:val="0000EE"/>
          </w:rPr>
          <w:t>Exhibit 10.2 to the Current Report on Form 8-K of DISH Network Corporation filed October 2, 2015).</w:t>
        </w:r>
      </w:hyperlink>
    </w:p>
    <w:p>
      <w:pPr>
        <w:spacing w:after="0" w:line="162" w:lineRule="exact"/>
        <w:rPr>
          <w:rFonts w:ascii="Arial" w:cs="Arial" w:eastAsia="Arial" w:hAnsi="Arial"/>
          <w:sz w:val="16"/>
          <w:szCs w:val="16"/>
          <w:u w:val="single" w:color="auto"/>
          <w:color w:val="0000EE"/>
        </w:rPr>
      </w:pPr>
    </w:p>
    <w:p>
      <w:pPr>
        <w:ind w:left="1020" w:right="79" w:hanging="831"/>
        <w:spacing w:after="0" w:line="28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10.38*</w:t>
      </w:r>
      <w:r>
        <w:rPr>
          <w:sz w:val="20"/>
          <w:szCs w:val="20"/>
          <w:color w:val="auto"/>
        </w:rPr>
        <w:tab/>
      </w:r>
      <w:hyperlink r:id="rId215">
        <w:r>
          <w:rPr>
            <w:rFonts w:ascii="Arial" w:cs="Arial" w:eastAsia="Arial" w:hAnsi="Arial"/>
            <w:sz w:val="16"/>
            <w:szCs w:val="16"/>
            <w:u w:val="single" w:color="auto"/>
            <w:color w:val="0000EE"/>
          </w:rPr>
          <w:t>Guaranty of Certain Obligations to FCC, dated as of October 1, 2015, made by DISH Network Corporation in</w:t>
        </w:r>
      </w:hyperlink>
      <w:r>
        <w:rPr>
          <w:rFonts w:ascii="Arial" w:cs="Arial" w:eastAsia="Arial" w:hAnsi="Arial"/>
          <w:sz w:val="16"/>
          <w:szCs w:val="16"/>
          <w:u w:val="single" w:color="auto"/>
          <w:color w:val="0000EE"/>
        </w:rPr>
        <w:t xml:space="preserve"> </w:t>
      </w:r>
      <w:hyperlink r:id="rId215">
        <w:r>
          <w:rPr>
            <w:rFonts w:ascii="Arial" w:cs="Arial" w:eastAsia="Arial" w:hAnsi="Arial"/>
            <w:sz w:val="16"/>
            <w:szCs w:val="16"/>
            <w:u w:val="single" w:color="auto"/>
            <w:color w:val="0000EE"/>
          </w:rPr>
          <w:t>favor of the Federal Communications Commission (SNR Wireless) (incorporated by reference from Exhibit 10.4</w:t>
        </w:r>
      </w:hyperlink>
      <w:r>
        <w:rPr>
          <w:rFonts w:ascii="Arial" w:cs="Arial" w:eastAsia="Arial" w:hAnsi="Arial"/>
          <w:sz w:val="16"/>
          <w:szCs w:val="16"/>
          <w:u w:val="single" w:color="auto"/>
          <w:color w:val="0000EE"/>
        </w:rPr>
        <w:t xml:space="preserve"> </w:t>
      </w:r>
      <w:hyperlink r:id="rId215">
        <w:r>
          <w:rPr>
            <w:rFonts w:ascii="Arial" w:cs="Arial" w:eastAsia="Arial" w:hAnsi="Arial"/>
            <w:sz w:val="16"/>
            <w:szCs w:val="16"/>
            <w:u w:val="single" w:color="auto"/>
            <w:color w:val="0000EE"/>
          </w:rPr>
          <w:t>to the Current Report on Form 8-K of DISH Network Corporation filed October 2, 2015).</w:t>
        </w:r>
      </w:hyperlink>
    </w:p>
    <w:p>
      <w:pPr>
        <w:spacing w:after="0" w:line="163" w:lineRule="exact"/>
        <w:rPr>
          <w:rFonts w:ascii="Arial" w:cs="Arial" w:eastAsia="Arial" w:hAnsi="Arial"/>
          <w:sz w:val="16"/>
          <w:szCs w:val="16"/>
          <w:u w:val="single" w:color="auto"/>
          <w:color w:val="0000EE"/>
        </w:rPr>
      </w:pPr>
    </w:p>
    <w:p>
      <w:pPr>
        <w:ind w:left="1020" w:right="159" w:hanging="831"/>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10.39*</w:t>
      </w:r>
      <w:r>
        <w:rPr>
          <w:sz w:val="20"/>
          <w:szCs w:val="20"/>
          <w:color w:val="auto"/>
        </w:rPr>
        <w:tab/>
      </w:r>
      <w:hyperlink r:id="rId216">
        <w:r>
          <w:rPr>
            <w:rFonts w:ascii="Arial" w:cs="Arial" w:eastAsia="Arial" w:hAnsi="Arial"/>
            <w:sz w:val="16"/>
            <w:szCs w:val="16"/>
            <w:u w:val="single" w:color="auto"/>
            <w:color w:val="0000EE"/>
          </w:rPr>
          <w:t>Form of Base/Additional Note Hedge Transaction Confirmation (incorporated by reference from Exhibit 10.1 to</w:t>
        </w:r>
      </w:hyperlink>
      <w:r>
        <w:rPr>
          <w:rFonts w:ascii="Arial" w:cs="Arial" w:eastAsia="Arial" w:hAnsi="Arial"/>
          <w:sz w:val="16"/>
          <w:szCs w:val="16"/>
          <w:u w:val="single" w:color="auto"/>
          <w:color w:val="0000EE"/>
        </w:rPr>
        <w:t xml:space="preserve"> </w:t>
      </w:r>
      <w:hyperlink r:id="rId216">
        <w:r>
          <w:rPr>
            <w:rFonts w:ascii="Arial" w:cs="Arial" w:eastAsia="Arial" w:hAnsi="Arial"/>
            <w:sz w:val="16"/>
            <w:szCs w:val="16"/>
            <w:u w:val="single" w:color="auto"/>
            <w:color w:val="0000EE"/>
          </w:rPr>
          <w:t>the Current Report on Form 8-K of DISH Network Corporation filed August 8, 2016).</w:t>
        </w:r>
      </w:hyperlink>
    </w:p>
    <w:p>
      <w:pPr>
        <w:spacing w:after="0" w:line="146" w:lineRule="exact"/>
        <w:rPr>
          <w:sz w:val="20"/>
          <w:szCs w:val="20"/>
          <w:color w:val="auto"/>
        </w:rPr>
      </w:pPr>
    </w:p>
    <w:p>
      <w:pPr>
        <w:ind w:left="1020" w:right="199" w:hanging="831"/>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10.40*</w:t>
      </w:r>
      <w:r>
        <w:rPr>
          <w:sz w:val="20"/>
          <w:szCs w:val="20"/>
          <w:color w:val="auto"/>
        </w:rPr>
        <w:tab/>
      </w:r>
      <w:hyperlink r:id="rId217">
        <w:r>
          <w:rPr>
            <w:rFonts w:ascii="Arial" w:cs="Arial" w:eastAsia="Arial" w:hAnsi="Arial"/>
            <w:sz w:val="16"/>
            <w:szCs w:val="16"/>
            <w:u w:val="single" w:color="auto"/>
            <w:color w:val="0000EE"/>
          </w:rPr>
          <w:t>Form of Base/Additional Warrant Transaction Confirmation (incorporated by reference from Exhibit 10.2 to the</w:t>
        </w:r>
      </w:hyperlink>
      <w:r>
        <w:rPr>
          <w:rFonts w:ascii="Arial" w:cs="Arial" w:eastAsia="Arial" w:hAnsi="Arial"/>
          <w:sz w:val="16"/>
          <w:szCs w:val="16"/>
          <w:u w:val="single" w:color="auto"/>
          <w:color w:val="0000EE"/>
        </w:rPr>
        <w:t xml:space="preserve"> </w:t>
      </w:r>
      <w:hyperlink r:id="rId217">
        <w:r>
          <w:rPr>
            <w:rFonts w:ascii="Arial" w:cs="Arial" w:eastAsia="Arial" w:hAnsi="Arial"/>
            <w:sz w:val="16"/>
            <w:szCs w:val="16"/>
            <w:u w:val="single" w:color="auto"/>
            <w:color w:val="0000EE"/>
          </w:rPr>
          <w:t>Current Report on Form 8-K of DISH Network Corporation filed August 8, 2016).</w:t>
        </w:r>
      </w:hyperlink>
    </w:p>
    <w:p>
      <w:pPr>
        <w:spacing w:after="0" w:line="146" w:lineRule="exact"/>
        <w:rPr>
          <w:sz w:val="20"/>
          <w:szCs w:val="20"/>
          <w:color w:val="auto"/>
        </w:rPr>
      </w:pPr>
    </w:p>
    <w:p>
      <w:pPr>
        <w:ind w:left="1020" w:right="79" w:hanging="831"/>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10.41*</w:t>
      </w:r>
      <w:r>
        <w:rPr>
          <w:sz w:val="20"/>
          <w:szCs w:val="20"/>
          <w:color w:val="auto"/>
        </w:rPr>
        <w:tab/>
      </w:r>
      <w:hyperlink r:id="rId218">
        <w:r>
          <w:rPr>
            <w:rFonts w:ascii="Arial" w:cs="Arial" w:eastAsia="Arial" w:hAnsi="Arial"/>
            <w:sz w:val="16"/>
            <w:szCs w:val="16"/>
            <w:u w:val="single" w:color="auto"/>
            <w:color w:val="0000EE"/>
          </w:rPr>
          <w:t>Description of the 2017 Long-Term Incentive Plan dated December 2, 2016 (incorporated by reference from the</w:t>
        </w:r>
      </w:hyperlink>
      <w:r>
        <w:rPr>
          <w:rFonts w:ascii="Arial" w:cs="Arial" w:eastAsia="Arial" w:hAnsi="Arial"/>
          <w:sz w:val="16"/>
          <w:szCs w:val="16"/>
          <w:u w:val="single" w:color="auto"/>
          <w:color w:val="0000EE"/>
        </w:rPr>
        <w:t xml:space="preserve"> </w:t>
      </w:r>
      <w:hyperlink r:id="rId218">
        <w:r>
          <w:rPr>
            <w:rFonts w:ascii="Arial" w:cs="Arial" w:eastAsia="Arial" w:hAnsi="Arial"/>
            <w:sz w:val="16"/>
            <w:szCs w:val="16"/>
            <w:u w:val="single" w:color="auto"/>
            <w:color w:val="0000EE"/>
          </w:rPr>
          <w:t>Current Report on Form 8-K of DISH Network Corporation filed December 8, 2016). **</w:t>
        </w:r>
      </w:hyperlink>
    </w:p>
    <w:p>
      <w:pPr>
        <w:spacing w:after="0" w:line="146" w:lineRule="exact"/>
        <w:rPr>
          <w:sz w:val="20"/>
          <w:szCs w:val="20"/>
          <w:color w:val="auto"/>
        </w:rPr>
      </w:pPr>
    </w:p>
    <w:p>
      <w:pPr>
        <w:ind w:left="1020" w:right="239" w:hanging="831"/>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10.42*</w:t>
      </w:r>
      <w:r>
        <w:rPr>
          <w:sz w:val="20"/>
          <w:szCs w:val="20"/>
          <w:color w:val="auto"/>
        </w:rPr>
        <w:tab/>
      </w:r>
      <w:hyperlink r:id="rId219">
        <w:r>
          <w:rPr>
            <w:rFonts w:ascii="Arial" w:cs="Arial" w:eastAsia="Arial" w:hAnsi="Arial"/>
            <w:sz w:val="16"/>
            <w:szCs w:val="16"/>
            <w:u w:val="single" w:color="auto"/>
            <w:color w:val="0000EE"/>
          </w:rPr>
          <w:t>Description of the 2019 Long-Term Incentive Plan dated August 17, 2018 (incorporated by reference from the</w:t>
        </w:r>
      </w:hyperlink>
      <w:r>
        <w:rPr>
          <w:rFonts w:ascii="Arial" w:cs="Arial" w:eastAsia="Arial" w:hAnsi="Arial"/>
          <w:sz w:val="16"/>
          <w:szCs w:val="16"/>
          <w:u w:val="single" w:color="auto"/>
          <w:color w:val="0000EE"/>
        </w:rPr>
        <w:t xml:space="preserve"> </w:t>
      </w:r>
      <w:hyperlink r:id="rId219">
        <w:r>
          <w:rPr>
            <w:rFonts w:ascii="Arial" w:cs="Arial" w:eastAsia="Arial" w:hAnsi="Arial"/>
            <w:sz w:val="16"/>
            <w:szCs w:val="16"/>
            <w:u w:val="single" w:color="auto"/>
            <w:color w:val="0000EE"/>
          </w:rPr>
          <w:t>Current Report on Form 8-K of DISH Network Corporation filed August 23, 2018). **</w:t>
        </w:r>
      </w:hyperlink>
    </w:p>
    <w:p>
      <w:pPr>
        <w:spacing w:after="0" w:line="146" w:lineRule="exact"/>
        <w:rPr>
          <w:sz w:val="20"/>
          <w:szCs w:val="20"/>
          <w:color w:val="auto"/>
        </w:rPr>
      </w:pPr>
    </w:p>
    <w:p>
      <w:pPr>
        <w:ind w:left="1020" w:right="459" w:hanging="831"/>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10.43*</w:t>
      </w:r>
      <w:r>
        <w:rPr>
          <w:sz w:val="20"/>
          <w:szCs w:val="20"/>
          <w:color w:val="auto"/>
        </w:rPr>
        <w:tab/>
      </w:r>
      <w:hyperlink r:id="rId220">
        <w:r>
          <w:rPr>
            <w:rFonts w:ascii="Arial" w:cs="Arial" w:eastAsia="Arial" w:hAnsi="Arial"/>
            <w:sz w:val="16"/>
            <w:szCs w:val="16"/>
            <w:u w:val="single" w:color="auto"/>
            <w:color w:val="0000EE"/>
          </w:rPr>
          <w:t>Incentive Stock Option Agreement (incorporated by reference from Exhibit 10.1 to the Quarterly Report on</w:t>
        </w:r>
      </w:hyperlink>
      <w:r>
        <w:rPr>
          <w:rFonts w:ascii="Arial" w:cs="Arial" w:eastAsia="Arial" w:hAnsi="Arial"/>
          <w:sz w:val="16"/>
          <w:szCs w:val="16"/>
          <w:u w:val="single" w:color="auto"/>
          <w:color w:val="0000EE"/>
        </w:rPr>
        <w:t xml:space="preserve"> </w:t>
      </w:r>
      <w:hyperlink r:id="rId220">
        <w:r>
          <w:rPr>
            <w:rFonts w:ascii="Arial" w:cs="Arial" w:eastAsia="Arial" w:hAnsi="Arial"/>
            <w:sz w:val="16"/>
            <w:szCs w:val="16"/>
            <w:u w:val="single" w:color="auto"/>
            <w:color w:val="0000EE"/>
          </w:rPr>
          <w:t>Form 10-Q of DISH Network Corporation filed November 6, 2020). **</w:t>
        </w:r>
      </w:hyperlink>
    </w:p>
    <w:p>
      <w:pPr>
        <w:spacing w:after="0" w:line="146" w:lineRule="exact"/>
        <w:rPr>
          <w:sz w:val="20"/>
          <w:szCs w:val="20"/>
          <w:color w:val="auto"/>
        </w:rPr>
      </w:pPr>
    </w:p>
    <w:p>
      <w:pPr>
        <w:ind w:left="1020" w:right="119" w:hanging="831"/>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10.44*</w:t>
      </w:r>
      <w:r>
        <w:rPr>
          <w:sz w:val="20"/>
          <w:szCs w:val="20"/>
          <w:color w:val="auto"/>
        </w:rPr>
        <w:tab/>
      </w:r>
      <w:hyperlink r:id="rId221">
        <w:r>
          <w:rPr>
            <w:rFonts w:ascii="Arial" w:cs="Arial" w:eastAsia="Arial" w:hAnsi="Arial"/>
            <w:sz w:val="16"/>
            <w:szCs w:val="16"/>
            <w:u w:val="single" w:color="auto"/>
            <w:color w:val="0000EE"/>
          </w:rPr>
          <w:t>Non-Qualified Stock Option Agreement (incorporated by reference from Exhibit 10.2 to the Quarterly Report on</w:t>
        </w:r>
      </w:hyperlink>
      <w:r>
        <w:rPr>
          <w:rFonts w:ascii="Arial" w:cs="Arial" w:eastAsia="Arial" w:hAnsi="Arial"/>
          <w:sz w:val="16"/>
          <w:szCs w:val="16"/>
          <w:u w:val="single" w:color="auto"/>
          <w:color w:val="0000EE"/>
        </w:rPr>
        <w:t xml:space="preserve"> </w:t>
      </w:r>
      <w:hyperlink r:id="rId221">
        <w:r>
          <w:rPr>
            <w:rFonts w:ascii="Arial" w:cs="Arial" w:eastAsia="Arial" w:hAnsi="Arial"/>
            <w:sz w:val="16"/>
            <w:szCs w:val="16"/>
            <w:u w:val="single" w:color="auto"/>
            <w:color w:val="0000EE"/>
          </w:rPr>
          <w:t>Form 10-Q of DISH Network Corporation filed November 6, 2020). **</w:t>
        </w:r>
      </w:hyperlink>
    </w:p>
    <w:p>
      <w:pPr>
        <w:spacing w:after="0" w:line="146" w:lineRule="exact"/>
        <w:rPr>
          <w:sz w:val="20"/>
          <w:szCs w:val="20"/>
          <w:color w:val="auto"/>
        </w:rPr>
      </w:pPr>
    </w:p>
    <w:p>
      <w:pPr>
        <w:ind w:left="1020" w:right="559" w:hanging="831"/>
        <w:spacing w:after="0" w:line="307" w:lineRule="auto"/>
        <w:tabs>
          <w:tab w:leader="none" w:pos="1000" w:val="left"/>
        </w:tabs>
        <w:rPr>
          <w:rFonts w:ascii="Arial" w:cs="Arial" w:eastAsia="Arial" w:hAnsi="Arial"/>
          <w:sz w:val="16"/>
          <w:szCs w:val="16"/>
          <w:u w:val="single" w:color="auto"/>
          <w:color w:val="0000EE"/>
        </w:rPr>
      </w:pPr>
      <w:r>
        <w:rPr>
          <w:rFonts w:ascii="Arial" w:cs="Arial" w:eastAsia="Arial" w:hAnsi="Arial"/>
          <w:sz w:val="16"/>
          <w:szCs w:val="16"/>
          <w:color w:val="auto"/>
        </w:rPr>
        <w:t>10.45*</w:t>
      </w:r>
      <w:r>
        <w:rPr>
          <w:sz w:val="20"/>
          <w:szCs w:val="20"/>
          <w:color w:val="auto"/>
        </w:rPr>
        <w:tab/>
      </w:r>
      <w:hyperlink r:id="rId222">
        <w:r>
          <w:rPr>
            <w:rFonts w:ascii="Arial" w:cs="Arial" w:eastAsia="Arial" w:hAnsi="Arial"/>
            <w:sz w:val="16"/>
            <w:szCs w:val="16"/>
            <w:u w:val="single" w:color="auto"/>
            <w:color w:val="0000EE"/>
          </w:rPr>
          <w:t>Restricted Stock Unit Agreement (incorporated by reference from Exhibit 10.3 to the Quarterly Report on</w:t>
        </w:r>
      </w:hyperlink>
      <w:r>
        <w:rPr>
          <w:rFonts w:ascii="Arial" w:cs="Arial" w:eastAsia="Arial" w:hAnsi="Arial"/>
          <w:sz w:val="16"/>
          <w:szCs w:val="16"/>
          <w:u w:val="single" w:color="auto"/>
          <w:color w:val="0000EE"/>
        </w:rPr>
        <w:t xml:space="preserve"> </w:t>
      </w:r>
      <w:hyperlink r:id="rId222">
        <w:r>
          <w:rPr>
            <w:rFonts w:ascii="Arial" w:cs="Arial" w:eastAsia="Arial" w:hAnsi="Arial"/>
            <w:sz w:val="16"/>
            <w:szCs w:val="16"/>
            <w:u w:val="single" w:color="auto"/>
            <w:color w:val="0000EE"/>
          </w:rPr>
          <w:t>Form 10-Q of DISH Network Corporation filed November 6, 2020). **</w:t>
        </w:r>
      </w:hyperlink>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22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040" w:right="79" w:hanging="849"/>
        <w:spacing w:after="0" w:line="287"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10.46*</w:t>
      </w:r>
      <w:r>
        <w:rPr>
          <w:sz w:val="20"/>
          <w:szCs w:val="20"/>
          <w:color w:val="auto"/>
        </w:rPr>
        <w:tab/>
      </w:r>
      <w:hyperlink r:id="rId224">
        <w:r>
          <w:rPr>
            <w:rFonts w:ascii="Arial" w:cs="Arial" w:eastAsia="Arial" w:hAnsi="Arial"/>
            <w:sz w:val="16"/>
            <w:szCs w:val="16"/>
            <w:u w:val="single" w:color="auto"/>
            <w:color w:val="0000EE"/>
          </w:rPr>
          <w:t>Master Network Service Agreement, dated as of July 1, 2020, by and among DISH Network Corporation, DISH</w:t>
        </w:r>
      </w:hyperlink>
      <w:r>
        <w:rPr>
          <w:rFonts w:ascii="Arial" w:cs="Arial" w:eastAsia="Arial" w:hAnsi="Arial"/>
          <w:sz w:val="16"/>
          <w:szCs w:val="16"/>
          <w:u w:val="single" w:color="auto"/>
          <w:color w:val="0000EE"/>
        </w:rPr>
        <w:t xml:space="preserve"> </w:t>
      </w:r>
      <w:hyperlink r:id="rId224">
        <w:r>
          <w:rPr>
            <w:rFonts w:ascii="Arial" w:cs="Arial" w:eastAsia="Arial" w:hAnsi="Arial"/>
            <w:sz w:val="16"/>
            <w:szCs w:val="16"/>
            <w:u w:val="single" w:color="auto"/>
            <w:color w:val="0000EE"/>
          </w:rPr>
          <w:t>Purchasing Corporation, and T-Mobile USA, Inc. (incorporated by reference from Exhibit 10.4 to the Quarterly</w:t>
        </w:r>
      </w:hyperlink>
      <w:r>
        <w:rPr>
          <w:rFonts w:ascii="Arial" w:cs="Arial" w:eastAsia="Arial" w:hAnsi="Arial"/>
          <w:sz w:val="16"/>
          <w:szCs w:val="16"/>
          <w:u w:val="single" w:color="auto"/>
          <w:color w:val="0000EE"/>
        </w:rPr>
        <w:t xml:space="preserve"> </w:t>
      </w:r>
      <w:hyperlink r:id="rId224">
        <w:r>
          <w:rPr>
            <w:rFonts w:ascii="Arial" w:cs="Arial" w:eastAsia="Arial" w:hAnsi="Arial"/>
            <w:sz w:val="16"/>
            <w:szCs w:val="16"/>
            <w:u w:val="single" w:color="auto"/>
            <w:color w:val="0000EE"/>
          </w:rPr>
          <w:t>Report on Form 10-Q of DISH Network Corporation filed November 6, 2020).</w:t>
        </w:r>
      </w:hyperlink>
    </w:p>
    <w:p>
      <w:pPr>
        <w:spacing w:after="0" w:line="163" w:lineRule="exact"/>
        <w:rPr>
          <w:rFonts w:ascii="Arial" w:cs="Arial" w:eastAsia="Arial" w:hAnsi="Arial"/>
          <w:sz w:val="16"/>
          <w:szCs w:val="16"/>
          <w:u w:val="single" w:color="auto"/>
          <w:color w:val="0000EE"/>
        </w:rPr>
      </w:pPr>
    </w:p>
    <w:p>
      <w:pPr>
        <w:ind w:left="1040" w:right="239" w:hanging="849"/>
        <w:spacing w:after="0" w:line="287"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10.47*</w:t>
      </w:r>
      <w:r>
        <w:rPr>
          <w:sz w:val="20"/>
          <w:szCs w:val="20"/>
          <w:color w:val="auto"/>
        </w:rPr>
        <w:tab/>
      </w:r>
      <w:hyperlink r:id="rId225">
        <w:r>
          <w:rPr>
            <w:rFonts w:ascii="Arial" w:cs="Arial" w:eastAsia="Arial" w:hAnsi="Arial"/>
            <w:sz w:val="16"/>
            <w:szCs w:val="16"/>
            <w:u w:val="single" w:color="auto"/>
            <w:color w:val="0000EE"/>
          </w:rPr>
          <w:t>License Purchase Agreement, dated as of July 1, 2020, by and among DISH Network Corporation and T-</w:t>
        </w:r>
      </w:hyperlink>
      <w:hyperlink r:id="rId225">
        <w:r>
          <w:rPr>
            <w:rFonts w:ascii="Arial" w:cs="Arial" w:eastAsia="Arial" w:hAnsi="Arial"/>
            <w:sz w:val="16"/>
            <w:szCs w:val="16"/>
            <w:u w:val="single" w:color="auto"/>
            <w:color w:val="0000EE"/>
          </w:rPr>
          <w:t>Mobile USA, Inc. (incorporated by reference from Exhibit 10.5 to the Quarterly Report on Form 10-Q of DISH</w:t>
        </w:r>
      </w:hyperlink>
      <w:r>
        <w:rPr>
          <w:rFonts w:ascii="Arial" w:cs="Arial" w:eastAsia="Arial" w:hAnsi="Arial"/>
          <w:sz w:val="16"/>
          <w:szCs w:val="16"/>
          <w:u w:val="single" w:color="auto"/>
          <w:color w:val="0000EE"/>
        </w:rPr>
        <w:t xml:space="preserve"> </w:t>
      </w:r>
      <w:hyperlink r:id="rId225">
        <w:r>
          <w:rPr>
            <w:rFonts w:ascii="Arial" w:cs="Arial" w:eastAsia="Arial" w:hAnsi="Arial"/>
            <w:sz w:val="16"/>
            <w:szCs w:val="16"/>
            <w:u w:val="single" w:color="auto"/>
            <w:color w:val="0000EE"/>
          </w:rPr>
          <w:t>Network Corporation filed November 6, 2020).</w:t>
        </w:r>
      </w:hyperlink>
    </w:p>
    <w:p>
      <w:pPr>
        <w:spacing w:after="0" w:line="163" w:lineRule="exact"/>
        <w:rPr>
          <w:rFonts w:ascii="Arial" w:cs="Arial" w:eastAsia="Arial" w:hAnsi="Arial"/>
          <w:sz w:val="16"/>
          <w:szCs w:val="16"/>
          <w:u w:val="single" w:color="auto"/>
          <w:color w:val="0000EE"/>
        </w:rPr>
      </w:pPr>
    </w:p>
    <w:p>
      <w:pPr>
        <w:jc w:val="both"/>
        <w:ind w:left="1040" w:right="539" w:hanging="849"/>
        <w:spacing w:after="0" w:line="287"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10.48*</w:t>
      </w:r>
      <w:r>
        <w:rPr>
          <w:sz w:val="20"/>
          <w:szCs w:val="20"/>
          <w:color w:val="auto"/>
        </w:rPr>
        <w:tab/>
      </w:r>
      <w:hyperlink r:id="rId226">
        <w:r>
          <w:rPr>
            <w:rFonts w:ascii="Arial" w:cs="Arial" w:eastAsia="Arial" w:hAnsi="Arial"/>
            <w:sz w:val="16"/>
            <w:szCs w:val="16"/>
            <w:u w:val="single" w:color="auto"/>
            <w:color w:val="0000EE"/>
          </w:rPr>
          <w:t>Network Services Agreement, dated as of July 14, 2021, by and among DISH Wireless L.L.C. and AT&amp;T</w:t>
        </w:r>
      </w:hyperlink>
      <w:r>
        <w:rPr>
          <w:rFonts w:ascii="Arial" w:cs="Arial" w:eastAsia="Arial" w:hAnsi="Arial"/>
          <w:sz w:val="16"/>
          <w:szCs w:val="16"/>
          <w:u w:val="single" w:color="auto"/>
          <w:color w:val="0000EE"/>
        </w:rPr>
        <w:t xml:space="preserve"> </w:t>
      </w:r>
      <w:hyperlink r:id="rId226">
        <w:r>
          <w:rPr>
            <w:rFonts w:ascii="Arial" w:cs="Arial" w:eastAsia="Arial" w:hAnsi="Arial"/>
            <w:sz w:val="16"/>
            <w:szCs w:val="16"/>
            <w:u w:val="single" w:color="auto"/>
            <w:color w:val="0000EE"/>
          </w:rPr>
          <w:t>Mobility LLC (incorporated by reference from Exhibit 10.1 to the Quarterly Report on Form 10-Q of DISH</w:t>
        </w:r>
      </w:hyperlink>
      <w:r>
        <w:rPr>
          <w:rFonts w:ascii="Arial" w:cs="Arial" w:eastAsia="Arial" w:hAnsi="Arial"/>
          <w:sz w:val="16"/>
          <w:szCs w:val="16"/>
          <w:u w:val="single" w:color="auto"/>
          <w:color w:val="0000EE"/>
        </w:rPr>
        <w:t xml:space="preserve"> </w:t>
      </w:r>
      <w:hyperlink r:id="rId226">
        <w:r>
          <w:rPr>
            <w:rFonts w:ascii="Arial" w:cs="Arial" w:eastAsia="Arial" w:hAnsi="Arial"/>
            <w:sz w:val="16"/>
            <w:szCs w:val="16"/>
            <w:u w:val="single" w:color="auto"/>
            <w:color w:val="0000EE"/>
          </w:rPr>
          <w:t>Network Corporation filed November 4, 2021).***</w:t>
        </w:r>
      </w:hyperlink>
    </w:p>
    <w:p>
      <w:pPr>
        <w:spacing w:after="0" w:line="163" w:lineRule="exact"/>
        <w:rPr>
          <w:rFonts w:ascii="Arial" w:cs="Arial" w:eastAsia="Arial" w:hAnsi="Arial"/>
          <w:sz w:val="16"/>
          <w:szCs w:val="16"/>
          <w:u w:val="single" w:color="auto"/>
          <w:color w:val="0000EE"/>
        </w:rPr>
      </w:pPr>
    </w:p>
    <w:p>
      <w:pPr>
        <w:ind w:left="1040" w:right="239" w:hanging="849"/>
        <w:spacing w:after="0" w:line="281"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10.49*</w:t>
      </w:r>
      <w:r>
        <w:rPr>
          <w:sz w:val="20"/>
          <w:szCs w:val="20"/>
          <w:color w:val="auto"/>
        </w:rPr>
        <w:tab/>
      </w:r>
      <w:hyperlink r:id="rId227">
        <w:r>
          <w:rPr>
            <w:rFonts w:ascii="Arial" w:cs="Arial" w:eastAsia="Arial" w:hAnsi="Arial"/>
            <w:sz w:val="16"/>
            <w:szCs w:val="16"/>
            <w:u w:val="single" w:color="auto"/>
            <w:color w:val="0000EE"/>
          </w:rPr>
          <w:t>Amended and Restated Support Agreement, dated as of October 2, 2023, by and among DISH Network,</w:t>
        </w:r>
      </w:hyperlink>
      <w:r>
        <w:rPr>
          <w:rFonts w:ascii="Arial" w:cs="Arial" w:eastAsia="Arial" w:hAnsi="Arial"/>
          <w:sz w:val="16"/>
          <w:szCs w:val="16"/>
          <w:u w:val="single" w:color="auto"/>
          <w:color w:val="0000EE"/>
        </w:rPr>
        <w:t xml:space="preserve"> </w:t>
      </w:r>
      <w:hyperlink r:id="rId227">
        <w:r>
          <w:rPr>
            <w:rFonts w:ascii="Arial" w:cs="Arial" w:eastAsia="Arial" w:hAnsi="Arial"/>
            <w:sz w:val="16"/>
            <w:szCs w:val="16"/>
            <w:u w:val="single" w:color="auto"/>
            <w:color w:val="0000EE"/>
          </w:rPr>
          <w:t>EchoStar and the Ergen Stockholders (attached to the prospectus which forms a part of this registration</w:t>
        </w:r>
      </w:hyperlink>
      <w:r>
        <w:rPr>
          <w:rFonts w:ascii="Arial" w:cs="Arial" w:eastAsia="Arial" w:hAnsi="Arial"/>
          <w:sz w:val="16"/>
          <w:szCs w:val="16"/>
          <w:u w:val="single" w:color="auto"/>
          <w:color w:val="0000EE"/>
        </w:rPr>
        <w:t xml:space="preserve"> </w:t>
      </w:r>
      <w:hyperlink r:id="rId227">
        <w:r>
          <w:rPr>
            <w:rFonts w:ascii="Arial" w:cs="Arial" w:eastAsia="Arial" w:hAnsi="Arial"/>
            <w:sz w:val="16"/>
            <w:szCs w:val="16"/>
            <w:u w:val="single" w:color="auto"/>
            <w:color w:val="0000EE"/>
          </w:rPr>
          <w:t>statement as Annex B) (incorporated by reference from Exhibit 10.1 to the Amendment No. 1 on Form S-4 of</w:t>
        </w:r>
      </w:hyperlink>
      <w:r>
        <w:rPr>
          <w:rFonts w:ascii="Arial" w:cs="Arial" w:eastAsia="Arial" w:hAnsi="Arial"/>
          <w:sz w:val="16"/>
          <w:szCs w:val="16"/>
          <w:u w:val="single" w:color="auto"/>
          <w:color w:val="0000EE"/>
        </w:rPr>
        <w:t xml:space="preserve"> </w:t>
      </w:r>
      <w:hyperlink r:id="rId227">
        <w:r>
          <w:rPr>
            <w:rFonts w:ascii="Arial" w:cs="Arial" w:eastAsia="Arial" w:hAnsi="Arial"/>
            <w:sz w:val="16"/>
            <w:szCs w:val="16"/>
            <w:u w:val="single" w:color="auto"/>
            <w:color w:val="0000EE"/>
          </w:rPr>
          <w:t>EchoStar filed on November 6, 2023).</w:t>
        </w:r>
      </w:hyperlink>
    </w:p>
    <w:p>
      <w:pPr>
        <w:spacing w:after="0" w:line="167" w:lineRule="exact"/>
        <w:rPr>
          <w:rFonts w:ascii="Arial" w:cs="Arial" w:eastAsia="Arial" w:hAnsi="Arial"/>
          <w:sz w:val="16"/>
          <w:szCs w:val="16"/>
          <w:u w:val="single" w:color="auto"/>
          <w:color w:val="0000EE"/>
        </w:rPr>
      </w:pPr>
    </w:p>
    <w:p>
      <w:pPr>
        <w:ind w:left="1040" w:right="199" w:hanging="849"/>
        <w:spacing w:after="0" w:line="287"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10.50*</w:t>
      </w:r>
      <w:r>
        <w:rPr>
          <w:sz w:val="20"/>
          <w:szCs w:val="20"/>
          <w:color w:val="auto"/>
        </w:rPr>
        <w:tab/>
      </w:r>
      <w:hyperlink r:id="rId228">
        <w:r>
          <w:rPr>
            <w:rFonts w:ascii="Arial" w:cs="Arial" w:eastAsia="Arial" w:hAnsi="Arial"/>
            <w:sz w:val="16"/>
            <w:szCs w:val="16"/>
            <w:u w:val="single" w:color="auto"/>
            <w:color w:val="0000EE"/>
          </w:rPr>
          <w:t>Letter Agreement, dated as of October 2, 2023, by and between EchoStar and Hamid Akhavan (incorporated</w:t>
        </w:r>
      </w:hyperlink>
      <w:r>
        <w:rPr>
          <w:rFonts w:ascii="Arial" w:cs="Arial" w:eastAsia="Arial" w:hAnsi="Arial"/>
          <w:sz w:val="16"/>
          <w:szCs w:val="16"/>
          <w:u w:val="single" w:color="auto"/>
          <w:color w:val="0000EE"/>
        </w:rPr>
        <w:t xml:space="preserve"> </w:t>
      </w:r>
      <w:hyperlink r:id="rId228">
        <w:r>
          <w:rPr>
            <w:rFonts w:ascii="Arial" w:cs="Arial" w:eastAsia="Arial" w:hAnsi="Arial"/>
            <w:sz w:val="16"/>
            <w:szCs w:val="16"/>
            <w:u w:val="single" w:color="auto"/>
            <w:color w:val="0000EE"/>
          </w:rPr>
          <w:t>by reference from Exhibit 10.2 to the Amendment No. 1 on Form S-4 of EchoStar filed on November 6,</w:t>
        </w:r>
      </w:hyperlink>
      <w:r>
        <w:rPr>
          <w:rFonts w:ascii="Arial" w:cs="Arial" w:eastAsia="Arial" w:hAnsi="Arial"/>
          <w:sz w:val="16"/>
          <w:szCs w:val="16"/>
          <w:u w:val="single" w:color="auto"/>
          <w:color w:val="0000EE"/>
        </w:rPr>
        <w:t xml:space="preserve"> </w:t>
      </w:r>
      <w:hyperlink r:id="rId228">
        <w:r>
          <w:rPr>
            <w:rFonts w:ascii="Arial" w:cs="Arial" w:eastAsia="Arial" w:hAnsi="Arial"/>
            <w:sz w:val="16"/>
            <w:szCs w:val="16"/>
            <w:u w:val="single" w:color="auto"/>
            <w:color w:val="0000EE"/>
          </w:rPr>
          <w:t>2023).**</w:t>
        </w:r>
      </w:hyperlink>
    </w:p>
    <w:p>
      <w:pPr>
        <w:spacing w:after="0" w:line="163" w:lineRule="exact"/>
        <w:rPr>
          <w:rFonts w:ascii="Arial" w:cs="Arial" w:eastAsia="Arial" w:hAnsi="Arial"/>
          <w:sz w:val="16"/>
          <w:szCs w:val="16"/>
          <w:u w:val="single" w:color="auto"/>
          <w:color w:val="0000EE"/>
        </w:rPr>
      </w:pPr>
    </w:p>
    <w:p>
      <w:pPr>
        <w:ind w:left="1040" w:right="639" w:hanging="849"/>
        <w:spacing w:after="0" w:line="287"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10.51*</w:t>
      </w:r>
      <w:r>
        <w:rPr>
          <w:sz w:val="20"/>
          <w:szCs w:val="20"/>
          <w:color w:val="auto"/>
        </w:rPr>
        <w:tab/>
      </w:r>
      <w:hyperlink r:id="rId229">
        <w:r>
          <w:rPr>
            <w:rFonts w:ascii="Arial" w:cs="Arial" w:eastAsia="Arial" w:hAnsi="Arial"/>
            <w:sz w:val="16"/>
            <w:szCs w:val="16"/>
            <w:u w:val="single" w:color="auto"/>
            <w:color w:val="0000EE"/>
          </w:rPr>
          <w:t>Letter Agreement, dated as of October 2, 2023, by and between EchoStar and John W. Swieringa</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(incorporated by reference from Exhibit 10.3 to the Amendment No. 1 on Form S-4 of EchoStar filed on</w:t>
        </w:r>
      </w:hyperlink>
      <w:r>
        <w:rPr>
          <w:rFonts w:ascii="Arial" w:cs="Arial" w:eastAsia="Arial" w:hAnsi="Arial"/>
          <w:sz w:val="16"/>
          <w:szCs w:val="16"/>
          <w:u w:val="single" w:color="auto"/>
          <w:color w:val="0000EE"/>
        </w:rPr>
        <w:t xml:space="preserve"> </w:t>
      </w:r>
      <w:hyperlink r:id="rId229">
        <w:r>
          <w:rPr>
            <w:rFonts w:ascii="Arial" w:cs="Arial" w:eastAsia="Arial" w:hAnsi="Arial"/>
            <w:sz w:val="16"/>
            <w:szCs w:val="16"/>
            <w:u w:val="single" w:color="auto"/>
            <w:color w:val="0000EE"/>
          </w:rPr>
          <w:t>November 6, 2023).**</w:t>
        </w:r>
      </w:hyperlink>
    </w:p>
    <w:p>
      <w:pPr>
        <w:spacing w:after="0" w:line="163" w:lineRule="exact"/>
        <w:rPr>
          <w:rFonts w:ascii="Arial" w:cs="Arial" w:eastAsia="Arial" w:hAnsi="Arial"/>
          <w:sz w:val="16"/>
          <w:szCs w:val="16"/>
          <w:u w:val="single" w:color="auto"/>
          <w:color w:val="0000EE"/>
        </w:rPr>
      </w:pPr>
    </w:p>
    <w:p>
      <w:pPr>
        <w:ind w:left="1040" w:right="359" w:hanging="849"/>
        <w:spacing w:after="0" w:line="287"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10.52*</w:t>
      </w:r>
      <w:r>
        <w:rPr>
          <w:sz w:val="20"/>
          <w:szCs w:val="20"/>
          <w:color w:val="auto"/>
        </w:rPr>
        <w:tab/>
      </w:r>
      <w:hyperlink r:id="rId230">
        <w:r>
          <w:rPr>
            <w:rFonts w:ascii="Arial" w:cs="Arial" w:eastAsia="Arial" w:hAnsi="Arial"/>
            <w:sz w:val="16"/>
            <w:szCs w:val="16"/>
            <w:u w:val="single" w:color="auto"/>
            <w:color w:val="0000EE"/>
          </w:rPr>
          <w:t>Registration Rights Agreement, dated as of December 31, 2024, among EchoStar Corporation, Charles W.</w:t>
        </w:r>
      </w:hyperlink>
      <w:r>
        <w:rPr>
          <w:rFonts w:ascii="Arial" w:cs="Arial" w:eastAsia="Arial" w:hAnsi="Arial"/>
          <w:sz w:val="16"/>
          <w:szCs w:val="16"/>
          <w:u w:val="single" w:color="auto"/>
          <w:color w:val="0000EE"/>
        </w:rPr>
        <w:t xml:space="preserve"> </w:t>
      </w:r>
      <w:hyperlink r:id="rId230">
        <w:r>
          <w:rPr>
            <w:rFonts w:ascii="Arial" w:cs="Arial" w:eastAsia="Arial" w:hAnsi="Arial"/>
            <w:sz w:val="16"/>
            <w:szCs w:val="16"/>
            <w:u w:val="single" w:color="auto"/>
            <w:color w:val="0000EE"/>
          </w:rPr>
          <w:t>Ergen, Cantey M. Ergen and the other signatories thereto (incorporated by reference from Exhibit 10.1 to</w:t>
        </w:r>
      </w:hyperlink>
      <w:r>
        <w:rPr>
          <w:rFonts w:ascii="Arial" w:cs="Arial" w:eastAsia="Arial" w:hAnsi="Arial"/>
          <w:sz w:val="16"/>
          <w:szCs w:val="16"/>
          <w:u w:val="single" w:color="auto"/>
          <w:color w:val="0000EE"/>
        </w:rPr>
        <w:t xml:space="preserve"> </w:t>
      </w:r>
      <w:hyperlink r:id="rId230">
        <w:r>
          <w:rPr>
            <w:rFonts w:ascii="Arial" w:cs="Arial" w:eastAsia="Arial" w:hAnsi="Arial"/>
            <w:sz w:val="16"/>
            <w:szCs w:val="16"/>
            <w:u w:val="single" w:color="auto"/>
            <w:color w:val="0000EE"/>
          </w:rPr>
          <w:t>EchoStar’s Current Report on Form 8-K filed on January 2, 2024).</w:t>
        </w:r>
      </w:hyperlink>
    </w:p>
    <w:p>
      <w:pPr>
        <w:spacing w:after="0" w:line="163" w:lineRule="exact"/>
        <w:rPr>
          <w:rFonts w:ascii="Arial" w:cs="Arial" w:eastAsia="Arial" w:hAnsi="Arial"/>
          <w:sz w:val="16"/>
          <w:szCs w:val="16"/>
          <w:u w:val="single" w:color="auto"/>
          <w:color w:val="0000EE"/>
        </w:rPr>
      </w:pPr>
    </w:p>
    <w:p>
      <w:pPr>
        <w:ind w:left="1040" w:right="479" w:hanging="849"/>
        <w:spacing w:after="0" w:line="307"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10.53*</w:t>
      </w:r>
      <w:r>
        <w:rPr>
          <w:sz w:val="20"/>
          <w:szCs w:val="20"/>
          <w:color w:val="auto"/>
        </w:rPr>
        <w:tab/>
      </w:r>
      <w:hyperlink r:id="rId231">
        <w:r>
          <w:rPr>
            <w:rFonts w:ascii="Arial" w:cs="Arial" w:eastAsia="Arial" w:hAnsi="Arial"/>
            <w:sz w:val="16"/>
            <w:szCs w:val="16"/>
            <w:u w:val="single" w:color="auto"/>
            <w:color w:val="0000EE"/>
          </w:rPr>
          <w:t>Form of Warrant Amendment Letter Agreement (incorporated by reference from Exhibit 4.8 to EchoStar’s</w:t>
        </w:r>
      </w:hyperlink>
      <w:r>
        <w:rPr>
          <w:rFonts w:ascii="Arial" w:cs="Arial" w:eastAsia="Arial" w:hAnsi="Arial"/>
          <w:sz w:val="16"/>
          <w:szCs w:val="16"/>
          <w:u w:val="single" w:color="auto"/>
          <w:color w:val="0000EE"/>
        </w:rPr>
        <w:t xml:space="preserve"> </w:t>
      </w:r>
      <w:hyperlink r:id="rId231">
        <w:r>
          <w:rPr>
            <w:rFonts w:ascii="Arial" w:cs="Arial" w:eastAsia="Arial" w:hAnsi="Arial"/>
            <w:sz w:val="16"/>
            <w:szCs w:val="16"/>
            <w:u w:val="single" w:color="auto"/>
            <w:color w:val="0000EE"/>
          </w:rPr>
          <w:t>Current Report on Form 8-K filed on January 2, 2024).</w:t>
        </w:r>
      </w:hyperlink>
    </w:p>
    <w:p>
      <w:pPr>
        <w:spacing w:after="0" w:line="146" w:lineRule="exact"/>
        <w:rPr>
          <w:sz w:val="20"/>
          <w:szCs w:val="20"/>
          <w:color w:val="auto"/>
        </w:rPr>
      </w:pPr>
    </w:p>
    <w:p>
      <w:pPr>
        <w:ind w:left="1040" w:right="559" w:hanging="849"/>
        <w:spacing w:after="0" w:line="307"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10.54*</w:t>
      </w:r>
      <w:r>
        <w:rPr>
          <w:sz w:val="20"/>
          <w:szCs w:val="20"/>
          <w:color w:val="auto"/>
        </w:rPr>
        <w:tab/>
      </w:r>
      <w:hyperlink r:id="rId232">
        <w:r>
          <w:rPr>
            <w:rFonts w:ascii="Arial" w:cs="Arial" w:eastAsia="Arial" w:hAnsi="Arial"/>
            <w:sz w:val="16"/>
            <w:szCs w:val="16"/>
            <w:u w:val="single" w:color="auto"/>
            <w:color w:val="0000EE"/>
          </w:rPr>
          <w:t>Form of Warrant Guarantee (incorporated by reference from Exhibit 4.9 to EchoStar’s Current Report on</w:t>
        </w:r>
      </w:hyperlink>
      <w:r>
        <w:rPr>
          <w:rFonts w:ascii="Arial" w:cs="Arial" w:eastAsia="Arial" w:hAnsi="Arial"/>
          <w:sz w:val="16"/>
          <w:szCs w:val="16"/>
          <w:u w:val="single" w:color="auto"/>
          <w:color w:val="0000EE"/>
        </w:rPr>
        <w:t xml:space="preserve"> </w:t>
      </w:r>
      <w:hyperlink r:id="rId232">
        <w:r>
          <w:rPr>
            <w:rFonts w:ascii="Arial" w:cs="Arial" w:eastAsia="Arial" w:hAnsi="Arial"/>
            <w:sz w:val="16"/>
            <w:szCs w:val="16"/>
            <w:u w:val="single" w:color="auto"/>
            <w:color w:val="0000EE"/>
          </w:rPr>
          <w:t>Form 8-K filed on January 2, 2024).</w:t>
        </w:r>
      </w:hyperlink>
    </w:p>
    <w:p>
      <w:pPr>
        <w:spacing w:after="0" w:line="146" w:lineRule="exact"/>
        <w:rPr>
          <w:sz w:val="20"/>
          <w:szCs w:val="20"/>
          <w:color w:val="auto"/>
        </w:rPr>
      </w:pPr>
    </w:p>
    <w:p>
      <w:pPr>
        <w:ind w:left="1040" w:right="119" w:hanging="849"/>
        <w:spacing w:after="0" w:line="307"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10.55*</w:t>
      </w:r>
      <w:r>
        <w:rPr>
          <w:sz w:val="20"/>
          <w:szCs w:val="20"/>
          <w:color w:val="auto"/>
        </w:rPr>
        <w:tab/>
      </w:r>
      <w:hyperlink r:id="rId233">
        <w:r>
          <w:rPr>
            <w:rFonts w:ascii="Arial" w:cs="Arial" w:eastAsia="Arial" w:hAnsi="Arial"/>
            <w:sz w:val="16"/>
            <w:szCs w:val="16"/>
            <w:u w:val="single" w:color="auto"/>
            <w:color w:val="0000EE"/>
          </w:rPr>
          <w:t>Form of Note Hedge Amendment Letter Agreement (incorporated by reference from Exhibit 4.11 to EchoStar’s</w:t>
        </w:r>
      </w:hyperlink>
      <w:r>
        <w:rPr>
          <w:rFonts w:ascii="Arial" w:cs="Arial" w:eastAsia="Arial" w:hAnsi="Arial"/>
          <w:sz w:val="16"/>
          <w:szCs w:val="16"/>
          <w:u w:val="single" w:color="auto"/>
          <w:color w:val="0000EE"/>
        </w:rPr>
        <w:t xml:space="preserve"> </w:t>
      </w:r>
      <w:hyperlink r:id="rId233">
        <w:r>
          <w:rPr>
            <w:rFonts w:ascii="Arial" w:cs="Arial" w:eastAsia="Arial" w:hAnsi="Arial"/>
            <w:sz w:val="16"/>
            <w:szCs w:val="16"/>
            <w:u w:val="single" w:color="auto"/>
            <w:color w:val="0000EE"/>
          </w:rPr>
          <w:t>Current Report on Form 8-K filed on January 2, 2024).</w:t>
        </w:r>
      </w:hyperlink>
    </w:p>
    <w:p>
      <w:pPr>
        <w:spacing w:after="0" w:line="111" w:lineRule="exact"/>
        <w:rPr>
          <w:sz w:val="20"/>
          <w:szCs w:val="20"/>
          <w:color w:val="auto"/>
        </w:rPr>
      </w:pPr>
    </w:p>
    <w:p>
      <w:pPr>
        <w:ind w:left="260"/>
        <w:spacing w:after="0" w:line="184" w:lineRule="exact"/>
        <w:tabs>
          <w:tab w:leader="none" w:pos="1020" w:val="left"/>
        </w:tabs>
        <w:rPr>
          <w:sz w:val="20"/>
          <w:szCs w:val="20"/>
          <w:color w:val="auto"/>
        </w:rPr>
      </w:pPr>
      <w:r>
        <w:rPr>
          <w:rFonts w:ascii="Arial" w:cs="Arial" w:eastAsia="Arial" w:hAnsi="Arial"/>
          <w:sz w:val="16"/>
          <w:szCs w:val="16"/>
          <w:color w:val="auto"/>
        </w:rPr>
        <w:t>19</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u w:val="single" w:color="auto"/>
          <w:color w:val="0000EE"/>
        </w:rPr>
        <w:t>EchoStar Corporation’s Insider Trading Policy.</w:t>
      </w:r>
    </w:p>
    <w:p>
      <w:pPr>
        <w:spacing w:after="0" w:line="227" w:lineRule="exact"/>
        <w:rPr>
          <w:sz w:val="20"/>
          <w:szCs w:val="20"/>
          <w:color w:val="auto"/>
        </w:rPr>
      </w:pPr>
    </w:p>
    <w:p>
      <w:pPr>
        <w:ind w:left="260"/>
        <w:spacing w:after="0" w:line="184" w:lineRule="exact"/>
        <w:tabs>
          <w:tab w:leader="none" w:pos="1020" w:val="left"/>
        </w:tabs>
        <w:rPr>
          <w:sz w:val="20"/>
          <w:szCs w:val="20"/>
          <w:color w:val="auto"/>
        </w:rPr>
      </w:pPr>
      <w:r>
        <w:rPr>
          <w:rFonts w:ascii="Arial" w:cs="Arial" w:eastAsia="Arial" w:hAnsi="Arial"/>
          <w:sz w:val="16"/>
          <w:szCs w:val="16"/>
          <w:color w:val="auto"/>
        </w:rPr>
        <w:t>21</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u w:val="single" w:color="auto"/>
          <w:color w:val="0000EE"/>
        </w:rPr>
        <w:t>Subsidiaries of EchoStar Corporation.</w:t>
      </w:r>
    </w:p>
    <w:p>
      <w:pPr>
        <w:spacing w:after="0" w:line="227" w:lineRule="exact"/>
        <w:rPr>
          <w:sz w:val="20"/>
          <w:szCs w:val="20"/>
          <w:color w:val="auto"/>
        </w:rPr>
      </w:pPr>
    </w:p>
    <w:p>
      <w:pPr>
        <w:ind w:left="260"/>
        <w:spacing w:after="0" w:line="184" w:lineRule="exact"/>
        <w:tabs>
          <w:tab w:leader="none" w:pos="1020" w:val="left"/>
        </w:tabs>
        <w:rPr>
          <w:sz w:val="20"/>
          <w:szCs w:val="20"/>
          <w:color w:val="auto"/>
        </w:rPr>
      </w:pPr>
      <w:r>
        <w:rPr>
          <w:rFonts w:ascii="Arial" w:cs="Arial" w:eastAsia="Arial" w:hAnsi="Arial"/>
          <w:sz w:val="16"/>
          <w:szCs w:val="16"/>
          <w:color w:val="auto"/>
        </w:rPr>
        <w:t>22</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u w:val="single" w:color="auto"/>
          <w:color w:val="0000EE"/>
        </w:rPr>
        <w:t>List of Subsidiary Guarantors.</w:t>
      </w:r>
    </w:p>
    <w:p>
      <w:pPr>
        <w:spacing w:after="0" w:line="227" w:lineRule="exact"/>
        <w:rPr>
          <w:sz w:val="20"/>
          <w:szCs w:val="20"/>
          <w:color w:val="auto"/>
        </w:rPr>
      </w:pPr>
    </w:p>
    <w:p>
      <w:pPr>
        <w:ind w:left="260"/>
        <w:spacing w:after="0" w:line="184" w:lineRule="exact"/>
        <w:tabs>
          <w:tab w:leader="none" w:pos="1020" w:val="left"/>
        </w:tabs>
        <w:rPr>
          <w:sz w:val="20"/>
          <w:szCs w:val="20"/>
          <w:color w:val="auto"/>
        </w:rPr>
      </w:pPr>
      <w:r>
        <w:rPr>
          <w:rFonts w:ascii="Arial" w:cs="Arial" w:eastAsia="Arial" w:hAnsi="Arial"/>
          <w:sz w:val="16"/>
          <w:szCs w:val="16"/>
          <w:color w:val="auto"/>
        </w:rPr>
        <w:t>23</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u w:val="single" w:color="auto"/>
          <w:color w:val="0000EE"/>
        </w:rPr>
        <w:t>Consent of KPMG LLP, Independent Registered Public Accounting Firm.</w:t>
      </w:r>
    </w:p>
    <w:p>
      <w:pPr>
        <w:spacing w:after="0" w:line="227" w:lineRule="exact"/>
        <w:rPr>
          <w:sz w:val="20"/>
          <w:szCs w:val="20"/>
          <w:color w:val="auto"/>
        </w:rPr>
      </w:pPr>
    </w:p>
    <w:p>
      <w:pPr>
        <w:ind w:left="1040" w:right="399" w:hanging="778"/>
        <w:spacing w:after="0" w:line="208" w:lineRule="exact"/>
        <w:tabs>
          <w:tab w:leader="none" w:pos="1020" w:val="left"/>
        </w:tabs>
        <w:rPr>
          <w:sz w:val="20"/>
          <w:szCs w:val="20"/>
          <w:color w:val="auto"/>
        </w:rPr>
      </w:pPr>
      <w:r>
        <w:rPr>
          <w:rFonts w:ascii="Arial" w:cs="Arial" w:eastAsia="Arial" w:hAnsi="Arial"/>
          <w:sz w:val="16"/>
          <w:szCs w:val="16"/>
          <w:color w:val="auto"/>
        </w:rPr>
        <w:t>24</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u w:val="single" w:color="auto"/>
          <w:color w:val="0000EE"/>
        </w:rPr>
        <w:t>Power of Attorney authorizing Dean A. Manson as signatory for Charles W. Ergen, Kathleen Q. Abernathy, George R. Brokaw, Stephen J. Bye, James DeFranco, R. Stanton Dodge, Cantey M. Ergen, Lisa W. Hershman, Tom A. Ortolf and William David Wade.</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680085</wp:posOffset>
            </wp:positionV>
            <wp:extent cx="5671185" cy="22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3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19" w:name="page120"/>
    <w:bookmarkEnd w:id="11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0"/>
        <w:spacing w:after="0" w:line="184" w:lineRule="exact"/>
        <w:tabs>
          <w:tab w:leader="none" w:pos="1020" w:val="left"/>
        </w:tabs>
        <w:rPr>
          <w:sz w:val="20"/>
          <w:szCs w:val="20"/>
          <w:color w:val="auto"/>
        </w:rPr>
      </w:pPr>
      <w:r>
        <w:rPr>
          <w:rFonts w:ascii="Arial" w:cs="Arial" w:eastAsia="Arial" w:hAnsi="Arial"/>
          <w:sz w:val="16"/>
          <w:szCs w:val="16"/>
          <w:color w:val="auto"/>
        </w:rPr>
        <w:t>31.1</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u w:val="single" w:color="auto"/>
          <w:color w:val="0000EE"/>
        </w:rPr>
        <w:t>Section 302 Certification of Chief Executive Officer.</w:t>
      </w:r>
    </w:p>
    <w:p>
      <w:pPr>
        <w:spacing w:after="0" w:line="227" w:lineRule="exact"/>
        <w:rPr>
          <w:sz w:val="20"/>
          <w:szCs w:val="20"/>
          <w:color w:val="auto"/>
        </w:rPr>
      </w:pPr>
    </w:p>
    <w:p>
      <w:pPr>
        <w:ind w:left="200"/>
        <w:spacing w:after="0" w:line="184" w:lineRule="exact"/>
        <w:tabs>
          <w:tab w:leader="none" w:pos="1020" w:val="left"/>
        </w:tabs>
        <w:rPr>
          <w:sz w:val="20"/>
          <w:szCs w:val="20"/>
          <w:color w:val="auto"/>
        </w:rPr>
      </w:pPr>
      <w:r>
        <w:rPr>
          <w:rFonts w:ascii="Arial" w:cs="Arial" w:eastAsia="Arial" w:hAnsi="Arial"/>
          <w:sz w:val="16"/>
          <w:szCs w:val="16"/>
          <w:color w:val="auto"/>
        </w:rPr>
        <w:t>31.2</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u w:val="single" w:color="auto"/>
          <w:color w:val="0000EE"/>
        </w:rPr>
        <w:t>Section 302 Certification of Principal Financial Officer.</w:t>
      </w:r>
    </w:p>
    <w:p>
      <w:pPr>
        <w:spacing w:after="0" w:line="227" w:lineRule="exact"/>
        <w:rPr>
          <w:sz w:val="20"/>
          <w:szCs w:val="20"/>
          <w:color w:val="auto"/>
        </w:rPr>
      </w:pPr>
    </w:p>
    <w:p>
      <w:pPr>
        <w:ind w:left="200"/>
        <w:spacing w:after="0" w:line="184" w:lineRule="exact"/>
        <w:tabs>
          <w:tab w:leader="none" w:pos="1020" w:val="left"/>
        </w:tabs>
        <w:rPr>
          <w:sz w:val="20"/>
          <w:szCs w:val="20"/>
          <w:color w:val="auto"/>
        </w:rPr>
      </w:pPr>
      <w:r>
        <w:rPr>
          <w:rFonts w:ascii="Arial" w:cs="Arial" w:eastAsia="Arial" w:hAnsi="Arial"/>
          <w:sz w:val="16"/>
          <w:szCs w:val="16"/>
          <w:color w:val="auto"/>
        </w:rPr>
        <w:t>32.1</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u w:val="single" w:color="auto"/>
          <w:color w:val="0000EE"/>
        </w:rPr>
        <w:t>Section 906 Certification of Chief Executive Officer.</w:t>
      </w:r>
    </w:p>
    <w:p>
      <w:pPr>
        <w:spacing w:after="0" w:line="227" w:lineRule="exact"/>
        <w:rPr>
          <w:sz w:val="20"/>
          <w:szCs w:val="20"/>
          <w:color w:val="auto"/>
        </w:rPr>
      </w:pPr>
    </w:p>
    <w:p>
      <w:pPr>
        <w:ind w:left="200"/>
        <w:spacing w:after="0" w:line="184" w:lineRule="exact"/>
        <w:tabs>
          <w:tab w:leader="none" w:pos="1020" w:val="left"/>
        </w:tabs>
        <w:rPr>
          <w:sz w:val="20"/>
          <w:szCs w:val="20"/>
          <w:color w:val="auto"/>
        </w:rPr>
      </w:pPr>
      <w:r>
        <w:rPr>
          <w:rFonts w:ascii="Arial" w:cs="Arial" w:eastAsia="Arial" w:hAnsi="Arial"/>
          <w:sz w:val="16"/>
          <w:szCs w:val="16"/>
          <w:color w:val="auto"/>
        </w:rPr>
        <w:t>32.2</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u w:val="single" w:color="auto"/>
          <w:color w:val="0000EE"/>
        </w:rPr>
        <w:t>Section 906 Certification of Principal Financial Officer.</w:t>
      </w:r>
    </w:p>
    <w:p>
      <w:pPr>
        <w:spacing w:after="0" w:line="263" w:lineRule="exact"/>
        <w:rPr>
          <w:sz w:val="20"/>
          <w:szCs w:val="20"/>
          <w:color w:val="auto"/>
        </w:rPr>
      </w:pPr>
    </w:p>
    <w:p>
      <w:pPr>
        <w:ind w:left="1040" w:right="179" w:hanging="807"/>
        <w:spacing w:after="0" w:line="307" w:lineRule="auto"/>
        <w:tabs>
          <w:tab w:leader="none" w:pos="1020" w:val="left"/>
        </w:tabs>
        <w:rPr>
          <w:rFonts w:ascii="Arial" w:cs="Arial" w:eastAsia="Arial" w:hAnsi="Arial"/>
          <w:sz w:val="16"/>
          <w:szCs w:val="16"/>
          <w:u w:val="single" w:color="auto"/>
          <w:color w:val="0000EE"/>
        </w:rPr>
      </w:pPr>
      <w:r>
        <w:rPr>
          <w:rFonts w:ascii="Arial" w:cs="Arial" w:eastAsia="Arial" w:hAnsi="Arial"/>
          <w:sz w:val="16"/>
          <w:szCs w:val="16"/>
          <w:color w:val="auto"/>
        </w:rPr>
        <w:t>97.1</w:t>
      </w:r>
      <w:r>
        <w:rPr>
          <w:rFonts w:ascii="Times New Roman" w:cs="Times New Roman" w:eastAsia="Times New Roman" w:hAnsi="Times New Roman"/>
          <w:sz w:val="16"/>
          <w:szCs w:val="16"/>
          <w:color w:val="auto"/>
        </w:rPr>
        <w:t>*</w:t>
      </w:r>
      <w:r>
        <w:rPr>
          <w:sz w:val="20"/>
          <w:szCs w:val="20"/>
          <w:color w:val="auto"/>
        </w:rPr>
        <w:tab/>
      </w:r>
      <w:hyperlink r:id="rId235">
        <w:r>
          <w:rPr>
            <w:rFonts w:ascii="Arial" w:cs="Arial" w:eastAsia="Arial" w:hAnsi="Arial"/>
            <w:sz w:val="16"/>
            <w:szCs w:val="16"/>
            <w:u w:val="single" w:color="auto"/>
            <w:color w:val="0000EE"/>
          </w:rPr>
          <w:t>EchoStar Corporation’s Clawback Policy. (incorporated by reference to Exhibit 97.1 to EchoStar Corporation’s</w:t>
        </w:r>
      </w:hyperlink>
      <w:r>
        <w:rPr>
          <w:rFonts w:ascii="Arial" w:cs="Arial" w:eastAsia="Arial" w:hAnsi="Arial"/>
          <w:sz w:val="16"/>
          <w:szCs w:val="16"/>
          <w:u w:val="single" w:color="auto"/>
          <w:color w:val="0000EE"/>
        </w:rPr>
        <w:t xml:space="preserve"> </w:t>
      </w:r>
      <w:hyperlink r:id="rId235">
        <w:r>
          <w:rPr>
            <w:rFonts w:ascii="Arial" w:cs="Arial" w:eastAsia="Arial" w:hAnsi="Arial"/>
            <w:sz w:val="16"/>
            <w:szCs w:val="16"/>
            <w:u w:val="single" w:color="auto"/>
            <w:color w:val="0000EE"/>
          </w:rPr>
          <w:t>Annual Report on Form 10-K for the year ended December 31, 2023, filed February 29, 2024).</w:t>
        </w:r>
      </w:hyperlink>
    </w:p>
    <w:p>
      <w:pPr>
        <w:spacing w:after="0" w:line="146" w:lineRule="exact"/>
        <w:rPr>
          <w:sz w:val="20"/>
          <w:szCs w:val="20"/>
          <w:color w:val="auto"/>
        </w:rPr>
      </w:pPr>
    </w:p>
    <w:p>
      <w:pPr>
        <w:jc w:val="right"/>
        <w:ind w:left="240" w:right="699"/>
        <w:spacing w:after="0" w:line="307"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99.1*    </w:t>
      </w:r>
      <w:hyperlink r:id="rId236">
        <w:r>
          <w:rPr>
            <w:rFonts w:ascii="Arial" w:cs="Arial" w:eastAsia="Arial" w:hAnsi="Arial"/>
            <w:sz w:val="16"/>
            <w:szCs w:val="16"/>
            <w:u w:val="single" w:color="auto"/>
            <w:color w:val="0000EE"/>
          </w:rPr>
          <w:t>Department of Justice CDMA Letter to Defendants dated July 9, 2021 (incorporated by reference from</w:t>
        </w:r>
      </w:hyperlink>
      <w:r>
        <w:rPr>
          <w:rFonts w:ascii="Arial" w:cs="Arial" w:eastAsia="Arial" w:hAnsi="Arial"/>
          <w:sz w:val="16"/>
          <w:szCs w:val="16"/>
          <w:color w:val="auto"/>
        </w:rPr>
        <w:t xml:space="preserve"> </w:t>
      </w:r>
      <w:hyperlink r:id="rId236">
        <w:r>
          <w:rPr>
            <w:rFonts w:ascii="Arial" w:cs="Arial" w:eastAsia="Arial" w:hAnsi="Arial"/>
            <w:sz w:val="16"/>
            <w:szCs w:val="16"/>
            <w:u w:val="single" w:color="auto"/>
            <w:color w:val="0000EE"/>
          </w:rPr>
          <w:t>Exhibit 99.1 to the Quarterly Report on Form 10-Q of DISH Network Corporation filed August 9, 2021).</w:t>
        </w:r>
      </w:hyperlink>
    </w:p>
    <w:p>
      <w:pPr>
        <w:spacing w:after="0" w:line="87" w:lineRule="exact"/>
        <w:rPr>
          <w:sz w:val="20"/>
          <w:szCs w:val="20"/>
          <w:color w:val="auto"/>
        </w:rPr>
      </w:pPr>
    </w:p>
    <w:p>
      <w:pPr>
        <w:ind w:left="1040" w:right="219" w:hanging="817"/>
        <w:spacing w:after="0" w:line="207" w:lineRule="exact"/>
        <w:tabs>
          <w:tab w:leader="none" w:pos="1020" w:val="left"/>
        </w:tabs>
        <w:rPr>
          <w:sz w:val="20"/>
          <w:szCs w:val="20"/>
          <w:color w:val="auto"/>
        </w:rPr>
      </w:pPr>
      <w:r>
        <w:rPr>
          <w:rFonts w:ascii="Arial" w:cs="Arial" w:eastAsia="Arial" w:hAnsi="Arial"/>
          <w:sz w:val="16"/>
          <w:szCs w:val="16"/>
          <w:color w:val="auto"/>
        </w:rPr>
        <w:t>101</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The following materials from the Annual Report on Form 10-K of EchoStar Corporation for the year ended December 31, 2024, filed on February 27, 2025, formatted in Inline eXtensible Business Reporting Language (“iXBRL”): (i) Consolidated Balance Sheets, (ii) Consolidated Statements of Operations and Comprehensive Income (Loss), (iii) Consolidated Statement of Changes in Stockholders’ Equity (Deficit), (iv) Consolidated Statements of Cash Flows, and (v) related notes to these financial statements.</w:t>
      </w:r>
    </w:p>
    <w:p>
      <w:pPr>
        <w:spacing w:after="0" w:line="175" w:lineRule="exact"/>
        <w:rPr>
          <w:sz w:val="20"/>
          <w:szCs w:val="20"/>
          <w:color w:val="auto"/>
        </w:rPr>
      </w:pPr>
    </w:p>
    <w:p>
      <w:pPr>
        <w:ind w:left="220"/>
        <w:spacing w:after="0" w:line="184" w:lineRule="exact"/>
        <w:tabs>
          <w:tab w:leader="none" w:pos="1020" w:val="left"/>
        </w:tabs>
        <w:rPr>
          <w:sz w:val="20"/>
          <w:szCs w:val="20"/>
          <w:color w:val="auto"/>
        </w:rPr>
      </w:pPr>
      <w:r>
        <w:rPr>
          <w:rFonts w:ascii="Arial" w:cs="Arial" w:eastAsia="Arial" w:hAnsi="Arial"/>
          <w:sz w:val="16"/>
          <w:szCs w:val="16"/>
          <w:color w:val="auto"/>
        </w:rPr>
        <w:t>104</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231775</wp:posOffset>
            </wp:positionV>
            <wp:extent cx="142176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7">
                      <a:extLst>
                        <a:ext uri="{28A0092B-C50C-407E-A947-70E740481C1C}"/>
                      </a:extLst>
                    </a:blip>
                    <a:srcRect/>
                    <a:stretch>
                      <a:fillRect/>
                    </a:stretch>
                  </pic:blipFill>
                  <pic:spPr bwMode="auto">
                    <a:xfrm>
                      <a:off x="0" y="0"/>
                      <a:ext cx="1421765" cy="152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40" w:hanging="498"/>
        <w:spacing w:after="0"/>
        <w:tabs>
          <w:tab w:leader="none" w:pos="540" w:val="left"/>
        </w:tabs>
        <w:numPr>
          <w:ilvl w:val="0"/>
          <w:numId w:val="53"/>
        </w:numPr>
        <w:rPr>
          <w:rFonts w:ascii="MS PGothic" w:cs="MS PGothic" w:eastAsia="MS PGothic" w:hAnsi="MS PGothic"/>
          <w:sz w:val="16"/>
          <w:szCs w:val="16"/>
          <w:color w:val="auto"/>
        </w:rPr>
      </w:pPr>
      <w:r>
        <w:rPr>
          <w:rFonts w:ascii="Arial" w:cs="Arial" w:eastAsia="Arial" w:hAnsi="Arial"/>
          <w:sz w:val="16"/>
          <w:szCs w:val="16"/>
          <w:color w:val="auto"/>
        </w:rPr>
        <w:t>Filed herewith.</w:t>
      </w:r>
    </w:p>
    <w:p>
      <w:pPr>
        <w:spacing w:after="0" w:line="179" w:lineRule="exact"/>
        <w:rPr>
          <w:sz w:val="20"/>
          <w:szCs w:val="20"/>
          <w:color w:val="auto"/>
        </w:rPr>
      </w:pPr>
    </w:p>
    <w:p>
      <w:pPr>
        <w:ind w:left="540" w:hanging="498"/>
        <w:spacing w:after="0"/>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Incorporated by reference.</w:t>
      </w:r>
    </w:p>
    <w:p>
      <w:pPr>
        <w:spacing w:after="0" w:line="155" w:lineRule="exact"/>
        <w:rPr>
          <w:sz w:val="20"/>
          <w:szCs w:val="20"/>
          <w:color w:val="auto"/>
        </w:rPr>
      </w:pPr>
    </w:p>
    <w:p>
      <w:pPr>
        <w:ind w:left="540" w:hanging="498"/>
        <w:spacing w:after="0"/>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Constitutes a management contract or compensatory plan or arrangement.</w:t>
      </w:r>
    </w:p>
    <w:p>
      <w:pPr>
        <w:spacing w:after="0" w:line="154" w:lineRule="exact"/>
        <w:rPr>
          <w:rFonts w:ascii="Arial" w:cs="Arial" w:eastAsia="Arial" w:hAnsi="Arial"/>
          <w:sz w:val="16"/>
          <w:szCs w:val="16"/>
          <w:color w:val="auto"/>
        </w:rPr>
      </w:pPr>
    </w:p>
    <w:p>
      <w:pPr>
        <w:ind w:left="40" w:right="199" w:firstLine="2"/>
        <w:spacing w:after="0" w:line="275" w:lineRule="auto"/>
        <w:tabs>
          <w:tab w:leader="none" w:pos="548" w:val="left"/>
        </w:tabs>
        <w:numPr>
          <w:ilvl w:val="0"/>
          <w:numId w:val="56"/>
        </w:numPr>
        <w:rPr>
          <w:rFonts w:ascii="Arial" w:cs="Arial" w:eastAsia="Arial" w:hAnsi="Arial"/>
          <w:sz w:val="16"/>
          <w:szCs w:val="16"/>
          <w:color w:val="auto"/>
        </w:rPr>
      </w:pPr>
      <w:r>
        <w:rPr>
          <w:rFonts w:ascii="Arial" w:cs="Arial" w:eastAsia="Arial" w:hAnsi="Arial"/>
          <w:sz w:val="16"/>
          <w:szCs w:val="16"/>
          <w:color w:val="auto"/>
        </w:rPr>
        <w:t>Certain portions of the exhibit have been omitted and separately filed with the Securities and Exchange Commission with a request for confidential treatment.</w:t>
      </w:r>
    </w:p>
    <w:p>
      <w:pPr>
        <w:spacing w:after="0" w:line="111"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6"/>
          <w:szCs w:val="16"/>
          <w:b w:val="1"/>
          <w:bCs w:val="1"/>
          <w:color w:val="auto"/>
        </w:rPr>
        <w:t>Item 16.</w:t>
        <w:tab/>
        <w:t>FORM 10-K SUMMARY</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685165</wp:posOffset>
            </wp:positionV>
            <wp:extent cx="567118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8">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20" w:name="page121"/>
    <w:bookmarkEnd w:id="12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11"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ECHOSTAR CORPORATION</w:t>
      </w:r>
    </w:p>
    <w:p>
      <w:pPr>
        <w:spacing w:after="0" w:line="179"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 xml:space="preserve">By: /s/ </w:t>
      </w:r>
      <w:r>
        <w:rPr>
          <w:rFonts w:ascii="Arial" w:cs="Arial" w:eastAsia="Arial" w:hAnsi="Arial"/>
          <w:sz w:val="16"/>
          <w:szCs w:val="16"/>
          <w:i w:val="1"/>
          <w:iCs w:val="1"/>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8890</wp:posOffset>
            </wp:positionV>
            <wp:extent cx="294322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9">
                      <a:extLst>
                        <a:ext uri="{28A0092B-C50C-407E-A947-70E740481C1C}"/>
                      </a:extLst>
                    </a:blip>
                    <a:srcRect/>
                    <a:stretch>
                      <a:fillRect/>
                    </a:stretch>
                  </pic:blipFill>
                  <pic:spPr bwMode="auto">
                    <a:xfrm>
                      <a:off x="0" y="0"/>
                      <a:ext cx="2943225" cy="7620"/>
                    </a:xfrm>
                    <a:prstGeom prst="rect">
                      <a:avLst/>
                    </a:prstGeom>
                    <a:noFill/>
                  </pic:spPr>
                </pic:pic>
              </a:graphicData>
            </a:graphic>
          </wp:anchor>
        </w:drawing>
      </w:r>
    </w:p>
    <w:p>
      <w:pPr>
        <w:spacing w:after="0" w:line="3"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Paul W. Orban</w:t>
      </w:r>
    </w:p>
    <w:p>
      <w:pPr>
        <w:ind w:left="4320"/>
        <w:spacing w:after="0" w:line="236" w:lineRule="auto"/>
        <w:rPr>
          <w:sz w:val="20"/>
          <w:szCs w:val="20"/>
          <w:color w:val="auto"/>
        </w:rPr>
      </w:pPr>
      <w:r>
        <w:rPr>
          <w:rFonts w:ascii="Arial" w:cs="Arial" w:eastAsia="Arial" w:hAnsi="Arial"/>
          <w:sz w:val="16"/>
          <w:szCs w:val="16"/>
          <w:color w:val="auto"/>
        </w:rPr>
        <w:t>Executive Vice President and Chief Financial Officer, DISH</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February 27, 2025</w:t>
      </w:r>
    </w:p>
    <w:p>
      <w:pPr>
        <w:spacing w:after="0" w:line="155" w:lineRule="exact"/>
        <w:rPr>
          <w:sz w:val="20"/>
          <w:szCs w:val="20"/>
          <w:color w:val="auto"/>
        </w:rPr>
      </w:pPr>
    </w:p>
    <w:p>
      <w:pPr>
        <w:ind w:left="40" w:right="419"/>
        <w:spacing w:after="0" w:line="27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Signature</w:t>
            </w:r>
          </w:p>
        </w:tc>
        <w:tc>
          <w:tcPr>
            <w:tcW w:w="240" w:type="dxa"/>
            <w:vAlign w:val="bottom"/>
          </w:tcPr>
          <w:p>
            <w:pPr>
              <w:spacing w:after="0"/>
              <w:rPr>
                <w:sz w:val="17"/>
                <w:szCs w:val="17"/>
                <w:color w:val="auto"/>
              </w:rPr>
            </w:pPr>
          </w:p>
        </w:tc>
        <w:tc>
          <w:tcPr>
            <w:tcW w:w="4500" w:type="dxa"/>
            <w:vAlign w:val="bottom"/>
            <w:tcBorders>
              <w:bottom w:val="single" w:sz="8" w:color="auto"/>
            </w:tcBorders>
          </w:tcPr>
          <w:p>
            <w:pPr>
              <w:ind w:left="2100"/>
              <w:spacing w:after="0"/>
              <w:rPr>
                <w:sz w:val="20"/>
                <w:szCs w:val="20"/>
                <w:color w:val="auto"/>
              </w:rPr>
            </w:pPr>
            <w:r>
              <w:rPr>
                <w:rFonts w:ascii="Arial" w:cs="Arial" w:eastAsia="Arial" w:hAnsi="Arial"/>
                <w:sz w:val="16"/>
                <w:szCs w:val="16"/>
                <w:b w:val="1"/>
                <w:bCs w:val="1"/>
                <w:color w:val="auto"/>
              </w:rPr>
              <w:t>Title</w:t>
            </w:r>
          </w:p>
        </w:tc>
        <w:tc>
          <w:tcPr>
            <w:tcW w:w="160" w:type="dxa"/>
            <w:vAlign w:val="bottom"/>
          </w:tcPr>
          <w:p>
            <w:pPr>
              <w:spacing w:after="0"/>
              <w:rPr>
                <w:sz w:val="17"/>
                <w:szCs w:val="17"/>
                <w:color w:val="auto"/>
              </w:rPr>
            </w:pPr>
          </w:p>
        </w:tc>
        <w:tc>
          <w:tcPr>
            <w:tcW w:w="15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347"/>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Hamid Akhavan</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President and Chief Executive Officer and Director</w:t>
            </w:r>
          </w:p>
        </w:tc>
        <w:tc>
          <w:tcPr>
            <w:tcW w:w="1560" w:type="dxa"/>
            <w:vAlign w:val="bottom"/>
          </w:tcPr>
          <w:p>
            <w:pPr>
              <w:spacing w:after="0"/>
              <w:rPr>
                <w:sz w:val="20"/>
                <w:szCs w:val="20"/>
                <w:color w:val="auto"/>
              </w:rPr>
            </w:pPr>
            <w:r>
              <w:rPr>
                <w:rFonts w:ascii="Arial" w:cs="Arial" w:eastAsia="Arial" w:hAnsi="Arial"/>
                <w:sz w:val="16"/>
                <w:szCs w:val="16"/>
                <w:color w:val="auto"/>
              </w:rPr>
              <w:t>February 27, 2025</w:t>
            </w:r>
          </w:p>
        </w:tc>
        <w:tc>
          <w:tcPr>
            <w:tcW w:w="0" w:type="dxa"/>
            <w:vAlign w:val="bottom"/>
          </w:tcPr>
          <w:p>
            <w:pPr>
              <w:spacing w:after="0"/>
              <w:rPr>
                <w:sz w:val="1"/>
                <w:szCs w:val="1"/>
                <w:color w:val="auto"/>
              </w:rPr>
            </w:pPr>
          </w:p>
        </w:tc>
      </w:tr>
      <w:tr>
        <w:trPr>
          <w:trHeight w:val="214"/>
        </w:trPr>
        <w:tc>
          <w:tcPr>
            <w:tcW w:w="2460" w:type="dxa"/>
            <w:vAlign w:val="bottom"/>
          </w:tcPr>
          <w:p>
            <w:pPr>
              <w:spacing w:after="0"/>
              <w:rPr>
                <w:sz w:val="20"/>
                <w:szCs w:val="20"/>
                <w:color w:val="auto"/>
              </w:rPr>
            </w:pPr>
            <w:r>
              <w:rPr>
                <w:rFonts w:ascii="Arial" w:cs="Arial" w:eastAsia="Arial" w:hAnsi="Arial"/>
                <w:sz w:val="16"/>
                <w:szCs w:val="16"/>
                <w:color w:val="auto"/>
              </w:rPr>
              <w:t>Hamid Akhavan</w:t>
            </w:r>
          </w:p>
        </w:tc>
        <w:tc>
          <w:tcPr>
            <w:tcW w:w="240" w:type="dxa"/>
            <w:vAlign w:val="bottom"/>
          </w:tcPr>
          <w:p>
            <w:pPr>
              <w:spacing w:after="0"/>
              <w:rPr>
                <w:sz w:val="18"/>
                <w:szCs w:val="18"/>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Paul W. Orban</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Financial Officer, DISH</w:t>
            </w:r>
          </w:p>
        </w:tc>
        <w:tc>
          <w:tcPr>
            <w:tcW w:w="1560" w:type="dxa"/>
            <w:vAlign w:val="bottom"/>
          </w:tcPr>
          <w:p>
            <w:pPr>
              <w:spacing w:after="0"/>
              <w:rPr>
                <w:sz w:val="20"/>
                <w:szCs w:val="20"/>
                <w:color w:val="auto"/>
              </w:rPr>
            </w:pPr>
            <w:r>
              <w:rPr>
                <w:rFonts w:ascii="Arial" w:cs="Arial" w:eastAsia="Arial" w:hAnsi="Arial"/>
                <w:sz w:val="16"/>
                <w:szCs w:val="16"/>
                <w:color w:val="auto"/>
              </w:rPr>
              <w:t>February 27, 2025</w:t>
            </w:r>
          </w:p>
        </w:tc>
        <w:tc>
          <w:tcPr>
            <w:tcW w:w="0" w:type="dxa"/>
            <w:vAlign w:val="bottom"/>
          </w:tcPr>
          <w:p>
            <w:pPr>
              <w:spacing w:after="0"/>
              <w:rPr>
                <w:sz w:val="1"/>
                <w:szCs w:val="1"/>
                <w:color w:val="auto"/>
              </w:rPr>
            </w:pPr>
          </w:p>
        </w:tc>
      </w:tr>
      <w:tr>
        <w:trPr>
          <w:trHeight w:val="214"/>
        </w:trPr>
        <w:tc>
          <w:tcPr>
            <w:tcW w:w="2460" w:type="dxa"/>
            <w:vAlign w:val="bottom"/>
          </w:tcPr>
          <w:p>
            <w:pPr>
              <w:spacing w:after="0"/>
              <w:rPr>
                <w:sz w:val="20"/>
                <w:szCs w:val="20"/>
                <w:color w:val="auto"/>
              </w:rPr>
            </w:pPr>
            <w:r>
              <w:rPr>
                <w:rFonts w:ascii="Arial" w:cs="Arial" w:eastAsia="Arial" w:hAnsi="Arial"/>
                <w:sz w:val="16"/>
                <w:szCs w:val="16"/>
                <w:color w:val="auto"/>
              </w:rPr>
              <w:t>Paul W. Orban</w:t>
            </w:r>
          </w:p>
        </w:tc>
        <w:tc>
          <w:tcPr>
            <w:tcW w:w="240" w:type="dxa"/>
            <w:vAlign w:val="bottom"/>
          </w:tcPr>
          <w:p>
            <w:pPr>
              <w:spacing w:after="0"/>
              <w:rPr>
                <w:sz w:val="18"/>
                <w:szCs w:val="18"/>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i w:val="1"/>
                <w:iCs w:val="1"/>
                <w:color w:val="auto"/>
              </w:rPr>
              <w:t>(Principal Financial Officer and Principal Accounting Officer)</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Chairman</w:t>
            </w:r>
          </w:p>
        </w:tc>
        <w:tc>
          <w:tcPr>
            <w:tcW w:w="1560" w:type="dxa"/>
            <w:vAlign w:val="bottom"/>
          </w:tcPr>
          <w:p>
            <w:pPr>
              <w:spacing w:after="0"/>
              <w:rPr>
                <w:sz w:val="20"/>
                <w:szCs w:val="20"/>
                <w:color w:val="auto"/>
              </w:rPr>
            </w:pPr>
            <w:r>
              <w:rPr>
                <w:rFonts w:ascii="Arial" w:cs="Arial" w:eastAsia="Arial" w:hAnsi="Arial"/>
                <w:sz w:val="16"/>
                <w:szCs w:val="16"/>
                <w:color w:val="auto"/>
              </w:rPr>
              <w:t>February 27, 2025</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Charles W. Ergen</w:t>
            </w: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560" w:type="dxa"/>
            <w:vAlign w:val="bottom"/>
          </w:tcPr>
          <w:p>
            <w:pPr>
              <w:spacing w:after="0"/>
              <w:rPr>
                <w:sz w:val="20"/>
                <w:szCs w:val="20"/>
                <w:color w:val="auto"/>
              </w:rPr>
            </w:pPr>
            <w:r>
              <w:rPr>
                <w:rFonts w:ascii="Arial" w:cs="Arial" w:eastAsia="Arial" w:hAnsi="Arial"/>
                <w:sz w:val="16"/>
                <w:szCs w:val="16"/>
                <w:color w:val="auto"/>
              </w:rPr>
              <w:t>February 25, 2025</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Kathleen Q. Abernathy</w:t>
            </w: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560" w:type="dxa"/>
            <w:vAlign w:val="bottom"/>
          </w:tcPr>
          <w:p>
            <w:pPr>
              <w:spacing w:after="0"/>
              <w:rPr>
                <w:sz w:val="20"/>
                <w:szCs w:val="20"/>
                <w:color w:val="auto"/>
              </w:rPr>
            </w:pPr>
            <w:r>
              <w:rPr>
                <w:rFonts w:ascii="Arial" w:cs="Arial" w:eastAsia="Arial" w:hAnsi="Arial"/>
                <w:sz w:val="16"/>
                <w:szCs w:val="16"/>
                <w:color w:val="auto"/>
              </w:rPr>
              <w:t>February 27, 2025</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George R. Brokaw</w:t>
            </w: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560" w:type="dxa"/>
            <w:vAlign w:val="bottom"/>
          </w:tcPr>
          <w:p>
            <w:pPr>
              <w:spacing w:after="0"/>
              <w:rPr>
                <w:sz w:val="20"/>
                <w:szCs w:val="20"/>
                <w:color w:val="auto"/>
              </w:rPr>
            </w:pPr>
            <w:r>
              <w:rPr>
                <w:rFonts w:ascii="Arial" w:cs="Arial" w:eastAsia="Arial" w:hAnsi="Arial"/>
                <w:sz w:val="16"/>
                <w:szCs w:val="16"/>
                <w:color w:val="auto"/>
              </w:rPr>
              <w:t>February 27, 2025</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Stephen J. Bye</w:t>
            </w: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560" w:type="dxa"/>
            <w:vAlign w:val="bottom"/>
          </w:tcPr>
          <w:p>
            <w:pPr>
              <w:spacing w:after="0"/>
              <w:rPr>
                <w:sz w:val="20"/>
                <w:szCs w:val="20"/>
                <w:color w:val="auto"/>
              </w:rPr>
            </w:pPr>
            <w:r>
              <w:rPr>
                <w:rFonts w:ascii="Arial" w:cs="Arial" w:eastAsia="Arial" w:hAnsi="Arial"/>
                <w:sz w:val="16"/>
                <w:szCs w:val="16"/>
                <w:color w:val="auto"/>
              </w:rPr>
              <w:t>February 27, 2025</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James DeFranco</w:t>
            </w: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560" w:type="dxa"/>
            <w:vAlign w:val="bottom"/>
          </w:tcPr>
          <w:p>
            <w:pPr>
              <w:spacing w:after="0"/>
              <w:rPr>
                <w:sz w:val="20"/>
                <w:szCs w:val="20"/>
                <w:color w:val="auto"/>
              </w:rPr>
            </w:pPr>
            <w:r>
              <w:rPr>
                <w:rFonts w:ascii="Arial" w:cs="Arial" w:eastAsia="Arial" w:hAnsi="Arial"/>
                <w:sz w:val="16"/>
                <w:szCs w:val="16"/>
                <w:color w:val="auto"/>
              </w:rPr>
              <w:t>February 27, 2025</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R. Stanton Dodge</w:t>
            </w: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560" w:type="dxa"/>
            <w:vAlign w:val="bottom"/>
          </w:tcPr>
          <w:p>
            <w:pPr>
              <w:spacing w:after="0"/>
              <w:rPr>
                <w:sz w:val="20"/>
                <w:szCs w:val="20"/>
                <w:color w:val="auto"/>
              </w:rPr>
            </w:pPr>
            <w:r>
              <w:rPr>
                <w:rFonts w:ascii="Arial" w:cs="Arial" w:eastAsia="Arial" w:hAnsi="Arial"/>
                <w:sz w:val="16"/>
                <w:szCs w:val="16"/>
                <w:color w:val="auto"/>
              </w:rPr>
              <w:t>February 25, 2025</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Cantey M. Ergen</w:t>
            </w: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560" w:type="dxa"/>
            <w:vAlign w:val="bottom"/>
          </w:tcPr>
          <w:p>
            <w:pPr>
              <w:spacing w:after="0"/>
              <w:rPr>
                <w:sz w:val="20"/>
                <w:szCs w:val="20"/>
                <w:color w:val="auto"/>
              </w:rPr>
            </w:pPr>
            <w:r>
              <w:rPr>
                <w:rFonts w:ascii="Arial" w:cs="Arial" w:eastAsia="Arial" w:hAnsi="Arial"/>
                <w:sz w:val="16"/>
                <w:szCs w:val="16"/>
                <w:color w:val="auto"/>
              </w:rPr>
              <w:t>February 27, 2025</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Lisa W. Hershman</w:t>
            </w: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560" w:type="dxa"/>
            <w:vAlign w:val="bottom"/>
          </w:tcPr>
          <w:p>
            <w:pPr>
              <w:spacing w:after="0"/>
              <w:rPr>
                <w:sz w:val="20"/>
                <w:szCs w:val="20"/>
                <w:color w:val="auto"/>
              </w:rPr>
            </w:pPr>
            <w:r>
              <w:rPr>
                <w:rFonts w:ascii="Arial" w:cs="Arial" w:eastAsia="Arial" w:hAnsi="Arial"/>
                <w:sz w:val="16"/>
                <w:szCs w:val="16"/>
                <w:color w:val="auto"/>
              </w:rPr>
              <w:t>February 27, 2025</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Tom A. Ortolf</w:t>
            </w: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1560" w:type="dxa"/>
            <w:vAlign w:val="bottom"/>
          </w:tcPr>
          <w:p>
            <w:pPr>
              <w:spacing w:after="0"/>
              <w:rPr>
                <w:sz w:val="20"/>
                <w:szCs w:val="20"/>
                <w:color w:val="auto"/>
              </w:rPr>
            </w:pPr>
            <w:r>
              <w:rPr>
                <w:rFonts w:ascii="Arial" w:cs="Arial" w:eastAsia="Arial" w:hAnsi="Arial"/>
                <w:sz w:val="16"/>
                <w:szCs w:val="16"/>
                <w:color w:val="auto"/>
              </w:rPr>
              <w:t>February 27, 2025</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William D. Wade</w:t>
            </w:r>
          </w:p>
        </w:tc>
        <w:tc>
          <w:tcPr>
            <w:tcW w:w="4740" w:type="dxa"/>
            <w:vAlign w:val="bottom"/>
            <w:gridSpan w:val="2"/>
            <w:vMerge w:val="restart"/>
          </w:tcPr>
          <w:p>
            <w:pPr>
              <w:jc w:val="right"/>
              <w:ind w:right="2539"/>
              <w:spacing w:after="0"/>
              <w:rPr>
                <w:sz w:val="20"/>
                <w:szCs w:val="20"/>
                <w:color w:val="auto"/>
              </w:rPr>
            </w:pPr>
            <w:r>
              <w:rPr>
                <w:rFonts w:ascii="Arial" w:cs="Arial" w:eastAsia="Arial" w:hAnsi="Arial"/>
                <w:sz w:val="16"/>
                <w:szCs w:val="16"/>
                <w:color w:val="auto"/>
              </w:rPr>
              <w:t>116</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460" w:type="dxa"/>
            <w:vAlign w:val="bottom"/>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3"/>
        </w:trPr>
        <w:tc>
          <w:tcPr>
            <w:tcW w:w="2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4" w:right="1440"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0" w:right="7059" w:hanging="515"/>
        <w:spacing w:after="0" w:line="264" w:lineRule="auto"/>
        <w:tabs>
          <w:tab w:leader="none" w:pos="159"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By: /s/ </w:t>
      </w:r>
      <w:r>
        <w:rPr>
          <w:rFonts w:ascii="Arial" w:cs="Arial" w:eastAsia="Arial" w:hAnsi="Arial"/>
          <w:sz w:val="16"/>
          <w:szCs w:val="16"/>
          <w:i w:val="1"/>
          <w:iCs w:val="1"/>
          <w:color w:val="auto"/>
        </w:rPr>
        <w:t>Dean A. Manson</w:t>
      </w:r>
      <w:r>
        <w:rPr>
          <w:rFonts w:ascii="Arial" w:cs="Arial" w:eastAsia="Arial" w:hAnsi="Arial"/>
          <w:sz w:val="16"/>
          <w:szCs w:val="16"/>
          <w:color w:val="auto"/>
        </w:rPr>
        <w:t xml:space="preserve"> Dean A. Manson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-259080</wp:posOffset>
            </wp:positionV>
            <wp:extent cx="250507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0">
                      <a:extLst>
                        <a:ext uri="{28A0092B-C50C-407E-A947-70E740481C1C}"/>
                      </a:extLst>
                    </a:blip>
                    <a:srcRect/>
                    <a:stretch>
                      <a:fillRect/>
                    </a:stretch>
                  </pic:blipFill>
                  <pic:spPr bwMode="auto">
                    <a:xfrm>
                      <a:off x="0" y="0"/>
                      <a:ext cx="2505075" cy="7620"/>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699770</wp:posOffset>
            </wp:positionV>
            <wp:extent cx="5671185" cy="22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22" w:name="page123"/>
    <w:bookmarkEnd w:id="12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2120" w:type="dxa"/>
            <w:vAlign w:val="bottom"/>
          </w:tcPr>
          <w:p>
            <w:pPr>
              <w:spacing w:after="0"/>
              <w:rPr>
                <w:sz w:val="19"/>
                <w:szCs w:val="19"/>
                <w:color w:val="auto"/>
              </w:rPr>
            </w:pPr>
          </w:p>
        </w:tc>
        <w:tc>
          <w:tcPr>
            <w:tcW w:w="6120" w:type="dxa"/>
            <w:vAlign w:val="bottom"/>
            <w:gridSpan w:val="6"/>
          </w:tcPr>
          <w:p>
            <w:pPr>
              <w:jc w:val="center"/>
              <w:ind w:right="1440"/>
              <w:spacing w:after="0"/>
              <w:rPr>
                <w:sz w:val="20"/>
                <w:szCs w:val="20"/>
                <w:color w:val="auto"/>
              </w:rPr>
            </w:pPr>
            <w:r>
              <w:rPr>
                <w:rFonts w:ascii="Arial" w:cs="Arial" w:eastAsia="Arial" w:hAnsi="Arial"/>
                <w:sz w:val="16"/>
                <w:szCs w:val="16"/>
                <w:b w:val="1"/>
                <w:bCs w:val="1"/>
                <w:color w:val="auto"/>
              </w:rPr>
              <w:t>INDEX TO CONSOLIDATED FINANCIAL STATEMENTS</w:t>
            </w:r>
          </w:p>
        </w:tc>
        <w:tc>
          <w:tcPr>
            <w:tcW w:w="680" w:type="dxa"/>
            <w:vAlign w:val="bottom"/>
          </w:tcPr>
          <w:p>
            <w:pPr>
              <w:spacing w:after="0"/>
              <w:rPr>
                <w:sz w:val="19"/>
                <w:szCs w:val="19"/>
                <w:color w:val="auto"/>
              </w:rPr>
            </w:pPr>
          </w:p>
        </w:tc>
      </w:tr>
      <w:tr>
        <w:trPr>
          <w:trHeight w:val="367"/>
        </w:trPr>
        <w:tc>
          <w:tcPr>
            <w:tcW w:w="8240" w:type="dxa"/>
            <w:vAlign w:val="bottom"/>
            <w:gridSpan w:val="7"/>
          </w:tcPr>
          <w:p>
            <w:pPr>
              <w:spacing w:after="0"/>
              <w:rPr>
                <w:sz w:val="20"/>
                <w:szCs w:val="20"/>
                <w:color w:val="auto"/>
              </w:rPr>
            </w:pPr>
            <w:r>
              <w:rPr>
                <w:rFonts w:ascii="Arial" w:cs="Arial" w:eastAsia="Arial" w:hAnsi="Arial"/>
                <w:sz w:val="16"/>
                <w:szCs w:val="16"/>
                <w:color w:val="auto"/>
              </w:rPr>
              <w:t>Consolidated Financial Statements:</w:t>
            </w:r>
          </w:p>
        </w:tc>
        <w:tc>
          <w:tcPr>
            <w:tcW w:w="680" w:type="dxa"/>
            <w:vAlign w:val="bottom"/>
          </w:tcPr>
          <w:p>
            <w:pPr>
              <w:spacing w:after="0"/>
              <w:rPr>
                <w:sz w:val="24"/>
                <w:szCs w:val="24"/>
                <w:color w:val="auto"/>
              </w:rPr>
            </w:pPr>
          </w:p>
        </w:tc>
      </w:tr>
      <w:tr>
        <w:trPr>
          <w:trHeight w:val="372"/>
        </w:trPr>
        <w:tc>
          <w:tcPr>
            <w:tcW w:w="2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Page</w:t>
            </w:r>
          </w:p>
        </w:tc>
      </w:tr>
      <w:tr>
        <w:trPr>
          <w:trHeight w:val="331"/>
        </w:trPr>
        <w:tc>
          <w:tcPr>
            <w:tcW w:w="8240" w:type="dxa"/>
            <w:vAlign w:val="bottom"/>
            <w:gridSpan w:val="7"/>
          </w:tcPr>
          <w:p>
            <w:pPr>
              <w:spacing w:after="0"/>
              <w:rPr>
                <w:sz w:val="20"/>
                <w:szCs w:val="20"/>
                <w:color w:val="auto"/>
              </w:rPr>
            </w:pPr>
            <w:r>
              <w:rPr>
                <w:rFonts w:ascii="Arial" w:cs="Arial" w:eastAsia="Arial" w:hAnsi="Arial"/>
                <w:sz w:val="16"/>
                <w:szCs w:val="16"/>
                <w:color w:val="0000EE"/>
              </w:rPr>
              <w:t xml:space="preserve">Report of KPMG LLP, Independent Registered Public Accounting Firm </w:t>
            </w:r>
            <w:r>
              <w:rPr>
                <w:rFonts w:ascii="Arial" w:cs="Arial" w:eastAsia="Arial" w:hAnsi="Arial"/>
                <w:sz w:val="16"/>
                <w:szCs w:val="16"/>
                <w:color w:val="000000"/>
              </w:rPr>
              <w:t>(PCAOB ID: 185)</w:t>
            </w:r>
          </w:p>
        </w:tc>
        <w:tc>
          <w:tcPr>
            <w:tcW w:w="680" w:type="dxa"/>
            <w:vAlign w:val="bottom"/>
          </w:tcPr>
          <w:p>
            <w:pPr>
              <w:ind w:left="440"/>
              <w:spacing w:after="0"/>
              <w:rPr>
                <w:sz w:val="20"/>
                <w:szCs w:val="20"/>
                <w:color w:val="auto"/>
              </w:rPr>
            </w:pPr>
            <w:r>
              <w:rPr>
                <w:rFonts w:ascii="Arial" w:cs="Arial" w:eastAsia="Arial" w:hAnsi="Arial"/>
                <w:sz w:val="16"/>
                <w:szCs w:val="16"/>
                <w:color w:val="auto"/>
                <w:w w:val="91"/>
              </w:rPr>
              <w:t>F-2</w:t>
            </w:r>
          </w:p>
        </w:tc>
      </w:tr>
      <w:tr>
        <w:trPr>
          <w:trHeight w:val="162"/>
        </w:trPr>
        <w:tc>
          <w:tcPr>
            <w:tcW w:w="5000" w:type="dxa"/>
            <w:vAlign w:val="bottom"/>
            <w:tcBorders>
              <w:top w:val="single" w:sz="8" w:color="0000EE"/>
            </w:tcBorders>
            <w:gridSpan w:val="5"/>
          </w:tcPr>
          <w:p>
            <w:pPr>
              <w:spacing w:after="0" w:line="161" w:lineRule="exact"/>
              <w:rPr>
                <w:sz w:val="20"/>
                <w:szCs w:val="20"/>
                <w:color w:val="auto"/>
              </w:rPr>
            </w:pPr>
            <w:r>
              <w:rPr>
                <w:rFonts w:ascii="Arial" w:cs="Arial" w:eastAsia="Arial" w:hAnsi="Arial"/>
                <w:sz w:val="16"/>
                <w:szCs w:val="16"/>
                <w:color w:val="0000EE"/>
              </w:rPr>
              <w:t>Consolidated Balance Sheets</w:t>
            </w:r>
          </w:p>
        </w:tc>
        <w:tc>
          <w:tcPr>
            <w:tcW w:w="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80" w:type="dxa"/>
            <w:vAlign w:val="bottom"/>
          </w:tcPr>
          <w:p>
            <w:pPr>
              <w:ind w:left="440"/>
              <w:spacing w:after="0" w:line="161" w:lineRule="exact"/>
              <w:rPr>
                <w:sz w:val="20"/>
                <w:szCs w:val="20"/>
                <w:color w:val="auto"/>
              </w:rPr>
            </w:pPr>
            <w:r>
              <w:rPr>
                <w:rFonts w:ascii="Arial" w:cs="Arial" w:eastAsia="Arial" w:hAnsi="Arial"/>
                <w:sz w:val="16"/>
                <w:szCs w:val="16"/>
                <w:color w:val="auto"/>
                <w:w w:val="91"/>
              </w:rPr>
              <w:t>F-5</w:t>
            </w:r>
          </w:p>
        </w:tc>
      </w:tr>
      <w:tr>
        <w:trPr>
          <w:trHeight w:val="162"/>
        </w:trPr>
        <w:tc>
          <w:tcPr>
            <w:tcW w:w="2120" w:type="dxa"/>
            <w:vAlign w:val="bottom"/>
            <w:tcBorders>
              <w:top w:val="single" w:sz="8" w:color="0000EE"/>
            </w:tcBorders>
          </w:tcPr>
          <w:p>
            <w:pPr>
              <w:spacing w:after="0" w:line="161" w:lineRule="exact"/>
              <w:rPr>
                <w:sz w:val="20"/>
                <w:szCs w:val="20"/>
                <w:color w:val="auto"/>
              </w:rPr>
            </w:pPr>
            <w:r>
              <w:rPr>
                <w:rFonts w:ascii="Arial" w:cs="Arial" w:eastAsia="Arial" w:hAnsi="Arial"/>
                <w:sz w:val="16"/>
                <w:szCs w:val="16"/>
                <w:color w:val="0000EE"/>
              </w:rPr>
              <w:t>Consolidated Statements of</w:t>
            </w:r>
          </w:p>
        </w:tc>
        <w:tc>
          <w:tcPr>
            <w:tcW w:w="6120" w:type="dxa"/>
            <w:vAlign w:val="bottom"/>
            <w:gridSpan w:val="6"/>
          </w:tcPr>
          <w:p>
            <w:pPr>
              <w:spacing w:after="0" w:line="161" w:lineRule="exact"/>
              <w:rPr>
                <w:sz w:val="20"/>
                <w:szCs w:val="20"/>
                <w:color w:val="auto"/>
              </w:rPr>
            </w:pPr>
            <w:r>
              <w:rPr>
                <w:rFonts w:ascii="Arial" w:cs="Arial" w:eastAsia="Arial" w:hAnsi="Arial"/>
                <w:sz w:val="16"/>
                <w:szCs w:val="16"/>
                <w:color w:val="0000EE"/>
              </w:rPr>
              <w:t>Operations and Comprehensive Income (Loss)</w:t>
            </w:r>
          </w:p>
        </w:tc>
        <w:tc>
          <w:tcPr>
            <w:tcW w:w="680" w:type="dxa"/>
            <w:vAlign w:val="bottom"/>
          </w:tcPr>
          <w:p>
            <w:pPr>
              <w:ind w:left="440"/>
              <w:spacing w:after="0" w:line="161" w:lineRule="exact"/>
              <w:rPr>
                <w:sz w:val="20"/>
                <w:szCs w:val="20"/>
                <w:color w:val="auto"/>
              </w:rPr>
            </w:pPr>
            <w:r>
              <w:rPr>
                <w:rFonts w:ascii="Arial" w:cs="Arial" w:eastAsia="Arial" w:hAnsi="Arial"/>
                <w:sz w:val="16"/>
                <w:szCs w:val="16"/>
                <w:color w:val="auto"/>
                <w:w w:val="91"/>
              </w:rPr>
              <w:t>F-6</w:t>
            </w:r>
          </w:p>
        </w:tc>
      </w:tr>
      <w:tr>
        <w:trPr>
          <w:trHeight w:val="162"/>
        </w:trPr>
        <w:tc>
          <w:tcPr>
            <w:tcW w:w="5380" w:type="dxa"/>
            <w:vAlign w:val="bottom"/>
            <w:tcBorders>
              <w:top w:val="single" w:sz="8" w:color="0000EE"/>
            </w:tcBorders>
            <w:gridSpan w:val="6"/>
          </w:tcPr>
          <w:p>
            <w:pPr>
              <w:spacing w:after="0" w:line="161" w:lineRule="exact"/>
              <w:rPr>
                <w:sz w:val="20"/>
                <w:szCs w:val="20"/>
                <w:color w:val="auto"/>
              </w:rPr>
            </w:pPr>
            <w:r>
              <w:rPr>
                <w:rFonts w:ascii="Arial" w:cs="Arial" w:eastAsia="Arial" w:hAnsi="Arial"/>
                <w:sz w:val="16"/>
                <w:szCs w:val="16"/>
                <w:color w:val="0000EE"/>
              </w:rPr>
              <w:t>Consolidated Statements of Changes in Stockholders’ Equity (Deficit)</w:t>
            </w:r>
          </w:p>
        </w:tc>
        <w:tc>
          <w:tcPr>
            <w:tcW w:w="2860" w:type="dxa"/>
            <w:vAlign w:val="bottom"/>
          </w:tcPr>
          <w:p>
            <w:pPr>
              <w:spacing w:after="0"/>
              <w:rPr>
                <w:sz w:val="14"/>
                <w:szCs w:val="14"/>
                <w:color w:val="auto"/>
              </w:rPr>
            </w:pPr>
          </w:p>
        </w:tc>
        <w:tc>
          <w:tcPr>
            <w:tcW w:w="680" w:type="dxa"/>
            <w:vAlign w:val="bottom"/>
          </w:tcPr>
          <w:p>
            <w:pPr>
              <w:ind w:left="440"/>
              <w:spacing w:after="0" w:line="161" w:lineRule="exact"/>
              <w:rPr>
                <w:sz w:val="20"/>
                <w:szCs w:val="20"/>
                <w:color w:val="auto"/>
              </w:rPr>
            </w:pPr>
            <w:r>
              <w:rPr>
                <w:rFonts w:ascii="Arial" w:cs="Arial" w:eastAsia="Arial" w:hAnsi="Arial"/>
                <w:sz w:val="16"/>
                <w:szCs w:val="16"/>
                <w:color w:val="auto"/>
                <w:w w:val="91"/>
              </w:rPr>
              <w:t>F-7</w:t>
            </w:r>
          </w:p>
        </w:tc>
      </w:tr>
      <w:tr>
        <w:trPr>
          <w:trHeight w:val="162"/>
        </w:trPr>
        <w:tc>
          <w:tcPr>
            <w:tcW w:w="2880" w:type="dxa"/>
            <w:vAlign w:val="bottom"/>
            <w:tcBorders>
              <w:top w:val="single" w:sz="8" w:color="0000EE"/>
              <w:bottom w:val="single" w:sz="8" w:color="0000EE"/>
            </w:tcBorders>
            <w:gridSpan w:val="2"/>
          </w:tcPr>
          <w:p>
            <w:pPr>
              <w:spacing w:after="0" w:line="161" w:lineRule="exact"/>
              <w:rPr>
                <w:sz w:val="20"/>
                <w:szCs w:val="20"/>
                <w:color w:val="auto"/>
              </w:rPr>
            </w:pPr>
            <w:r>
              <w:rPr>
                <w:rFonts w:ascii="Arial" w:cs="Arial" w:eastAsia="Arial" w:hAnsi="Arial"/>
                <w:sz w:val="16"/>
                <w:szCs w:val="16"/>
                <w:color w:val="0000EE"/>
              </w:rPr>
              <w:t>Consolidated Statements of Cash Flows</w:t>
            </w:r>
          </w:p>
        </w:tc>
        <w:tc>
          <w:tcPr>
            <w:tcW w:w="2080" w:type="dxa"/>
            <w:vAlign w:val="bottom"/>
            <w:tcBorders>
              <w:top w:val="single" w:sz="8" w:color="0000EE"/>
            </w:tcBorders>
            <w:gridSpan w:val="2"/>
          </w:tcPr>
          <w:p>
            <w:pPr>
              <w:spacing w:after="0"/>
              <w:rPr>
                <w:sz w:val="14"/>
                <w:szCs w:val="14"/>
                <w:color w:val="auto"/>
              </w:rPr>
            </w:pPr>
          </w:p>
        </w:tc>
        <w:tc>
          <w:tcPr>
            <w:tcW w:w="3280" w:type="dxa"/>
            <w:vAlign w:val="bottom"/>
            <w:gridSpan w:val="3"/>
          </w:tcPr>
          <w:p>
            <w:pPr>
              <w:spacing w:after="0"/>
              <w:rPr>
                <w:sz w:val="14"/>
                <w:szCs w:val="14"/>
                <w:color w:val="auto"/>
              </w:rPr>
            </w:pPr>
          </w:p>
        </w:tc>
        <w:tc>
          <w:tcPr>
            <w:tcW w:w="680" w:type="dxa"/>
            <w:vAlign w:val="bottom"/>
          </w:tcPr>
          <w:p>
            <w:pPr>
              <w:ind w:left="440"/>
              <w:spacing w:after="0" w:line="161" w:lineRule="exact"/>
              <w:rPr>
                <w:sz w:val="20"/>
                <w:szCs w:val="20"/>
                <w:color w:val="auto"/>
              </w:rPr>
            </w:pPr>
            <w:r>
              <w:rPr>
                <w:rFonts w:ascii="Arial" w:cs="Arial" w:eastAsia="Arial" w:hAnsi="Arial"/>
                <w:sz w:val="16"/>
                <w:szCs w:val="16"/>
                <w:color w:val="auto"/>
                <w:w w:val="91"/>
              </w:rPr>
              <w:t>F-8</w:t>
            </w:r>
          </w:p>
        </w:tc>
      </w:tr>
      <w:tr>
        <w:trPr>
          <w:trHeight w:val="162"/>
        </w:trPr>
        <w:tc>
          <w:tcPr>
            <w:tcW w:w="8240" w:type="dxa"/>
            <w:vAlign w:val="bottom"/>
            <w:gridSpan w:val="7"/>
          </w:tcPr>
          <w:p>
            <w:pPr>
              <w:spacing w:after="0" w:line="161" w:lineRule="exact"/>
              <w:rPr>
                <w:sz w:val="20"/>
                <w:szCs w:val="20"/>
                <w:color w:val="auto"/>
              </w:rPr>
            </w:pPr>
            <w:r>
              <w:rPr>
                <w:rFonts w:ascii="Arial" w:cs="Arial" w:eastAsia="Arial" w:hAnsi="Arial"/>
                <w:sz w:val="16"/>
                <w:szCs w:val="16"/>
                <w:color w:val="0000EE"/>
              </w:rPr>
              <w:t>Notes to Consolidated Financial Statements</w:t>
            </w:r>
          </w:p>
        </w:tc>
        <w:tc>
          <w:tcPr>
            <w:tcW w:w="680" w:type="dxa"/>
            <w:vAlign w:val="bottom"/>
          </w:tcPr>
          <w:p>
            <w:pPr>
              <w:ind w:left="440"/>
              <w:spacing w:after="0" w:line="161" w:lineRule="exact"/>
              <w:rPr>
                <w:sz w:val="20"/>
                <w:szCs w:val="20"/>
                <w:color w:val="auto"/>
              </w:rPr>
            </w:pPr>
            <w:r>
              <w:rPr>
                <w:rFonts w:ascii="Arial" w:cs="Arial" w:eastAsia="Arial" w:hAnsi="Arial"/>
                <w:sz w:val="16"/>
                <w:szCs w:val="16"/>
                <w:color w:val="auto"/>
                <w:w w:val="91"/>
              </w:rPr>
              <w:t>F-9</w:t>
            </w:r>
          </w:p>
        </w:tc>
      </w:tr>
      <w:tr>
        <w:trPr>
          <w:trHeight w:val="790"/>
        </w:trPr>
        <w:tc>
          <w:tcPr>
            <w:tcW w:w="2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100" w:type="dxa"/>
            <w:vAlign w:val="bottom"/>
            <w:gridSpan w:val="4"/>
          </w:tcPr>
          <w:p>
            <w:pPr>
              <w:jc w:val="center"/>
              <w:ind w:right="2460"/>
              <w:spacing w:after="0"/>
              <w:rPr>
                <w:sz w:val="20"/>
                <w:szCs w:val="20"/>
                <w:color w:val="auto"/>
              </w:rPr>
            </w:pPr>
            <w:r>
              <w:rPr>
                <w:rFonts w:ascii="Times New Roman" w:cs="Times New Roman" w:eastAsia="Times New Roman" w:hAnsi="Times New Roman"/>
                <w:sz w:val="16"/>
                <w:szCs w:val="16"/>
                <w:color w:val="auto"/>
              </w:rPr>
              <w:t>F-1</w:t>
            </w:r>
          </w:p>
        </w:tc>
        <w:tc>
          <w:tcPr>
            <w:tcW w:w="680" w:type="dxa"/>
            <w:vAlign w:val="bottom"/>
          </w:tcPr>
          <w:p>
            <w:pPr>
              <w:spacing w:after="0"/>
              <w:rPr>
                <w:sz w:val="24"/>
                <w:szCs w:val="24"/>
                <w:color w:val="auto"/>
              </w:rPr>
            </w:pPr>
          </w:p>
        </w:tc>
      </w:tr>
      <w:tr>
        <w:trPr>
          <w:trHeight w:val="501"/>
        </w:trPr>
        <w:tc>
          <w:tcPr>
            <w:tcW w:w="2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4" w:right="1440" w:bottom="1440" w:gutter="0" w:footer="0" w:header="0"/>
        </w:sectPr>
      </w:pPr>
    </w:p>
    <w:bookmarkStart w:id="123" w:name="page124"/>
    <w:bookmarkEnd w:id="12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the Stockholders and Board of Directors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EchoStar Corporation:</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Opinions on the Consolidated Financial Statements and Internal Control Over Financial Reporting</w:t>
      </w:r>
    </w:p>
    <w:p>
      <w:pPr>
        <w:spacing w:after="0" w:line="201" w:lineRule="exact"/>
        <w:rPr>
          <w:sz w:val="20"/>
          <w:szCs w:val="20"/>
          <w:color w:val="auto"/>
        </w:rPr>
      </w:pPr>
    </w:p>
    <w:p>
      <w:pPr>
        <w:ind w:left="40" w:right="219"/>
        <w:spacing w:after="0" w:line="244" w:lineRule="auto"/>
        <w:rPr>
          <w:sz w:val="20"/>
          <w:szCs w:val="20"/>
          <w:color w:val="auto"/>
        </w:rPr>
      </w:pPr>
      <w:r>
        <w:rPr>
          <w:rFonts w:ascii="Arial" w:cs="Arial" w:eastAsia="Arial" w:hAnsi="Arial"/>
          <w:sz w:val="16"/>
          <w:szCs w:val="16"/>
          <w:color w:val="auto"/>
        </w:rPr>
        <w:t xml:space="preserve">We have audited the accompanying consolidated balance sheets of EchoStar Corporation and subsidiaries (the Company) as of December 31, 2024 and 2023, the related consolidated statements of operations and comprehensive income (loss), changes in stockholders’ equity (deficit),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w:t>
      </w:r>
    </w:p>
    <w:p>
      <w:pPr>
        <w:spacing w:after="0" w:line="148" w:lineRule="exact"/>
        <w:rPr>
          <w:sz w:val="20"/>
          <w:szCs w:val="20"/>
          <w:color w:val="auto"/>
        </w:rPr>
      </w:pPr>
    </w:p>
    <w:p>
      <w:pPr>
        <w:ind w:left="40" w:right="79"/>
        <w:spacing w:after="0" w:line="244"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201" w:lineRule="exact"/>
        <w:rPr>
          <w:sz w:val="20"/>
          <w:szCs w:val="20"/>
          <w:color w:val="auto"/>
        </w:rPr>
      </w:pPr>
    </w:p>
    <w:p>
      <w:pPr>
        <w:ind w:left="40" w:right="139"/>
        <w:spacing w:after="0" w:line="242"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4" w:lineRule="exact"/>
        <w:rPr>
          <w:sz w:val="20"/>
          <w:szCs w:val="20"/>
          <w:color w:val="auto"/>
        </w:rPr>
      </w:pPr>
    </w:p>
    <w:p>
      <w:pPr>
        <w:ind w:left="40" w:right="179"/>
        <w:spacing w:after="0" w:line="24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22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2">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24" w:name="page125"/>
    <w:bookmarkEnd w:id="12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01"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ind w:left="40" w:right="239"/>
        <w:spacing w:after="0" w:line="25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Critical Audit Matter</w:t>
      </w:r>
    </w:p>
    <w:p>
      <w:pPr>
        <w:spacing w:after="0" w:line="201" w:lineRule="exact"/>
        <w:rPr>
          <w:sz w:val="20"/>
          <w:szCs w:val="20"/>
          <w:color w:val="auto"/>
        </w:rPr>
      </w:pPr>
    </w:p>
    <w:p>
      <w:pPr>
        <w:ind w:left="40" w:right="179"/>
        <w:spacing w:after="0" w:line="244"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Sufficiency of audit evidence over revenue</w:t>
      </w:r>
    </w:p>
    <w:p>
      <w:pPr>
        <w:spacing w:after="0" w:line="177" w:lineRule="exact"/>
        <w:rPr>
          <w:sz w:val="20"/>
          <w:szCs w:val="20"/>
          <w:color w:val="auto"/>
        </w:rPr>
      </w:pPr>
    </w:p>
    <w:p>
      <w:pPr>
        <w:ind w:left="40" w:right="119"/>
        <w:spacing w:after="0" w:line="242" w:lineRule="auto"/>
        <w:rPr>
          <w:sz w:val="20"/>
          <w:szCs w:val="20"/>
          <w:color w:val="auto"/>
        </w:rPr>
      </w:pPr>
      <w:r>
        <w:rPr>
          <w:rFonts w:ascii="Arial" w:cs="Arial" w:eastAsia="Arial" w:hAnsi="Arial"/>
          <w:sz w:val="16"/>
          <w:szCs w:val="16"/>
          <w:color w:val="auto"/>
        </w:rPr>
        <w:t>As discussed in Note 16 to the consolidated financial statements, the Company reported $15.8 billion in total revenue for the year ended December 31, 2024, which included Pay-TV, Wireless, and Broadband and Satellite Services revenue of $10.7 billion, $ 3.6 billion, and $1.5 billion, respectively. These categories of revenue have multiple revenue streams and certain aspects of the Company’s processes and information technology (IT) systems differ among the revenue streams.</w:t>
      </w:r>
    </w:p>
    <w:p>
      <w:pPr>
        <w:ind w:left="40" w:right="79"/>
        <w:spacing w:after="0" w:line="242" w:lineRule="auto"/>
        <w:rPr>
          <w:sz w:val="20"/>
          <w:szCs w:val="20"/>
          <w:color w:val="auto"/>
        </w:rPr>
      </w:pPr>
      <w:r>
        <w:rPr>
          <w:rFonts w:ascii="Arial" w:cs="Arial" w:eastAsia="Arial" w:hAnsi="Arial"/>
          <w:sz w:val="16"/>
          <w:szCs w:val="16"/>
          <w:color w:val="auto"/>
        </w:rPr>
        <w:t>We identified the evaluation of sufficiency of audit evidence over certain revenue streams as a critical audit matter. Specifically, subjective auditor judgment was required to evaluate that revenue data was captured and aggregated throughout these various IT applications. Additionally, IT professionals with specialized skills and knowledge were required to evaluate the nature and extent of evidence obtained over certain revenue streams.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22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4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right="59"/>
        <w:spacing w:after="0" w:line="239" w:lineRule="auto"/>
        <w:rPr>
          <w:sz w:val="20"/>
          <w:szCs w:val="20"/>
          <w:color w:val="auto"/>
        </w:rPr>
      </w:pPr>
      <w:r>
        <w:rPr>
          <w:rFonts w:ascii="Arial" w:cs="Arial" w:eastAsia="Arial" w:hAnsi="Arial"/>
          <w:sz w:val="16"/>
          <w:szCs w:val="16"/>
          <w:color w:val="auto"/>
        </w:rPr>
        <w:t>The following are the primary procedures we performed to address this critical audit matter. We applied auditor judgment to determine the nature and extent of procedures to be performed over revenue. For each revenue stream where procedures were performed, we evaluated the design and tested the operating effectiveness of certain internal controls related to the Company’s revenue recognition process, including recording of revenue. We also evaluated the design and tested the operating effectiveness of certain general IT and application controls. We involved IT professionals with specialized skills and knowledge, who assisted in testing certain IT applications used by the Company in its revenue recognition processes and the transfer of relevant revenue data between certain systems used in the revenue recognition processes. For certain revenue streams, we assessed the recorded revenue by comparing total cash received during the year, adjusted for reconciling items, to the revenue recognized. Such assessment also evaluated the relevance and reliability of reconciling items to underlying documentation, including the changes in accounts receivable and deferred revenue. For other revenue streams, we assessed the recorded amounts by sampling transactions or confirming the price and quantity of items sold with third-party customers. Additionally, for other revenue streams we performed a software-assisted data analysis to test relationships among certain revenue transactions. Through these procedures we then compared the amounts recognized for consistency with underlying documentation, including contracts or payment and transaction support. We evaluated the sufficiency of audit evidence obtained by assessing the results of the procedures performed, including the appropriateness of the nature and extent of such evidence.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KPMG LLP</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served as the Company’s auditor since 2002.</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Denver, Colorado</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228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4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jc w:val="center"/>
        <w:ind w:right="19"/>
        <w:spacing w:after="0"/>
        <w:rPr>
          <w:sz w:val="20"/>
          <w:szCs w:val="20"/>
          <w:color w:val="auto"/>
        </w:rPr>
      </w:pPr>
      <w:r>
        <w:rPr>
          <w:rFonts w:ascii="Arial" w:cs="Arial" w:eastAsia="Arial" w:hAnsi="Arial"/>
          <w:sz w:val="16"/>
          <w:szCs w:val="16"/>
          <w:color w:val="auto"/>
        </w:rPr>
        <w:t>(Dollars in thousands, except share amounts)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6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December 31,</w:t>
            </w:r>
          </w:p>
        </w:tc>
        <w:tc>
          <w:tcPr>
            <w:tcW w:w="800" w:type="dxa"/>
            <w:vAlign w:val="bottom"/>
            <w:tcBorders>
              <w:bottom w:val="single" w:sz="8" w:color="auto"/>
            </w:tcBorders>
          </w:tcPr>
          <w:p>
            <w:pPr>
              <w:spacing w:after="0"/>
              <w:rPr>
                <w:sz w:val="12"/>
                <w:szCs w:val="12"/>
                <w:color w:val="auto"/>
              </w:rPr>
            </w:pPr>
          </w:p>
        </w:tc>
      </w:tr>
      <w:tr>
        <w:trPr>
          <w:trHeight w:val="121"/>
        </w:trPr>
        <w:tc>
          <w:tcPr>
            <w:tcW w:w="61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24"/>
              <w:spacing w:after="0" w:line="121" w:lineRule="exact"/>
              <w:rPr>
                <w:sz w:val="20"/>
                <w:szCs w:val="20"/>
                <w:color w:val="auto"/>
              </w:rPr>
            </w:pPr>
            <w:r>
              <w:rPr>
                <w:rFonts w:ascii="Arial" w:cs="Arial" w:eastAsia="Arial" w:hAnsi="Arial"/>
                <w:sz w:val="11"/>
                <w:szCs w:val="11"/>
                <w:b w:val="1"/>
                <w:bCs w:val="1"/>
                <w:color w:val="auto"/>
              </w:rPr>
              <w:t>2024</w:t>
            </w:r>
          </w:p>
        </w:tc>
        <w:tc>
          <w:tcPr>
            <w:tcW w:w="2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44"/>
              <w:spacing w:after="0" w:line="121" w:lineRule="exact"/>
              <w:rPr>
                <w:sz w:val="20"/>
                <w:szCs w:val="20"/>
                <w:color w:val="auto"/>
              </w:rPr>
            </w:pPr>
            <w:r>
              <w:rPr>
                <w:rFonts w:ascii="Arial" w:cs="Arial" w:eastAsia="Arial" w:hAnsi="Arial"/>
                <w:sz w:val="11"/>
                <w:szCs w:val="11"/>
                <w:b w:val="1"/>
                <w:bCs w:val="1"/>
                <w:color w:val="auto"/>
              </w:rPr>
              <w:t>2023</w:t>
            </w:r>
          </w:p>
        </w:tc>
      </w:tr>
      <w:tr>
        <w:trPr>
          <w:trHeight w:val="113"/>
        </w:trPr>
        <w:tc>
          <w:tcPr>
            <w:tcW w:w="6180" w:type="dxa"/>
            <w:vAlign w:val="bottom"/>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Assets</w:t>
            </w: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21"/>
        </w:trPr>
        <w:tc>
          <w:tcPr>
            <w:tcW w:w="6180" w:type="dxa"/>
            <w:vAlign w:val="bottom"/>
          </w:tcPr>
          <w:p>
            <w:pPr>
              <w:spacing w:after="0" w:line="121" w:lineRule="exact"/>
              <w:rPr>
                <w:sz w:val="20"/>
                <w:szCs w:val="20"/>
                <w:color w:val="auto"/>
              </w:rPr>
            </w:pPr>
            <w:r>
              <w:rPr>
                <w:rFonts w:ascii="Arial" w:cs="Arial" w:eastAsia="Arial" w:hAnsi="Arial"/>
                <w:sz w:val="11"/>
                <w:szCs w:val="11"/>
                <w:i w:val="1"/>
                <w:iCs w:val="1"/>
                <w:color w:val="auto"/>
              </w:rPr>
              <w:t>Current Assets:</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Cash and cash equivalents</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4,305,393</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1,821,376</w:t>
            </w:r>
          </w:p>
        </w:tc>
      </w:tr>
      <w:tr>
        <w:trPr>
          <w:trHeight w:val="121"/>
        </w:trPr>
        <w:tc>
          <w:tcPr>
            <w:tcW w:w="6180" w:type="dxa"/>
            <w:vAlign w:val="bottom"/>
          </w:tcPr>
          <w:p>
            <w:pPr>
              <w:ind w:left="100"/>
              <w:spacing w:after="0" w:line="121" w:lineRule="exact"/>
              <w:rPr>
                <w:sz w:val="20"/>
                <w:szCs w:val="20"/>
                <w:color w:val="auto"/>
              </w:rPr>
            </w:pPr>
            <w:r>
              <w:rPr>
                <w:rFonts w:ascii="Arial" w:cs="Arial" w:eastAsia="Arial" w:hAnsi="Arial"/>
                <w:sz w:val="11"/>
                <w:szCs w:val="11"/>
                <w:color w:val="auto"/>
              </w:rPr>
              <w:t>Current restricted cash and cash equivalents</w:t>
            </w:r>
          </w:p>
        </w:tc>
        <w:tc>
          <w:tcPr>
            <w:tcW w:w="28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150,898</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Marketable investment securities</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1,242,036</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623,044</w:t>
            </w:r>
          </w:p>
        </w:tc>
      </w:tr>
      <w:tr>
        <w:trPr>
          <w:trHeight w:val="121"/>
        </w:trPr>
        <w:tc>
          <w:tcPr>
            <w:tcW w:w="6180" w:type="dxa"/>
            <w:vAlign w:val="bottom"/>
          </w:tcPr>
          <w:p>
            <w:pPr>
              <w:ind w:left="100"/>
              <w:spacing w:after="0" w:line="121" w:lineRule="exact"/>
              <w:rPr>
                <w:sz w:val="20"/>
                <w:szCs w:val="20"/>
                <w:color w:val="auto"/>
              </w:rPr>
            </w:pPr>
            <w:r>
              <w:rPr>
                <w:rFonts w:ascii="Arial" w:cs="Arial" w:eastAsia="Arial" w:hAnsi="Arial"/>
                <w:sz w:val="11"/>
                <w:szCs w:val="11"/>
                <w:color w:val="auto"/>
              </w:rPr>
              <w:t>Trade accounts receivable, net of allowance for credit losses of $82,628 and $74,390, respectively</w:t>
            </w:r>
          </w:p>
        </w:tc>
        <w:tc>
          <w:tcPr>
            <w:tcW w:w="28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1,198,731</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1,122,139</w:t>
            </w: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Inventory</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455,197</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665,169</w:t>
            </w:r>
          </w:p>
        </w:tc>
      </w:tr>
      <w:tr>
        <w:trPr>
          <w:trHeight w:val="121"/>
        </w:trPr>
        <w:tc>
          <w:tcPr>
            <w:tcW w:w="6180" w:type="dxa"/>
            <w:vAlign w:val="bottom"/>
          </w:tcPr>
          <w:p>
            <w:pPr>
              <w:ind w:left="100"/>
              <w:spacing w:after="0" w:line="121" w:lineRule="exact"/>
              <w:rPr>
                <w:sz w:val="20"/>
                <w:szCs w:val="20"/>
                <w:color w:val="auto"/>
              </w:rPr>
            </w:pPr>
            <w:r>
              <w:rPr>
                <w:rFonts w:ascii="Arial" w:cs="Arial" w:eastAsia="Arial" w:hAnsi="Arial"/>
                <w:sz w:val="11"/>
                <w:szCs w:val="11"/>
                <w:color w:val="auto"/>
              </w:rPr>
              <w:t>Prepaids and other assets</w:t>
            </w:r>
          </w:p>
        </w:tc>
        <w:tc>
          <w:tcPr>
            <w:tcW w:w="28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655,233</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644,005</w:t>
            </w: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Other current assets</w:t>
            </w:r>
          </w:p>
        </w:tc>
        <w:tc>
          <w:tcPr>
            <w:tcW w:w="28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88,255</w:t>
            </w:r>
          </w:p>
        </w:tc>
        <w:tc>
          <w:tcPr>
            <w:tcW w:w="28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16,081</w:t>
            </w:r>
          </w:p>
        </w:tc>
      </w:tr>
      <w:tr>
        <w:trPr>
          <w:trHeight w:val="113"/>
        </w:trPr>
        <w:tc>
          <w:tcPr>
            <w:tcW w:w="618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color w:val="auto"/>
              </w:rPr>
              <w:t>Total current assets</w:t>
            </w: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8,095,743</w:t>
            </w:r>
          </w:p>
        </w:tc>
        <w:tc>
          <w:tcPr>
            <w:tcW w:w="28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4,891,814</w:t>
            </w:r>
          </w:p>
        </w:tc>
      </w:tr>
      <w:tr>
        <w:trPr>
          <w:trHeight w:val="113"/>
        </w:trPr>
        <w:tc>
          <w:tcPr>
            <w:tcW w:w="6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21"/>
        </w:trPr>
        <w:tc>
          <w:tcPr>
            <w:tcW w:w="6180" w:type="dxa"/>
            <w:vAlign w:val="bottom"/>
          </w:tcPr>
          <w:p>
            <w:pPr>
              <w:spacing w:after="0" w:line="121" w:lineRule="exact"/>
              <w:rPr>
                <w:sz w:val="20"/>
                <w:szCs w:val="20"/>
                <w:color w:val="auto"/>
              </w:rPr>
            </w:pPr>
            <w:r>
              <w:rPr>
                <w:rFonts w:ascii="Arial" w:cs="Arial" w:eastAsia="Arial" w:hAnsi="Arial"/>
                <w:sz w:val="11"/>
                <w:szCs w:val="11"/>
                <w:i w:val="1"/>
                <w:iCs w:val="1"/>
                <w:color w:val="auto"/>
              </w:rPr>
              <w:t>Noncurrent Assets:</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Restricted cash, cash equivalents and marketable investment securities</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169,627</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118,065</w:t>
            </w:r>
          </w:p>
        </w:tc>
      </w:tr>
      <w:tr>
        <w:trPr>
          <w:trHeight w:val="121"/>
        </w:trPr>
        <w:tc>
          <w:tcPr>
            <w:tcW w:w="6180" w:type="dxa"/>
            <w:vAlign w:val="bottom"/>
          </w:tcPr>
          <w:p>
            <w:pPr>
              <w:ind w:left="100"/>
              <w:spacing w:after="0" w:line="121" w:lineRule="exact"/>
              <w:rPr>
                <w:sz w:val="20"/>
                <w:szCs w:val="20"/>
                <w:color w:val="auto"/>
              </w:rPr>
            </w:pPr>
            <w:r>
              <w:rPr>
                <w:rFonts w:ascii="Arial" w:cs="Arial" w:eastAsia="Arial" w:hAnsi="Arial"/>
                <w:sz w:val="11"/>
                <w:szCs w:val="11"/>
                <w:color w:val="auto"/>
              </w:rPr>
              <w:t>Property and equipment, net</w:t>
            </w:r>
          </w:p>
        </w:tc>
        <w:tc>
          <w:tcPr>
            <w:tcW w:w="28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9,187,132</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9,561,834</w:t>
            </w: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Regulatory authorizations, net</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39,442,166</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38,572,980</w:t>
            </w:r>
          </w:p>
        </w:tc>
      </w:tr>
      <w:tr>
        <w:trPr>
          <w:trHeight w:val="121"/>
        </w:trPr>
        <w:tc>
          <w:tcPr>
            <w:tcW w:w="6180" w:type="dxa"/>
            <w:vAlign w:val="bottom"/>
          </w:tcPr>
          <w:p>
            <w:pPr>
              <w:ind w:left="100"/>
              <w:spacing w:after="0" w:line="121" w:lineRule="exact"/>
              <w:rPr>
                <w:sz w:val="20"/>
                <w:szCs w:val="20"/>
                <w:color w:val="auto"/>
              </w:rPr>
            </w:pPr>
            <w:r>
              <w:rPr>
                <w:rFonts w:ascii="Arial" w:cs="Arial" w:eastAsia="Arial" w:hAnsi="Arial"/>
                <w:sz w:val="11"/>
                <w:szCs w:val="11"/>
                <w:color w:val="auto"/>
              </w:rPr>
              <w:t>Other investments, net</w:t>
            </w:r>
          </w:p>
        </w:tc>
        <w:tc>
          <w:tcPr>
            <w:tcW w:w="28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202,327</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314,370</w:t>
            </w: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Operating lease assets</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3,260,768</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3,065,448</w:t>
            </w:r>
          </w:p>
        </w:tc>
      </w:tr>
      <w:tr>
        <w:trPr>
          <w:trHeight w:val="121"/>
        </w:trPr>
        <w:tc>
          <w:tcPr>
            <w:tcW w:w="6180" w:type="dxa"/>
            <w:vAlign w:val="bottom"/>
          </w:tcPr>
          <w:p>
            <w:pPr>
              <w:ind w:left="100"/>
              <w:spacing w:after="0" w:line="121" w:lineRule="exact"/>
              <w:rPr>
                <w:sz w:val="20"/>
                <w:szCs w:val="20"/>
                <w:color w:val="auto"/>
              </w:rPr>
            </w:pPr>
            <w:r>
              <w:rPr>
                <w:rFonts w:ascii="Arial" w:cs="Arial" w:eastAsia="Arial" w:hAnsi="Arial"/>
                <w:sz w:val="11"/>
                <w:szCs w:val="11"/>
                <w:color w:val="auto"/>
              </w:rPr>
              <w:t>Intangible assets, net</w:t>
            </w:r>
          </w:p>
        </w:tc>
        <w:tc>
          <w:tcPr>
            <w:tcW w:w="28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74,939</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172,892</w:t>
            </w: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Other noncurrent assets, net</w:t>
            </w:r>
          </w:p>
        </w:tc>
        <w:tc>
          <w:tcPr>
            <w:tcW w:w="28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505,985</w:t>
            </w:r>
          </w:p>
        </w:tc>
        <w:tc>
          <w:tcPr>
            <w:tcW w:w="28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411,491</w:t>
            </w:r>
          </w:p>
        </w:tc>
      </w:tr>
      <w:tr>
        <w:trPr>
          <w:trHeight w:val="113"/>
        </w:trPr>
        <w:tc>
          <w:tcPr>
            <w:tcW w:w="618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color w:val="auto"/>
              </w:rPr>
              <w:t>Total noncurrent assets</w:t>
            </w: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52,842,944</w:t>
            </w:r>
          </w:p>
        </w:tc>
        <w:tc>
          <w:tcPr>
            <w:tcW w:w="28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52,217,080</w:t>
            </w:r>
          </w:p>
        </w:tc>
      </w:tr>
      <w:tr>
        <w:trPr>
          <w:trHeight w:val="113"/>
        </w:trPr>
        <w:tc>
          <w:tcPr>
            <w:tcW w:w="6180" w:type="dxa"/>
            <w:vAlign w:val="bottom"/>
            <w:tcBorders>
              <w:bottom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Total assets</w:t>
            </w:r>
          </w:p>
        </w:tc>
        <w:tc>
          <w:tcPr>
            <w:tcW w:w="280" w:type="dxa"/>
            <w:vAlign w:val="bottom"/>
            <w:tcBorders>
              <w:bottom w:val="single" w:sz="8" w:color="auto"/>
            </w:tcBorders>
            <w:shd w:val="clear" w:color="auto" w:fill="CCEEFF"/>
          </w:tcPr>
          <w:p>
            <w:pPr>
              <w:jc w:val="right"/>
              <w:ind w:right="169"/>
              <w:spacing w:after="0" w:line="114" w:lineRule="exact"/>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60,938,687</w:t>
            </w:r>
          </w:p>
        </w:tc>
        <w:tc>
          <w:tcPr>
            <w:tcW w:w="28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jc w:val="right"/>
              <w:ind w:right="329"/>
              <w:spacing w:after="0" w:line="114"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57,108,894</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97"/>
        </w:trPr>
        <w:tc>
          <w:tcPr>
            <w:tcW w:w="6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82"/>
        </w:trPr>
        <w:tc>
          <w:tcPr>
            <w:tcW w:w="6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 and Stockholders’ Equity (Deficit)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21"/>
        </w:trPr>
        <w:tc>
          <w:tcPr>
            <w:tcW w:w="6180" w:type="dxa"/>
            <w:vAlign w:val="bottom"/>
          </w:tcPr>
          <w:p>
            <w:pPr>
              <w:spacing w:after="0" w:line="121" w:lineRule="exact"/>
              <w:rPr>
                <w:sz w:val="20"/>
                <w:szCs w:val="20"/>
                <w:color w:val="auto"/>
              </w:rPr>
            </w:pPr>
            <w:r>
              <w:rPr>
                <w:rFonts w:ascii="Arial" w:cs="Arial" w:eastAsia="Arial" w:hAnsi="Arial"/>
                <w:sz w:val="11"/>
                <w:szCs w:val="11"/>
                <w:i w:val="1"/>
                <w:iCs w:val="1"/>
                <w:color w:val="auto"/>
              </w:rPr>
              <w:t>Current Liabilities:</w:t>
            </w: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Trade accounts payable</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740,984</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774,011</w:t>
            </w:r>
          </w:p>
        </w:tc>
      </w:tr>
      <w:tr>
        <w:trPr>
          <w:trHeight w:val="121"/>
        </w:trPr>
        <w:tc>
          <w:tcPr>
            <w:tcW w:w="6180" w:type="dxa"/>
            <w:vAlign w:val="bottom"/>
          </w:tcPr>
          <w:p>
            <w:pPr>
              <w:ind w:left="100"/>
              <w:spacing w:after="0" w:line="121" w:lineRule="exact"/>
              <w:rPr>
                <w:sz w:val="20"/>
                <w:szCs w:val="20"/>
                <w:color w:val="auto"/>
              </w:rPr>
            </w:pPr>
            <w:r>
              <w:rPr>
                <w:rFonts w:ascii="Arial" w:cs="Arial" w:eastAsia="Arial" w:hAnsi="Arial"/>
                <w:sz w:val="11"/>
                <w:szCs w:val="11"/>
                <w:color w:val="auto"/>
              </w:rPr>
              <w:t>Deferred revenue and other</w:t>
            </w:r>
          </w:p>
        </w:tc>
        <w:tc>
          <w:tcPr>
            <w:tcW w:w="28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650,940</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754,658</w:t>
            </w: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Accrued programming</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1,339,072</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1,427,762</w:t>
            </w:r>
          </w:p>
        </w:tc>
      </w:tr>
      <w:tr>
        <w:trPr>
          <w:trHeight w:val="121"/>
        </w:trPr>
        <w:tc>
          <w:tcPr>
            <w:tcW w:w="6180" w:type="dxa"/>
            <w:vAlign w:val="bottom"/>
          </w:tcPr>
          <w:p>
            <w:pPr>
              <w:ind w:left="100"/>
              <w:spacing w:after="0" w:line="121" w:lineRule="exact"/>
              <w:rPr>
                <w:sz w:val="20"/>
                <w:szCs w:val="20"/>
                <w:color w:val="auto"/>
              </w:rPr>
            </w:pPr>
            <w:r>
              <w:rPr>
                <w:rFonts w:ascii="Arial" w:cs="Arial" w:eastAsia="Arial" w:hAnsi="Arial"/>
                <w:sz w:val="11"/>
                <w:szCs w:val="11"/>
                <w:color w:val="auto"/>
              </w:rPr>
              <w:t>Accrued interest</w:t>
            </w:r>
          </w:p>
        </w:tc>
        <w:tc>
          <w:tcPr>
            <w:tcW w:w="28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352,499</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297,678</w:t>
            </w: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Other accrued expenses and liabilities</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1,804,516</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1,717,826</w:t>
            </w:r>
          </w:p>
        </w:tc>
      </w:tr>
      <w:tr>
        <w:trPr>
          <w:trHeight w:val="121"/>
        </w:trPr>
        <w:tc>
          <w:tcPr>
            <w:tcW w:w="6180" w:type="dxa"/>
            <w:vAlign w:val="bottom"/>
            <w:tcBorders>
              <w:bottom w:val="single" w:sz="8" w:color="CCEEFF"/>
            </w:tcBorders>
          </w:tcPr>
          <w:p>
            <w:pPr>
              <w:ind w:left="100"/>
              <w:spacing w:after="0" w:line="121" w:lineRule="exact"/>
              <w:rPr>
                <w:sz w:val="20"/>
                <w:szCs w:val="20"/>
                <w:color w:val="auto"/>
              </w:rPr>
            </w:pPr>
            <w:r>
              <w:rPr>
                <w:rFonts w:ascii="Arial" w:cs="Arial" w:eastAsia="Arial" w:hAnsi="Arial"/>
                <w:sz w:val="11"/>
                <w:szCs w:val="11"/>
                <w:color w:val="auto"/>
              </w:rPr>
              <w:t>Current portion of debt, finance lease and other obligations (Note 10)</w:t>
            </w: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943,029</w:t>
            </w:r>
          </w:p>
        </w:tc>
        <w:tc>
          <w:tcPr>
            <w:tcW w:w="2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3,046,654</w:t>
            </w:r>
          </w:p>
        </w:tc>
      </w:tr>
      <w:tr>
        <w:trPr>
          <w:trHeight w:val="113"/>
        </w:trPr>
        <w:tc>
          <w:tcPr>
            <w:tcW w:w="61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Total current liabilities</w:t>
            </w:r>
          </w:p>
        </w:tc>
        <w:tc>
          <w:tcPr>
            <w:tcW w:w="280" w:type="dxa"/>
            <w:vAlign w:val="bottom"/>
            <w:tcBorders>
              <w:bottom w:val="single" w:sz="8" w:color="auto"/>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5,831,040</w:t>
            </w:r>
          </w:p>
        </w:tc>
        <w:tc>
          <w:tcPr>
            <w:tcW w:w="280" w:type="dxa"/>
            <w:vAlign w:val="bottom"/>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8,018,589</w:t>
            </w:r>
          </w:p>
        </w:tc>
      </w:tr>
      <w:tr>
        <w:trPr>
          <w:trHeight w:val="113"/>
        </w:trPr>
        <w:tc>
          <w:tcPr>
            <w:tcW w:w="6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21"/>
        </w:trPr>
        <w:tc>
          <w:tcPr>
            <w:tcW w:w="6180" w:type="dxa"/>
            <w:vAlign w:val="bottom"/>
            <w:shd w:val="clear" w:color="auto" w:fill="CCEEFF"/>
          </w:tcPr>
          <w:p>
            <w:pPr>
              <w:spacing w:after="0" w:line="121" w:lineRule="exact"/>
              <w:rPr>
                <w:sz w:val="20"/>
                <w:szCs w:val="20"/>
                <w:color w:val="auto"/>
              </w:rPr>
            </w:pPr>
            <w:r>
              <w:rPr>
                <w:rFonts w:ascii="Arial" w:cs="Arial" w:eastAsia="Arial" w:hAnsi="Arial"/>
                <w:sz w:val="11"/>
                <w:szCs w:val="11"/>
                <w:i w:val="1"/>
                <w:iCs w:val="1"/>
                <w:color w:val="auto"/>
              </w:rPr>
              <w:t>Long-Term Obligations, Net of Current Portion:</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1"/>
        </w:trPr>
        <w:tc>
          <w:tcPr>
            <w:tcW w:w="6180" w:type="dxa"/>
            <w:vAlign w:val="bottom"/>
          </w:tcPr>
          <w:p>
            <w:pPr>
              <w:ind w:left="100"/>
              <w:spacing w:after="0" w:line="121" w:lineRule="exact"/>
              <w:rPr>
                <w:sz w:val="20"/>
                <w:szCs w:val="20"/>
                <w:color w:val="auto"/>
              </w:rPr>
            </w:pPr>
            <w:r>
              <w:rPr>
                <w:rFonts w:ascii="Arial" w:cs="Arial" w:eastAsia="Arial" w:hAnsi="Arial"/>
                <w:sz w:val="11"/>
                <w:szCs w:val="11"/>
                <w:color w:val="auto"/>
              </w:rPr>
              <w:t>Long-term debt, finance lease and other obligations, net of current portion (Note 10)</w:t>
            </w:r>
          </w:p>
        </w:tc>
        <w:tc>
          <w:tcPr>
            <w:tcW w:w="28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25,660,288</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19,717,266</w:t>
            </w: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Deferred tax liabilities, net</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4,988,653</w:t>
            </w: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5,014,309</w:t>
            </w:r>
          </w:p>
        </w:tc>
      </w:tr>
      <w:tr>
        <w:trPr>
          <w:trHeight w:val="121"/>
        </w:trPr>
        <w:tc>
          <w:tcPr>
            <w:tcW w:w="6180" w:type="dxa"/>
            <w:vAlign w:val="bottom"/>
          </w:tcPr>
          <w:p>
            <w:pPr>
              <w:ind w:left="100"/>
              <w:spacing w:after="0" w:line="121" w:lineRule="exact"/>
              <w:rPr>
                <w:sz w:val="20"/>
                <w:szCs w:val="20"/>
                <w:color w:val="auto"/>
              </w:rPr>
            </w:pPr>
            <w:r>
              <w:rPr>
                <w:rFonts w:ascii="Arial" w:cs="Arial" w:eastAsia="Arial" w:hAnsi="Arial"/>
                <w:sz w:val="11"/>
                <w:szCs w:val="11"/>
                <w:color w:val="auto"/>
              </w:rPr>
              <w:t>Operating lease liabilities</w:t>
            </w:r>
          </w:p>
        </w:tc>
        <w:tc>
          <w:tcPr>
            <w:tcW w:w="28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3,211,407</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3,121,307</w:t>
            </w: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Long-term deferred revenue and other long-term liabilities</w:t>
            </w:r>
          </w:p>
        </w:tc>
        <w:tc>
          <w:tcPr>
            <w:tcW w:w="28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1,002,074</w:t>
            </w:r>
          </w:p>
        </w:tc>
        <w:tc>
          <w:tcPr>
            <w:tcW w:w="28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849,131</w:t>
            </w:r>
          </w:p>
        </w:tc>
      </w:tr>
      <w:tr>
        <w:trPr>
          <w:trHeight w:val="113"/>
        </w:trPr>
        <w:tc>
          <w:tcPr>
            <w:tcW w:w="618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color w:val="auto"/>
              </w:rPr>
              <w:t>Total long-term obligations, net of current portion</w:t>
            </w: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34,862,422</w:t>
            </w:r>
          </w:p>
        </w:tc>
        <w:tc>
          <w:tcPr>
            <w:tcW w:w="28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28,702,013</w:t>
            </w:r>
          </w:p>
        </w:tc>
      </w:tr>
      <w:tr>
        <w:trPr>
          <w:trHeight w:val="113"/>
        </w:trPr>
        <w:tc>
          <w:tcPr>
            <w:tcW w:w="61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Total liabilities</w:t>
            </w:r>
          </w:p>
        </w:tc>
        <w:tc>
          <w:tcPr>
            <w:tcW w:w="280" w:type="dxa"/>
            <w:vAlign w:val="bottom"/>
            <w:tcBorders>
              <w:bottom w:val="single" w:sz="8" w:color="auto"/>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40,693,462</w:t>
            </w:r>
          </w:p>
        </w:tc>
        <w:tc>
          <w:tcPr>
            <w:tcW w:w="280" w:type="dxa"/>
            <w:vAlign w:val="bottom"/>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36,720,602</w:t>
            </w:r>
          </w:p>
        </w:tc>
      </w:tr>
      <w:tr>
        <w:trPr>
          <w:trHeight w:val="113"/>
        </w:trPr>
        <w:tc>
          <w:tcPr>
            <w:tcW w:w="6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21"/>
        </w:trPr>
        <w:tc>
          <w:tcPr>
            <w:tcW w:w="61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Commitments and Contingencies (Note 15)</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1"/>
        </w:trPr>
        <w:tc>
          <w:tcPr>
            <w:tcW w:w="6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1"/>
        </w:trPr>
        <w:tc>
          <w:tcPr>
            <w:tcW w:w="61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Redeemable noncontrolling interests (Note 2)</w:t>
            </w:r>
          </w:p>
        </w:tc>
        <w:tc>
          <w:tcPr>
            <w:tcW w:w="2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438,382</w:t>
            </w:r>
          </w:p>
        </w:tc>
      </w:tr>
      <w:tr>
        <w:trPr>
          <w:trHeight w:val="121"/>
        </w:trPr>
        <w:tc>
          <w:tcPr>
            <w:tcW w:w="6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1"/>
        </w:trPr>
        <w:tc>
          <w:tcPr>
            <w:tcW w:w="6180" w:type="dxa"/>
            <w:vAlign w:val="bottom"/>
            <w:shd w:val="clear" w:color="auto" w:fill="CCEEFF"/>
          </w:tcPr>
          <w:p>
            <w:pPr>
              <w:spacing w:after="0" w:line="121" w:lineRule="exact"/>
              <w:rPr>
                <w:sz w:val="20"/>
                <w:szCs w:val="20"/>
                <w:color w:val="auto"/>
              </w:rPr>
            </w:pPr>
            <w:r>
              <w:rPr>
                <w:rFonts w:ascii="Arial" w:cs="Arial" w:eastAsia="Arial" w:hAnsi="Arial"/>
                <w:sz w:val="11"/>
                <w:szCs w:val="11"/>
                <w:i w:val="1"/>
                <w:iCs w:val="1"/>
                <w:color w:val="auto"/>
              </w:rPr>
              <w:t>Stockholders’ Equity (Deficit):</w:t>
            </w: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06"/>
        </w:trPr>
        <w:tc>
          <w:tcPr>
            <w:tcW w:w="6180" w:type="dxa"/>
            <w:vAlign w:val="bottom"/>
          </w:tcPr>
          <w:p>
            <w:pPr>
              <w:ind w:left="100"/>
              <w:spacing w:after="0" w:line="106" w:lineRule="exact"/>
              <w:rPr>
                <w:sz w:val="20"/>
                <w:szCs w:val="20"/>
                <w:color w:val="auto"/>
              </w:rPr>
            </w:pPr>
            <w:r>
              <w:rPr>
                <w:rFonts w:ascii="Arial" w:cs="Arial" w:eastAsia="Arial" w:hAnsi="Arial"/>
                <w:sz w:val="11"/>
                <w:szCs w:val="11"/>
                <w:color w:val="auto"/>
              </w:rPr>
              <w:t>Class A common stock, $0.001 par value, 1,600,000,000 shares authorized, 155,048,676 and 140,153,020</w:t>
            </w: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6"/>
        </w:trPr>
        <w:tc>
          <w:tcPr>
            <w:tcW w:w="6180" w:type="dxa"/>
            <w:vAlign w:val="bottom"/>
          </w:tcPr>
          <w:p>
            <w:pPr>
              <w:ind w:left="100"/>
              <w:spacing w:after="0"/>
              <w:rPr>
                <w:sz w:val="20"/>
                <w:szCs w:val="20"/>
                <w:color w:val="auto"/>
              </w:rPr>
            </w:pPr>
            <w:r>
              <w:rPr>
                <w:rFonts w:ascii="Arial" w:cs="Arial" w:eastAsia="Arial" w:hAnsi="Arial"/>
                <w:sz w:val="11"/>
                <w:szCs w:val="11"/>
                <w:color w:val="auto"/>
              </w:rPr>
              <w:t>shares issued and outstanding, respectively</w:t>
            </w:r>
          </w:p>
        </w:tc>
        <w:tc>
          <w:tcPr>
            <w:tcW w:w="2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155</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140</w:t>
            </w:r>
          </w:p>
        </w:tc>
      </w:tr>
      <w:tr>
        <w:trPr>
          <w:trHeight w:val="106"/>
        </w:trPr>
        <w:tc>
          <w:tcPr>
            <w:tcW w:w="6180" w:type="dxa"/>
            <w:vAlign w:val="bottom"/>
            <w:shd w:val="clear" w:color="auto" w:fill="CCEEFF"/>
          </w:tcPr>
          <w:p>
            <w:pPr>
              <w:ind w:left="100"/>
              <w:spacing w:after="0" w:line="106" w:lineRule="exact"/>
              <w:rPr>
                <w:sz w:val="20"/>
                <w:szCs w:val="20"/>
                <w:color w:val="auto"/>
              </w:rPr>
            </w:pPr>
            <w:r>
              <w:rPr>
                <w:rFonts w:ascii="Arial" w:cs="Arial" w:eastAsia="Arial" w:hAnsi="Arial"/>
                <w:sz w:val="11"/>
                <w:szCs w:val="11"/>
                <w:color w:val="auto"/>
              </w:rPr>
              <w:t>Class B common stock, $0.001 par value, 800,000,000 shares authorized, 131,348,468 shares issued and</w:t>
            </w: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136"/>
        </w:trPr>
        <w:tc>
          <w:tcPr>
            <w:tcW w:w="61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outstanding</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2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r>
      <w:tr>
        <w:trPr>
          <w:trHeight w:val="121"/>
        </w:trPr>
        <w:tc>
          <w:tcPr>
            <w:tcW w:w="6180" w:type="dxa"/>
            <w:vAlign w:val="bottom"/>
          </w:tcPr>
          <w:p>
            <w:pPr>
              <w:ind w:left="100"/>
              <w:spacing w:after="0" w:line="121" w:lineRule="exact"/>
              <w:rPr>
                <w:sz w:val="20"/>
                <w:szCs w:val="20"/>
                <w:color w:val="auto"/>
              </w:rPr>
            </w:pPr>
            <w:r>
              <w:rPr>
                <w:rFonts w:ascii="Arial" w:cs="Arial" w:eastAsia="Arial" w:hAnsi="Arial"/>
                <w:sz w:val="11"/>
                <w:szCs w:val="11"/>
                <w:color w:val="auto"/>
              </w:rPr>
              <w:t>Additional paid-in capital</w:t>
            </w:r>
          </w:p>
        </w:tc>
        <w:tc>
          <w:tcPr>
            <w:tcW w:w="28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8,768,360</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8,301,979</w:t>
            </w:r>
          </w:p>
        </w:tc>
      </w:tr>
      <w:tr>
        <w:trPr>
          <w:trHeight w:val="121"/>
        </w:trPr>
        <w:tc>
          <w:tcPr>
            <w:tcW w:w="61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Accumulated other comprehensive income (loss)</w:t>
            </w:r>
          </w:p>
        </w:tc>
        <w:tc>
          <w:tcPr>
            <w:tcW w:w="2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1"/>
                <w:szCs w:val="11"/>
                <w:color w:val="auto"/>
              </w:rPr>
              <w:t>(195,711)</w:t>
            </w: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(160,056)</w:t>
            </w:r>
          </w:p>
        </w:tc>
      </w:tr>
      <w:tr>
        <w:trPr>
          <w:trHeight w:val="121"/>
        </w:trPr>
        <w:tc>
          <w:tcPr>
            <w:tcW w:w="6180" w:type="dxa"/>
            <w:vAlign w:val="bottom"/>
            <w:tcBorders>
              <w:bottom w:val="single" w:sz="8" w:color="CCEEFF"/>
            </w:tcBorders>
          </w:tcPr>
          <w:p>
            <w:pPr>
              <w:ind w:left="100"/>
              <w:spacing w:after="0" w:line="121" w:lineRule="exact"/>
              <w:rPr>
                <w:sz w:val="20"/>
                <w:szCs w:val="20"/>
                <w:color w:val="auto"/>
              </w:rPr>
            </w:pPr>
            <w:r>
              <w:rPr>
                <w:rFonts w:ascii="Arial" w:cs="Arial" w:eastAsia="Arial" w:hAnsi="Arial"/>
                <w:sz w:val="11"/>
                <w:szCs w:val="11"/>
                <w:color w:val="auto"/>
              </w:rPr>
              <w:t>Accumulated earnings (deficit)</w:t>
            </w: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11,618,437</w:t>
            </w:r>
          </w:p>
        </w:tc>
        <w:tc>
          <w:tcPr>
            <w:tcW w:w="2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11,737,983</w:t>
            </w:r>
          </w:p>
        </w:tc>
      </w:tr>
      <w:tr>
        <w:trPr>
          <w:trHeight w:val="113"/>
        </w:trPr>
        <w:tc>
          <w:tcPr>
            <w:tcW w:w="61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Total EchoStar stockholders’ equity (deficit)</w:t>
            </w:r>
          </w:p>
        </w:tc>
        <w:tc>
          <w:tcPr>
            <w:tcW w:w="280" w:type="dxa"/>
            <w:vAlign w:val="bottom"/>
            <w:tcBorders>
              <w:bottom w:val="single" w:sz="8" w:color="auto"/>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20,191,372</w:t>
            </w:r>
          </w:p>
        </w:tc>
        <w:tc>
          <w:tcPr>
            <w:tcW w:w="280" w:type="dxa"/>
            <w:vAlign w:val="bottom"/>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19,880,177</w:t>
            </w:r>
          </w:p>
        </w:tc>
      </w:tr>
      <w:tr>
        <w:trPr>
          <w:trHeight w:val="113"/>
        </w:trPr>
        <w:tc>
          <w:tcPr>
            <w:tcW w:w="6180" w:type="dxa"/>
            <w:vAlign w:val="bottom"/>
            <w:tcBorders>
              <w:bottom w:val="single" w:sz="8" w:color="CCEEFF"/>
            </w:tcBorders>
          </w:tcPr>
          <w:p>
            <w:pPr>
              <w:ind w:left="100"/>
              <w:spacing w:after="0" w:line="113" w:lineRule="exact"/>
              <w:rPr>
                <w:sz w:val="20"/>
                <w:szCs w:val="20"/>
                <w:color w:val="auto"/>
              </w:rPr>
            </w:pPr>
            <w:r>
              <w:rPr>
                <w:rFonts w:ascii="Arial" w:cs="Arial" w:eastAsia="Arial" w:hAnsi="Arial"/>
                <w:sz w:val="11"/>
                <w:szCs w:val="11"/>
                <w:color w:val="auto"/>
              </w:rPr>
              <w:t>Noncontrolling interests</w:t>
            </w:r>
          </w:p>
        </w:tc>
        <w:tc>
          <w:tcPr>
            <w:tcW w:w="2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53,853</w:t>
            </w:r>
          </w:p>
        </w:tc>
        <w:tc>
          <w:tcPr>
            <w:tcW w:w="28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69,733</w:t>
            </w:r>
          </w:p>
        </w:tc>
      </w:tr>
      <w:tr>
        <w:trPr>
          <w:trHeight w:val="113"/>
        </w:trPr>
        <w:tc>
          <w:tcPr>
            <w:tcW w:w="61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Total stockholders’ equity (deficit)</w:t>
            </w:r>
          </w:p>
        </w:tc>
        <w:tc>
          <w:tcPr>
            <w:tcW w:w="280" w:type="dxa"/>
            <w:vAlign w:val="bottom"/>
            <w:tcBorders>
              <w:bottom w:val="single" w:sz="8" w:color="auto"/>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20,245,225</w:t>
            </w:r>
          </w:p>
        </w:tc>
        <w:tc>
          <w:tcPr>
            <w:tcW w:w="280" w:type="dxa"/>
            <w:vAlign w:val="bottom"/>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19,949,910</w:t>
            </w:r>
          </w:p>
        </w:tc>
      </w:tr>
      <w:tr>
        <w:trPr>
          <w:trHeight w:val="113"/>
        </w:trPr>
        <w:tc>
          <w:tcPr>
            <w:tcW w:w="6180" w:type="dxa"/>
            <w:vAlign w:val="bottom"/>
          </w:tcPr>
          <w:p>
            <w:pPr>
              <w:spacing w:after="0" w:line="113" w:lineRule="exact"/>
              <w:rPr>
                <w:sz w:val="20"/>
                <w:szCs w:val="20"/>
                <w:color w:val="auto"/>
              </w:rPr>
            </w:pPr>
            <w:r>
              <w:rPr>
                <w:rFonts w:ascii="Arial" w:cs="Arial" w:eastAsia="Arial" w:hAnsi="Arial"/>
                <w:sz w:val="11"/>
                <w:szCs w:val="11"/>
                <w:color w:val="auto"/>
              </w:rPr>
              <w:t>Total liabilities and stockholders’ equity (deficit)</w:t>
            </w:r>
          </w:p>
        </w:tc>
        <w:tc>
          <w:tcPr>
            <w:tcW w:w="280" w:type="dxa"/>
            <w:vAlign w:val="bottom"/>
            <w:tcBorders>
              <w:bottom w:val="single" w:sz="8" w:color="auto"/>
            </w:tcBorders>
          </w:tcPr>
          <w:p>
            <w:pPr>
              <w:jc w:val="right"/>
              <w:ind w:right="169"/>
              <w:spacing w:after="0" w:line="114" w:lineRule="exact"/>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60,938,687</w:t>
            </w:r>
          </w:p>
        </w:tc>
        <w:tc>
          <w:tcPr>
            <w:tcW w:w="280" w:type="dxa"/>
            <w:vAlign w:val="bottom"/>
          </w:tcPr>
          <w:p>
            <w:pPr>
              <w:spacing w:after="0"/>
              <w:rPr>
                <w:sz w:val="9"/>
                <w:szCs w:val="9"/>
                <w:color w:val="auto"/>
              </w:rPr>
            </w:pPr>
          </w:p>
        </w:tc>
        <w:tc>
          <w:tcPr>
            <w:tcW w:w="440" w:type="dxa"/>
            <w:vAlign w:val="bottom"/>
            <w:tcBorders>
              <w:bottom w:val="single" w:sz="8" w:color="auto"/>
            </w:tcBorders>
          </w:tcPr>
          <w:p>
            <w:pPr>
              <w:jc w:val="right"/>
              <w:ind w:right="329"/>
              <w:spacing w:after="0" w:line="114"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57,108,894</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22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45">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jc w:val="center"/>
        <w:ind w:right="19"/>
        <w:spacing w:after="0"/>
        <w:rPr>
          <w:sz w:val="20"/>
          <w:szCs w:val="20"/>
          <w:color w:val="auto"/>
        </w:rPr>
      </w:pPr>
      <w:r>
        <w:rPr>
          <w:rFonts w:ascii="Arial" w:cs="Arial" w:eastAsia="Arial" w:hAnsi="Arial"/>
          <w:sz w:val="16"/>
          <w:szCs w:val="16"/>
          <w:color w:val="auto"/>
        </w:rPr>
        <w:t>(Dollars in thousands, except per share amounts)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6"/>
          </w:tcPr>
          <w:p>
            <w:pPr>
              <w:jc w:val="right"/>
              <w:ind w:right="89"/>
              <w:spacing w:after="0"/>
              <w:rPr>
                <w:sz w:val="20"/>
                <w:szCs w:val="20"/>
                <w:color w:val="auto"/>
              </w:rPr>
            </w:pPr>
            <w:r>
              <w:rPr>
                <w:rFonts w:ascii="Arial" w:cs="Arial" w:eastAsia="Arial" w:hAnsi="Arial"/>
                <w:sz w:val="11"/>
                <w:szCs w:val="11"/>
                <w:b w:val="1"/>
                <w:bCs w:val="1"/>
                <w:color w:val="auto"/>
              </w:rPr>
              <w:t>For the Years Ended December 31,</w:t>
            </w: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0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84"/>
              <w:spacing w:after="0" w:line="121" w:lineRule="exact"/>
              <w:rPr>
                <w:sz w:val="20"/>
                <w:szCs w:val="20"/>
                <w:color w:val="auto"/>
              </w:rPr>
            </w:pPr>
            <w:r>
              <w:rPr>
                <w:rFonts w:ascii="Arial" w:cs="Arial" w:eastAsia="Arial" w:hAnsi="Arial"/>
                <w:sz w:val="11"/>
                <w:szCs w:val="11"/>
                <w:b w:val="1"/>
                <w:bCs w:val="1"/>
                <w:color w:val="auto"/>
              </w:rPr>
              <w:t>2024</w:t>
            </w:r>
          </w:p>
        </w:tc>
        <w:tc>
          <w:tcPr>
            <w:tcW w:w="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64"/>
              <w:spacing w:after="0" w:line="121" w:lineRule="exact"/>
              <w:rPr>
                <w:sz w:val="20"/>
                <w:szCs w:val="20"/>
                <w:color w:val="auto"/>
              </w:rPr>
            </w:pPr>
            <w:r>
              <w:rPr>
                <w:rFonts w:ascii="Arial" w:cs="Arial" w:eastAsia="Arial" w:hAnsi="Arial"/>
                <w:sz w:val="11"/>
                <w:szCs w:val="11"/>
                <w:b w:val="1"/>
                <w:bCs w:val="1"/>
                <w:color w:val="auto"/>
              </w:rPr>
              <w:t>2023</w:t>
            </w:r>
          </w:p>
        </w:tc>
        <w:tc>
          <w:tcPr>
            <w:tcW w:w="24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84"/>
              <w:spacing w:after="0" w:line="121" w:lineRule="exact"/>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13"/>
        </w:trPr>
        <w:tc>
          <w:tcPr>
            <w:tcW w:w="5080" w:type="dxa"/>
            <w:vAlign w:val="bottom"/>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Revenue:</w:t>
            </w: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080" w:type="dxa"/>
            <w:vAlign w:val="bottom"/>
          </w:tcPr>
          <w:p>
            <w:pPr>
              <w:spacing w:after="0" w:line="121" w:lineRule="exact"/>
              <w:rPr>
                <w:sz w:val="20"/>
                <w:szCs w:val="20"/>
                <w:color w:val="auto"/>
              </w:rPr>
            </w:pPr>
            <w:r>
              <w:rPr>
                <w:rFonts w:ascii="Arial" w:cs="Arial" w:eastAsia="Arial" w:hAnsi="Arial"/>
                <w:sz w:val="11"/>
                <w:szCs w:val="11"/>
                <w:color w:val="auto"/>
              </w:rPr>
              <w:t>Service revenue</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21" w:lineRule="exact"/>
              <w:rPr>
                <w:sz w:val="20"/>
                <w:szCs w:val="20"/>
                <w:color w:val="auto"/>
              </w:rPr>
            </w:pPr>
            <w:r>
              <w:rPr>
                <w:rFonts w:ascii="Arial" w:cs="Arial" w:eastAsia="Arial" w:hAnsi="Arial"/>
                <w:sz w:val="11"/>
                <w:szCs w:val="11"/>
                <w:color w:val="auto"/>
              </w:rPr>
              <w:t>14,956,126</w:t>
            </w:r>
          </w:p>
        </w:tc>
        <w:tc>
          <w:tcPr>
            <w:tcW w:w="220" w:type="dxa"/>
            <w:vAlign w:val="bottom"/>
          </w:tcPr>
          <w:p>
            <w:pPr>
              <w:spacing w:after="0"/>
              <w:rPr>
                <w:sz w:val="10"/>
                <w:szCs w:val="10"/>
                <w:color w:val="auto"/>
              </w:rPr>
            </w:pPr>
          </w:p>
        </w:tc>
        <w:tc>
          <w:tcPr>
            <w:tcW w:w="260" w:type="dxa"/>
            <w:vAlign w:val="bottom"/>
          </w:tcPr>
          <w:p>
            <w:pPr>
              <w:jc w:val="right"/>
              <w:ind w:right="124"/>
              <w:spacing w:after="0" w:line="121" w:lineRule="exact"/>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line="121" w:lineRule="exact"/>
              <w:rPr>
                <w:sz w:val="20"/>
                <w:szCs w:val="20"/>
                <w:color w:val="auto"/>
              </w:rPr>
            </w:pPr>
            <w:r>
              <w:rPr>
                <w:rFonts w:ascii="Arial" w:cs="Arial" w:eastAsia="Arial" w:hAnsi="Arial"/>
                <w:sz w:val="11"/>
                <w:szCs w:val="11"/>
                <w:color w:val="auto"/>
              </w:rPr>
              <w:t>16,145,763</w:t>
            </w:r>
          </w:p>
        </w:tc>
        <w:tc>
          <w:tcPr>
            <w:tcW w:w="240" w:type="dxa"/>
            <w:vAlign w:val="bottom"/>
          </w:tcPr>
          <w:p>
            <w:pPr>
              <w:spacing w:after="0"/>
              <w:rPr>
                <w:sz w:val="10"/>
                <w:szCs w:val="10"/>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17,596,265</w:t>
            </w: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Equipment sales and other revenue</w:t>
            </w: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869,390</w:t>
            </w:r>
          </w:p>
        </w:tc>
        <w:tc>
          <w:tcPr>
            <w:tcW w:w="2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869,835</w:t>
            </w:r>
          </w:p>
        </w:tc>
        <w:tc>
          <w:tcPr>
            <w:tcW w:w="24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1,037,981</w:t>
            </w:r>
          </w:p>
        </w:tc>
        <w:tc>
          <w:tcPr>
            <w:tcW w:w="0" w:type="dxa"/>
            <w:vAlign w:val="bottom"/>
          </w:tcPr>
          <w:p>
            <w:pPr>
              <w:spacing w:after="0"/>
              <w:rPr>
                <w:sz w:val="1"/>
                <w:szCs w:val="1"/>
                <w:color w:val="auto"/>
              </w:rPr>
            </w:pPr>
          </w:p>
        </w:tc>
      </w:tr>
      <w:tr>
        <w:trPr>
          <w:trHeight w:val="113"/>
        </w:trPr>
        <w:tc>
          <w:tcPr>
            <w:tcW w:w="508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color w:val="auto"/>
              </w:rPr>
              <w:t>Total revenue</w:t>
            </w: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15,825,516</w:t>
            </w:r>
          </w:p>
        </w:tc>
        <w:tc>
          <w:tcPr>
            <w:tcW w:w="2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17,015,598</w:t>
            </w:r>
          </w:p>
        </w:tc>
        <w:tc>
          <w:tcPr>
            <w:tcW w:w="24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18,634,246</w:t>
            </w:r>
          </w:p>
        </w:tc>
        <w:tc>
          <w:tcPr>
            <w:tcW w:w="0" w:type="dxa"/>
            <w:vAlign w:val="bottom"/>
          </w:tcPr>
          <w:p>
            <w:pPr>
              <w:spacing w:after="0"/>
              <w:rPr>
                <w:sz w:val="1"/>
                <w:szCs w:val="1"/>
                <w:color w:val="auto"/>
              </w:rPr>
            </w:pPr>
          </w:p>
        </w:tc>
      </w:tr>
      <w:tr>
        <w:trPr>
          <w:trHeight w:val="113"/>
        </w:trPr>
        <w:tc>
          <w:tcPr>
            <w:tcW w:w="50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080" w:type="dxa"/>
            <w:vAlign w:val="bottom"/>
          </w:tcPr>
          <w:p>
            <w:pPr>
              <w:spacing w:after="0" w:line="121" w:lineRule="exact"/>
              <w:rPr>
                <w:sz w:val="20"/>
                <w:szCs w:val="20"/>
                <w:color w:val="auto"/>
              </w:rPr>
            </w:pPr>
            <w:r>
              <w:rPr>
                <w:rFonts w:ascii="Arial" w:cs="Arial" w:eastAsia="Arial" w:hAnsi="Arial"/>
                <w:sz w:val="11"/>
                <w:szCs w:val="11"/>
                <w:b w:val="1"/>
                <w:bCs w:val="1"/>
                <w:color w:val="auto"/>
              </w:rPr>
              <w:t>Costs and Expenses (exclusive of depreciation and amortization):</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Cost of services</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10,135,622</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9,510,427</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10,111,341</w:t>
            </w:r>
          </w:p>
        </w:tc>
        <w:tc>
          <w:tcPr>
            <w:tcW w:w="0" w:type="dxa"/>
            <w:vAlign w:val="bottom"/>
          </w:tcPr>
          <w:p>
            <w:pPr>
              <w:spacing w:after="0"/>
              <w:rPr>
                <w:sz w:val="1"/>
                <w:szCs w:val="1"/>
                <w:color w:val="auto"/>
              </w:rPr>
            </w:pPr>
          </w:p>
        </w:tc>
      </w:tr>
      <w:tr>
        <w:trPr>
          <w:trHeight w:val="121"/>
        </w:trPr>
        <w:tc>
          <w:tcPr>
            <w:tcW w:w="5080" w:type="dxa"/>
            <w:vAlign w:val="bottom"/>
          </w:tcPr>
          <w:p>
            <w:pPr>
              <w:spacing w:after="0" w:line="121" w:lineRule="exact"/>
              <w:rPr>
                <w:sz w:val="20"/>
                <w:szCs w:val="20"/>
                <w:color w:val="auto"/>
              </w:rPr>
            </w:pPr>
            <w:r>
              <w:rPr>
                <w:rFonts w:ascii="Arial" w:cs="Arial" w:eastAsia="Arial" w:hAnsi="Arial"/>
                <w:sz w:val="11"/>
                <w:szCs w:val="11"/>
                <w:color w:val="auto"/>
              </w:rPr>
              <w:t>Cost of sales - equipment and other</w:t>
            </w:r>
          </w:p>
        </w:tc>
        <w:tc>
          <w:tcPr>
            <w:tcW w:w="2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1"/>
                <w:szCs w:val="11"/>
                <w:color w:val="auto"/>
              </w:rPr>
              <w:t>1,636,955</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1"/>
                <w:szCs w:val="11"/>
                <w:color w:val="auto"/>
              </w:rPr>
              <w:t>2,434,904</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2,099,136</w:t>
            </w: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Selling, general and administrative expenses</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2,426,816</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2,989,154</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3,015,325</w:t>
            </w:r>
          </w:p>
        </w:tc>
        <w:tc>
          <w:tcPr>
            <w:tcW w:w="0" w:type="dxa"/>
            <w:vAlign w:val="bottom"/>
          </w:tcPr>
          <w:p>
            <w:pPr>
              <w:spacing w:after="0"/>
              <w:rPr>
                <w:sz w:val="1"/>
                <w:szCs w:val="1"/>
                <w:color w:val="auto"/>
              </w:rPr>
            </w:pPr>
          </w:p>
        </w:tc>
      </w:tr>
      <w:tr>
        <w:trPr>
          <w:trHeight w:val="121"/>
        </w:trPr>
        <w:tc>
          <w:tcPr>
            <w:tcW w:w="5080" w:type="dxa"/>
            <w:vAlign w:val="bottom"/>
          </w:tcPr>
          <w:p>
            <w:pPr>
              <w:spacing w:after="0" w:line="121" w:lineRule="exact"/>
              <w:rPr>
                <w:sz w:val="20"/>
                <w:szCs w:val="20"/>
                <w:color w:val="auto"/>
              </w:rPr>
            </w:pPr>
            <w:r>
              <w:rPr>
                <w:rFonts w:ascii="Arial" w:cs="Arial" w:eastAsia="Arial" w:hAnsi="Arial"/>
                <w:sz w:val="11"/>
                <w:szCs w:val="11"/>
                <w:color w:val="auto"/>
              </w:rPr>
              <w:t>Depreciation and amortization</w:t>
            </w:r>
          </w:p>
        </w:tc>
        <w:tc>
          <w:tcPr>
            <w:tcW w:w="2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1"/>
                <w:szCs w:val="11"/>
                <w:color w:val="auto"/>
              </w:rPr>
              <w:t>1,930,193</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1"/>
                <w:szCs w:val="11"/>
                <w:color w:val="auto"/>
              </w:rPr>
              <w:t>1,597,923</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1,174,895</w:t>
            </w: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Impairment of long-lived assets and goodwill</w:t>
            </w:r>
          </w:p>
        </w:tc>
        <w:tc>
          <w:tcPr>
            <w:tcW w:w="2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761,099</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711</w:t>
            </w:r>
          </w:p>
        </w:tc>
        <w:tc>
          <w:tcPr>
            <w:tcW w:w="0" w:type="dxa"/>
            <w:vAlign w:val="bottom"/>
          </w:tcPr>
          <w:p>
            <w:pPr>
              <w:spacing w:after="0"/>
              <w:rPr>
                <w:sz w:val="1"/>
                <w:szCs w:val="1"/>
                <w:color w:val="auto"/>
              </w:rPr>
            </w:pPr>
          </w:p>
        </w:tc>
      </w:tr>
      <w:tr>
        <w:trPr>
          <w:trHeight w:val="113"/>
        </w:trPr>
        <w:tc>
          <w:tcPr>
            <w:tcW w:w="508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color w:val="auto"/>
              </w:rPr>
              <w:t>Total costs and expenses</w:t>
            </w: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16,129,586</w:t>
            </w:r>
          </w:p>
        </w:tc>
        <w:tc>
          <w:tcPr>
            <w:tcW w:w="22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17,293,507</w:t>
            </w:r>
          </w:p>
        </w:tc>
        <w:tc>
          <w:tcPr>
            <w:tcW w:w="240" w:type="dxa"/>
            <w:vAlign w:val="bottom"/>
            <w:tcBorders>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16,401,408</w:t>
            </w:r>
          </w:p>
        </w:tc>
        <w:tc>
          <w:tcPr>
            <w:tcW w:w="0" w:type="dxa"/>
            <w:vAlign w:val="bottom"/>
          </w:tcPr>
          <w:p>
            <w:pPr>
              <w:spacing w:after="0"/>
              <w:rPr>
                <w:sz w:val="1"/>
                <w:szCs w:val="1"/>
                <w:color w:val="auto"/>
              </w:rPr>
            </w:pPr>
          </w:p>
        </w:tc>
      </w:tr>
      <w:tr>
        <w:trPr>
          <w:trHeight w:val="113"/>
        </w:trPr>
        <w:tc>
          <w:tcPr>
            <w:tcW w:w="50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080" w:type="dxa"/>
            <w:vAlign w:val="bottom"/>
          </w:tcPr>
          <w:p>
            <w:pPr>
              <w:spacing w:after="0" w:line="121" w:lineRule="exact"/>
              <w:rPr>
                <w:sz w:val="20"/>
                <w:szCs w:val="20"/>
                <w:color w:val="auto"/>
              </w:rPr>
            </w:pPr>
            <w:r>
              <w:rPr>
                <w:rFonts w:ascii="Arial" w:cs="Arial" w:eastAsia="Arial" w:hAnsi="Arial"/>
                <w:sz w:val="11"/>
                <w:szCs w:val="11"/>
                <w:color w:val="auto"/>
              </w:rPr>
              <w:t>Operating income (loss)</w:t>
            </w:r>
          </w:p>
        </w:tc>
        <w:tc>
          <w:tcPr>
            <w:tcW w:w="260" w:type="dxa"/>
            <w:vAlign w:val="bottom"/>
          </w:tcPr>
          <w:p>
            <w:pPr>
              <w:spacing w:after="0"/>
              <w:rPr>
                <w:sz w:val="10"/>
                <w:szCs w:val="10"/>
                <w:color w:val="auto"/>
              </w:rPr>
            </w:pPr>
          </w:p>
        </w:tc>
        <w:tc>
          <w:tcPr>
            <w:tcW w:w="108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(304,070)</w:t>
            </w:r>
          </w:p>
        </w:tc>
        <w:tc>
          <w:tcPr>
            <w:tcW w:w="260" w:type="dxa"/>
            <w:vAlign w:val="bottom"/>
          </w:tcPr>
          <w:p>
            <w:pPr>
              <w:spacing w:after="0"/>
              <w:rPr>
                <w:sz w:val="10"/>
                <w:szCs w:val="10"/>
                <w:color w:val="auto"/>
              </w:rPr>
            </w:pPr>
          </w:p>
        </w:tc>
        <w:tc>
          <w:tcPr>
            <w:tcW w:w="110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(277,909)</w:t>
            </w:r>
          </w:p>
        </w:tc>
        <w:tc>
          <w:tcPr>
            <w:tcW w:w="30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2,232,838</w:t>
            </w:r>
          </w:p>
        </w:tc>
        <w:tc>
          <w:tcPr>
            <w:tcW w:w="0" w:type="dxa"/>
            <w:vAlign w:val="bottom"/>
          </w:tcPr>
          <w:p>
            <w:pPr>
              <w:spacing w:after="0"/>
              <w:rPr>
                <w:sz w:val="1"/>
                <w:szCs w:val="1"/>
                <w:color w:val="auto"/>
              </w:rPr>
            </w:pPr>
          </w:p>
        </w:tc>
      </w:tr>
      <w:tr>
        <w:trPr>
          <w:trHeight w:val="113"/>
        </w:trPr>
        <w:tc>
          <w:tcPr>
            <w:tcW w:w="50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080" w:type="dxa"/>
            <w:vAlign w:val="bottom"/>
          </w:tcPr>
          <w:p>
            <w:pPr>
              <w:spacing w:after="0" w:line="121" w:lineRule="exact"/>
              <w:rPr>
                <w:sz w:val="20"/>
                <w:szCs w:val="20"/>
                <w:color w:val="auto"/>
              </w:rPr>
            </w:pPr>
            <w:r>
              <w:rPr>
                <w:rFonts w:ascii="Arial" w:cs="Arial" w:eastAsia="Arial" w:hAnsi="Arial"/>
                <w:sz w:val="11"/>
                <w:szCs w:val="11"/>
                <w:b w:val="1"/>
                <w:bCs w:val="1"/>
                <w:color w:val="auto"/>
              </w:rPr>
              <w:t>Other Income (Expense):</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Interest income</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116,625</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207,374</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93,240</w:t>
            </w:r>
          </w:p>
        </w:tc>
        <w:tc>
          <w:tcPr>
            <w:tcW w:w="0" w:type="dxa"/>
            <w:vAlign w:val="bottom"/>
          </w:tcPr>
          <w:p>
            <w:pPr>
              <w:spacing w:after="0"/>
              <w:rPr>
                <w:sz w:val="1"/>
                <w:szCs w:val="1"/>
                <w:color w:val="auto"/>
              </w:rPr>
            </w:pPr>
          </w:p>
        </w:tc>
      </w:tr>
      <w:tr>
        <w:trPr>
          <w:trHeight w:val="121"/>
        </w:trPr>
        <w:tc>
          <w:tcPr>
            <w:tcW w:w="5080" w:type="dxa"/>
            <w:vAlign w:val="bottom"/>
          </w:tcPr>
          <w:p>
            <w:pPr>
              <w:spacing w:after="0" w:line="121" w:lineRule="exact"/>
              <w:rPr>
                <w:sz w:val="20"/>
                <w:szCs w:val="20"/>
                <w:color w:val="auto"/>
              </w:rPr>
            </w:pPr>
            <w:r>
              <w:rPr>
                <w:rFonts w:ascii="Arial" w:cs="Arial" w:eastAsia="Arial" w:hAnsi="Arial"/>
                <w:sz w:val="11"/>
                <w:szCs w:val="11"/>
                <w:color w:val="auto"/>
              </w:rPr>
              <w:t>Interest expense, net of amounts capitalized (Note 2)</w:t>
            </w:r>
          </w:p>
        </w:tc>
        <w:tc>
          <w:tcPr>
            <w:tcW w:w="260" w:type="dxa"/>
            <w:vAlign w:val="bottom"/>
          </w:tcPr>
          <w:p>
            <w:pPr>
              <w:spacing w:after="0"/>
              <w:rPr>
                <w:sz w:val="10"/>
                <w:szCs w:val="10"/>
                <w:color w:val="auto"/>
              </w:rPr>
            </w:pPr>
          </w:p>
        </w:tc>
        <w:tc>
          <w:tcPr>
            <w:tcW w:w="108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(481,622)</w:t>
            </w:r>
          </w:p>
        </w:tc>
        <w:tc>
          <w:tcPr>
            <w:tcW w:w="260" w:type="dxa"/>
            <w:vAlign w:val="bottom"/>
          </w:tcPr>
          <w:p>
            <w:pPr>
              <w:spacing w:after="0"/>
              <w:rPr>
                <w:sz w:val="10"/>
                <w:szCs w:val="10"/>
                <w:color w:val="auto"/>
              </w:rPr>
            </w:pPr>
          </w:p>
        </w:tc>
        <w:tc>
          <w:tcPr>
            <w:tcW w:w="110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(90,357)</w:t>
            </w:r>
          </w:p>
        </w:tc>
        <w:tc>
          <w:tcPr>
            <w:tcW w:w="30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(79,217)</w:t>
            </w: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Other, net (Note 6)</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593,497</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(1,770,792)</w:t>
            </w: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1,088,441</w:t>
            </w:r>
          </w:p>
        </w:tc>
        <w:tc>
          <w:tcPr>
            <w:tcW w:w="0" w:type="dxa"/>
            <w:vAlign w:val="bottom"/>
          </w:tcPr>
          <w:p>
            <w:pPr>
              <w:spacing w:after="0"/>
              <w:rPr>
                <w:sz w:val="1"/>
                <w:szCs w:val="1"/>
                <w:color w:val="auto"/>
              </w:rPr>
            </w:pPr>
          </w:p>
        </w:tc>
      </w:tr>
      <w:tr>
        <w:trPr>
          <w:trHeight w:val="113"/>
        </w:trPr>
        <w:tc>
          <w:tcPr>
            <w:tcW w:w="508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color w:val="auto"/>
              </w:rPr>
              <w:t>Total other income (expense)</w:t>
            </w: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228,500</w:t>
            </w:r>
          </w:p>
        </w:tc>
        <w:tc>
          <w:tcPr>
            <w:tcW w:w="22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(1,653,775)</w:t>
            </w:r>
          </w:p>
        </w:tc>
        <w:tc>
          <w:tcPr>
            <w:tcW w:w="240" w:type="dxa"/>
            <w:vAlign w:val="bottom"/>
            <w:tcBorders>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1,102,464</w:t>
            </w:r>
          </w:p>
        </w:tc>
        <w:tc>
          <w:tcPr>
            <w:tcW w:w="0" w:type="dxa"/>
            <w:vAlign w:val="bottom"/>
          </w:tcPr>
          <w:p>
            <w:pPr>
              <w:spacing w:after="0"/>
              <w:rPr>
                <w:sz w:val="1"/>
                <w:szCs w:val="1"/>
                <w:color w:val="auto"/>
              </w:rPr>
            </w:pPr>
          </w:p>
        </w:tc>
      </w:tr>
      <w:tr>
        <w:trPr>
          <w:trHeight w:val="113"/>
        </w:trPr>
        <w:tc>
          <w:tcPr>
            <w:tcW w:w="50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080" w:type="dxa"/>
            <w:vAlign w:val="bottom"/>
          </w:tcPr>
          <w:p>
            <w:pPr>
              <w:spacing w:after="0" w:line="121" w:lineRule="exact"/>
              <w:rPr>
                <w:sz w:val="20"/>
                <w:szCs w:val="20"/>
                <w:color w:val="auto"/>
              </w:rPr>
            </w:pPr>
            <w:r>
              <w:rPr>
                <w:rFonts w:ascii="Arial" w:cs="Arial" w:eastAsia="Arial" w:hAnsi="Arial"/>
                <w:sz w:val="11"/>
                <w:szCs w:val="11"/>
                <w:color w:val="auto"/>
              </w:rPr>
              <w:t>Income (loss) before income taxes</w:t>
            </w:r>
          </w:p>
        </w:tc>
        <w:tc>
          <w:tcPr>
            <w:tcW w:w="260" w:type="dxa"/>
            <w:vAlign w:val="bottom"/>
          </w:tcPr>
          <w:p>
            <w:pPr>
              <w:spacing w:after="0"/>
              <w:rPr>
                <w:sz w:val="10"/>
                <w:szCs w:val="10"/>
                <w:color w:val="auto"/>
              </w:rPr>
            </w:pPr>
          </w:p>
        </w:tc>
        <w:tc>
          <w:tcPr>
            <w:tcW w:w="108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(75,570)</w:t>
            </w:r>
          </w:p>
        </w:tc>
        <w:tc>
          <w:tcPr>
            <w:tcW w:w="260" w:type="dxa"/>
            <w:vAlign w:val="bottom"/>
          </w:tcPr>
          <w:p>
            <w:pPr>
              <w:spacing w:after="0"/>
              <w:rPr>
                <w:sz w:val="10"/>
                <w:szCs w:val="10"/>
                <w:color w:val="auto"/>
              </w:rPr>
            </w:pPr>
          </w:p>
        </w:tc>
        <w:tc>
          <w:tcPr>
            <w:tcW w:w="110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(1,931,684)</w:t>
            </w:r>
          </w:p>
        </w:tc>
        <w:tc>
          <w:tcPr>
            <w:tcW w:w="30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3,335,302</w:t>
            </w: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Income tax (provision) benefit, net</w:t>
            </w:r>
          </w:p>
        </w:tc>
        <w:tc>
          <w:tcPr>
            <w:tcW w:w="2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(48,945)</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296,860</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(798,410)</w:t>
            </w:r>
          </w:p>
        </w:tc>
        <w:tc>
          <w:tcPr>
            <w:tcW w:w="0" w:type="dxa"/>
            <w:vAlign w:val="bottom"/>
          </w:tcPr>
          <w:p>
            <w:pPr>
              <w:spacing w:after="0"/>
              <w:rPr>
                <w:sz w:val="1"/>
                <w:szCs w:val="1"/>
                <w:color w:val="auto"/>
              </w:rPr>
            </w:pPr>
          </w:p>
        </w:tc>
      </w:tr>
      <w:tr>
        <w:trPr>
          <w:trHeight w:val="113"/>
        </w:trPr>
        <w:tc>
          <w:tcPr>
            <w:tcW w:w="5080" w:type="dxa"/>
            <w:vAlign w:val="bottom"/>
          </w:tcPr>
          <w:p>
            <w:pPr>
              <w:spacing w:after="0" w:line="113" w:lineRule="exact"/>
              <w:rPr>
                <w:sz w:val="20"/>
                <w:szCs w:val="20"/>
                <w:color w:val="auto"/>
              </w:rPr>
            </w:pPr>
            <w:r>
              <w:rPr>
                <w:rFonts w:ascii="Arial" w:cs="Arial" w:eastAsia="Arial" w:hAnsi="Arial"/>
                <w:sz w:val="11"/>
                <w:szCs w:val="11"/>
                <w:color w:val="auto"/>
              </w:rPr>
              <w:t>Net income (loss)</w:t>
            </w: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1"/>
                <w:szCs w:val="11"/>
                <w:color w:val="auto"/>
              </w:rPr>
              <w:t>(124,515)</w:t>
            </w:r>
          </w:p>
        </w:tc>
        <w:tc>
          <w:tcPr>
            <w:tcW w:w="2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1"/>
                <w:szCs w:val="11"/>
                <w:color w:val="auto"/>
              </w:rPr>
              <w:t>(1,634,824)</w:t>
            </w:r>
          </w:p>
        </w:tc>
        <w:tc>
          <w:tcPr>
            <w:tcW w:w="2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1"/>
                <w:szCs w:val="11"/>
                <w:color w:val="auto"/>
              </w:rPr>
              <w:t>2,536,892</w:t>
            </w: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Less: Net income (loss) attributable to noncontrolling interests, net of tax</w:t>
            </w:r>
          </w:p>
        </w:tc>
        <w:tc>
          <w:tcPr>
            <w:tcW w:w="2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(4,969)</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67,233</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59,172</w:t>
            </w:r>
          </w:p>
        </w:tc>
        <w:tc>
          <w:tcPr>
            <w:tcW w:w="0" w:type="dxa"/>
            <w:vAlign w:val="bottom"/>
          </w:tcPr>
          <w:p>
            <w:pPr>
              <w:spacing w:after="0"/>
              <w:rPr>
                <w:sz w:val="1"/>
                <w:szCs w:val="1"/>
                <w:color w:val="auto"/>
              </w:rPr>
            </w:pPr>
          </w:p>
        </w:tc>
      </w:tr>
      <w:tr>
        <w:trPr>
          <w:trHeight w:val="153"/>
        </w:trPr>
        <w:tc>
          <w:tcPr>
            <w:tcW w:w="508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color w:val="auto"/>
              </w:rPr>
              <w:t>Net income (loss) attributable to EchoStar</w:t>
            </w:r>
          </w:p>
        </w:tc>
        <w:tc>
          <w:tcPr>
            <w:tcW w:w="260" w:type="dxa"/>
            <w:vAlign w:val="bottom"/>
            <w:tcBorders>
              <w:top w:val="single" w:sz="8" w:color="auto"/>
              <w:bottom w:val="single" w:sz="8" w:color="auto"/>
            </w:tcBorders>
          </w:tcPr>
          <w:p>
            <w:pPr>
              <w:jc w:val="right"/>
              <w:ind w:right="149"/>
              <w:spacing w:after="0" w:line="114" w:lineRule="exact"/>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(119,546)</w:t>
            </w:r>
          </w:p>
        </w:tc>
        <w:tc>
          <w:tcPr>
            <w:tcW w:w="2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24"/>
              <w:spacing w:after="0" w:line="113" w:lineRule="exact"/>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(1,702,057)</w:t>
            </w:r>
          </w:p>
        </w:tc>
        <w:tc>
          <w:tcPr>
            <w:tcW w:w="24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189"/>
              <w:spacing w:after="0" w:line="114" w:lineRule="exact"/>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2,477,720</w:t>
            </w:r>
          </w:p>
        </w:tc>
        <w:tc>
          <w:tcPr>
            <w:tcW w:w="0" w:type="dxa"/>
            <w:vAlign w:val="bottom"/>
          </w:tcPr>
          <w:p>
            <w:pPr>
              <w:spacing w:after="0"/>
              <w:rPr>
                <w:sz w:val="1"/>
                <w:szCs w:val="1"/>
                <w:color w:val="auto"/>
              </w:rPr>
            </w:pPr>
          </w:p>
        </w:tc>
      </w:tr>
      <w:tr>
        <w:trPr>
          <w:trHeight w:val="97"/>
        </w:trPr>
        <w:tc>
          <w:tcPr>
            <w:tcW w:w="50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080" w:type="dxa"/>
            <w:vAlign w:val="bottom"/>
          </w:tcPr>
          <w:p>
            <w:pPr>
              <w:spacing w:after="0" w:line="121" w:lineRule="exact"/>
              <w:rPr>
                <w:sz w:val="20"/>
                <w:szCs w:val="20"/>
                <w:color w:val="auto"/>
              </w:rPr>
            </w:pPr>
            <w:r>
              <w:rPr>
                <w:rFonts w:ascii="Arial" w:cs="Arial" w:eastAsia="Arial" w:hAnsi="Arial"/>
                <w:sz w:val="11"/>
                <w:szCs w:val="11"/>
                <w:b w:val="1"/>
                <w:bCs w:val="1"/>
                <w:color w:val="auto"/>
              </w:rPr>
              <w:t>Weighted-average common shares outstanding - Class A and B common stock:</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80" w:type="dxa"/>
            <w:vAlign w:val="bottom"/>
            <w:tcBorders>
              <w:bottom w:val="single" w:sz="8" w:color="CCEEFF"/>
            </w:tcBorders>
            <w:shd w:val="clear" w:color="auto" w:fill="CCEEFF"/>
          </w:tcPr>
          <w:p>
            <w:pPr>
              <w:spacing w:after="0" w:line="121" w:lineRule="exact"/>
              <w:rPr>
                <w:sz w:val="20"/>
                <w:szCs w:val="20"/>
                <w:color w:val="auto"/>
              </w:rPr>
            </w:pPr>
            <w:r>
              <w:rPr>
                <w:rFonts w:ascii="Arial" w:cs="Arial" w:eastAsia="Arial" w:hAnsi="Arial"/>
                <w:sz w:val="11"/>
                <w:szCs w:val="11"/>
                <w:color w:val="auto"/>
              </w:rPr>
              <w:t>Basic</w:t>
            </w: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274,079</w:t>
            </w:r>
          </w:p>
        </w:tc>
        <w:tc>
          <w:tcPr>
            <w:tcW w:w="2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270,842</w:t>
            </w:r>
          </w:p>
        </w:tc>
        <w:tc>
          <w:tcPr>
            <w:tcW w:w="2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270,102</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1"/>
                <w:szCs w:val="11"/>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80" w:type="dxa"/>
            <w:vAlign w:val="bottom"/>
            <w:tcBorders>
              <w:bottom w:val="single" w:sz="8" w:color="CCEEFF"/>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274,079</w:t>
            </w: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270,842</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307,733</w:t>
            </w:r>
          </w:p>
        </w:tc>
        <w:tc>
          <w:tcPr>
            <w:tcW w:w="0" w:type="dxa"/>
            <w:vAlign w:val="bottom"/>
          </w:tcPr>
          <w:p>
            <w:pPr>
              <w:spacing w:after="0"/>
              <w:rPr>
                <w:sz w:val="1"/>
                <w:szCs w:val="1"/>
                <w:color w:val="auto"/>
              </w:rPr>
            </w:pPr>
          </w:p>
        </w:tc>
      </w:tr>
      <w:tr>
        <w:trPr>
          <w:trHeight w:val="97"/>
        </w:trPr>
        <w:tc>
          <w:tcPr>
            <w:tcW w:w="50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080" w:type="dxa"/>
            <w:vAlign w:val="bottom"/>
          </w:tcPr>
          <w:p>
            <w:pPr>
              <w:spacing w:after="0" w:line="121" w:lineRule="exact"/>
              <w:rPr>
                <w:sz w:val="20"/>
                <w:szCs w:val="20"/>
                <w:color w:val="auto"/>
              </w:rPr>
            </w:pPr>
            <w:r>
              <w:rPr>
                <w:rFonts w:ascii="Arial" w:cs="Arial" w:eastAsia="Arial" w:hAnsi="Arial"/>
                <w:sz w:val="11"/>
                <w:szCs w:val="11"/>
                <w:b w:val="1"/>
                <w:bCs w:val="1"/>
                <w:color w:val="auto"/>
              </w:rPr>
              <w:t>Earnings per share - Class A and B common stock:</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Basic net income (loss) per share attributable to EchoStar</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(0.44)</w:t>
            </w:r>
          </w:p>
        </w:tc>
        <w:tc>
          <w:tcPr>
            <w:tcW w:w="260" w:type="dxa"/>
            <w:vAlign w:val="bottom"/>
            <w:shd w:val="clear" w:color="auto" w:fill="CCEEFF"/>
          </w:tcPr>
          <w:p>
            <w:pPr>
              <w:jc w:val="right"/>
              <w:ind w:right="124"/>
              <w:spacing w:after="0" w:line="121" w:lineRule="exact"/>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(6.28)</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9.17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Diluted net income (loss) per share attributable to EchoStar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080" w:type="dxa"/>
            <w:vAlign w:val="bottom"/>
            <w:tcBorders>
              <w:bottom w:val="single" w:sz="8" w:color="CCEEFF"/>
            </w:tcBorders>
            <w:vMerge w:val="continue"/>
          </w:tcPr>
          <w:p>
            <w:pPr>
              <w:spacing w:after="0"/>
              <w:rPr>
                <w:sz w:val="11"/>
                <w:szCs w:val="11"/>
                <w:color w:val="auto"/>
              </w:rPr>
            </w:pPr>
          </w:p>
        </w:tc>
        <w:tc>
          <w:tcPr>
            <w:tcW w:w="260" w:type="dxa"/>
            <w:vAlign w:val="bottom"/>
            <w:tcBorders>
              <w:bottom w:val="single" w:sz="8" w:color="auto"/>
            </w:tcBorders>
          </w:tcPr>
          <w:p>
            <w:pPr>
              <w:jc w:val="right"/>
              <w:ind w:right="149"/>
              <w:spacing w:after="0" w:line="98" w:lineRule="exact"/>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(0.44)</w:t>
            </w:r>
          </w:p>
        </w:tc>
        <w:tc>
          <w:tcPr>
            <w:tcW w:w="220" w:type="dxa"/>
            <w:vAlign w:val="bottom"/>
            <w:tcBorders>
              <w:bottom w:val="single" w:sz="8" w:color="CCEEFF"/>
            </w:tcBorders>
            <w:vMerge w:val="continue"/>
          </w:tcPr>
          <w:p>
            <w:pPr>
              <w:spacing w:after="0"/>
              <w:rPr>
                <w:sz w:val="11"/>
                <w:szCs w:val="11"/>
                <w:color w:val="auto"/>
              </w:rPr>
            </w:pPr>
          </w:p>
        </w:tc>
        <w:tc>
          <w:tcPr>
            <w:tcW w:w="260" w:type="dxa"/>
            <w:vAlign w:val="bottom"/>
            <w:tcBorders>
              <w:bottom w:val="single" w:sz="8" w:color="auto"/>
            </w:tcBorders>
          </w:tcPr>
          <w:p>
            <w:pPr>
              <w:jc w:val="right"/>
              <w:ind w:right="124"/>
              <w:spacing w:after="0" w:line="97" w:lineRule="exact"/>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(6.28)</w:t>
            </w:r>
          </w:p>
        </w:tc>
        <w:tc>
          <w:tcPr>
            <w:tcW w:w="240" w:type="dxa"/>
            <w:vAlign w:val="bottom"/>
            <w:tcBorders>
              <w:bottom w:val="single" w:sz="8" w:color="CCEEFF"/>
            </w:tcBorders>
            <w:vMerge w:val="continue"/>
          </w:tcPr>
          <w:p>
            <w:pPr>
              <w:spacing w:after="0"/>
              <w:rPr>
                <w:sz w:val="11"/>
                <w:szCs w:val="11"/>
                <w:color w:val="auto"/>
              </w:rPr>
            </w:pPr>
          </w:p>
        </w:tc>
        <w:tc>
          <w:tcPr>
            <w:tcW w:w="300" w:type="dxa"/>
            <w:vAlign w:val="bottom"/>
            <w:tcBorders>
              <w:bottom w:val="single" w:sz="8" w:color="auto"/>
            </w:tcBorders>
          </w:tcPr>
          <w:p>
            <w:pPr>
              <w:jc w:val="right"/>
              <w:ind w:right="189"/>
              <w:spacing w:after="0" w:line="98" w:lineRule="exact"/>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1"/>
                <w:szCs w:val="11"/>
                <w:color w:val="auto"/>
              </w:rPr>
              <w:t>8.05</w:t>
            </w:r>
          </w:p>
        </w:tc>
        <w:tc>
          <w:tcPr>
            <w:tcW w:w="0" w:type="dxa"/>
            <w:vAlign w:val="bottom"/>
          </w:tcPr>
          <w:p>
            <w:pPr>
              <w:spacing w:after="0"/>
              <w:rPr>
                <w:sz w:val="1"/>
                <w:szCs w:val="1"/>
                <w:color w:val="auto"/>
              </w:rPr>
            </w:pPr>
          </w:p>
        </w:tc>
      </w:tr>
      <w:tr>
        <w:trPr>
          <w:trHeight w:val="97"/>
        </w:trPr>
        <w:tc>
          <w:tcPr>
            <w:tcW w:w="50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080" w:type="dxa"/>
            <w:vAlign w:val="bottom"/>
          </w:tcPr>
          <w:p>
            <w:pPr>
              <w:spacing w:after="0" w:line="121" w:lineRule="exact"/>
              <w:rPr>
                <w:sz w:val="20"/>
                <w:szCs w:val="20"/>
                <w:color w:val="auto"/>
              </w:rPr>
            </w:pPr>
            <w:r>
              <w:rPr>
                <w:rFonts w:ascii="Arial" w:cs="Arial" w:eastAsia="Arial" w:hAnsi="Arial"/>
                <w:sz w:val="11"/>
                <w:szCs w:val="11"/>
                <w:b w:val="1"/>
                <w:bCs w:val="1"/>
                <w:color w:val="auto"/>
              </w:rPr>
              <w:t>Comprehensive Income (Loss):</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Net income (loss)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(124,515)</w:t>
            </w:r>
          </w:p>
        </w:tc>
        <w:tc>
          <w:tcPr>
            <w:tcW w:w="260" w:type="dxa"/>
            <w:vAlign w:val="bottom"/>
            <w:shd w:val="clear" w:color="auto" w:fill="CCEEFF"/>
          </w:tcPr>
          <w:p>
            <w:pPr>
              <w:jc w:val="right"/>
              <w:ind w:right="124"/>
              <w:spacing w:after="0" w:line="121" w:lineRule="exact"/>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(1,634,824)</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2,536,892</w:t>
            </w:r>
          </w:p>
        </w:tc>
        <w:tc>
          <w:tcPr>
            <w:tcW w:w="0" w:type="dxa"/>
            <w:vAlign w:val="bottom"/>
          </w:tcPr>
          <w:p>
            <w:pPr>
              <w:spacing w:after="0"/>
              <w:rPr>
                <w:sz w:val="1"/>
                <w:szCs w:val="1"/>
                <w:color w:val="auto"/>
              </w:rPr>
            </w:pPr>
          </w:p>
        </w:tc>
      </w:tr>
      <w:tr>
        <w:trPr>
          <w:trHeight w:val="113"/>
        </w:trPr>
        <w:tc>
          <w:tcPr>
            <w:tcW w:w="5080" w:type="dxa"/>
            <w:vAlign w:val="bottom"/>
          </w:tcPr>
          <w:p>
            <w:pPr>
              <w:spacing w:after="0" w:line="113" w:lineRule="exact"/>
              <w:rPr>
                <w:sz w:val="20"/>
                <w:szCs w:val="20"/>
                <w:color w:val="auto"/>
              </w:rPr>
            </w:pPr>
            <w:r>
              <w:rPr>
                <w:rFonts w:ascii="Arial" w:cs="Arial" w:eastAsia="Arial" w:hAnsi="Arial"/>
                <w:sz w:val="11"/>
                <w:szCs w:val="11"/>
                <w:i w:val="1"/>
                <w:iCs w:val="1"/>
                <w:color w:val="auto"/>
              </w:rPr>
              <w:t>Other comprehensive income (loss):</w:t>
            </w: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Foreign currency translation adjustments</w:t>
            </w:r>
          </w:p>
        </w:tc>
        <w:tc>
          <w:tcPr>
            <w:tcW w:w="2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(43,525)</w:t>
            </w: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19,129</w:t>
            </w: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35,449</w:t>
            </w:r>
          </w:p>
        </w:tc>
        <w:tc>
          <w:tcPr>
            <w:tcW w:w="0" w:type="dxa"/>
            <w:vAlign w:val="bottom"/>
          </w:tcPr>
          <w:p>
            <w:pPr>
              <w:spacing w:after="0"/>
              <w:rPr>
                <w:sz w:val="1"/>
                <w:szCs w:val="1"/>
                <w:color w:val="auto"/>
              </w:rPr>
            </w:pPr>
          </w:p>
        </w:tc>
      </w:tr>
      <w:tr>
        <w:trPr>
          <w:trHeight w:val="121"/>
        </w:trPr>
        <w:tc>
          <w:tcPr>
            <w:tcW w:w="5080" w:type="dxa"/>
            <w:vAlign w:val="bottom"/>
          </w:tcPr>
          <w:p>
            <w:pPr>
              <w:ind w:left="100"/>
              <w:spacing w:after="0" w:line="121" w:lineRule="exact"/>
              <w:rPr>
                <w:sz w:val="20"/>
                <w:szCs w:val="20"/>
                <w:color w:val="auto"/>
              </w:rPr>
            </w:pPr>
            <w:r>
              <w:rPr>
                <w:rFonts w:ascii="Arial" w:cs="Arial" w:eastAsia="Arial" w:hAnsi="Arial"/>
                <w:sz w:val="11"/>
                <w:szCs w:val="11"/>
                <w:color w:val="auto"/>
              </w:rPr>
              <w:t>Unrealized holding gains (losses) on available-for-sale debt securities</w:t>
            </w:r>
          </w:p>
        </w:tc>
        <w:tc>
          <w:tcPr>
            <w:tcW w:w="2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1"/>
                <w:szCs w:val="11"/>
                <w:color w:val="auto"/>
              </w:rPr>
              <w:t>1,549</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(306)</w:t>
            </w:r>
          </w:p>
        </w:tc>
        <w:tc>
          <w:tcPr>
            <w:tcW w:w="30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536</w:t>
            </w:r>
          </w:p>
        </w:tc>
        <w:tc>
          <w:tcPr>
            <w:tcW w:w="0" w:type="dxa"/>
            <w:vAlign w:val="bottom"/>
          </w:tcPr>
          <w:p>
            <w:pPr>
              <w:spacing w:after="0"/>
              <w:rPr>
                <w:sz w:val="1"/>
                <w:szCs w:val="1"/>
                <w:color w:val="auto"/>
              </w:rPr>
            </w:pPr>
          </w:p>
        </w:tc>
      </w:tr>
      <w:tr>
        <w:trPr>
          <w:trHeight w:val="106"/>
        </w:trPr>
        <w:tc>
          <w:tcPr>
            <w:tcW w:w="5080" w:type="dxa"/>
            <w:vAlign w:val="bottom"/>
            <w:shd w:val="clear" w:color="auto" w:fill="CCEEFF"/>
          </w:tcPr>
          <w:p>
            <w:pPr>
              <w:ind w:left="100"/>
              <w:spacing w:after="0" w:line="106" w:lineRule="exact"/>
              <w:rPr>
                <w:sz w:val="20"/>
                <w:szCs w:val="20"/>
                <w:color w:val="auto"/>
              </w:rPr>
            </w:pPr>
            <w:r>
              <w:rPr>
                <w:rFonts w:ascii="Arial" w:cs="Arial" w:eastAsia="Arial" w:hAnsi="Arial"/>
                <w:sz w:val="11"/>
                <w:szCs w:val="11"/>
                <w:color w:val="auto"/>
              </w:rPr>
              <w:t>Recognition of previously unrealized (gains) losses on available-for-sale securities</w:t>
            </w: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5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included in net income (loss)</w:t>
            </w:r>
          </w:p>
        </w:tc>
        <w:tc>
          <w:tcPr>
            <w:tcW w:w="2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(1,539)</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550</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21"/>
        </w:trPr>
        <w:tc>
          <w:tcPr>
            <w:tcW w:w="5080" w:type="dxa"/>
            <w:vAlign w:val="bottom"/>
          </w:tcPr>
          <w:p>
            <w:pPr>
              <w:ind w:left="100"/>
              <w:spacing w:after="0" w:line="121" w:lineRule="exact"/>
              <w:rPr>
                <w:sz w:val="20"/>
                <w:szCs w:val="20"/>
                <w:color w:val="auto"/>
              </w:rPr>
            </w:pPr>
            <w:r>
              <w:rPr>
                <w:rFonts w:ascii="Arial" w:cs="Arial" w:eastAsia="Arial" w:hAnsi="Arial"/>
                <w:sz w:val="11"/>
                <w:szCs w:val="11"/>
                <w:color w:val="auto"/>
              </w:rPr>
              <w:t>Deferred income tax (expense) benefit, net</w:t>
            </w:r>
          </w:p>
        </w:tc>
        <w:tc>
          <w:tcPr>
            <w:tcW w:w="2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1"/>
                <w:szCs w:val="11"/>
                <w:color w:val="auto"/>
              </w:rPr>
              <w:t>565</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(512)</w:t>
            </w:r>
          </w:p>
        </w:tc>
        <w:tc>
          <w:tcPr>
            <w:tcW w:w="30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(359)</w:t>
            </w:r>
          </w:p>
        </w:tc>
        <w:tc>
          <w:tcPr>
            <w:tcW w:w="0" w:type="dxa"/>
            <w:vAlign w:val="bottom"/>
          </w:tcPr>
          <w:p>
            <w:pPr>
              <w:spacing w:after="0"/>
              <w:rPr>
                <w:sz w:val="1"/>
                <w:szCs w:val="1"/>
                <w:color w:val="auto"/>
              </w:rPr>
            </w:pPr>
          </w:p>
        </w:tc>
      </w:tr>
      <w:tr>
        <w:trPr>
          <w:trHeight w:val="121"/>
        </w:trPr>
        <w:tc>
          <w:tcPr>
            <w:tcW w:w="508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Other</w:t>
            </w:r>
          </w:p>
        </w:tc>
        <w:tc>
          <w:tcPr>
            <w:tcW w:w="26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2,660</w:t>
            </w:r>
          </w:p>
        </w:tc>
        <w:tc>
          <w:tcPr>
            <w:tcW w:w="0" w:type="dxa"/>
            <w:vAlign w:val="bottom"/>
          </w:tcPr>
          <w:p>
            <w:pPr>
              <w:spacing w:after="0"/>
              <w:rPr>
                <w:sz w:val="1"/>
                <w:szCs w:val="1"/>
                <w:color w:val="auto"/>
              </w:rPr>
            </w:pPr>
          </w:p>
        </w:tc>
      </w:tr>
      <w:tr>
        <w:trPr>
          <w:trHeight w:val="113"/>
        </w:trPr>
        <w:tc>
          <w:tcPr>
            <w:tcW w:w="508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i w:val="1"/>
                <w:iCs w:val="1"/>
                <w:color w:val="auto"/>
              </w:rPr>
              <w:t>Total other comprehensive income (loss), net of tax</w:t>
            </w: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(42,950)</w:t>
            </w:r>
          </w:p>
        </w:tc>
        <w:tc>
          <w:tcPr>
            <w:tcW w:w="22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18,861</w:t>
            </w:r>
          </w:p>
        </w:tc>
        <w:tc>
          <w:tcPr>
            <w:tcW w:w="240" w:type="dxa"/>
            <w:vAlign w:val="bottom"/>
            <w:tcBorders>
              <w:bottom w:val="single" w:sz="8" w:color="CCEEFF"/>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38,261</w:t>
            </w:r>
          </w:p>
        </w:tc>
        <w:tc>
          <w:tcPr>
            <w:tcW w:w="0" w:type="dxa"/>
            <w:vAlign w:val="bottom"/>
          </w:tcPr>
          <w:p>
            <w:pPr>
              <w:spacing w:after="0"/>
              <w:rPr>
                <w:sz w:val="1"/>
                <w:szCs w:val="1"/>
                <w:color w:val="auto"/>
              </w:rPr>
            </w:pPr>
          </w:p>
        </w:tc>
      </w:tr>
      <w:tr>
        <w:trPr>
          <w:trHeight w:val="113"/>
        </w:trPr>
        <w:tc>
          <w:tcPr>
            <w:tcW w:w="50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Comprehensive income (loss)</w:t>
            </w: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(167,465)</w:t>
            </w:r>
          </w:p>
        </w:tc>
        <w:tc>
          <w:tcPr>
            <w:tcW w:w="2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(1,615,963)</w:t>
            </w: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2,575,153</w:t>
            </w:r>
          </w:p>
        </w:tc>
        <w:tc>
          <w:tcPr>
            <w:tcW w:w="0" w:type="dxa"/>
            <w:vAlign w:val="bottom"/>
          </w:tcPr>
          <w:p>
            <w:pPr>
              <w:spacing w:after="0"/>
              <w:rPr>
                <w:sz w:val="1"/>
                <w:szCs w:val="1"/>
                <w:color w:val="auto"/>
              </w:rPr>
            </w:pPr>
          </w:p>
        </w:tc>
      </w:tr>
      <w:tr>
        <w:trPr>
          <w:trHeight w:val="121"/>
        </w:trPr>
        <w:tc>
          <w:tcPr>
            <w:tcW w:w="5080" w:type="dxa"/>
            <w:vAlign w:val="bottom"/>
          </w:tcPr>
          <w:p>
            <w:pPr>
              <w:ind w:left="100"/>
              <w:spacing w:after="0" w:line="121" w:lineRule="exact"/>
              <w:rPr>
                <w:sz w:val="20"/>
                <w:szCs w:val="20"/>
                <w:color w:val="auto"/>
              </w:rPr>
            </w:pPr>
            <w:r>
              <w:rPr>
                <w:rFonts w:ascii="Arial" w:cs="Arial" w:eastAsia="Arial" w:hAnsi="Arial"/>
                <w:sz w:val="11"/>
                <w:szCs w:val="11"/>
                <w:color w:val="auto"/>
              </w:rPr>
              <w:t>Less: Comprehensive income (loss) attributable to noncontrolling interests, net of tax</w:t>
            </w:r>
          </w:p>
        </w:tc>
        <w:tc>
          <w:tcPr>
            <w:tcW w:w="260" w:type="dxa"/>
            <w:vAlign w:val="bottom"/>
          </w:tcPr>
          <w:p>
            <w:pPr>
              <w:spacing w:after="0"/>
              <w:rPr>
                <w:sz w:val="10"/>
                <w:szCs w:val="10"/>
                <w:color w:val="auto"/>
              </w:rPr>
            </w:pPr>
          </w:p>
        </w:tc>
        <w:tc>
          <w:tcPr>
            <w:tcW w:w="108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(12,264)</w:t>
            </w:r>
          </w:p>
        </w:tc>
        <w:tc>
          <w:tcPr>
            <w:tcW w:w="260" w:type="dxa"/>
            <w:vAlign w:val="bottom"/>
          </w:tcPr>
          <w:p>
            <w:pPr>
              <w:spacing w:after="0"/>
              <w:rPr>
                <w:sz w:val="10"/>
                <w:szCs w:val="10"/>
                <w:color w:val="auto"/>
              </w:rPr>
            </w:pPr>
          </w:p>
        </w:tc>
        <w:tc>
          <w:tcPr>
            <w:tcW w:w="860" w:type="dxa"/>
            <w:vAlign w:val="bottom"/>
          </w:tcPr>
          <w:p>
            <w:pPr>
              <w:jc w:val="right"/>
              <w:spacing w:after="0" w:line="121" w:lineRule="exact"/>
              <w:rPr>
                <w:sz w:val="20"/>
                <w:szCs w:val="20"/>
                <w:color w:val="auto"/>
              </w:rPr>
            </w:pPr>
            <w:r>
              <w:rPr>
                <w:rFonts w:ascii="Arial" w:cs="Arial" w:eastAsia="Arial" w:hAnsi="Arial"/>
                <w:sz w:val="11"/>
                <w:szCs w:val="11"/>
                <w:color w:val="auto"/>
              </w:rPr>
              <w:t>70,883</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60,879</w:t>
            </w:r>
          </w:p>
        </w:tc>
        <w:tc>
          <w:tcPr>
            <w:tcW w:w="0" w:type="dxa"/>
            <w:vAlign w:val="bottom"/>
          </w:tcPr>
          <w:p>
            <w:pPr>
              <w:spacing w:after="0"/>
              <w:rPr>
                <w:sz w:val="1"/>
                <w:szCs w:val="1"/>
                <w:color w:val="auto"/>
              </w:rPr>
            </w:pPr>
          </w:p>
        </w:tc>
      </w:tr>
      <w:tr>
        <w:trPr>
          <w:trHeight w:val="113"/>
        </w:trPr>
        <w:tc>
          <w:tcPr>
            <w:tcW w:w="5080" w:type="dxa"/>
            <w:vAlign w:val="bottom"/>
            <w:tcBorders>
              <w:top w:val="single" w:sz="8" w:color="CCEEFF"/>
              <w:bottom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Comprehensive income (loss) attributable to EchoStar</w:t>
            </w:r>
          </w:p>
        </w:tc>
        <w:tc>
          <w:tcPr>
            <w:tcW w:w="260" w:type="dxa"/>
            <w:vAlign w:val="bottom"/>
            <w:tcBorders>
              <w:top w:val="single" w:sz="8" w:color="auto"/>
              <w:bottom w:val="single" w:sz="8" w:color="auto"/>
            </w:tcBorders>
            <w:shd w:val="clear" w:color="auto" w:fill="CCEEFF"/>
          </w:tcPr>
          <w:p>
            <w:pPr>
              <w:jc w:val="right"/>
              <w:ind w:right="149"/>
              <w:spacing w:after="0" w:line="114" w:lineRule="exact"/>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(155,201)</w:t>
            </w: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auto"/>
            </w:tcBorders>
            <w:shd w:val="clear" w:color="auto" w:fill="CCEEFF"/>
          </w:tcPr>
          <w:p>
            <w:pPr>
              <w:jc w:val="right"/>
              <w:ind w:right="124"/>
              <w:spacing w:after="0" w:line="113" w:lineRule="exact"/>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(1,686,846)</w:t>
            </w: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auto"/>
              <w:bottom w:val="single" w:sz="8" w:color="auto"/>
            </w:tcBorders>
            <w:shd w:val="clear" w:color="auto" w:fill="CCEEFF"/>
          </w:tcPr>
          <w:p>
            <w:pPr>
              <w:jc w:val="right"/>
              <w:ind w:right="189"/>
              <w:spacing w:after="0" w:line="114" w:lineRule="exact"/>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2,514,274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22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6">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ECHOSTAR CORPORATION</w:t>
      </w:r>
    </w:p>
    <w:p>
      <w:pPr>
        <w:spacing w:after="0" w:line="11"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CONSOLIDATED STATEMENTS OF CHANGES IN STOCKHOLDERS’ EQUITY (DEFICIT)</w:t>
      </w:r>
    </w:p>
    <w:p>
      <w:pPr>
        <w:jc w:val="center"/>
        <w:ind w:right="980"/>
        <w:spacing w:after="0"/>
        <w:rPr>
          <w:sz w:val="20"/>
          <w:szCs w:val="20"/>
          <w:color w:val="auto"/>
        </w:rPr>
      </w:pPr>
      <w:r>
        <w:rPr>
          <w:rFonts w:ascii="Arial" w:cs="Arial" w:eastAsia="Arial" w:hAnsi="Arial"/>
          <w:sz w:val="16"/>
          <w:szCs w:val="16"/>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40" w:type="dxa"/>
            <w:vAlign w:val="bottom"/>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Class A and B</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Accumulated</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Redeemable</w:t>
            </w:r>
          </w:p>
        </w:tc>
        <w:tc>
          <w:tcPr>
            <w:tcW w:w="0" w:type="dxa"/>
            <w:vAlign w:val="bottom"/>
          </w:tcPr>
          <w:p>
            <w:pPr>
              <w:spacing w:after="0"/>
              <w:rPr>
                <w:sz w:val="1"/>
                <w:szCs w:val="1"/>
                <w:color w:val="auto"/>
              </w:rPr>
            </w:pPr>
          </w:p>
        </w:tc>
      </w:tr>
      <w:tr>
        <w:trPr>
          <w:trHeight w:val="121"/>
        </w:trPr>
        <w:tc>
          <w:tcPr>
            <w:tcW w:w="364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rPr>
              <w:t>Other</w:t>
            </w:r>
          </w:p>
        </w:tc>
        <w:tc>
          <w:tcPr>
            <w:tcW w:w="840" w:type="dxa"/>
            <w:vAlign w:val="bottom"/>
            <w:gridSpan w:val="2"/>
            <w:vMerge w:val="continue"/>
          </w:tcPr>
          <w:p>
            <w:pPr>
              <w:spacing w:after="0"/>
              <w:rPr>
                <w:sz w:val="10"/>
                <w:szCs w:val="10"/>
                <w:color w:val="auto"/>
              </w:rPr>
            </w:pPr>
          </w:p>
        </w:tc>
        <w:tc>
          <w:tcPr>
            <w:tcW w:w="1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Treasury SharesNoncontrolling</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rPr>
              <w:t>Common</w:t>
            </w:r>
          </w:p>
        </w:tc>
        <w:tc>
          <w:tcPr>
            <w:tcW w:w="740" w:type="dxa"/>
            <w:vAlign w:val="bottom"/>
            <w:gridSpan w:val="2"/>
          </w:tcPr>
          <w:p>
            <w:pPr>
              <w:jc w:val="right"/>
              <w:ind w:right="240"/>
              <w:spacing w:after="0" w:line="121" w:lineRule="exact"/>
              <w:rPr>
                <w:sz w:val="20"/>
                <w:szCs w:val="20"/>
                <w:color w:val="auto"/>
              </w:rPr>
            </w:pPr>
            <w:r>
              <w:rPr>
                <w:rFonts w:ascii="Arial" w:cs="Arial" w:eastAsia="Arial" w:hAnsi="Arial"/>
                <w:sz w:val="11"/>
                <w:szCs w:val="11"/>
                <w:b w:val="1"/>
                <w:bCs w:val="1"/>
                <w:color w:val="auto"/>
              </w:rPr>
              <w:t>Paid-In</w:t>
            </w:r>
          </w:p>
        </w:tc>
        <w:tc>
          <w:tcPr>
            <w:tcW w:w="9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Comprehensive</w:t>
            </w:r>
          </w:p>
        </w:tc>
        <w:tc>
          <w:tcPr>
            <w:tcW w:w="84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rPr>
              <w:t>Earnings</w:t>
            </w:r>
          </w:p>
        </w:tc>
        <w:tc>
          <w:tcPr>
            <w:tcW w:w="1800" w:type="dxa"/>
            <w:vAlign w:val="bottom"/>
            <w:gridSpan w:val="4"/>
            <w:vMerge w:val="continue"/>
          </w:tcPr>
          <w:p>
            <w:pPr>
              <w:spacing w:after="0"/>
              <w:rPr>
                <w:sz w:val="10"/>
                <w:szCs w:val="10"/>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Noncontrollin</w:t>
            </w:r>
          </w:p>
        </w:tc>
        <w:tc>
          <w:tcPr>
            <w:tcW w:w="0" w:type="dxa"/>
            <w:vAlign w:val="bottom"/>
          </w:tcPr>
          <w:p>
            <w:pPr>
              <w:spacing w:after="0"/>
              <w:rPr>
                <w:sz w:val="1"/>
                <w:szCs w:val="1"/>
                <w:color w:val="auto"/>
              </w:rPr>
            </w:pPr>
          </w:p>
        </w:tc>
      </w:tr>
      <w:tr>
        <w:trPr>
          <w:trHeight w:val="136"/>
        </w:trPr>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Stock</w:t>
            </w: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Capital</w:t>
            </w:r>
          </w:p>
        </w:tc>
        <w:tc>
          <w:tcPr>
            <w:tcW w:w="9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Income (Loss)</w:t>
            </w: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1"/>
                <w:szCs w:val="11"/>
                <w:color w:val="auto"/>
              </w:rPr>
            </w:pPr>
          </w:p>
        </w:tc>
        <w:tc>
          <w:tcPr>
            <w:tcW w:w="840" w:type="dxa"/>
            <w:vAlign w:val="bottom"/>
          </w:tcPr>
          <w:p>
            <w:pPr>
              <w:ind w:left="100"/>
              <w:spacing w:after="0"/>
              <w:rPr>
                <w:sz w:val="20"/>
                <w:szCs w:val="20"/>
                <w:color w:val="auto"/>
              </w:rPr>
            </w:pPr>
            <w:r>
              <w:rPr>
                <w:rFonts w:ascii="Arial" w:cs="Arial" w:eastAsia="Arial" w:hAnsi="Arial"/>
                <w:sz w:val="11"/>
                <w:szCs w:val="11"/>
                <w:b w:val="1"/>
                <w:bCs w:val="1"/>
                <w:color w:val="auto"/>
              </w:rPr>
              <w:t>at Cost</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Interests</w:t>
            </w: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44"/>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113"/>
        </w:trPr>
        <w:tc>
          <w:tcPr>
            <w:tcW w:w="364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Balance, December 31, 2021</w:t>
            </w:r>
          </w:p>
        </w:tc>
        <w:tc>
          <w:tcPr>
            <w:tcW w:w="100" w:type="dxa"/>
            <w:vAlign w:val="bottom"/>
            <w:tcBorders>
              <w:top w:val="single" w:sz="8" w:color="auto"/>
              <w:bottom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268</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8,085,989</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(211,821)</w:t>
            </w: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$ 11,051,624</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w:t>
            </w:r>
          </w:p>
        </w:tc>
        <w:tc>
          <w:tcPr>
            <w:tcW w:w="840" w:type="dxa"/>
            <w:vAlign w:val="bottom"/>
            <w:tcBorders>
              <w:top w:val="single" w:sz="8" w:color="auto"/>
              <w:bottom w:val="single" w:sz="8" w:color="auto"/>
            </w:tcBorders>
            <w:shd w:val="clear" w:color="auto" w:fill="CCEEFF"/>
          </w:tcPr>
          <w:p>
            <w:pPr>
              <w:ind w:left="560"/>
              <w:spacing w:after="0" w:line="113" w:lineRule="exact"/>
              <w:rPr>
                <w:sz w:val="20"/>
                <w:szCs w:val="20"/>
                <w:color w:val="auto"/>
              </w:rPr>
            </w:pPr>
            <w:r>
              <w:rPr>
                <w:rFonts w:ascii="Arial" w:cs="Arial" w:eastAsia="Arial" w:hAnsi="Arial"/>
                <w:sz w:val="11"/>
                <w:szCs w:val="11"/>
                <w:color w:val="auto"/>
              </w:rPr>
              <w:t>— $</w:t>
            </w: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61,472</w:t>
            </w: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18,987,532</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395,222</w:t>
            </w:r>
          </w:p>
        </w:tc>
        <w:tc>
          <w:tcPr>
            <w:tcW w:w="0" w:type="dxa"/>
            <w:vAlign w:val="bottom"/>
          </w:tcPr>
          <w:p>
            <w:pPr>
              <w:spacing w:after="0"/>
              <w:rPr>
                <w:sz w:val="1"/>
                <w:szCs w:val="1"/>
                <w:color w:val="auto"/>
              </w:rPr>
            </w:pPr>
          </w:p>
        </w:tc>
      </w:tr>
      <w:tr>
        <w:trPr>
          <w:trHeight w:val="113"/>
        </w:trPr>
        <w:tc>
          <w:tcPr>
            <w:tcW w:w="3640" w:type="dxa"/>
            <w:vAlign w:val="bottom"/>
          </w:tcPr>
          <w:p>
            <w:pPr>
              <w:spacing w:after="0" w:line="113" w:lineRule="exact"/>
              <w:rPr>
                <w:sz w:val="20"/>
                <w:szCs w:val="20"/>
                <w:color w:val="auto"/>
              </w:rPr>
            </w:pPr>
            <w:r>
              <w:rPr>
                <w:rFonts w:ascii="Arial" w:cs="Arial" w:eastAsia="Arial" w:hAnsi="Arial"/>
                <w:sz w:val="11"/>
                <w:szCs w:val="11"/>
                <w:color w:val="auto"/>
              </w:rPr>
              <w:t>Issuance of Class A common stock</w:t>
            </w:r>
          </w:p>
        </w:tc>
        <w:tc>
          <w:tcPr>
            <w:tcW w:w="1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1"/>
                <w:szCs w:val="11"/>
                <w:color w:val="auto"/>
              </w:rPr>
              <w:t>1</w:t>
            </w:r>
          </w:p>
        </w:tc>
        <w:tc>
          <w:tcPr>
            <w:tcW w:w="14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1"/>
                <w:szCs w:val="11"/>
                <w:color w:val="auto"/>
              </w:rPr>
              <w:t>60,827</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ind w:left="560"/>
              <w:spacing w:after="0" w:line="113"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1"/>
                <w:szCs w:val="11"/>
                <w:color w:val="auto"/>
              </w:rPr>
              <w:t>60,828</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Non-cash, stock-based compensation</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82,994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82,994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1"/>
                <w:szCs w:val="11"/>
                <w:color w:val="auto"/>
              </w:rPr>
              <w:t>Other comprehensive income (loss)</w:t>
            </w: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tcPr>
          <w:p>
            <w:pPr>
              <w:jc w:val="right"/>
              <w:spacing w:after="0" w:line="121" w:lineRule="exact"/>
              <w:rPr>
                <w:sz w:val="20"/>
                <w:szCs w:val="20"/>
                <w:color w:val="auto"/>
              </w:rPr>
            </w:pPr>
            <w:r>
              <w:rPr>
                <w:rFonts w:ascii="Arial" w:cs="Arial" w:eastAsia="Arial" w:hAnsi="Arial"/>
                <w:sz w:val="11"/>
                <w:szCs w:val="11"/>
                <w:color w:val="auto"/>
              </w:rPr>
              <w:t>36,554</w:t>
            </w:r>
          </w:p>
        </w:tc>
        <w:tc>
          <w:tcPr>
            <w:tcW w:w="120" w:type="dxa"/>
            <w:vAlign w:val="bottom"/>
          </w:tcPr>
          <w:p>
            <w:pPr>
              <w:spacing w:after="0"/>
              <w:rPr>
                <w:sz w:val="10"/>
                <w:szCs w:val="10"/>
                <w:color w:val="auto"/>
              </w:rPr>
            </w:pP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ind w:left="560"/>
              <w:spacing w:after="0" w:line="12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1,707</w:t>
            </w:r>
          </w:p>
        </w:tc>
        <w:tc>
          <w:tcPr>
            <w:tcW w:w="12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38,261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6"/>
        </w:trPr>
        <w:tc>
          <w:tcPr>
            <w:tcW w:w="3640" w:type="dxa"/>
            <w:vAlign w:val="bottom"/>
            <w:shd w:val="clear" w:color="auto" w:fill="CCEEFF"/>
          </w:tcPr>
          <w:p>
            <w:pPr>
              <w:spacing w:after="0" w:line="106" w:lineRule="exact"/>
              <w:rPr>
                <w:sz w:val="20"/>
                <w:szCs w:val="20"/>
                <w:color w:val="auto"/>
              </w:rPr>
            </w:pPr>
            <w:r>
              <w:rPr>
                <w:rFonts w:ascii="Arial" w:cs="Arial" w:eastAsia="Arial" w:hAnsi="Arial"/>
                <w:sz w:val="11"/>
                <w:szCs w:val="11"/>
                <w:color w:val="auto"/>
              </w:rPr>
              <w:t>Issuance of equity and contribution of assets pursuant to the India JV</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640" w:type="dxa"/>
            <w:vAlign w:val="bottom"/>
            <w:shd w:val="clear" w:color="auto" w:fill="CCEEFF"/>
          </w:tcPr>
          <w:p>
            <w:pPr>
              <w:spacing w:after="0"/>
              <w:rPr>
                <w:sz w:val="20"/>
                <w:szCs w:val="20"/>
                <w:color w:val="auto"/>
              </w:rPr>
            </w:pPr>
            <w:r>
              <w:rPr>
                <w:rFonts w:ascii="Arial" w:cs="Arial" w:eastAsia="Arial" w:hAnsi="Arial"/>
                <w:sz w:val="11"/>
                <w:szCs w:val="11"/>
                <w:color w:val="auto"/>
              </w:rPr>
              <w:t>formation</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(14,237)</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44,540</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30,303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1"/>
                <w:szCs w:val="11"/>
                <w:color w:val="auto"/>
              </w:rPr>
              <w:t>Consideration received from DISH Network for R&amp;D tax credits utilized</w:t>
            </w: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6,315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6,315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Treasury share repurchase</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4"/>
              <w:spacing w:after="0" w:line="121" w:lineRule="exact"/>
              <w:rPr>
                <w:sz w:val="20"/>
                <w:szCs w:val="20"/>
                <w:color w:val="auto"/>
              </w:rPr>
            </w:pPr>
            <w:r>
              <w:rPr>
                <w:rFonts w:ascii="Arial" w:cs="Arial" w:eastAsia="Arial" w:hAnsi="Arial"/>
                <w:sz w:val="11"/>
                <w:szCs w:val="11"/>
                <w:color w:val="auto"/>
              </w:rPr>
              <w:t>(89,303)</w:t>
            </w: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(89,303)</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1"/>
                <w:szCs w:val="11"/>
                <w:color w:val="auto"/>
              </w:rPr>
              <w:t>Other, net</w:t>
            </w: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711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(89,304)</w:t>
            </w:r>
          </w:p>
        </w:tc>
        <w:tc>
          <w:tcPr>
            <w:tcW w:w="160" w:type="dxa"/>
            <w:vAlign w:val="bottom"/>
          </w:tcPr>
          <w:p>
            <w:pPr>
              <w:spacing w:after="0"/>
              <w:rPr>
                <w:sz w:val="10"/>
                <w:szCs w:val="10"/>
                <w:color w:val="auto"/>
              </w:rPr>
            </w:pPr>
          </w:p>
        </w:tc>
        <w:tc>
          <w:tcPr>
            <w:tcW w:w="840" w:type="dxa"/>
            <w:vAlign w:val="bottom"/>
          </w:tcPr>
          <w:p>
            <w:pPr>
              <w:jc w:val="right"/>
              <w:ind w:right="104"/>
              <w:spacing w:after="0" w:line="121" w:lineRule="exact"/>
              <w:rPr>
                <w:sz w:val="20"/>
                <w:szCs w:val="20"/>
                <w:color w:val="auto"/>
              </w:rPr>
            </w:pPr>
            <w:r>
              <w:rPr>
                <w:rFonts w:ascii="Arial" w:cs="Arial" w:eastAsia="Arial" w:hAnsi="Arial"/>
                <w:sz w:val="11"/>
                <w:szCs w:val="11"/>
                <w:color w:val="auto"/>
              </w:rPr>
              <w:t>89,303</w:t>
            </w: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438</w:t>
            </w:r>
          </w:p>
        </w:tc>
        <w:tc>
          <w:tcPr>
            <w:tcW w:w="12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1,148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Net income (loss) attributable to noncontrolling interests</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(9,965)</w:t>
            </w:r>
          </w:p>
        </w:tc>
        <w:tc>
          <w:tcPr>
            <w:tcW w:w="8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(9,965)</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69,137</w:t>
            </w: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1"/>
                <w:szCs w:val="11"/>
                <w:color w:val="auto"/>
              </w:rPr>
              <w:t>Net income (loss) attributable to EchoStar</w:t>
            </w: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21" w:lineRule="exact"/>
              <w:rPr>
                <w:sz w:val="20"/>
                <w:szCs w:val="20"/>
                <w:color w:val="auto"/>
              </w:rPr>
            </w:pPr>
            <w:r>
              <w:rPr>
                <w:rFonts w:ascii="Arial" w:cs="Arial" w:eastAsia="Arial" w:hAnsi="Arial"/>
                <w:sz w:val="11"/>
                <w:szCs w:val="11"/>
                <w:color w:val="auto"/>
              </w:rPr>
              <w:t>2,477,720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2,477,720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364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Balance, December 31, 2022</w:t>
            </w:r>
          </w:p>
        </w:tc>
        <w:tc>
          <w:tcPr>
            <w:tcW w:w="100" w:type="dxa"/>
            <w:vAlign w:val="bottom"/>
            <w:tcBorders>
              <w:top w:val="single" w:sz="8" w:color="auto"/>
              <w:bottom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269</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8,222,599</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(175,267)</w:t>
            </w:r>
          </w:p>
        </w:tc>
        <w:tc>
          <w:tcPr>
            <w:tcW w:w="1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$ 13,440,040</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w:t>
            </w:r>
          </w:p>
        </w:tc>
        <w:tc>
          <w:tcPr>
            <w:tcW w:w="840" w:type="dxa"/>
            <w:vAlign w:val="bottom"/>
            <w:tcBorders>
              <w:top w:val="single" w:sz="8" w:color="auto"/>
              <w:bottom w:val="single" w:sz="8" w:color="auto"/>
            </w:tcBorders>
            <w:shd w:val="clear" w:color="auto" w:fill="CCEEFF"/>
          </w:tcPr>
          <w:p>
            <w:pPr>
              <w:ind w:left="560"/>
              <w:spacing w:after="0" w:line="113" w:lineRule="exact"/>
              <w:rPr>
                <w:sz w:val="20"/>
                <w:szCs w:val="20"/>
                <w:color w:val="auto"/>
              </w:rPr>
            </w:pPr>
            <w:r>
              <w:rPr>
                <w:rFonts w:ascii="Arial" w:cs="Arial" w:eastAsia="Arial" w:hAnsi="Arial"/>
                <w:sz w:val="11"/>
                <w:szCs w:val="11"/>
                <w:color w:val="auto"/>
              </w:rPr>
              <w:t>— $</w:t>
            </w: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98,192</w:t>
            </w: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21,585,833</w:t>
            </w: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auto"/>
            </w:tcBorders>
            <w:shd w:val="clear" w:color="auto" w:fill="CCEEFF"/>
          </w:tcPr>
          <w:p>
            <w:pPr>
              <w:spacing w:after="0" w:line="114"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464,359</w:t>
            </w:r>
          </w:p>
        </w:tc>
        <w:tc>
          <w:tcPr>
            <w:tcW w:w="0" w:type="dxa"/>
            <w:vAlign w:val="bottom"/>
          </w:tcPr>
          <w:p>
            <w:pPr>
              <w:spacing w:after="0"/>
              <w:rPr>
                <w:sz w:val="1"/>
                <w:szCs w:val="1"/>
                <w:color w:val="auto"/>
              </w:rPr>
            </w:pPr>
          </w:p>
        </w:tc>
      </w:tr>
      <w:tr>
        <w:trPr>
          <w:trHeight w:val="113"/>
        </w:trPr>
        <w:tc>
          <w:tcPr>
            <w:tcW w:w="3640" w:type="dxa"/>
            <w:vAlign w:val="bottom"/>
          </w:tcPr>
          <w:p>
            <w:pPr>
              <w:spacing w:after="0" w:line="113" w:lineRule="exact"/>
              <w:rPr>
                <w:sz w:val="20"/>
                <w:szCs w:val="20"/>
                <w:color w:val="auto"/>
              </w:rPr>
            </w:pPr>
            <w:r>
              <w:rPr>
                <w:rFonts w:ascii="Arial" w:cs="Arial" w:eastAsia="Arial" w:hAnsi="Arial"/>
                <w:sz w:val="11"/>
                <w:szCs w:val="11"/>
                <w:color w:val="auto"/>
              </w:rPr>
              <w:t>Issuance of Class A common stock</w:t>
            </w:r>
          </w:p>
        </w:tc>
        <w:tc>
          <w:tcPr>
            <w:tcW w:w="100" w:type="dxa"/>
            <w:vAlign w:val="bottom"/>
          </w:tcPr>
          <w:p>
            <w:pPr>
              <w:spacing w:after="0"/>
              <w:rPr>
                <w:sz w:val="9"/>
                <w:szCs w:val="9"/>
                <w:color w:val="auto"/>
              </w:rPr>
            </w:pPr>
          </w:p>
        </w:tc>
        <w:tc>
          <w:tcPr>
            <w:tcW w:w="660" w:type="dxa"/>
            <w:vAlign w:val="bottom"/>
          </w:tcPr>
          <w:p>
            <w:pPr>
              <w:jc w:val="right"/>
              <w:spacing w:after="0" w:line="113" w:lineRule="exact"/>
              <w:rPr>
                <w:sz w:val="20"/>
                <w:szCs w:val="20"/>
                <w:color w:val="auto"/>
              </w:rPr>
            </w:pPr>
            <w:r>
              <w:rPr>
                <w:rFonts w:ascii="Arial" w:cs="Arial" w:eastAsia="Arial" w:hAnsi="Arial"/>
                <w:sz w:val="11"/>
                <w:szCs w:val="11"/>
                <w:color w:val="auto"/>
              </w:rPr>
              <w:t>2</w:t>
            </w:r>
          </w:p>
        </w:tc>
        <w:tc>
          <w:tcPr>
            <w:tcW w:w="14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Arial" w:cs="Arial" w:eastAsia="Arial" w:hAnsi="Arial"/>
                <w:sz w:val="11"/>
                <w:szCs w:val="11"/>
                <w:color w:val="auto"/>
              </w:rPr>
              <w:t>30,697</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ind w:left="560"/>
              <w:spacing w:after="0" w:line="113"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1"/>
                <w:szCs w:val="11"/>
                <w:color w:val="auto"/>
              </w:rPr>
              <w:t>30,699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Non-cash, stock-based compensation</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51,514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51,514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1"/>
                <w:szCs w:val="11"/>
                <w:color w:val="auto"/>
              </w:rPr>
              <w:t>Other comprehensive income (loss)</w:t>
            </w: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tcPr>
          <w:p>
            <w:pPr>
              <w:jc w:val="right"/>
              <w:spacing w:after="0" w:line="121" w:lineRule="exact"/>
              <w:rPr>
                <w:sz w:val="20"/>
                <w:szCs w:val="20"/>
                <w:color w:val="auto"/>
              </w:rPr>
            </w:pPr>
            <w:r>
              <w:rPr>
                <w:rFonts w:ascii="Arial" w:cs="Arial" w:eastAsia="Arial" w:hAnsi="Arial"/>
                <w:sz w:val="11"/>
                <w:szCs w:val="11"/>
                <w:color w:val="auto"/>
              </w:rPr>
              <w:t>15,211</w:t>
            </w:r>
          </w:p>
        </w:tc>
        <w:tc>
          <w:tcPr>
            <w:tcW w:w="120" w:type="dxa"/>
            <w:vAlign w:val="bottom"/>
          </w:tcPr>
          <w:p>
            <w:pPr>
              <w:spacing w:after="0"/>
              <w:rPr>
                <w:sz w:val="10"/>
                <w:szCs w:val="10"/>
                <w:color w:val="auto"/>
              </w:rPr>
            </w:pP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ind w:left="560"/>
              <w:spacing w:after="0" w:line="12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3,650</w:t>
            </w:r>
          </w:p>
        </w:tc>
        <w:tc>
          <w:tcPr>
            <w:tcW w:w="12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18,861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6"/>
        </w:trPr>
        <w:tc>
          <w:tcPr>
            <w:tcW w:w="3640" w:type="dxa"/>
            <w:vAlign w:val="bottom"/>
            <w:shd w:val="clear" w:color="auto" w:fill="CCEEFF"/>
          </w:tcPr>
          <w:p>
            <w:pPr>
              <w:spacing w:after="0" w:line="106" w:lineRule="exact"/>
              <w:rPr>
                <w:sz w:val="20"/>
                <w:szCs w:val="20"/>
                <w:color w:val="auto"/>
              </w:rPr>
            </w:pPr>
            <w:r>
              <w:rPr>
                <w:rFonts w:ascii="Arial" w:cs="Arial" w:eastAsia="Arial" w:hAnsi="Arial"/>
                <w:sz w:val="11"/>
                <w:szCs w:val="11"/>
                <w:color w:val="auto"/>
              </w:rPr>
              <w:t>Purchase of Northstar Manager, LLC's ownership interest in Northstar</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640" w:type="dxa"/>
            <w:vAlign w:val="bottom"/>
            <w:shd w:val="clear" w:color="auto" w:fill="CCEEFF"/>
          </w:tcPr>
          <w:p>
            <w:pPr>
              <w:spacing w:after="0"/>
              <w:rPr>
                <w:sz w:val="20"/>
                <w:szCs w:val="20"/>
                <w:color w:val="auto"/>
              </w:rPr>
            </w:pPr>
            <w:r>
              <w:rPr>
                <w:rFonts w:ascii="Arial" w:cs="Arial" w:eastAsia="Arial" w:hAnsi="Arial"/>
                <w:sz w:val="11"/>
                <w:szCs w:val="11"/>
                <w:color w:val="auto"/>
              </w:rPr>
              <w:t>Spectrum</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(109,432</w:t>
            </w: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1"/>
                <w:szCs w:val="11"/>
                <w:color w:val="auto"/>
              </w:rPr>
              <w:t>Deconsolidation of Hughes Systique Corporation</w:t>
            </w: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(15,448)</w:t>
            </w:r>
          </w:p>
        </w:tc>
        <w:tc>
          <w:tcPr>
            <w:tcW w:w="82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(15,448)</w:t>
            </w: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Other, net</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(2,831)</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(439)</w:t>
            </w:r>
          </w:p>
        </w:tc>
        <w:tc>
          <w:tcPr>
            <w:tcW w:w="8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(3,270)</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1"/>
                <w:szCs w:val="11"/>
                <w:color w:val="auto"/>
              </w:rPr>
              <w:t>Net income (loss) attributable to noncontrolling interests</w:t>
            </w: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(16,222)</w:t>
            </w:r>
          </w:p>
        </w:tc>
        <w:tc>
          <w:tcPr>
            <w:tcW w:w="82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(16,222)</w:t>
            </w: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83,455</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Net income (loss) attributable to EchoStar</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(1,702,057)</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(1,702,057)</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364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b w:val="1"/>
                <w:bCs w:val="1"/>
                <w:color w:val="auto"/>
              </w:rPr>
              <w:t>Balance, December 31, 2023</w:t>
            </w:r>
          </w:p>
        </w:tc>
        <w:tc>
          <w:tcPr>
            <w:tcW w:w="100" w:type="dxa"/>
            <w:vAlign w:val="bottom"/>
            <w:tcBorders>
              <w:top w:val="single" w:sz="8" w:color="auto"/>
              <w:bottom w:val="single" w:sz="8" w:color="auto"/>
            </w:tcBorders>
          </w:tcPr>
          <w:p>
            <w:pPr>
              <w:ind w:left="20"/>
              <w:spacing w:after="0" w:line="113" w:lineRule="exact"/>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271</w:t>
            </w:r>
          </w:p>
        </w:tc>
        <w:tc>
          <w:tcPr>
            <w:tcW w:w="140" w:type="dxa"/>
            <w:vAlign w:val="bottom"/>
            <w:tcBorders>
              <w:bottom w:val="single" w:sz="8" w:color="CCEEFF"/>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8,301,979</w:t>
            </w:r>
          </w:p>
        </w:tc>
        <w:tc>
          <w:tcPr>
            <w:tcW w:w="14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line="114" w:lineRule="exact"/>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(160,056)</w:t>
            </w:r>
          </w:p>
        </w:tc>
        <w:tc>
          <w:tcPr>
            <w:tcW w:w="120" w:type="dxa"/>
            <w:vAlign w:val="bottom"/>
            <w:tcBorders>
              <w:bottom w:val="single" w:sz="8" w:color="CCEEFF"/>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$ 11,737,983</w:t>
            </w:r>
          </w:p>
        </w:tc>
        <w:tc>
          <w:tcPr>
            <w:tcW w:w="120" w:type="dxa"/>
            <w:vAlign w:val="bottom"/>
            <w:tcBorders>
              <w:bottom w:val="single" w:sz="8" w:color="CCEEFF"/>
            </w:tcBorders>
          </w:tcPr>
          <w:p>
            <w:pPr>
              <w:spacing w:after="0"/>
              <w:rPr>
                <w:sz w:val="9"/>
                <w:szCs w:val="9"/>
                <w:color w:val="auto"/>
              </w:rPr>
            </w:pPr>
          </w:p>
        </w:tc>
        <w:tc>
          <w:tcPr>
            <w:tcW w:w="160" w:type="dxa"/>
            <w:vAlign w:val="bottom"/>
            <w:tcBorders>
              <w:top w:val="single" w:sz="8" w:color="auto"/>
              <w:bottom w:val="single" w:sz="8" w:color="auto"/>
            </w:tcBorders>
          </w:tcPr>
          <w:p>
            <w:pPr>
              <w:spacing w:after="0" w:line="113" w:lineRule="exact"/>
              <w:rPr>
                <w:sz w:val="20"/>
                <w:szCs w:val="20"/>
                <w:color w:val="auto"/>
              </w:rPr>
            </w:pPr>
            <w:r>
              <w:rPr>
                <w:rFonts w:ascii="Arial" w:cs="Arial" w:eastAsia="Arial" w:hAnsi="Arial"/>
                <w:sz w:val="11"/>
                <w:szCs w:val="11"/>
                <w:color w:val="auto"/>
              </w:rPr>
              <w:t>$</w:t>
            </w:r>
          </w:p>
        </w:tc>
        <w:tc>
          <w:tcPr>
            <w:tcW w:w="840" w:type="dxa"/>
            <w:vAlign w:val="bottom"/>
            <w:tcBorders>
              <w:top w:val="single" w:sz="8" w:color="auto"/>
              <w:bottom w:val="single" w:sz="8" w:color="auto"/>
            </w:tcBorders>
          </w:tcPr>
          <w:p>
            <w:pPr>
              <w:ind w:left="560"/>
              <w:spacing w:after="0" w:line="113" w:lineRule="exact"/>
              <w:rPr>
                <w:sz w:val="20"/>
                <w:szCs w:val="20"/>
                <w:color w:val="auto"/>
              </w:rPr>
            </w:pPr>
            <w:r>
              <w:rPr>
                <w:rFonts w:ascii="Arial" w:cs="Arial" w:eastAsia="Arial" w:hAnsi="Arial"/>
                <w:sz w:val="11"/>
                <w:szCs w:val="11"/>
                <w:color w:val="auto"/>
              </w:rPr>
              <w:t>— $</w:t>
            </w:r>
          </w:p>
        </w:tc>
        <w:tc>
          <w:tcPr>
            <w:tcW w:w="6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69,733</w:t>
            </w:r>
          </w:p>
        </w:tc>
        <w:tc>
          <w:tcPr>
            <w:tcW w:w="120" w:type="dxa"/>
            <w:vAlign w:val="bottom"/>
            <w:tcBorders>
              <w:bottom w:val="single" w:sz="8" w:color="CCEEFF"/>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19,949,910</w:t>
            </w:r>
          </w:p>
        </w:tc>
        <w:tc>
          <w:tcPr>
            <w:tcW w:w="14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line="114"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438,382</w:t>
            </w:r>
          </w:p>
        </w:tc>
        <w:tc>
          <w:tcPr>
            <w:tcW w:w="0" w:type="dxa"/>
            <w:vAlign w:val="bottom"/>
          </w:tcPr>
          <w:p>
            <w:pPr>
              <w:spacing w:after="0"/>
              <w:rPr>
                <w:sz w:val="1"/>
                <w:szCs w:val="1"/>
                <w:color w:val="auto"/>
              </w:rPr>
            </w:pPr>
          </w:p>
        </w:tc>
      </w:tr>
      <w:tr>
        <w:trPr>
          <w:trHeight w:val="113"/>
        </w:trPr>
        <w:tc>
          <w:tcPr>
            <w:tcW w:w="364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Issuance of Class A common stock</w:t>
            </w: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w:t>
            </w: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4,191</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ind w:left="560"/>
              <w:spacing w:after="0" w:line="113"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4,192</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1"/>
                <w:szCs w:val="11"/>
                <w:color w:val="auto"/>
              </w:rPr>
              <w:t>Proceeds from issuance of PIPE Shares</w:t>
            </w:r>
          </w:p>
        </w:tc>
        <w:tc>
          <w:tcPr>
            <w:tcW w:w="10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14</w:t>
            </w: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399,986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400,000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Non-cash, stock-based compensation</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36,383</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36,383</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1"/>
                <w:szCs w:val="11"/>
                <w:color w:val="auto"/>
              </w:rPr>
              <w:t>Other comprehensive income (loss)</w:t>
            </w: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(35,655)</w:t>
            </w: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(7,295)</w:t>
            </w:r>
          </w:p>
        </w:tc>
        <w:tc>
          <w:tcPr>
            <w:tcW w:w="82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(42,950)</w:t>
            </w: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Purchase of SNR Management's ownership interest in SNR HoldCo</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(441,998</w:t>
            </w: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1"/>
                <w:szCs w:val="11"/>
                <w:color w:val="auto"/>
              </w:rPr>
              <w:t>Sale of Assets to CONX, net of deferred taxes of $788</w:t>
            </w: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2,587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2,587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Release of valuation allowance</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23,234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23,234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640" w:type="dxa"/>
            <w:vAlign w:val="bottom"/>
          </w:tcPr>
          <w:p>
            <w:pPr>
              <w:spacing w:after="0" w:line="121" w:lineRule="exact"/>
              <w:rPr>
                <w:sz w:val="20"/>
                <w:szCs w:val="20"/>
                <w:color w:val="auto"/>
              </w:rPr>
            </w:pPr>
            <w:r>
              <w:rPr>
                <w:rFonts w:ascii="Arial" w:cs="Arial" w:eastAsia="Arial" w:hAnsi="Arial"/>
                <w:sz w:val="11"/>
                <w:szCs w:val="11"/>
                <w:color w:val="auto"/>
              </w:rPr>
              <w:t>Net income (loss) attributable to noncontrolling interests</w:t>
            </w: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(8,585)</w:t>
            </w:r>
          </w:p>
        </w:tc>
        <w:tc>
          <w:tcPr>
            <w:tcW w:w="82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(8,585)</w:t>
            </w: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3,616</w:t>
            </w:r>
          </w:p>
        </w:tc>
        <w:tc>
          <w:tcPr>
            <w:tcW w:w="0" w:type="dxa"/>
            <w:vAlign w:val="bottom"/>
          </w:tcPr>
          <w:p>
            <w:pPr>
              <w:spacing w:after="0"/>
              <w:rPr>
                <w:sz w:val="1"/>
                <w:szCs w:val="1"/>
                <w:color w:val="auto"/>
              </w:rPr>
            </w:pPr>
          </w:p>
        </w:tc>
      </w:tr>
      <w:tr>
        <w:trPr>
          <w:trHeight w:val="121"/>
        </w:trPr>
        <w:tc>
          <w:tcPr>
            <w:tcW w:w="364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Net income (loss) attributable to EchoStar</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1"/>
                <w:szCs w:val="11"/>
                <w:color w:val="auto"/>
              </w:rPr>
              <w:t>(119,546)</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ind w:left="560"/>
              <w:spacing w:after="0" w:line="121"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1"/>
                <w:szCs w:val="11"/>
                <w:color w:val="auto"/>
              </w:rPr>
              <w:t>(119,546)</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3"/>
        </w:trPr>
        <w:tc>
          <w:tcPr>
            <w:tcW w:w="3640" w:type="dxa"/>
            <w:vAlign w:val="bottom"/>
          </w:tcPr>
          <w:p>
            <w:pPr>
              <w:spacing w:after="0" w:line="113" w:lineRule="exact"/>
              <w:rPr>
                <w:sz w:val="20"/>
                <w:szCs w:val="20"/>
                <w:color w:val="auto"/>
              </w:rPr>
            </w:pPr>
            <w:r>
              <w:rPr>
                <w:rFonts w:ascii="Arial" w:cs="Arial" w:eastAsia="Arial" w:hAnsi="Arial"/>
                <w:sz w:val="11"/>
                <w:szCs w:val="11"/>
                <w:b w:val="1"/>
                <w:bCs w:val="1"/>
                <w:color w:val="auto"/>
              </w:rPr>
              <w:t>Balance, December 31, 2024</w:t>
            </w:r>
          </w:p>
        </w:tc>
        <w:tc>
          <w:tcPr>
            <w:tcW w:w="100" w:type="dxa"/>
            <w:vAlign w:val="bottom"/>
            <w:tcBorders>
              <w:top w:val="single" w:sz="8" w:color="auto"/>
              <w:bottom w:val="single" w:sz="8" w:color="auto"/>
            </w:tcBorders>
          </w:tcPr>
          <w:p>
            <w:pPr>
              <w:ind w:left="20"/>
              <w:spacing w:after="0" w:line="113" w:lineRule="exact"/>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286</w:t>
            </w:r>
          </w:p>
        </w:tc>
        <w:tc>
          <w:tcPr>
            <w:tcW w:w="140" w:type="dxa"/>
            <w:vAlign w:val="bottom"/>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8,768,360</w:t>
            </w:r>
          </w:p>
        </w:tc>
        <w:tc>
          <w:tcPr>
            <w:tcW w:w="14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line="114" w:lineRule="exact"/>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(195,711)</w:t>
            </w:r>
          </w:p>
        </w:tc>
        <w:tc>
          <w:tcPr>
            <w:tcW w:w="120" w:type="dxa"/>
            <w:vAlign w:val="bottom"/>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$ 11,618,437</w:t>
            </w:r>
          </w:p>
        </w:tc>
        <w:tc>
          <w:tcPr>
            <w:tcW w:w="12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line="113" w:lineRule="exact"/>
              <w:rPr>
                <w:sz w:val="20"/>
                <w:szCs w:val="20"/>
                <w:color w:val="auto"/>
              </w:rPr>
            </w:pPr>
            <w:r>
              <w:rPr>
                <w:rFonts w:ascii="Arial" w:cs="Arial" w:eastAsia="Arial" w:hAnsi="Arial"/>
                <w:sz w:val="11"/>
                <w:szCs w:val="11"/>
                <w:color w:val="auto"/>
              </w:rPr>
              <w:t>$</w:t>
            </w:r>
          </w:p>
        </w:tc>
        <w:tc>
          <w:tcPr>
            <w:tcW w:w="840" w:type="dxa"/>
            <w:vAlign w:val="bottom"/>
            <w:tcBorders>
              <w:top w:val="single" w:sz="8" w:color="auto"/>
              <w:bottom w:val="single" w:sz="8" w:color="auto"/>
            </w:tcBorders>
          </w:tcPr>
          <w:p>
            <w:pPr>
              <w:ind w:left="560"/>
              <w:spacing w:after="0" w:line="113" w:lineRule="exact"/>
              <w:rPr>
                <w:sz w:val="20"/>
                <w:szCs w:val="20"/>
                <w:color w:val="auto"/>
              </w:rPr>
            </w:pPr>
            <w:r>
              <w:rPr>
                <w:rFonts w:ascii="Arial" w:cs="Arial" w:eastAsia="Arial" w:hAnsi="Arial"/>
                <w:sz w:val="11"/>
                <w:szCs w:val="11"/>
                <w:color w:val="auto"/>
              </w:rPr>
              <w:t>— $</w:t>
            </w:r>
          </w:p>
        </w:tc>
        <w:tc>
          <w:tcPr>
            <w:tcW w:w="6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53,853</w:t>
            </w:r>
          </w:p>
        </w:tc>
        <w:tc>
          <w:tcPr>
            <w:tcW w:w="120" w:type="dxa"/>
            <w:vAlign w:val="bottom"/>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20,245,225</w:t>
            </w:r>
          </w:p>
        </w:tc>
        <w:tc>
          <w:tcPr>
            <w:tcW w:w="14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line="114"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34480" cy="920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7">
                      <a:extLst>
                        <a:ext uri="{28A0092B-C50C-407E-A947-70E740481C1C}"/>
                      </a:extLst>
                    </a:blip>
                    <a:srcRect/>
                    <a:stretch>
                      <a:fillRect/>
                    </a:stretch>
                  </pic:blipFill>
                  <pic:spPr bwMode="auto">
                    <a:xfrm>
                      <a:off x="0" y="0"/>
                      <a:ext cx="6634480" cy="92075"/>
                    </a:xfrm>
                    <a:prstGeom prst="rect">
                      <a:avLst/>
                    </a:prstGeom>
                    <a:noFill/>
                  </pic:spPr>
                </pic:pic>
              </a:graphicData>
            </a:graphic>
          </wp:anchor>
        </w:drawing>
      </w:r>
    </w:p>
    <w:p>
      <w:pPr>
        <w:spacing w:after="0" w:line="84"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6009005" cy="22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48">
                      <a:extLst>
                        <a:ext uri="{28A0092B-C50C-407E-A947-70E740481C1C}"/>
                      </a:extLst>
                    </a:blip>
                    <a:srcRect/>
                    <a:stretch>
                      <a:fillRect/>
                    </a:stretch>
                  </pic:blipFill>
                  <pic:spPr bwMode="auto">
                    <a:xfrm>
                      <a:off x="0" y="0"/>
                      <a:ext cx="6009005" cy="22860"/>
                    </a:xfrm>
                    <a:prstGeom prst="rect">
                      <a:avLst/>
                    </a:prstGeom>
                    <a:noFill/>
                  </pic:spPr>
                </pic:pic>
              </a:graphicData>
            </a:graphic>
          </wp:anchor>
        </w:drawing>
      </w:r>
    </w:p>
    <w:p>
      <w:pPr>
        <w:sectPr>
          <w:pgSz w:w="11900" w:h="16838" w:orient="portrait"/>
          <w:cols w:equalWidth="0" w:num="1">
            <w:col w:w="10440"/>
          </w:cols>
          <w:pgMar w:left="1220" w:top="474" w:right="239" w:bottom="1440" w:gutter="0" w:footer="0" w:header="0"/>
        </w:sectPr>
      </w:pPr>
    </w:p>
    <w:bookmarkStart w:id="129" w:name="page130"/>
    <w:bookmarkEnd w:id="12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jc w:val="center"/>
        <w:ind w:right="19"/>
        <w:spacing w:after="0"/>
        <w:rPr>
          <w:sz w:val="20"/>
          <w:szCs w:val="20"/>
          <w:color w:val="auto"/>
        </w:rPr>
      </w:pPr>
      <w:r>
        <w:rPr>
          <w:rFonts w:ascii="Arial" w:cs="Arial" w:eastAsia="Arial" w:hAnsi="Arial"/>
          <w:sz w:val="16"/>
          <w:szCs w:val="16"/>
          <w:color w:val="auto"/>
        </w:rPr>
        <w:t>(In thousands)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5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rPr>
              <w:t>For the Years Ended December 31,</w:t>
            </w: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9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44"/>
              <w:spacing w:after="0" w:line="121" w:lineRule="exact"/>
              <w:rPr>
                <w:sz w:val="20"/>
                <w:szCs w:val="20"/>
                <w:color w:val="auto"/>
              </w:rPr>
            </w:pPr>
            <w:r>
              <w:rPr>
                <w:rFonts w:ascii="Arial" w:cs="Arial" w:eastAsia="Arial" w:hAnsi="Arial"/>
                <w:sz w:val="11"/>
                <w:szCs w:val="11"/>
                <w:b w:val="1"/>
                <w:bCs w:val="1"/>
                <w:color w:val="auto"/>
              </w:rPr>
              <w:t>2024</w:t>
            </w:r>
          </w:p>
        </w:tc>
        <w:tc>
          <w:tcPr>
            <w:tcW w:w="2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44"/>
              <w:spacing w:after="0" w:line="121" w:lineRule="exact"/>
              <w:rPr>
                <w:sz w:val="20"/>
                <w:szCs w:val="20"/>
                <w:color w:val="auto"/>
              </w:rPr>
            </w:pPr>
            <w:r>
              <w:rPr>
                <w:rFonts w:ascii="Arial" w:cs="Arial" w:eastAsia="Arial" w:hAnsi="Arial"/>
                <w:sz w:val="11"/>
                <w:szCs w:val="11"/>
                <w:b w:val="1"/>
                <w:bCs w:val="1"/>
                <w:color w:val="auto"/>
              </w:rPr>
              <w:t>2023</w:t>
            </w:r>
          </w:p>
        </w:tc>
        <w:tc>
          <w:tcPr>
            <w:tcW w:w="2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64"/>
              <w:spacing w:after="0" w:line="121" w:lineRule="exact"/>
              <w:rPr>
                <w:sz w:val="20"/>
                <w:szCs w:val="20"/>
                <w:color w:val="auto"/>
              </w:rPr>
            </w:pPr>
            <w:r>
              <w:rPr>
                <w:rFonts w:ascii="Arial" w:cs="Arial" w:eastAsia="Arial" w:hAnsi="Arial"/>
                <w:sz w:val="11"/>
                <w:szCs w:val="11"/>
                <w:b w:val="1"/>
                <w:bCs w:val="1"/>
                <w:color w:val="auto"/>
                <w:w w:val="97"/>
              </w:rPr>
              <w:t>2022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900" w:type="dxa"/>
            <w:vAlign w:val="bottom"/>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Cash Flows From Operating Activities:</w:t>
            </w: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Net income (loss)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(124,515)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(1,634,824)</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2,536,892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i w:val="1"/>
                <w:iCs w:val="1"/>
                <w:color w:val="auto"/>
              </w:rPr>
              <w:t>Adjustments to reconcile net income (loss) to net cash flows from operating activities:</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Depreciation and amortization</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1,930,193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1,597,923</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1,174,895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Impairment of long-lived assets and goodwill</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761,099</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Realized and unrealized losses (gains) on investments, impairments and other</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73,217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(46,888)</w:t>
            </w: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(72,371)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Realized and unrealized losses (gains) on derivatives</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1,693,387</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9"/>
              </w:rPr>
              <w:t>(1,015,387)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Liberty Puerto Rico Asset Sale losses (gains) (Note 15)</w:t>
            </w:r>
          </w:p>
        </w:tc>
        <w:tc>
          <w:tcPr>
            <w:tcW w:w="180" w:type="dxa"/>
            <w:vAlign w:val="bottom"/>
          </w:tcPr>
          <w:p>
            <w:pPr>
              <w:spacing w:after="0"/>
              <w:rPr>
                <w:sz w:val="10"/>
                <w:szCs w:val="10"/>
                <w:color w:val="auto"/>
              </w:rPr>
            </w:pPr>
          </w:p>
        </w:tc>
        <w:tc>
          <w:tcPr>
            <w:tcW w:w="88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(50,418)</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EchoStar Exchange Offers debt extinguishment losses (gains) (Note 10)</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(688,661)</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Non-cash, stock-based compensation</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36,383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51,514</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82,994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Deferred tax expense (benefit)</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28,281</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(337,222)</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729,587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Equity in (earnings) losses of affiliates</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73,451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8,099</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3,087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Changes in allowance for credit losses</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8,238</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14,600</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6,590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Change in long-term deferred revenue and other long-term liabilities</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12,555</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15,825</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83,453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Other, net</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183,775</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158,284</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250,697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Changes in current assets and current liabilities:</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ind w:left="200"/>
              <w:spacing w:after="0" w:line="121" w:lineRule="exact"/>
              <w:rPr>
                <w:sz w:val="20"/>
                <w:szCs w:val="20"/>
                <w:color w:val="auto"/>
              </w:rPr>
            </w:pPr>
            <w:r>
              <w:rPr>
                <w:rFonts w:ascii="Arial" w:cs="Arial" w:eastAsia="Arial" w:hAnsi="Arial"/>
                <w:sz w:val="11"/>
                <w:szCs w:val="11"/>
                <w:color w:val="auto"/>
              </w:rPr>
              <w:t>Trade accounts receivable</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(171,365)</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20,622</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(74,812)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ind w:left="200"/>
              <w:spacing w:after="0" w:line="121" w:lineRule="exact"/>
              <w:rPr>
                <w:sz w:val="20"/>
                <w:szCs w:val="20"/>
                <w:color w:val="auto"/>
              </w:rPr>
            </w:pPr>
            <w:r>
              <w:rPr>
                <w:rFonts w:ascii="Arial" w:cs="Arial" w:eastAsia="Arial" w:hAnsi="Arial"/>
                <w:sz w:val="11"/>
                <w:szCs w:val="11"/>
                <w:color w:val="auto"/>
              </w:rPr>
              <w:t>Prepaid and accrued income taxes</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43,430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15,836</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(36,115)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ind w:left="200"/>
              <w:spacing w:after="0" w:line="121" w:lineRule="exact"/>
              <w:rPr>
                <w:sz w:val="20"/>
                <w:szCs w:val="20"/>
                <w:color w:val="auto"/>
              </w:rPr>
            </w:pPr>
            <w:r>
              <w:rPr>
                <w:rFonts w:ascii="Arial" w:cs="Arial" w:eastAsia="Arial" w:hAnsi="Arial"/>
                <w:sz w:val="11"/>
                <w:szCs w:val="11"/>
                <w:color w:val="auto"/>
              </w:rPr>
              <w:t>Inventory</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189,648</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(37,981)</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16,200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ind w:left="200"/>
              <w:spacing w:after="0" w:line="121" w:lineRule="exact"/>
              <w:rPr>
                <w:sz w:val="20"/>
                <w:szCs w:val="20"/>
                <w:color w:val="auto"/>
              </w:rPr>
            </w:pPr>
            <w:r>
              <w:rPr>
                <w:rFonts w:ascii="Arial" w:cs="Arial" w:eastAsia="Arial" w:hAnsi="Arial"/>
                <w:sz w:val="11"/>
                <w:szCs w:val="11"/>
                <w:color w:val="auto"/>
              </w:rPr>
              <w:t>Other current assets</w:t>
            </w:r>
          </w:p>
        </w:tc>
        <w:tc>
          <w:tcPr>
            <w:tcW w:w="180" w:type="dxa"/>
            <w:vAlign w:val="bottom"/>
          </w:tcPr>
          <w:p>
            <w:pPr>
              <w:spacing w:after="0"/>
              <w:rPr>
                <w:sz w:val="10"/>
                <w:szCs w:val="10"/>
                <w:color w:val="auto"/>
              </w:rPr>
            </w:pPr>
          </w:p>
        </w:tc>
        <w:tc>
          <w:tcPr>
            <w:tcW w:w="88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(54,039)</w:t>
            </w:r>
          </w:p>
        </w:tc>
        <w:tc>
          <w:tcPr>
            <w:tcW w:w="180" w:type="dxa"/>
            <w:vAlign w:val="bottom"/>
          </w:tcPr>
          <w:p>
            <w:pPr>
              <w:spacing w:after="0"/>
              <w:rPr>
                <w:sz w:val="10"/>
                <w:szCs w:val="10"/>
                <w:color w:val="auto"/>
              </w:rPr>
            </w:pPr>
          </w:p>
        </w:tc>
        <w:tc>
          <w:tcPr>
            <w:tcW w:w="88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(40,290)</w:t>
            </w: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21,737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ind w:left="200"/>
              <w:spacing w:after="0" w:line="121" w:lineRule="exact"/>
              <w:rPr>
                <w:sz w:val="20"/>
                <w:szCs w:val="20"/>
                <w:color w:val="auto"/>
              </w:rPr>
            </w:pPr>
            <w:r>
              <w:rPr>
                <w:rFonts w:ascii="Arial" w:cs="Arial" w:eastAsia="Arial" w:hAnsi="Arial"/>
                <w:sz w:val="11"/>
                <w:szCs w:val="11"/>
                <w:color w:val="auto"/>
              </w:rPr>
              <w:t>Trade accounts payable</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108,982</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4,108</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90,721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ind w:left="200"/>
              <w:spacing w:after="0" w:line="121" w:lineRule="exact"/>
              <w:rPr>
                <w:sz w:val="20"/>
                <w:szCs w:val="20"/>
                <w:color w:val="auto"/>
              </w:rPr>
            </w:pPr>
            <w:r>
              <w:rPr>
                <w:rFonts w:ascii="Arial" w:cs="Arial" w:eastAsia="Arial" w:hAnsi="Arial"/>
                <w:sz w:val="11"/>
                <w:szCs w:val="11"/>
                <w:color w:val="auto"/>
              </w:rPr>
              <w:t>Deferred revenue and other</w:t>
            </w:r>
          </w:p>
        </w:tc>
        <w:tc>
          <w:tcPr>
            <w:tcW w:w="180" w:type="dxa"/>
            <w:vAlign w:val="bottom"/>
          </w:tcPr>
          <w:p>
            <w:pPr>
              <w:spacing w:after="0"/>
              <w:rPr>
                <w:sz w:val="10"/>
                <w:szCs w:val="10"/>
                <w:color w:val="auto"/>
              </w:rPr>
            </w:pPr>
          </w:p>
        </w:tc>
        <w:tc>
          <w:tcPr>
            <w:tcW w:w="88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(103,718)</w:t>
            </w:r>
          </w:p>
        </w:tc>
        <w:tc>
          <w:tcPr>
            <w:tcW w:w="180" w:type="dxa"/>
            <w:vAlign w:val="bottom"/>
          </w:tcPr>
          <w:p>
            <w:pPr>
              <w:spacing w:after="0"/>
              <w:rPr>
                <w:sz w:val="10"/>
                <w:szCs w:val="10"/>
                <w:color w:val="auto"/>
              </w:rPr>
            </w:pPr>
          </w:p>
        </w:tc>
        <w:tc>
          <w:tcPr>
            <w:tcW w:w="88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(78,555)</w:t>
            </w: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(71,709)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ind w:left="200"/>
              <w:spacing w:after="0" w:line="121" w:lineRule="exact"/>
              <w:rPr>
                <w:sz w:val="20"/>
                <w:szCs w:val="20"/>
                <w:color w:val="auto"/>
              </w:rPr>
            </w:pPr>
            <w:r>
              <w:rPr>
                <w:rFonts w:ascii="Arial" w:cs="Arial" w:eastAsia="Arial" w:hAnsi="Arial"/>
                <w:sz w:val="11"/>
                <w:szCs w:val="11"/>
                <w:color w:val="auto"/>
              </w:rPr>
              <w:t>Accrued programming and other accrued expenses</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(242,740)</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267,110</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(105,980)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900" w:type="dxa"/>
            <w:vAlign w:val="bottom"/>
            <w:tcBorders>
              <w:bottom w:val="single" w:sz="8" w:color="CCEEFF"/>
            </w:tcBorders>
          </w:tcPr>
          <w:p>
            <w:pPr>
              <w:spacing w:after="0" w:line="113" w:lineRule="exact"/>
              <w:rPr>
                <w:sz w:val="20"/>
                <w:szCs w:val="20"/>
                <w:color w:val="auto"/>
              </w:rPr>
            </w:pPr>
            <w:r>
              <w:rPr>
                <w:rFonts w:ascii="Arial" w:cs="Arial" w:eastAsia="Arial" w:hAnsi="Arial"/>
                <w:sz w:val="11"/>
                <w:szCs w:val="11"/>
                <w:b w:val="1"/>
                <w:bCs w:val="1"/>
                <w:color w:val="auto"/>
              </w:rPr>
              <w:t>Net cash flows from operating activities</w:t>
            </w:r>
          </w:p>
        </w:tc>
        <w:tc>
          <w:tcPr>
            <w:tcW w:w="18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1,252,697</w:t>
            </w:r>
          </w:p>
        </w:tc>
        <w:tc>
          <w:tcPr>
            <w:tcW w:w="200" w:type="dxa"/>
            <w:vAlign w:val="bottom"/>
            <w:tcBorders>
              <w:bottom w:val="single" w:sz="8" w:color="CCEEFF"/>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2,432,647</w:t>
            </w:r>
          </w:p>
        </w:tc>
        <w:tc>
          <w:tcPr>
            <w:tcW w:w="200" w:type="dxa"/>
            <w:vAlign w:val="bottom"/>
            <w:tcBorders>
              <w:bottom w:val="single" w:sz="8" w:color="CCEEFF"/>
            </w:tcBorders>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3,621,190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9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b w:val="1"/>
                <w:bCs w:val="1"/>
                <w:color w:val="auto"/>
              </w:rPr>
              <w:t>Cash Flows From Investing Activities:</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Purchases of marketable investment securities</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(1,253,543)</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(2,407,546)</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9"/>
              </w:rPr>
              <w:t>(1,965,859)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Sales and maturities of marketable investment securities</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573,031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3,710,544</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4,159,830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Purchases of property and equipment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(1,544,877)</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(3,100,921)</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9"/>
              </w:rPr>
              <w:t>(3,050,472)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Refunds and other receipts of purchases of property and equipment</w:t>
            </w:r>
          </w:p>
        </w:tc>
        <w:tc>
          <w:tcPr>
            <w:tcW w:w="180" w:type="dxa"/>
            <w:vAlign w:val="bottom"/>
          </w:tcPr>
          <w:p>
            <w:pPr>
              <w:spacing w:after="0"/>
              <w:rPr>
                <w:sz w:val="10"/>
                <w:szCs w:val="10"/>
                <w:color w:val="auto"/>
              </w:rPr>
            </w:pPr>
          </w:p>
        </w:tc>
        <w:tc>
          <w:tcPr>
            <w:tcW w:w="880" w:type="dxa"/>
            <w:vAlign w:val="bottom"/>
            <w:gridSpan w:val="2"/>
          </w:tcPr>
          <w:p>
            <w:pPr>
              <w:jc w:val="right"/>
              <w:ind w:right="24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38,611</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Capitalized interest related to regulatory authorizations (Note 2)</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(951,747)</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(1,162,473)</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(984,309)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Proceeds from other debt investments</w:t>
            </w:r>
          </w:p>
        </w:tc>
        <w:tc>
          <w:tcPr>
            <w:tcW w:w="180" w:type="dxa"/>
            <w:vAlign w:val="bottom"/>
          </w:tcPr>
          <w:p>
            <w:pPr>
              <w:spacing w:after="0"/>
              <w:rPr>
                <w:sz w:val="10"/>
                <w:szCs w:val="10"/>
                <w:color w:val="auto"/>
              </w:rPr>
            </w:pPr>
          </w:p>
        </w:tc>
        <w:tc>
          <w:tcPr>
            <w:tcW w:w="880" w:type="dxa"/>
            <w:vAlign w:val="bottom"/>
            <w:gridSpan w:val="2"/>
          </w:tcPr>
          <w:p>
            <w:pPr>
              <w:jc w:val="right"/>
              <w:ind w:right="24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148,448</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Purchases of regulatory authorizations, including deposits</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(1,104)</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(2,009)</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9"/>
              </w:rPr>
              <w:t>(7,206,865)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Sale of assets to CONX (Note 18)</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26,719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Liberty Puerto Rico Asset Sale (Note 15)</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95,435</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Other, net</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7,736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(33,386)</w:t>
            </w: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(11,900)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90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Net cash flows from investing activities</w:t>
            </w: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(3,048,350)</w:t>
            </w:r>
          </w:p>
        </w:tc>
        <w:tc>
          <w:tcPr>
            <w:tcW w:w="2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(2,808,732)</w:t>
            </w:r>
          </w:p>
        </w:tc>
        <w:tc>
          <w:tcPr>
            <w:tcW w:w="2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bottom w:val="single" w:sz="8" w:color="auto"/>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9"/>
              </w:rPr>
              <w:t>(9,059,575)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Cash Flows From Financing Activities:</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Repayment of long-term debt, finance lease and other obligations</w:t>
            </w:r>
          </w:p>
        </w:tc>
        <w:tc>
          <w:tcPr>
            <w:tcW w:w="180" w:type="dxa"/>
            <w:vAlign w:val="bottom"/>
          </w:tcPr>
          <w:p>
            <w:pPr>
              <w:spacing w:after="0"/>
              <w:rPr>
                <w:sz w:val="10"/>
                <w:szCs w:val="10"/>
                <w:color w:val="auto"/>
              </w:rPr>
            </w:pPr>
          </w:p>
        </w:tc>
        <w:tc>
          <w:tcPr>
            <w:tcW w:w="88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(108,961)</w:t>
            </w:r>
          </w:p>
        </w:tc>
        <w:tc>
          <w:tcPr>
            <w:tcW w:w="180" w:type="dxa"/>
            <w:vAlign w:val="bottom"/>
          </w:tcPr>
          <w:p>
            <w:pPr>
              <w:spacing w:after="0"/>
              <w:rPr>
                <w:sz w:val="10"/>
                <w:szCs w:val="10"/>
                <w:color w:val="auto"/>
              </w:rPr>
            </w:pPr>
          </w:p>
        </w:tc>
        <w:tc>
          <w:tcPr>
            <w:tcW w:w="88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(121,981)</w:t>
            </w: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(86,229)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Redemption and repurchases of convertible and senior notes</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(2,933,714)</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(1,643,469)</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9"/>
              </w:rPr>
              <w:t>(2,056,821)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Proceeds from issuance of convertible and senior notes</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5,386,000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1,500,000</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2,000,000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Debt issuance costs and debt (discount) premium</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(182,279)</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21,635</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(51,121)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Proceeds from issuance of PIPE Shares (Note 3)</w:t>
            </w:r>
          </w:p>
        </w:tc>
        <w:tc>
          <w:tcPr>
            <w:tcW w:w="18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Arial" w:cs="Arial" w:eastAsia="Arial" w:hAnsi="Arial"/>
                <w:sz w:val="11"/>
                <w:szCs w:val="11"/>
                <w:color w:val="auto"/>
              </w:rPr>
              <w:t>400,000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Proceeds from New DISH DBS Financing (Note 10)</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2,500,000</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Debt issuance costs and debt (discount) premium from New DISH DBS Financing</w:t>
            </w:r>
          </w:p>
        </w:tc>
        <w:tc>
          <w:tcPr>
            <w:tcW w:w="180" w:type="dxa"/>
            <w:vAlign w:val="bottom"/>
          </w:tcPr>
          <w:p>
            <w:pPr>
              <w:spacing w:after="0"/>
              <w:rPr>
                <w:sz w:val="10"/>
                <w:szCs w:val="10"/>
                <w:color w:val="auto"/>
              </w:rPr>
            </w:pPr>
          </w:p>
        </w:tc>
        <w:tc>
          <w:tcPr>
            <w:tcW w:w="88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(134,510)</w:t>
            </w:r>
          </w:p>
        </w:tc>
        <w:tc>
          <w:tcPr>
            <w:tcW w:w="180" w:type="dxa"/>
            <w:vAlign w:val="bottom"/>
          </w:tcPr>
          <w:p>
            <w:pPr>
              <w:spacing w:after="0"/>
              <w:rPr>
                <w:sz w:val="10"/>
                <w:szCs w:val="10"/>
                <w:color w:val="auto"/>
              </w:rPr>
            </w:pPr>
          </w:p>
        </w:tc>
        <w:tc>
          <w:tcPr>
            <w:tcW w:w="880" w:type="dxa"/>
            <w:vAlign w:val="bottom"/>
            <w:gridSpan w:val="2"/>
          </w:tcPr>
          <w:p>
            <w:pPr>
              <w:jc w:val="right"/>
              <w:ind w:right="220"/>
              <w:spacing w:after="0" w:line="121"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Early debt extinguishment gains (losses) of convertible and senior notes</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73,024</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900" w:type="dxa"/>
            <w:vAlign w:val="bottom"/>
          </w:tcPr>
          <w:p>
            <w:pPr>
              <w:spacing w:after="0" w:line="106" w:lineRule="exact"/>
              <w:rPr>
                <w:sz w:val="20"/>
                <w:szCs w:val="20"/>
                <w:color w:val="auto"/>
              </w:rPr>
            </w:pPr>
            <w:r>
              <w:rPr>
                <w:rFonts w:ascii="Arial" w:cs="Arial" w:eastAsia="Arial" w:hAnsi="Arial"/>
                <w:sz w:val="11"/>
                <w:szCs w:val="11"/>
                <w:color w:val="auto"/>
              </w:rPr>
              <w:t>Net proceeds from Class A common stock options exercised and stock issued under the Employee Stock</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5900" w:type="dxa"/>
            <w:vAlign w:val="bottom"/>
          </w:tcPr>
          <w:p>
            <w:pPr>
              <w:spacing w:after="0"/>
              <w:rPr>
                <w:sz w:val="20"/>
                <w:szCs w:val="20"/>
                <w:color w:val="auto"/>
              </w:rPr>
            </w:pPr>
            <w:r>
              <w:rPr>
                <w:rFonts w:ascii="Arial" w:cs="Arial" w:eastAsia="Arial" w:hAnsi="Arial"/>
                <w:sz w:val="11"/>
                <w:szCs w:val="11"/>
                <w:color w:val="auto"/>
              </w:rPr>
              <w:t>Purchase Plan</w:t>
            </w: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4,192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10,598</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27,438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Purchase of SNR Management's ownership interest in SNR HoldCo</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(441,998)</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Purchase of Northstar Manager, LLC's ownership interest in Northstar Spectrum</w:t>
            </w:r>
          </w:p>
        </w:tc>
        <w:tc>
          <w:tcPr>
            <w:tcW w:w="180" w:type="dxa"/>
            <w:vAlign w:val="bottom"/>
          </w:tcPr>
          <w:p>
            <w:pPr>
              <w:spacing w:after="0"/>
              <w:rPr>
                <w:sz w:val="10"/>
                <w:szCs w:val="10"/>
                <w:color w:val="auto"/>
              </w:rPr>
            </w:pPr>
          </w:p>
        </w:tc>
        <w:tc>
          <w:tcPr>
            <w:tcW w:w="880" w:type="dxa"/>
            <w:vAlign w:val="bottom"/>
            <w:gridSpan w:val="2"/>
          </w:tcPr>
          <w:p>
            <w:pPr>
              <w:jc w:val="right"/>
              <w:ind w:right="240"/>
              <w:spacing w:after="0" w:line="121"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(109,432)</w:t>
            </w: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Treasury share repurchase</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(89,303)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line="121" w:lineRule="exact"/>
              <w:rPr>
                <w:sz w:val="20"/>
                <w:szCs w:val="20"/>
                <w:color w:val="auto"/>
              </w:rPr>
            </w:pPr>
            <w:r>
              <w:rPr>
                <w:rFonts w:ascii="Arial" w:cs="Arial" w:eastAsia="Arial" w:hAnsi="Arial"/>
                <w:sz w:val="11"/>
                <w:szCs w:val="11"/>
                <w:color w:val="auto"/>
              </w:rPr>
              <w:t>Other, net</w:t>
            </w:r>
          </w:p>
        </w:tc>
        <w:tc>
          <w:tcPr>
            <w:tcW w:w="180" w:type="dxa"/>
            <w:vAlign w:val="bottom"/>
          </w:tcPr>
          <w:p>
            <w:pPr>
              <w:spacing w:after="0"/>
              <w:rPr>
                <w:sz w:val="10"/>
                <w:szCs w:val="10"/>
                <w:color w:val="auto"/>
              </w:rPr>
            </w:pPr>
          </w:p>
        </w:tc>
        <w:tc>
          <w:tcPr>
            <w:tcW w:w="880" w:type="dxa"/>
            <w:vAlign w:val="bottom"/>
            <w:gridSpan w:val="2"/>
          </w:tcPr>
          <w:p>
            <w:pPr>
              <w:jc w:val="right"/>
              <w:ind w:right="200"/>
              <w:spacing w:after="0" w:line="121" w:lineRule="exact"/>
              <w:rPr>
                <w:sz w:val="20"/>
                <w:szCs w:val="20"/>
                <w:color w:val="auto"/>
              </w:rPr>
            </w:pPr>
            <w:r>
              <w:rPr>
                <w:rFonts w:ascii="Arial" w:cs="Arial" w:eastAsia="Arial" w:hAnsi="Arial"/>
                <w:sz w:val="11"/>
                <w:szCs w:val="11"/>
                <w:color w:val="auto"/>
              </w:rPr>
              <w:t>(5,153)</w:t>
            </w:r>
          </w:p>
        </w:tc>
        <w:tc>
          <w:tcPr>
            <w:tcW w:w="180" w:type="dxa"/>
            <w:vAlign w:val="bottom"/>
          </w:tcPr>
          <w:p>
            <w:pPr>
              <w:spacing w:after="0"/>
              <w:rPr>
                <w:sz w:val="10"/>
                <w:szCs w:val="10"/>
                <w:color w:val="auto"/>
              </w:rPr>
            </w:pPr>
          </w:p>
        </w:tc>
        <w:tc>
          <w:tcPr>
            <w:tcW w:w="88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(7,496)</w:t>
            </w:r>
          </w:p>
        </w:tc>
        <w:tc>
          <w:tcPr>
            <w:tcW w:w="3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(18,413)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90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Net cash flows from financing activities</w:t>
            </w: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4,483,577</w:t>
            </w:r>
          </w:p>
        </w:tc>
        <w:tc>
          <w:tcPr>
            <w:tcW w:w="2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(277,121)</w:t>
            </w:r>
          </w:p>
        </w:tc>
        <w:tc>
          <w:tcPr>
            <w:tcW w:w="2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bottom w:val="single" w:sz="8" w:color="auto"/>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(274,449)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Effect of exchange rates on cash and cash equivalents</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1"/>
                <w:szCs w:val="11"/>
                <w:color w:val="auto"/>
              </w:rPr>
              <w:t>(5,721)</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3,004</w:t>
            </w: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(2,306)</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Net increase (decrease) in cash, cash equivalents, restricted cash and cash equivalents</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2,682,203</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(650,202)</w:t>
            </w: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9"/>
              </w:rPr>
              <w:t>(5,715,140)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00" w:type="dxa"/>
            <w:vAlign w:val="bottom"/>
            <w:tcBorders>
              <w:bottom w:val="single" w:sz="8" w:color="CCEEFF"/>
            </w:tcBorders>
          </w:tcPr>
          <w:p>
            <w:pPr>
              <w:spacing w:after="0" w:line="121" w:lineRule="exact"/>
              <w:rPr>
                <w:sz w:val="20"/>
                <w:szCs w:val="20"/>
                <w:color w:val="auto"/>
              </w:rPr>
            </w:pPr>
            <w:r>
              <w:rPr>
                <w:rFonts w:ascii="Arial" w:cs="Arial" w:eastAsia="Arial" w:hAnsi="Arial"/>
                <w:sz w:val="11"/>
                <w:szCs w:val="11"/>
                <w:color w:val="auto"/>
              </w:rPr>
              <w:t>Cash, cash equivalents, restricted cash and cash equivalents, beginning of period (Note 6)</w:t>
            </w: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1,911,601</w:t>
            </w:r>
          </w:p>
        </w:tc>
        <w:tc>
          <w:tcPr>
            <w:tcW w:w="2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2,561,803</w:t>
            </w:r>
          </w:p>
        </w:tc>
        <w:tc>
          <w:tcPr>
            <w:tcW w:w="20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8,276,943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900" w:type="dxa"/>
            <w:vAlign w:val="bottom"/>
            <w:tcBorders>
              <w:bottom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Cash, cash equivalents, restricted cash and cash equivalents, end of period (Note 6)</w:t>
            </w:r>
          </w:p>
        </w:tc>
        <w:tc>
          <w:tcPr>
            <w:tcW w:w="180" w:type="dxa"/>
            <w:vAlign w:val="bottom"/>
            <w:tcBorders>
              <w:bottom w:val="single" w:sz="8" w:color="auto"/>
            </w:tcBorders>
            <w:shd w:val="clear" w:color="auto" w:fill="CCEEFF"/>
          </w:tcPr>
          <w:p>
            <w:pPr>
              <w:jc w:val="right"/>
              <w:ind w:right="69"/>
              <w:spacing w:after="0" w:line="114" w:lineRule="exact"/>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4,593,804</w:t>
            </w:r>
          </w:p>
        </w:tc>
        <w:tc>
          <w:tcPr>
            <w:tcW w:w="2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69"/>
              <w:spacing w:after="0" w:line="114" w:lineRule="exact"/>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1,911,601</w:t>
            </w:r>
          </w:p>
        </w:tc>
        <w:tc>
          <w:tcPr>
            <w:tcW w:w="200" w:type="dxa"/>
            <w:vAlign w:val="bottom"/>
            <w:tcBorders>
              <w:bottom w:val="single" w:sz="8" w:color="CCEEFF"/>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jc w:val="right"/>
              <w:ind w:right="209"/>
              <w:spacing w:after="0" w:line="114" w:lineRule="exact"/>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2,561,803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49">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0" w:name="page131"/>
    <w:bookmarkEnd w:id="13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ECHOSTAR CORPORATION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  Organization and Business Activities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Principal Business</w:t>
      </w:r>
    </w:p>
    <w:p>
      <w:pPr>
        <w:spacing w:after="0" w:line="189" w:lineRule="exact"/>
        <w:rPr>
          <w:sz w:val="20"/>
          <w:szCs w:val="20"/>
          <w:color w:val="auto"/>
        </w:rPr>
      </w:pPr>
    </w:p>
    <w:p>
      <w:pPr>
        <w:ind w:left="40" w:right="119" w:hanging="6"/>
        <w:spacing w:after="0" w:line="244" w:lineRule="auto"/>
        <w:rPr>
          <w:sz w:val="20"/>
          <w:szCs w:val="20"/>
          <w:color w:val="auto"/>
        </w:rPr>
      </w:pPr>
      <w:r>
        <w:rPr>
          <w:rFonts w:ascii="Arial" w:cs="Arial" w:eastAsia="Arial" w:hAnsi="Arial"/>
          <w:sz w:val="16"/>
          <w:szCs w:val="16"/>
          <w:color w:val="auto"/>
        </w:rPr>
        <w:t>EchoStar Corporation is a premier provider of technology, networking services, television entertainment and connectivity, offering consumer, enterprise, operator and government solutions worldwide under its EchoStar®, Boost Mobile®, Sling TV ®, DISH® TV, Hughes®, HughesNet®, HughesON™ and JUPITER™ brands. EchoStar Corporation is a holding company that was organized in October 2007 as a corporation under the laws of the State of Nevada. Its subsidiaries (which together with EchoStar Corporation are referred to as “EchoStar,” the “Company,” “we,” “us” and/or “our,” unless otherwise required by the context) currently operate three primary business segments.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Merger with DISH Network</w:t>
      </w:r>
    </w:p>
    <w:p>
      <w:pPr>
        <w:spacing w:after="0" w:line="177" w:lineRule="exact"/>
        <w:rPr>
          <w:sz w:val="20"/>
          <w:szCs w:val="20"/>
          <w:color w:val="auto"/>
        </w:rPr>
      </w:pPr>
    </w:p>
    <w:p>
      <w:pPr>
        <w:ind w:left="40" w:right="159" w:hanging="6"/>
        <w:spacing w:after="0" w:line="244" w:lineRule="auto"/>
        <w:rPr>
          <w:sz w:val="20"/>
          <w:szCs w:val="20"/>
          <w:color w:val="auto"/>
        </w:rPr>
      </w:pPr>
      <w:r>
        <w:rPr>
          <w:rFonts w:ascii="Arial" w:cs="Arial" w:eastAsia="Arial" w:hAnsi="Arial"/>
          <w:sz w:val="16"/>
          <w:szCs w:val="16"/>
          <w:color w:val="auto"/>
        </w:rPr>
        <w:t>On December 31, 2023, we completed the acquisition of DISH Network pursuant to the Amended and Restated Agreement and Plan of Merger, dated as of October 2, 2023 (the “Amended Merger Agreement”), by and among us, EAV Corp., a Nevada corporation and our wholly owned subsidiary (“Merger Sub”), and DISH Network, pursuant to which we acquired DISH Network by means of the merger of Merger Sub with and into DISH Network (the “Merger”), with DISH Network surviving the Merger as our wholly owned subsidiary. For further information, refer to the Consolidated Financial Statements and notes thereto included in our Annual Report on Form 10-K for the year ended December 31, 2023.</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Recent Developments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DIRECTV Transaction</w:t>
      </w:r>
    </w:p>
    <w:p>
      <w:pPr>
        <w:spacing w:after="0" w:line="177" w:lineRule="exact"/>
        <w:rPr>
          <w:sz w:val="20"/>
          <w:szCs w:val="20"/>
          <w:color w:val="auto"/>
        </w:rPr>
      </w:pPr>
    </w:p>
    <w:p>
      <w:pPr>
        <w:ind w:left="40" w:right="259"/>
        <w:spacing w:after="0" w:line="249" w:lineRule="auto"/>
        <w:rPr>
          <w:sz w:val="20"/>
          <w:szCs w:val="20"/>
          <w:color w:val="auto"/>
        </w:rPr>
      </w:pPr>
      <w:r>
        <w:rPr>
          <w:rFonts w:ascii="Arial" w:cs="Arial" w:eastAsia="Arial" w:hAnsi="Arial"/>
          <w:sz w:val="16"/>
          <w:szCs w:val="16"/>
          <w:color w:val="auto"/>
        </w:rPr>
        <w:t>On September 29, 2024, we and DIRECTV Holdings, LLC (“DTV”), entered into an Equity Purchase Agreement (the “Purchase Agreement”). Pursuant to the terms and subject to the conditions set forth in the Purchase Agreement, DTV agreed to acquire from us all of the issued and outstanding equity interests of DISH DBS Corporation (“DISH DBS”), which operates our Pay-TV business (the “Business” and such acquisition of the Business the “DIRECTV Transaction”).</w:t>
      </w:r>
    </w:p>
    <w:p>
      <w:pPr>
        <w:spacing w:after="0" w:line="144" w:lineRule="exact"/>
        <w:rPr>
          <w:sz w:val="20"/>
          <w:szCs w:val="20"/>
          <w:color w:val="auto"/>
        </w:rPr>
      </w:pPr>
    </w:p>
    <w:p>
      <w:pPr>
        <w:ind w:left="40" w:right="259"/>
        <w:spacing w:after="0" w:line="274" w:lineRule="auto"/>
        <w:rPr>
          <w:sz w:val="20"/>
          <w:szCs w:val="20"/>
          <w:color w:val="auto"/>
        </w:rPr>
      </w:pPr>
      <w:r>
        <w:rPr>
          <w:rFonts w:ascii="Arial" w:cs="Arial" w:eastAsia="Arial" w:hAnsi="Arial"/>
          <w:sz w:val="16"/>
          <w:szCs w:val="16"/>
          <w:color w:val="auto"/>
        </w:rPr>
        <w:t>Following written notice from DTV received on November 20, 2024, DTV terminated the Purchase Agreement effective at 11:59 pm ET on November 22, 2024 pursuant to Section 7.01(a)(iv) of the Purchase Agreement because the DISH DBS Exchange Offers (as defined in Note 10) were not consummated by the Exchange Offer Settlement Date (as defined in the Purchase Agreement). No termination fee or other payment was due from either party to the other as a result of the termination of the Purchase Agreement.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Financing Transactions</w:t>
      </w:r>
    </w:p>
    <w:p>
      <w:pPr>
        <w:spacing w:after="0" w:line="189"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color w:val="222222"/>
        </w:rPr>
        <w:t>During the third and fourth quarter of 2024, we completed several financing transactions, including, but not limited to: (i) $2.5 billion issuance of New DISH DBS Financing (defined in Note 10), which included $2.047 billion of funds used for the redemption of our 5 7/8% Senior Notes due November 15, 2024, (ii) $5.356 billion issuance of our 10 3/4% Senior Secured Notes due 2029 (the “EchoStar Senior Secured Notes due 2029”), (iii) $30 million issuance of our 3 7/8% Convertible Secured Notes due 2030 (the “Convertible Secured Notes”) and (iv) a PIPE Investment (defined in Note 3) for an aggregate cash purchase price of approximately $400 million.</w:t>
      </w:r>
    </w:p>
    <w:p>
      <w:pPr>
        <w:spacing w:after="0" w:line="148" w:lineRule="exact"/>
        <w:rPr>
          <w:sz w:val="20"/>
          <w:szCs w:val="20"/>
          <w:color w:val="auto"/>
        </w:rPr>
      </w:pPr>
    </w:p>
    <w:p>
      <w:pPr>
        <w:ind w:left="40" w:right="179"/>
        <w:spacing w:after="0"/>
        <w:rPr>
          <w:sz w:val="20"/>
          <w:szCs w:val="20"/>
          <w:color w:val="auto"/>
        </w:rPr>
      </w:pPr>
      <w:r>
        <w:rPr>
          <w:rFonts w:ascii="Arial" w:cs="Arial" w:eastAsia="Arial" w:hAnsi="Arial"/>
          <w:sz w:val="16"/>
          <w:szCs w:val="16"/>
          <w:color w:val="222222"/>
        </w:rPr>
        <w:t xml:space="preserve">In addition, </w:t>
      </w:r>
      <w:r>
        <w:rPr>
          <w:rFonts w:ascii="Arial" w:cs="Arial" w:eastAsia="Arial" w:hAnsi="Arial"/>
          <w:sz w:val="16"/>
          <w:szCs w:val="16"/>
          <w:color w:val="000000"/>
        </w:rPr>
        <w:t>as a result of the consummation of the EchoStar Exchange Offers, as detailed and defined in Note 10,</w:t>
      </w:r>
      <w:r>
        <w:rPr>
          <w:rFonts w:ascii="Arial" w:cs="Arial" w:eastAsia="Arial" w:hAnsi="Arial"/>
          <w:sz w:val="16"/>
          <w:szCs w:val="16"/>
          <w:color w:val="222222"/>
        </w:rPr>
        <w:t xml:space="preserve"> $1.819 billion aggregate principal amount of our </w:t>
      </w:r>
      <w:r>
        <w:rPr>
          <w:rFonts w:ascii="Arial" w:cs="Arial" w:eastAsia="Arial" w:hAnsi="Arial"/>
          <w:sz w:val="16"/>
          <w:szCs w:val="16"/>
          <w:color w:val="000000"/>
        </w:rPr>
        <w:t>0% Convertible Notes due 2025 and</w:t>
      </w:r>
      <w:r>
        <w:rPr>
          <w:rFonts w:ascii="Arial" w:cs="Arial" w:eastAsia="Arial" w:hAnsi="Arial"/>
          <w:sz w:val="16"/>
          <w:szCs w:val="16"/>
          <w:color w:val="222222"/>
        </w:rPr>
        <w:t xml:space="preserve"> $2.863 billion aggregate principal amount of our </w:t>
      </w:r>
      <w:r>
        <w:rPr>
          <w:rFonts w:ascii="Arial" w:cs="Arial" w:eastAsia="Arial" w:hAnsi="Arial"/>
          <w:sz w:val="16"/>
          <w:szCs w:val="16"/>
          <w:color w:val="000000"/>
        </w:rPr>
        <w:t>3 3/8% Convertible Notes due 2026</w:t>
      </w:r>
      <w:r>
        <w:rPr>
          <w:rFonts w:ascii="Arial" w:cs="Arial" w:eastAsia="Arial" w:hAnsi="Arial"/>
          <w:sz w:val="16"/>
          <w:szCs w:val="16"/>
          <w:color w:val="222222"/>
        </w:rPr>
        <w:t xml:space="preserve"> were exchanged for </w:t>
      </w:r>
      <w:r>
        <w:rPr>
          <w:rFonts w:ascii="Arial" w:cs="Arial" w:eastAsia="Arial" w:hAnsi="Arial"/>
          <w:sz w:val="16"/>
          <w:szCs w:val="16"/>
          <w:color w:val="000000"/>
        </w:rPr>
        <w:t>$1.876 billion aggregate principal amount of our 3 7/8%</w:t>
      </w:r>
      <w:r>
        <w:rPr>
          <w:rFonts w:ascii="Arial" w:cs="Arial" w:eastAsia="Arial" w:hAnsi="Arial"/>
          <w:sz w:val="16"/>
          <w:szCs w:val="16"/>
          <w:color w:val="222222"/>
        </w:rPr>
        <w:t xml:space="preserve"> </w:t>
      </w:r>
      <w:r>
        <w:rPr>
          <w:rFonts w:ascii="Arial" w:cs="Arial" w:eastAsia="Arial" w:hAnsi="Arial"/>
          <w:sz w:val="16"/>
          <w:szCs w:val="16"/>
          <w:color w:val="000000"/>
        </w:rPr>
        <w:t>Convertible Secured Notes due 2030 and $2.288 billion aggregate principal amount of our 6 3/4 % Senior Secured Notes due 2030 (the “EchoStar Senior Secured Notes due 2030” and together with the EchoStar Senior Secured Notes due 2029, the “EchoStar Senior Secured Notes”).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675005</wp:posOffset>
            </wp:positionV>
            <wp:extent cx="5671185" cy="228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0">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1" w:name="page132"/>
    <w:bookmarkEnd w:id="13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Segments</w:t>
      </w:r>
    </w:p>
    <w:p>
      <w:pPr>
        <w:spacing w:after="0" w:line="179" w:lineRule="exact"/>
        <w:rPr>
          <w:sz w:val="20"/>
          <w:szCs w:val="20"/>
          <w:color w:val="auto"/>
        </w:rPr>
      </w:pPr>
    </w:p>
    <w:p>
      <w:pPr>
        <w:jc w:val="both"/>
        <w:ind w:left="40" w:right="179"/>
        <w:spacing w:after="0" w:line="256" w:lineRule="auto"/>
        <w:rPr>
          <w:sz w:val="20"/>
          <w:szCs w:val="20"/>
          <w:color w:val="auto"/>
        </w:rPr>
      </w:pPr>
      <w:r>
        <w:rPr>
          <w:rFonts w:ascii="Arial" w:cs="Arial" w:eastAsia="Arial" w:hAnsi="Arial"/>
          <w:sz w:val="16"/>
          <w:szCs w:val="16"/>
          <w:color w:val="auto"/>
        </w:rPr>
        <w:t>We currently operate three primary business segments: (1) Pay-TV; (2) Wireless; and (3) Broadband and Satellite Services. Historically, we reported four primary business segments: (1) Pay-TV; (2) Retail Wireless; (3) 5G Network Deployment; and (4) Broadband and Satellite Services. See Note 16 for further information.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Pay-TV</w:t>
      </w:r>
    </w:p>
    <w:p>
      <w:pPr>
        <w:spacing w:after="0" w:line="177"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We offer pay-TV services under the DISH® brand and the SLING®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December 31, 2024, we had 7.778 million Pay-TV subscribers in the United States, including 5.686 million DISH TV subscribers and 2.092 million SLING TV subscribers.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Wireless</w:t>
      </w:r>
    </w:p>
    <w:p>
      <w:pPr>
        <w:spacing w:after="0" w:line="177" w:lineRule="exact"/>
        <w:rPr>
          <w:sz w:val="20"/>
          <w:szCs w:val="20"/>
          <w:color w:val="auto"/>
        </w:rPr>
      </w:pPr>
    </w:p>
    <w:p>
      <w:pPr>
        <w:jc w:val="both"/>
        <w:ind w:left="40" w:right="139"/>
        <w:spacing w:after="0" w:line="256" w:lineRule="auto"/>
        <w:rPr>
          <w:sz w:val="20"/>
          <w:szCs w:val="20"/>
          <w:color w:val="auto"/>
        </w:rPr>
      </w:pPr>
      <w:r>
        <w:rPr>
          <w:rFonts w:ascii="Arial" w:cs="Arial" w:eastAsia="Arial" w:hAnsi="Arial"/>
          <w:sz w:val="16"/>
          <w:szCs w:val="16"/>
          <w:color w:val="auto"/>
        </w:rPr>
        <w:t>Our Wireless segment provides wireless communication services (“Wireless” services) and products. We currently offer our Wireless services for 5G voice over new radio (“VoNR”) to over 220 million Americans and for 5G broadband service to over 268 million Americans, as well as a competitive portfolio of wireless devices.</w:t>
      </w:r>
    </w:p>
    <w:p>
      <w:pPr>
        <w:spacing w:after="0" w:line="137" w:lineRule="exact"/>
        <w:rPr>
          <w:sz w:val="20"/>
          <w:szCs w:val="20"/>
          <w:color w:val="auto"/>
        </w:rPr>
      </w:pPr>
    </w:p>
    <w:p>
      <w:pPr>
        <w:ind w:left="40" w:right="139" w:hanging="6"/>
        <w:spacing w:after="0" w:line="249" w:lineRule="auto"/>
        <w:rPr>
          <w:sz w:val="20"/>
          <w:szCs w:val="20"/>
          <w:color w:val="auto"/>
        </w:rPr>
      </w:pPr>
      <w:r>
        <w:rPr>
          <w:rFonts w:ascii="Arial" w:cs="Arial" w:eastAsia="Arial" w:hAnsi="Arial"/>
          <w:sz w:val="16"/>
          <w:szCs w:val="16"/>
          <w:color w:val="auto"/>
        </w:rPr>
        <w:t>We offer nationwide Wireless services to subscribers primarily under our Boost Mobile® and Gen Mobile® brands. Prepaid Wireless subscribers generally pay in advance for monthly access to wireless talk, text and data services. Postpaid Wireless subscribers are qualified to pay after receiving wireless talk, text and data services, and may also qualify for certain device financing arrangements.</w:t>
      </w:r>
    </w:p>
    <w:p>
      <w:pPr>
        <w:spacing w:after="0" w:line="144"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color w:val="auto"/>
        </w:rPr>
        <w:t xml:space="preserve">We are currently operating primarily as a mobile virtual network operator (“MVNO”) as we continue our 5G Network Deployment and commercialize and grow customer traffic on our 5G Network. We are transitioning to a mobile network operator (“MNO”) as our 5G Network, defined below, has become commercially available and we grow customer traffic on our 5G Network. We are currently activating Boost Mobile subscribers with compatible devices onto our 5G Network in markets where we have reached VoNR. We currently offer a broad range of premium wireless devices on our 5G Network, including the Apple iPhone 15 and newer generation iPhones. We have deployed </w:t>
      </w:r>
      <w:r>
        <w:rPr>
          <w:rFonts w:ascii="Arial" w:cs="Arial" w:eastAsia="Arial" w:hAnsi="Arial"/>
          <w:sz w:val="16"/>
          <w:szCs w:val="16"/>
          <w:color w:val="0A0A0A"/>
        </w:rPr>
        <w:t>5G VoNR covering over 220 million</w:t>
      </w:r>
      <w:r>
        <w:rPr>
          <w:rFonts w:ascii="Arial" w:cs="Arial" w:eastAsia="Arial" w:hAnsi="Arial"/>
          <w:sz w:val="16"/>
          <w:szCs w:val="16"/>
          <w:color w:val="auto"/>
        </w:rPr>
        <w:t xml:space="preserve"> </w:t>
      </w:r>
      <w:r>
        <w:rPr>
          <w:rFonts w:ascii="Arial" w:cs="Arial" w:eastAsia="Arial" w:hAnsi="Arial"/>
          <w:sz w:val="16"/>
          <w:szCs w:val="16"/>
          <w:color w:val="0A0A0A"/>
        </w:rPr>
        <w:t xml:space="preserve">Americans. </w:t>
      </w:r>
      <w:r>
        <w:rPr>
          <w:rFonts w:ascii="Arial" w:cs="Arial" w:eastAsia="Arial" w:hAnsi="Arial"/>
          <w:sz w:val="16"/>
          <w:szCs w:val="16"/>
          <w:color w:val="000000"/>
        </w:rPr>
        <w:t>Within our MVNO operations, today we depend in part on T-Mobile and AT&amp;T to provide us with network services</w:t>
      </w:r>
      <w:r>
        <w:rPr>
          <w:rFonts w:ascii="Arial" w:cs="Arial" w:eastAsia="Arial" w:hAnsi="Arial"/>
          <w:sz w:val="16"/>
          <w:szCs w:val="16"/>
          <w:color w:val="0A0A0A"/>
        </w:rPr>
        <w:t xml:space="preserve"> </w:t>
      </w:r>
      <w:r>
        <w:rPr>
          <w:rFonts w:ascii="Arial" w:cs="Arial" w:eastAsia="Arial" w:hAnsi="Arial"/>
          <w:sz w:val="16"/>
          <w:szCs w:val="16"/>
          <w:color w:val="000000"/>
        </w:rPr>
        <w:t>under the amended Master Network Services Agreement (“MNSA”) and Network Services Agreement (the “NSA”), respectively. As of December 31, 2024, we had 6.995 million Wireless subscribers.</w:t>
      </w:r>
    </w:p>
    <w:p>
      <w:pPr>
        <w:spacing w:after="0" w:line="152" w:lineRule="exact"/>
        <w:rPr>
          <w:sz w:val="20"/>
          <w:szCs w:val="20"/>
          <w:color w:val="auto"/>
        </w:rPr>
      </w:pPr>
    </w:p>
    <w:p>
      <w:pPr>
        <w:ind w:left="40" w:right="139"/>
        <w:spacing w:after="0" w:line="244" w:lineRule="auto"/>
        <w:rPr>
          <w:sz w:val="20"/>
          <w:szCs w:val="20"/>
          <w:color w:val="auto"/>
        </w:rPr>
      </w:pPr>
      <w:r>
        <w:rPr>
          <w:rFonts w:ascii="Arial" w:cs="Arial" w:eastAsia="Arial" w:hAnsi="Arial"/>
          <w:sz w:val="16"/>
          <w:szCs w:val="16"/>
          <w:color w:val="auto"/>
        </w:rPr>
        <w:t>We have invested a total of over $30 billion in Wireless spectrum licenses. The $30 billion of investments related to Wireless spectrum licenses does not include $10 billion of capitalized interest related to the carrying value of such licenses. See Note 2 and Note 15 for further information. We continue to commercialize our Wireless spectrum licenses through the completion of the nation’s first cloud-native, Open Radio Access Network (“O-RAN”) based 5G network (our “5G Network Deployment”). We have committed to the FCC to deploy a facilities-based 5G broadband network (our “5G Network”) capable of serving increasingly larger portions of the U.S. population at different deadlines.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1">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color w:val="auto"/>
        </w:rPr>
        <w:t>We may need to raise additional capital in the future,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15 for further information.</w:t>
      </w:r>
    </w:p>
    <w:p>
      <w:pPr>
        <w:spacing w:after="0" w:line="146" w:lineRule="exact"/>
        <w:rPr>
          <w:sz w:val="20"/>
          <w:szCs w:val="20"/>
          <w:color w:val="auto"/>
        </w:rPr>
      </w:pPr>
    </w:p>
    <w:p>
      <w:pPr>
        <w:ind w:left="40" w:right="119" w:hanging="6"/>
        <w:spacing w:after="0" w:line="243" w:lineRule="auto"/>
        <w:rPr>
          <w:sz w:val="20"/>
          <w:szCs w:val="20"/>
          <w:color w:val="auto"/>
        </w:rPr>
      </w:pPr>
      <w:r>
        <w:rPr>
          <w:rFonts w:ascii="Arial" w:cs="Arial" w:eastAsia="Arial" w:hAnsi="Arial"/>
          <w:sz w:val="16"/>
          <w:szCs w:val="16"/>
          <w:color w:val="auto"/>
        </w:rPr>
        <w:t xml:space="preserve">Our Wireless spectrum licenses are subject to certain interim and final build-out requirements, as well as certain renewal requirements. On September 29, 2023, the FCC confirmed we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6"/>
          <w:szCs w:val="16"/>
          <w:color w:val="0A0A0A"/>
        </w:rPr>
        <w:t>We currently have</w:t>
      </w:r>
      <w:r>
        <w:rPr>
          <w:rFonts w:ascii="Arial" w:cs="Arial" w:eastAsia="Arial" w:hAnsi="Arial"/>
          <w:sz w:val="16"/>
          <w:szCs w:val="16"/>
          <w:color w:val="auto"/>
        </w:rPr>
        <w:t xml:space="preserve"> </w:t>
      </w:r>
      <w:r>
        <w:rPr>
          <w:rFonts w:ascii="Arial" w:cs="Arial" w:eastAsia="Arial" w:hAnsi="Arial"/>
          <w:sz w:val="16"/>
          <w:szCs w:val="16"/>
          <w:color w:val="0A0A0A"/>
        </w:rPr>
        <w:t xml:space="preserve">the largest commercial deployment of 5G VoNR in the world covering over 220 million Americans and </w:t>
      </w:r>
      <w:r>
        <w:rPr>
          <w:rFonts w:ascii="Arial" w:cs="Arial" w:eastAsia="Arial" w:hAnsi="Arial"/>
          <w:sz w:val="16"/>
          <w:szCs w:val="16"/>
          <w:color w:val="000000"/>
        </w:rPr>
        <w:t>5G broadband service</w:t>
      </w:r>
      <w:r>
        <w:rPr>
          <w:rFonts w:ascii="Arial" w:cs="Arial" w:eastAsia="Arial" w:hAnsi="Arial"/>
          <w:sz w:val="16"/>
          <w:szCs w:val="16"/>
          <w:color w:val="0A0A0A"/>
        </w:rPr>
        <w:t xml:space="preserve"> covering over 268 million Americans.</w:t>
      </w:r>
    </w:p>
    <w:p>
      <w:pPr>
        <w:spacing w:after="0" w:line="148" w:lineRule="exact"/>
        <w:rPr>
          <w:sz w:val="20"/>
          <w:szCs w:val="20"/>
          <w:color w:val="auto"/>
        </w:rPr>
      </w:pPr>
    </w:p>
    <w:p>
      <w:pPr>
        <w:ind w:left="40" w:right="379"/>
        <w:spacing w:after="0" w:line="242" w:lineRule="auto"/>
        <w:rPr>
          <w:sz w:val="20"/>
          <w:szCs w:val="20"/>
          <w:color w:val="auto"/>
        </w:rPr>
      </w:pPr>
      <w:r>
        <w:rPr>
          <w:rFonts w:ascii="Arial" w:cs="Arial" w:eastAsia="Arial" w:hAnsi="Arial"/>
          <w:sz w:val="16"/>
          <w:szCs w:val="16"/>
          <w:color w:val="0A0A0A"/>
        </w:rPr>
        <w:t xml:space="preserve">In September 2024, the FCC conditionally granted our requests to extend the 5G deployment deadlines for certain of our </w:t>
      </w:r>
      <w:r>
        <w:rPr>
          <w:rFonts w:ascii="Arial" w:cs="Arial" w:eastAsia="Arial" w:hAnsi="Arial"/>
          <w:sz w:val="16"/>
          <w:szCs w:val="16"/>
          <w:color w:val="000000"/>
        </w:rPr>
        <w:t xml:space="preserve">Wireless spectrum licenses </w:t>
      </w:r>
      <w:r>
        <w:rPr>
          <w:rFonts w:ascii="Arial" w:cs="Arial" w:eastAsia="Arial" w:hAnsi="Arial"/>
          <w:sz w:val="16"/>
          <w:szCs w:val="16"/>
          <w:color w:val="0A0A0A"/>
        </w:rPr>
        <w:t>based on several commitments and</w:t>
      </w:r>
      <w:r>
        <w:rPr>
          <w:rFonts w:ascii="Arial" w:cs="Arial" w:eastAsia="Arial" w:hAnsi="Arial"/>
          <w:sz w:val="16"/>
          <w:szCs w:val="16"/>
          <w:color w:val="000000"/>
        </w:rPr>
        <w:t xml:space="preserve"> </w:t>
      </w:r>
      <w:r>
        <w:rPr>
          <w:rFonts w:ascii="Arial" w:cs="Arial" w:eastAsia="Arial" w:hAnsi="Arial"/>
          <w:sz w:val="16"/>
          <w:szCs w:val="16"/>
          <w:color w:val="222222"/>
        </w:rPr>
        <w:t>in a January 10, 2025 filing to the FCC</w:t>
      </w:r>
      <w:r>
        <w:rPr>
          <w:rFonts w:ascii="Arial" w:cs="Arial" w:eastAsia="Arial" w:hAnsi="Arial"/>
          <w:sz w:val="16"/>
          <w:szCs w:val="16"/>
          <w:color w:val="0A0A0A"/>
        </w:rPr>
        <w:t>,</w:t>
      </w:r>
      <w:r>
        <w:rPr>
          <w:rFonts w:ascii="Arial" w:cs="Arial" w:eastAsia="Arial" w:hAnsi="Arial"/>
          <w:sz w:val="16"/>
          <w:szCs w:val="16"/>
          <w:color w:val="000000"/>
        </w:rPr>
        <w:t xml:space="preserve"> </w:t>
      </w:r>
      <w:r>
        <w:rPr>
          <w:rFonts w:ascii="Arial" w:cs="Arial" w:eastAsia="Arial" w:hAnsi="Arial"/>
          <w:sz w:val="16"/>
          <w:szCs w:val="16"/>
          <w:color w:val="222222"/>
        </w:rPr>
        <w:t>we certified to</w:t>
      </w:r>
      <w:r>
        <w:rPr>
          <w:rFonts w:ascii="Arial" w:cs="Arial" w:eastAsia="Arial" w:hAnsi="Arial"/>
          <w:sz w:val="16"/>
          <w:szCs w:val="16"/>
          <w:color w:val="000000"/>
        </w:rPr>
        <w:t xml:space="preserve"> </w:t>
      </w:r>
      <w:r>
        <w:rPr>
          <w:rFonts w:ascii="Arial" w:cs="Arial" w:eastAsia="Arial" w:hAnsi="Arial"/>
          <w:sz w:val="16"/>
          <w:szCs w:val="16"/>
          <w:color w:val="222222"/>
        </w:rPr>
        <w:t xml:space="preserve">meeting the accelerated buildout (Commitments #2 and #3 of the Extension Request) and the nationwide 80% coverage obligations (Commitment #1 of the Extension Request) </w:t>
      </w:r>
      <w:r>
        <w:rPr>
          <w:rFonts w:ascii="Arial" w:cs="Arial" w:eastAsia="Arial" w:hAnsi="Arial"/>
          <w:sz w:val="16"/>
          <w:szCs w:val="16"/>
          <w:color w:val="000000"/>
        </w:rPr>
        <w:t>due by December 31, 2024. Thus, pursuant to the Extension</w:t>
      </w:r>
      <w:r>
        <w:rPr>
          <w:rFonts w:ascii="Arial" w:cs="Arial" w:eastAsia="Arial" w:hAnsi="Arial"/>
          <w:sz w:val="16"/>
          <w:szCs w:val="16"/>
          <w:color w:val="222222"/>
        </w:rPr>
        <w:t xml:space="preserve"> </w:t>
      </w:r>
      <w:r>
        <w:rPr>
          <w:rFonts w:ascii="Arial" w:cs="Arial" w:eastAsia="Arial" w:hAnsi="Arial"/>
          <w:sz w:val="16"/>
          <w:szCs w:val="16"/>
          <w:color w:val="000000"/>
        </w:rPr>
        <w:t xml:space="preserve">Request, the final deployment deadlines for the licenses subject to the 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See Note 15 </w:t>
      </w:r>
      <w:r>
        <w:rPr>
          <w:rFonts w:ascii="Arial" w:cs="Arial" w:eastAsia="Arial" w:hAnsi="Arial"/>
          <w:sz w:val="16"/>
          <w:szCs w:val="16"/>
          <w:color w:val="0A0A0A"/>
        </w:rPr>
        <w:t>for definitions and further details.</w:t>
      </w:r>
    </w:p>
    <w:p>
      <w:pPr>
        <w:spacing w:after="0" w:line="150" w:lineRule="exact"/>
        <w:rPr>
          <w:sz w:val="20"/>
          <w:szCs w:val="20"/>
          <w:color w:val="auto"/>
        </w:rPr>
      </w:pPr>
    </w:p>
    <w:p>
      <w:pPr>
        <w:ind w:left="40" w:right="79" w:hanging="6"/>
        <w:spacing w:after="0" w:line="241" w:lineRule="auto"/>
        <w:rPr>
          <w:sz w:val="20"/>
          <w:szCs w:val="20"/>
          <w:color w:val="auto"/>
        </w:rPr>
      </w:pPr>
      <w:r>
        <w:rPr>
          <w:rFonts w:ascii="Arial" w:cs="Arial" w:eastAsia="Arial" w:hAnsi="Arial"/>
          <w:sz w:val="16"/>
          <w:szCs w:val="16"/>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Broadband and Satellite Services</w:t>
      </w:r>
    </w:p>
    <w:p>
      <w:pPr>
        <w:spacing w:after="0" w:line="177" w:lineRule="exact"/>
        <w:rPr>
          <w:sz w:val="20"/>
          <w:szCs w:val="20"/>
          <w:color w:val="auto"/>
        </w:rPr>
      </w:pPr>
    </w:p>
    <w:p>
      <w:pPr>
        <w:ind w:left="40" w:right="59"/>
        <w:spacing w:after="0" w:line="242" w:lineRule="auto"/>
        <w:rPr>
          <w:sz w:val="20"/>
          <w:szCs w:val="20"/>
          <w:color w:val="auto"/>
        </w:rPr>
      </w:pPr>
      <w:r>
        <w:rPr>
          <w:rFonts w:ascii="Arial" w:cs="Arial" w:eastAsia="Arial" w:hAnsi="Arial"/>
          <w:sz w:val="16"/>
          <w:szCs w:val="16"/>
          <w:color w:val="auto"/>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 As of December 31, 2024, we had 883,000 Broadband subscribers.</w:t>
      </w:r>
    </w:p>
    <w:p>
      <w:pPr>
        <w:spacing w:after="0" w:line="150"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color w:val="auto"/>
        </w:rPr>
        <w:t>Our EchoStar XXIV satellite began service in December 2023, bringing additional broadband capacity across North and South America and is an integral part of our satellite services business. Revenue in our satellite services business depends largely on our ability to make continuous use of our available satellite capacity on behalf of existing customers and our ability to enter into commercial relationships with new customers.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2">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3" w:name="page134"/>
    <w:bookmarkEnd w:id="13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Principles of Consolidation and Basis of Presentation</w:t>
      </w:r>
    </w:p>
    <w:p>
      <w:pPr>
        <w:spacing w:after="0" w:line="177"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The accompanying consolidated financial statements include all balances and results of operations of EchoStar and our consolidated subsidiaries and are prepared in conformity with U.S. generally accepted accounting principles (“GAAP”). We consolidate all majority owned subsidiaries, investments in entities in which we have controlling influence and VIEs where we have been determined to be the primary beneficiary. Minority interests 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Consolidated Statements of Operations and Comprehensive Income (Loss). All significant intercompany accounts and transactions have been eliminated in consolidation. Certain prior period amounts have been reclassified to conform to the current period presentation.</w:t>
      </w:r>
    </w:p>
    <w:p>
      <w:pPr>
        <w:spacing w:after="0" w:line="152"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i w:val="1"/>
          <w:iCs w:val="1"/>
          <w:color w:val="auto"/>
        </w:rPr>
        <w:t xml:space="preserve">“Cost of services.” </w:t>
      </w:r>
      <w:r>
        <w:rPr>
          <w:rFonts w:ascii="Arial" w:cs="Arial" w:eastAsia="Arial" w:hAnsi="Arial"/>
          <w:sz w:val="16"/>
          <w:szCs w:val="16"/>
          <w:color w:val="auto"/>
        </w:rPr>
        <w:t>Historically, as we built-out our 5G Network, certain direct costs related to our 5G Network Deployment,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lease expense on communication towers, transport, cloud services and other costs, were presented within “Cost of sales – equipment and other” on our Consolidated Statements of Operations and Comprehensive Income (Loss) as our 5G Network service had not commenced. As a significant portion of our 5G Network has been placed into service, such amounts now represent costs of operating our 5G Network and are, beginning on January 1, 2024, presented within the “Cost of services” on our Consolidated Statements of Operations and Comprehensive Income (Loss). The change has no impact on net income. For the years ended December 31, 2023 and 2022, the direct costs related to our 5G Network Deployment included within the “Cost of sales – equipment and other” on our Consolidated Statements of Operations and Comprehensive Income (Loss) were $977 million and $522 million, respectively.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Redeemable Noncontrolling Interests</w:t>
      </w:r>
    </w:p>
    <w:p>
      <w:pPr>
        <w:spacing w:after="0" w:line="177" w:lineRule="exact"/>
        <w:rPr>
          <w:sz w:val="20"/>
          <w:szCs w:val="20"/>
          <w:color w:val="auto"/>
        </w:rPr>
      </w:pPr>
    </w:p>
    <w:p>
      <w:pPr>
        <w:ind w:left="40" w:right="259"/>
        <w:spacing w:after="0" w:line="244" w:lineRule="auto"/>
        <w:rPr>
          <w:sz w:val="20"/>
          <w:szCs w:val="20"/>
          <w:color w:val="auto"/>
        </w:rPr>
      </w:pPr>
      <w:r>
        <w:rPr>
          <w:rFonts w:ascii="Arial" w:cs="Arial" w:eastAsia="Arial" w:hAnsi="Arial"/>
          <w:sz w:val="16"/>
          <w:szCs w:val="16"/>
          <w:b w:val="1"/>
          <w:bCs w:val="1"/>
          <w:i w:val="1"/>
          <w:iCs w:val="1"/>
          <w:color w:val="auto"/>
        </w:rPr>
        <w:t>Northstar Wireless</w:t>
      </w:r>
      <w:r>
        <w:rPr>
          <w:rFonts w:ascii="Arial" w:cs="Arial" w:eastAsia="Arial" w:hAnsi="Arial"/>
          <w:sz w:val="16"/>
          <w:szCs w:val="16"/>
          <w:color w:val="auto"/>
        </w:rPr>
        <w:t>. Northstar Wireless, L.L.C. (“Northstar Wireless”) is a wholly-owned subsidiary of Northstar Spectrum,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(“Northstar Spectrum”), which is an entity wholly-owned by us and, prior to October 12, 2023, by us and Northstar Manager, LLC (“NorthStar Manager”).On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w:t>
      </w:r>
    </w:p>
    <w:p>
      <w:pPr>
        <w:spacing w:after="0" w:line="148" w:lineRule="exact"/>
        <w:rPr>
          <w:sz w:val="20"/>
          <w:szCs w:val="20"/>
          <w:color w:val="auto"/>
        </w:rPr>
      </w:pPr>
    </w:p>
    <w:p>
      <w:pPr>
        <w:ind w:left="40" w:right="99"/>
        <w:spacing w:after="0" w:line="243" w:lineRule="auto"/>
        <w:rPr>
          <w:sz w:val="20"/>
          <w:szCs w:val="20"/>
          <w:color w:val="auto"/>
        </w:rPr>
      </w:pPr>
      <w:r>
        <w:rPr>
          <w:rFonts w:ascii="Arial" w:cs="Arial" w:eastAsia="Arial" w:hAnsi="Arial"/>
          <w:sz w:val="16"/>
          <w:szCs w:val="16"/>
          <w:b w:val="1"/>
          <w:bCs w:val="1"/>
          <w:i w:val="1"/>
          <w:iCs w:val="1"/>
          <w:color w:val="auto"/>
        </w:rPr>
        <w:t>SNR Wireless</w:t>
      </w:r>
      <w:r>
        <w:rPr>
          <w:rFonts w:ascii="Arial" w:cs="Arial" w:eastAsia="Arial" w:hAnsi="Arial"/>
          <w:sz w:val="16"/>
          <w:szCs w:val="16"/>
          <w:color w:val="auto"/>
        </w:rPr>
        <w:t>. SNR Wireless LicenseCo, LLC (“SNR Wireless”) is a wholly-owned subsidiary of SNR Wireless HoldCo,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(“SNR HoldCo”), which is an entity wholly-owned by us and, prior to February 16, 2024, by us and SNR Wireless Management, LLC (“SNR Management”). On February 16, 2024, the FCC consented to the sale of SNR Management’s ownership interests in SNR HoldCo, which was purchased by our direct wholly-owned subsidiary EchoStar SNR HoldCo L.L.C. for a total of approximately $442 million. This purchase resulted in the elimination of all of our redeemable noncontrolling interest as it related to SNR HoldCo as of the purchase date and we continue to consolidate the SNR Entities as wholly-owned subsidiaries.</w:t>
      </w:r>
    </w:p>
    <w:p>
      <w:pPr>
        <w:spacing w:after="0" w:line="148" w:lineRule="exact"/>
        <w:rPr>
          <w:sz w:val="20"/>
          <w:szCs w:val="20"/>
          <w:color w:val="auto"/>
        </w:rPr>
      </w:pPr>
    </w:p>
    <w:p>
      <w:pPr>
        <w:ind w:left="40" w:right="279" w:hanging="6"/>
        <w:spacing w:after="0" w:line="275" w:lineRule="auto"/>
        <w:rPr>
          <w:sz w:val="20"/>
          <w:szCs w:val="20"/>
          <w:color w:val="auto"/>
        </w:rPr>
      </w:pPr>
      <w:r>
        <w:rPr>
          <w:rFonts w:ascii="Arial" w:cs="Arial" w:eastAsia="Arial" w:hAnsi="Arial"/>
          <w:sz w:val="16"/>
          <w:szCs w:val="16"/>
          <w:color w:val="auto"/>
        </w:rPr>
        <w:t>For further information, refer to the Consolidated Financial Statements and notes thereto included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3">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4" w:name="page135"/>
    <w:bookmarkEnd w:id="13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7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77"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including embedded derivatives, fair value of options granted under our stock-based compensation plans, fair value of assets and liabilities acquired in business combinations,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estimates of the timing of future cash flows used to pay principal on certain debt obligations, estimated credit risk underlying installment receivables, nonrefundable upfront fees, independent third-party retailer incentives, programming expenses subscriber lives and likelihood of certain contingent events. Economic conditions may increase the inherent uncertainty in the estimates and assumptions indicated above. Actual results may differ from previously estimated amounts, and such differences may be material to our consolidated financial statements. Estimates and assumptions are reviewed periodically, and the effects of revisions are reflected prospectively in the period they occur.</w:t>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77" w:lineRule="exact"/>
        <w:rPr>
          <w:sz w:val="20"/>
          <w:szCs w:val="20"/>
          <w:color w:val="auto"/>
        </w:rPr>
      </w:pPr>
    </w:p>
    <w:p>
      <w:pPr>
        <w:jc w:val="both"/>
        <w:ind w:left="40" w:right="359"/>
        <w:spacing w:after="0" w:line="256" w:lineRule="auto"/>
        <w:rPr>
          <w:sz w:val="20"/>
          <w:szCs w:val="20"/>
          <w:color w:val="auto"/>
        </w:rPr>
      </w:pPr>
      <w:r>
        <w:rPr>
          <w:rFonts w:ascii="Arial" w:cs="Arial" w:eastAsia="Arial" w:hAnsi="Arial"/>
          <w:sz w:val="16"/>
          <w:szCs w:val="16"/>
          <w:color w:val="auto"/>
        </w:rPr>
        <w:t>We consider all liquid investments purchased with a remaining maturity of 90 days or less at the date of acquisition to be cash equivalents. Cash equivalents as of December 31, 2024 and 2023 may consist of money market funds, government bonds, corporate notes and commercial paper. The amortized cost of these investments approximates their fair value.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177" w:lineRule="exact"/>
        <w:rPr>
          <w:sz w:val="20"/>
          <w:szCs w:val="20"/>
          <w:color w:val="auto"/>
        </w:rPr>
      </w:pPr>
    </w:p>
    <w:p>
      <w:pPr>
        <w:ind w:left="40" w:right="159"/>
        <w:spacing w:after="0" w:line="246" w:lineRule="auto"/>
        <w:rPr>
          <w:sz w:val="20"/>
          <w:szCs w:val="20"/>
          <w:color w:val="auto"/>
        </w:rPr>
      </w:pPr>
      <w:r>
        <w:rPr>
          <w:rFonts w:ascii="Arial" w:cs="Arial" w:eastAsia="Arial" w:hAnsi="Arial"/>
          <w:sz w:val="16"/>
          <w:szCs w:val="16"/>
          <w:color w:val="auto"/>
        </w:rPr>
        <w:t>Cash and cash equivalents are maintained with several financial institutions domestically and internationally. Deposits held with banks may exceed the amount of insurance provided on such deposits. Generally, these deposits may be redeemed upon demand and are maintained with financial institutions with investment-grade credit ratings. We routinely assess the financial strength of significant customers, and this assessment, combined with the large number and geographical diversity of its customers, limits our concentration of risk with respect to receivables from contracts with customers.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4">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5" w:name="page136"/>
    <w:bookmarkEnd w:id="13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Marketable Investment Securities</w:t>
      </w:r>
    </w:p>
    <w:p>
      <w:pPr>
        <w:spacing w:after="0" w:line="177" w:lineRule="exact"/>
        <w:rPr>
          <w:sz w:val="20"/>
          <w:szCs w:val="20"/>
          <w:color w:val="auto"/>
        </w:rPr>
      </w:pPr>
    </w:p>
    <w:p>
      <w:pPr>
        <w:ind w:left="40" w:right="599"/>
        <w:spacing w:after="0" w:line="275" w:lineRule="auto"/>
        <w:rPr>
          <w:sz w:val="20"/>
          <w:szCs w:val="20"/>
          <w:color w:val="auto"/>
        </w:rPr>
      </w:pPr>
      <w:r>
        <w:rPr>
          <w:rFonts w:ascii="Arial" w:cs="Arial" w:eastAsia="Arial" w:hAnsi="Arial"/>
          <w:sz w:val="16"/>
          <w:szCs w:val="16"/>
          <w:color w:val="auto"/>
        </w:rPr>
        <w:t>All equity securities are carried at fair value, with changes in fair value recognized in “Other, net” within “Other Income (Expense)” on our Consolidated Statements of Operations and Comprehensive Income (Loss).</w:t>
      </w:r>
    </w:p>
    <w:p>
      <w:pPr>
        <w:spacing w:after="0" w:line="123"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color w:val="auto"/>
        </w:rPr>
        <w:t>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changes in the fair value of marketable debt securities, which are determined to be company specific credit losses are recorded in “Other, net” within “Other Income (Expense)” on our Consolidated Statements of Operations and Comprehensive Income (Loss).</w:t>
      </w:r>
    </w:p>
    <w:p>
      <w:pPr>
        <w:spacing w:after="0" w:line="148" w:lineRule="exact"/>
        <w:rPr>
          <w:sz w:val="20"/>
          <w:szCs w:val="20"/>
          <w:color w:val="auto"/>
        </w:rPr>
      </w:pPr>
    </w:p>
    <w:p>
      <w:pPr>
        <w:ind w:left="40" w:right="219"/>
        <w:spacing w:after="0" w:line="246" w:lineRule="auto"/>
        <w:rPr>
          <w:sz w:val="20"/>
          <w:szCs w:val="20"/>
          <w:color w:val="auto"/>
        </w:rPr>
      </w:pPr>
      <w:r>
        <w:rPr>
          <w:rFonts w:ascii="Arial" w:cs="Arial" w:eastAsia="Arial" w:hAnsi="Arial"/>
          <w:sz w:val="16"/>
          <w:szCs w:val="16"/>
          <w:color w:val="auto"/>
        </w:rPr>
        <w:t>We evaluate our debt investment portfolio to determine whether declines in the fair value of these securities are related to credit loss. Management estimates credit losses on marketable debt securities utilizing a credit loss impairment model on a quarterly basis. We estimate the expected credit losses, measured over the contractual life of marketable debt securities considering relevant issuer specific factors, including, but not limited to, a decrease in credit ratings or an entity’s ability to pay.</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Receivables and Related Allowance for Credit Losses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Accounts Receivable</w:t>
      </w:r>
    </w:p>
    <w:p>
      <w:pPr>
        <w:spacing w:after="0" w:line="177"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auto"/>
        </w:rPr>
        <w:t>Trade accounts receivable represent our unconditional rights to consideration arising from our performance under our customer contracts and are recorded at cost less an allowance for expected credit losses that are not expected to be recovered. We maintain allowances for credit losses resulting from the expected failure or inability of our customers to make required payments. We recognize the allowance for expected credit losses at inception and reassess quarterly based on management’s expectation of the asset’s collectability. Management estimates credit losses on financial assets, including our trade accounts receivable, utilizing a current expected credit loss impairment model. We estimate the expected credit losses, measured over the contractual life of an asset considering relevant historical loss information, credit quality of the customer base, current economic conditions and forecasts of future economic conditions.</w:t>
      </w:r>
    </w:p>
    <w:p>
      <w:pPr>
        <w:spacing w:after="0" w:line="150" w:lineRule="exact"/>
        <w:rPr>
          <w:sz w:val="20"/>
          <w:szCs w:val="20"/>
          <w:color w:val="auto"/>
        </w:rPr>
      </w:pPr>
    </w:p>
    <w:p>
      <w:pPr>
        <w:ind w:left="40" w:right="59"/>
        <w:spacing w:after="0" w:line="242" w:lineRule="auto"/>
        <w:rPr>
          <w:sz w:val="20"/>
          <w:szCs w:val="20"/>
          <w:color w:val="auto"/>
        </w:rPr>
      </w:pPr>
      <w:r>
        <w:rPr>
          <w:rFonts w:ascii="Arial" w:cs="Arial" w:eastAsia="Arial" w:hAnsi="Arial"/>
          <w:sz w:val="16"/>
          <w:szCs w:val="16"/>
          <w:color w:val="auto"/>
        </w:rPr>
        <w:t>In determining the allowance for credit losses, management groups similar types of financial assets with consistent risk characteristics. Pools identified by management include, but are not limited to residential customers, commercial customers, enterprise customers, and advertising services. The risk characteristics of the financial asset portfolios are monitored by management and reviewed periodically. The forecasts for future economic conditions are based on several factors including, but not limited to, changes in the unemployment rate, external economic forecasts and current collection rates. Our estimates of the allowance for credit losses may not be indicative of our actual credit losses requiring additional charges to be incurred to reflect the actual amount collected. Past due trade accounts receivable balances are written off against our allowance for credit losses when our internal collection efforts have been unsuccessful.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55">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6" w:name="page137"/>
    <w:bookmarkEnd w:id="13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Installment Receivables</w:t>
      </w:r>
    </w:p>
    <w:p>
      <w:pPr>
        <w:spacing w:after="0" w:line="177" w:lineRule="exact"/>
        <w:rPr>
          <w:sz w:val="20"/>
          <w:szCs w:val="20"/>
          <w:color w:val="auto"/>
        </w:rPr>
      </w:pPr>
    </w:p>
    <w:p>
      <w:pPr>
        <w:ind w:left="40" w:right="199"/>
        <w:spacing w:after="0"/>
        <w:rPr>
          <w:sz w:val="20"/>
          <w:szCs w:val="20"/>
          <w:color w:val="auto"/>
        </w:rPr>
      </w:pPr>
      <w:r>
        <w:rPr>
          <w:rFonts w:ascii="Arial" w:cs="Arial" w:eastAsia="Arial" w:hAnsi="Arial"/>
          <w:sz w:val="16"/>
          <w:szCs w:val="16"/>
          <w:color w:val="auto"/>
        </w:rPr>
        <w:t>We offer Boost Mobile postpaid customers the option to pay for their devices and other equipment in installments, generally over a period of 36 months. Installment receivables are presented on our Consolidated Balance Sheets at their amortized cost basis (i.e., the receivables’ unpaid balance as adjusted for any written-off amounts due to impairment and unamortized discounts), net of the allowance for credit losses. At the time of an installment sale, we impute a discount for interest if the term exceeds 12 months as there is no stated rate of interest on the receivables. The receivables are recorded at their present value, which is determined by discounting expected future cash payments at the imputed interest rate. The current portion of installment receivables is included in “Trade accounts receivable, net” and the long-term portion of installment receivables is included in “Other noncurrent assets, net” on our Consolidated Balance Sheets. This adjustment results in a discount or reduction in the transaction price of the contract with a customer, which is allocated to the performance obligations of the arrangement included in “Service revenue” on our Consolidated Statements of Operations and Comprehensive Income (Loss).</w:t>
      </w:r>
    </w:p>
    <w:p>
      <w:pPr>
        <w:spacing w:after="0" w:line="154"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auto"/>
        </w:rPr>
        <w:t>The imputed discount rate reflects a current market interest rate and is predominately comprised of the estimated credit risk underlying the installment receivable, reflecting the estimated credit worthiness of the customer. The imputed discount on receivables is amortized over the financed installment term using the effective interest method and recognized in “Service revenue” on our Consolidated Statements of Operations and Comprehensive Income (Loss) to the extent the financing component is not deemed significant.</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Inventory</w:t>
      </w:r>
    </w:p>
    <w:p>
      <w:pPr>
        <w:spacing w:after="0" w:line="177" w:lineRule="exact"/>
        <w:rPr>
          <w:sz w:val="20"/>
          <w:szCs w:val="20"/>
          <w:color w:val="auto"/>
        </w:rPr>
      </w:pPr>
    </w:p>
    <w:p>
      <w:pPr>
        <w:ind w:left="40" w:right="119"/>
        <w:spacing w:after="0" w:line="243" w:lineRule="auto"/>
        <w:rPr>
          <w:sz w:val="20"/>
          <w:szCs w:val="20"/>
          <w:color w:val="auto"/>
        </w:rPr>
      </w:pPr>
      <w:r>
        <w:rPr>
          <w:rFonts w:ascii="Arial" w:cs="Arial" w:eastAsia="Arial" w:hAnsi="Arial"/>
          <w:sz w:val="16"/>
          <w:szCs w:val="16"/>
          <w:color w:val="auto"/>
        </w:rPr>
        <w:t>Inventory is stated at the lower of cost or net realizable value. Cost is determined using the first-in, first-out method. The cost of manufactured inventory includes the cost of materials, labor, freight-in, royalties and manufacturing overhead. Net realizable value is calculated as the estimated selling price less reasonable costs necessary to complete, sell, transport and dispose of the inventory. We record write downs for inventory for obsolete and slow moving items based on trends and experience. We enter into arrangements with distributors where physical delivery of a product to a distributor has occurred, but we maintain control of the product until such time it is sold to an end consumer. For these arrangements, we account for the products as consigned inventory.</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77"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Property and equipment, including capitalized expenditures related to our wireless projects, 5G Network Deployment and satellites, are stated at cost less depreciation and impairment losses, if any. Capitalized expenditures include the cost of long-lived assets, plus the cost to construct the asset such as labor and overhead directly benefiting the asset. Interest is capitalized when pre-construction activity commences and ends once the asset is ready for its intended purpose. Our equipment leased to customers is generally capitalized when they are installed in customers’ homes. We have certain assets acquired under finance leases. The recorded costs of those assets are the present values of all lease payments. We amortize our finance lease right of use (“ROU”) assets over their respective lease terms.</w:t>
      </w:r>
    </w:p>
    <w:p>
      <w:pPr>
        <w:spacing w:after="0" w:line="148" w:lineRule="exact"/>
        <w:rPr>
          <w:sz w:val="20"/>
          <w:szCs w:val="20"/>
          <w:color w:val="auto"/>
        </w:rPr>
      </w:pPr>
    </w:p>
    <w:p>
      <w:pPr>
        <w:ind w:left="40" w:right="279"/>
        <w:spacing w:after="0" w:line="246" w:lineRule="auto"/>
        <w:rPr>
          <w:sz w:val="20"/>
          <w:szCs w:val="20"/>
          <w:color w:val="auto"/>
        </w:rPr>
      </w:pPr>
      <w:r>
        <w:rPr>
          <w:rFonts w:ascii="Arial" w:cs="Arial" w:eastAsia="Arial" w:hAnsi="Arial"/>
          <w:sz w:val="16"/>
          <w:szCs w:val="16"/>
          <w:color w:val="auto"/>
        </w:rPr>
        <w:t>If a satellite were to fail while in-orbit, the resultant loss would be charged to expense in the period such loss was incurred. The amount of any such loss would be reduced to the extent of insurance proceeds estimated to be received, if any. Depreciation is recorded on a straight-line basis over useful lives ranging from one to 40 years. Repair and maintenance costs are charged to expense when incurred. Renewals and improvements that add value or extend the asset’s useful life are capitalized.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7" w:name="page138"/>
    <w:bookmarkEnd w:id="13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Internal Use Software</w:t>
      </w:r>
    </w:p>
    <w:p>
      <w:pPr>
        <w:spacing w:after="0" w:line="177"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color w:val="auto"/>
        </w:rPr>
        <w:t>We capitalize certain costs related to developing or acquiring internal use software. Capitalization of software costs begins once the preliminary project stage is completed and we commit to funding the software project. Capitalizing ceases when the software project is ready for its intended use. Capitalized software costs are recorded in “Property and equipment, net” on our Consolidated Balance Sheets and are amortized over the estimated useful life of the software. Costs incurred during the preliminary project stage plus costs associated with training and maintenance are expensed as incurred.</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Asset Retirement Obligation</w:t>
      </w:r>
    </w:p>
    <w:p>
      <w:pPr>
        <w:spacing w:after="0" w:line="177" w:lineRule="exact"/>
        <w:rPr>
          <w:sz w:val="20"/>
          <w:szCs w:val="20"/>
          <w:color w:val="auto"/>
        </w:rPr>
      </w:pPr>
    </w:p>
    <w:p>
      <w:pPr>
        <w:ind w:left="40" w:right="119"/>
        <w:spacing w:after="0" w:line="242" w:lineRule="auto"/>
        <w:rPr>
          <w:sz w:val="20"/>
          <w:szCs w:val="20"/>
          <w:color w:val="auto"/>
        </w:rPr>
      </w:pPr>
      <w:r>
        <w:rPr>
          <w:rFonts w:ascii="Arial" w:cs="Arial" w:eastAsia="Arial" w:hAnsi="Arial"/>
          <w:sz w:val="16"/>
          <w:szCs w:val="16"/>
          <w:color w:val="auto"/>
        </w:rPr>
        <w:t>We record an asset retirement obligation for the estimated fair value of legal obligations associated with the retirement of tangible long-lived assets and a corresponding increase in the carrying amount of the related asset in the period in which the obligation is incurred. In periods subsequent to initial measurement, we recognize changes in the liability resulting from the passage of time and revisions to either the timing or the amount of the original estimate. Over time, the liability is accreted to its present value and the capitalized cost is depreciated over the estimated useful life of the asset. Our asset retirement obligations relate primarily to certain legal obligations to remediate leased property on our communication towers and are recorded in “Property and equipment, net” with the related liability recorded in “Long-term deferred revenue and other long-term liabilities” on our Consolidated Balance Sheets.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 Investments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Equity Method Investments</w:t>
      </w:r>
    </w:p>
    <w:p>
      <w:pPr>
        <w:spacing w:after="0" w:line="177" w:lineRule="exact"/>
        <w:rPr>
          <w:sz w:val="20"/>
          <w:szCs w:val="20"/>
          <w:color w:val="auto"/>
        </w:rPr>
      </w:pPr>
    </w:p>
    <w:p>
      <w:pPr>
        <w:ind w:left="40" w:right="559"/>
        <w:spacing w:after="0" w:line="244" w:lineRule="auto"/>
        <w:rPr>
          <w:sz w:val="20"/>
          <w:szCs w:val="20"/>
          <w:color w:val="auto"/>
        </w:rPr>
      </w:pPr>
      <w:r>
        <w:rPr>
          <w:rFonts w:ascii="Arial" w:cs="Arial" w:eastAsia="Arial" w:hAnsi="Arial"/>
          <w:sz w:val="16"/>
          <w:szCs w:val="16"/>
          <w:color w:val="auto"/>
        </w:rPr>
        <w:t>We use the equity method to account for investments when we have the ability to exercise significant influence on the operating decisions of the affiliate. Such investments are initially recorded at cost and subsequently adjusted for our proportionate share of the net earnings or loss of the investee, which is reported in “Other, net” on our Consolidated Statements of Operations and Comprehensive Income (Loss). The carrying amount of such investments includes a component of goodwill when the cost of our investment exceeds the fair value of the underlying identifiable assets and liabilities of the affiliate. Dividends received from these affiliates reduces the carrying amount of our investment.</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Cost Method Investments</w:t>
      </w:r>
    </w:p>
    <w:p>
      <w:pPr>
        <w:spacing w:after="0" w:line="177"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We generally measure investments in non-publicly traded equity instruments without a readily determinable fair value at cost adjusted for observable price changes in orderly transactions for the identical or similar securities of the same issuer and changes resulting from impairments, if any. Other equity instruments are measured to determine their value based on observable market information. When we adjust the carrying amount of an investment to its estimated fair value, the gain or loss is recorded in “Other, net” on our Consolidated Statements of Operations and Comprehensive Income (Loss).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Other Debt Investments</w:t>
      </w:r>
    </w:p>
    <w:p>
      <w:pPr>
        <w:spacing w:after="0" w:line="177" w:lineRule="exact"/>
        <w:rPr>
          <w:sz w:val="20"/>
          <w:szCs w:val="20"/>
          <w:color w:val="auto"/>
        </w:rPr>
      </w:pPr>
    </w:p>
    <w:p>
      <w:pPr>
        <w:ind w:left="40" w:right="79"/>
        <w:spacing w:after="0" w:line="244" w:lineRule="auto"/>
        <w:rPr>
          <w:sz w:val="20"/>
          <w:szCs w:val="20"/>
          <w:color w:val="auto"/>
        </w:rPr>
      </w:pPr>
      <w:r>
        <w:rPr>
          <w:rFonts w:ascii="Arial" w:cs="Arial" w:eastAsia="Arial" w:hAnsi="Arial"/>
          <w:sz w:val="16"/>
          <w:szCs w:val="16"/>
          <w:color w:val="auto"/>
        </w:rPr>
        <w:t>We generally record our investments in non-publicly traded debt instruments without a readily determinable fair value at amortized cost. We recognize any discounts over the term of the loan in “Interest income” on the Consolidated Statements of Operations and Comprehensive Income (Loss). In addition, from time to time, some of our debt instruments have interest income that is paid-in-kind, which is added to the principal balance to determine the then current interest income. When we adjust the carrying amount of an investment, the gain or loss is recorded in “Other, net” on our Consolidated Statements of Operations and Comprehensive Income (Loss).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57">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7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Impairment Considerations</w:t>
      </w:r>
    </w:p>
    <w:p>
      <w:pPr>
        <w:spacing w:after="0" w:line="177"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We periodically evaluate all of our other investments to determine whether events or changes in circumstances have occurred that may have a significant adverse effect on the fair value of the investment. We consider information if provided to us by our investees such as current financial statements, business plans, investment documentation, capitalization tables, liquidation waterfalls, litigation updates and board materials; and we may make additional inquiries of investee management.</w:t>
      </w:r>
    </w:p>
    <w:p>
      <w:pPr>
        <w:spacing w:after="0" w:line="144"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Indicators of impairment may include, but are not limited to, unprofitable operations, material loss contingencies, changes in business strategy, changes in market trends or market conditions, changes in the investees’ enterprise value, regulatory matters, and changes in the investees’ investment pricing. When we determine that one of our other investments is impaired we reduce its carrying value to its estimated fair value and recognize the impairment loss in “Other, net” on our Consolidated Statements of Operations and Comprehensive Income (Loss).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Derivative Instruments</w:t>
      </w:r>
    </w:p>
    <w:p>
      <w:pPr>
        <w:spacing w:after="0" w:line="177" w:lineRule="exact"/>
        <w:rPr>
          <w:sz w:val="20"/>
          <w:szCs w:val="20"/>
          <w:color w:val="auto"/>
        </w:rPr>
      </w:pPr>
    </w:p>
    <w:p>
      <w:pPr>
        <w:ind w:left="40" w:right="159"/>
        <w:spacing w:after="0" w:line="246" w:lineRule="auto"/>
        <w:rPr>
          <w:sz w:val="20"/>
          <w:szCs w:val="20"/>
          <w:color w:val="auto"/>
        </w:rPr>
      </w:pPr>
      <w:r>
        <w:rPr>
          <w:rFonts w:ascii="Arial" w:cs="Arial" w:eastAsia="Arial" w:hAnsi="Arial"/>
          <w:sz w:val="16"/>
          <w:szCs w:val="16"/>
          <w:color w:val="auto"/>
        </w:rPr>
        <w:t>We may purchase and hold derivative financial instruments for, among other reasons, strategic or speculative purposes. We record all derivative financial instruments on our Consolidated Balance Sheets at fair value as either assets or liabilities. Changes in the fair values of derivative financial instruments are recognized in our results of operations and included in “Other, net” within “Other Income (Expense)” on our Consolidated Statements of Operations and Comprehensive Income (Loss). We have not designated any derivative financial instrument for hedge accounting.</w:t>
      </w:r>
    </w:p>
    <w:p>
      <w:pPr>
        <w:spacing w:after="0" w:line="146" w:lineRule="exact"/>
        <w:rPr>
          <w:sz w:val="20"/>
          <w:szCs w:val="20"/>
          <w:color w:val="auto"/>
        </w:rPr>
      </w:pPr>
    </w:p>
    <w:p>
      <w:pPr>
        <w:ind w:left="40" w:right="119"/>
        <w:spacing w:after="0" w:line="275" w:lineRule="auto"/>
        <w:rPr>
          <w:sz w:val="20"/>
          <w:szCs w:val="20"/>
          <w:color w:val="auto"/>
        </w:rPr>
      </w:pPr>
      <w:r>
        <w:rPr>
          <w:rFonts w:ascii="Arial" w:cs="Arial" w:eastAsia="Arial" w:hAnsi="Arial"/>
          <w:sz w:val="16"/>
          <w:szCs w:val="16"/>
          <w:color w:val="auto"/>
        </w:rPr>
        <w:t xml:space="preserve">We had the option to purchase certain of T-Mobile’s 800 MHz spectrum licenses from T-Mobile at a fixed price </w:t>
      </w:r>
      <w:r>
        <w:rPr>
          <w:rFonts w:ascii="Arial" w:cs="Arial" w:eastAsia="Arial" w:hAnsi="Arial"/>
          <w:sz w:val="16"/>
          <w:szCs w:val="16"/>
          <w:color w:val="222222"/>
        </w:rPr>
        <w:t>which expired</w:t>
      </w:r>
      <w:r>
        <w:rPr>
          <w:rFonts w:ascii="Arial" w:cs="Arial" w:eastAsia="Arial" w:hAnsi="Arial"/>
          <w:sz w:val="16"/>
          <w:szCs w:val="16"/>
          <w:color w:val="auto"/>
        </w:rPr>
        <w:t xml:space="preserve"> </w:t>
      </w:r>
      <w:r>
        <w:rPr>
          <w:rFonts w:ascii="Arial" w:cs="Arial" w:eastAsia="Arial" w:hAnsi="Arial"/>
          <w:sz w:val="16"/>
          <w:szCs w:val="16"/>
          <w:color w:val="222222"/>
        </w:rPr>
        <w:t>on its own terms on April 1, 2024</w:t>
      </w:r>
      <w:r>
        <w:rPr>
          <w:rFonts w:ascii="Arial" w:cs="Arial" w:eastAsia="Arial" w:hAnsi="Arial"/>
          <w:sz w:val="16"/>
          <w:szCs w:val="16"/>
          <w:color w:val="000000"/>
        </w:rPr>
        <w:t>.</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Impairment of Long-Lived Assets and Finite-Lived Intangible Assets</w:t>
      </w:r>
    </w:p>
    <w:p>
      <w:pPr>
        <w:spacing w:after="0" w:line="177"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We review our long-lived assets and identifiable finite-lived intangible assets for impairment whenever events or changes in circumstances indicate that the carrying amount of an asset may not be recoverable. Intangible assets that have finite lives are amortized over their estimated useful lives. For assets which are held and used in operations, the asset would be impaired if the carrying amount of the asset (or asset group) exceeded its undiscounted future net cash flows. When an impairment is determined, the actual impairment recognized is the difference between the carrying amount and the fair value as estimated using one of the following approaches: income, cost and/or market. In the event of an impairment, a loss is recorded in “Impairment of long-lived assets and goodwill” on our Consolidated Statements of Operations and Comprehensive Income (Loss) based on the amount by which the carrying amount exceeds the fair value of the long-lived asset or asset group. Assets which are to be disposed of are reported at the lower of the carrying amount or fair value less costs to sell.</w:t>
      </w:r>
    </w:p>
    <w:p>
      <w:pPr>
        <w:spacing w:after="0" w:line="149"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Fair value, using the income approach, is determined primarily using a discounted cash flow model that uses the estimated cash flows associated with the asset or asset group under review, discounted at a rate commensurate with the risk involved. Fair value, utilizing the cost approach, is determined based on the replacement cost of the asset reduced for, among other things, depreciation and obsolescence. Fair value, utilizing the market approach, benchmarks the fair value against the carrying amount.</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Pay-TV Satellite Fleet</w:t>
      </w:r>
    </w:p>
    <w:p>
      <w:pPr>
        <w:spacing w:after="0" w:line="177"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We currently evaluate our Pay-TV satellite fleet for impairment as one asset group whenever events or changes in circumstances indicate that its carrying amount may not be recoverable. We do not believe any triggering event has occurred which would indicate impairment as of December 31, 2024 and 2023. We will continue to monitor our Pay-TV satellite fleet for indicators of impairment.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58">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7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Broadband and Satellite Services Satellite Fleet</w:t>
      </w:r>
    </w:p>
    <w:p>
      <w:pPr>
        <w:spacing w:after="0" w:line="177"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We currently evaluate our Broadband and Satellite Services satellite fleet for impairment whenever events or changes in circumstances indicate that its carrying amount may not be recoverable. We do not believe any triggering event has occurred which would indicate impairment as of December 31, 2024 and 2023. We will continue to monitor our Broadband and Satellite Services satellite fleet for indicators of impairment.</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Finite-Lived Regulatory Authorizations</w:t>
      </w:r>
    </w:p>
    <w:p>
      <w:pPr>
        <w:spacing w:after="0" w:line="177" w:lineRule="exact"/>
        <w:rPr>
          <w:sz w:val="20"/>
          <w:szCs w:val="20"/>
          <w:color w:val="auto"/>
        </w:rPr>
      </w:pPr>
    </w:p>
    <w:p>
      <w:pPr>
        <w:ind w:left="40" w:right="279"/>
        <w:spacing w:after="0" w:line="249" w:lineRule="auto"/>
        <w:rPr>
          <w:sz w:val="20"/>
          <w:szCs w:val="20"/>
          <w:color w:val="auto"/>
        </w:rPr>
      </w:pPr>
      <w:r>
        <w:rPr>
          <w:rFonts w:ascii="Arial" w:cs="Arial" w:eastAsia="Arial" w:hAnsi="Arial"/>
          <w:sz w:val="16"/>
          <w:szCs w:val="16"/>
          <w:color w:val="auto"/>
        </w:rPr>
        <w:t>We have regulatory authorizations that are not related to the FCC and have determined that they have finite lives due to uncertainties about the ability to extend or renew their terms. Finite-lived regulatory authorizations are amortized over their estimated useful lives on a straight-line basis. Renewal costs are usually capitalized when they are incurred. We do not believe any triggering event has occurred which would indicate impairment as of December 31, 2024 and 2023.</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Finite-Lived Intangible Assets</w:t>
      </w:r>
    </w:p>
    <w:p>
      <w:pPr>
        <w:spacing w:after="0" w:line="177" w:lineRule="exact"/>
        <w:rPr>
          <w:sz w:val="20"/>
          <w:szCs w:val="20"/>
          <w:color w:val="auto"/>
        </w:rPr>
      </w:pPr>
    </w:p>
    <w:p>
      <w:pPr>
        <w:ind w:left="40" w:right="579"/>
        <w:spacing w:after="0" w:line="256" w:lineRule="auto"/>
        <w:rPr>
          <w:sz w:val="20"/>
          <w:szCs w:val="20"/>
          <w:color w:val="auto"/>
        </w:rPr>
      </w:pPr>
      <w:r>
        <w:rPr>
          <w:rFonts w:ascii="Arial" w:cs="Arial" w:eastAsia="Arial" w:hAnsi="Arial"/>
          <w:sz w:val="16"/>
          <w:szCs w:val="16"/>
          <w:color w:val="auto"/>
        </w:rPr>
        <w:t>Intangible assets include customer relationships, trademarks, and certain below market contracts. These assets are amortized over their respective useful lives. We do not believe any triggering event has occurred which would indicate impairment as of December 31, 2024 and 2023.</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Indefinite-Lived Intangible Assets and Goodwill</w:t>
      </w:r>
    </w:p>
    <w:p>
      <w:pPr>
        <w:spacing w:after="0" w:line="177" w:lineRule="exact"/>
        <w:rPr>
          <w:sz w:val="20"/>
          <w:szCs w:val="20"/>
          <w:color w:val="auto"/>
        </w:rPr>
      </w:pPr>
    </w:p>
    <w:p>
      <w:pPr>
        <w:ind w:left="40" w:right="119"/>
        <w:spacing w:after="0" w:line="243" w:lineRule="auto"/>
        <w:rPr>
          <w:sz w:val="20"/>
          <w:szCs w:val="20"/>
          <w:color w:val="auto"/>
        </w:rPr>
      </w:pPr>
      <w:r>
        <w:rPr>
          <w:rFonts w:ascii="Arial" w:cs="Arial" w:eastAsia="Arial" w:hAnsi="Arial"/>
          <w:sz w:val="16"/>
          <w:szCs w:val="16"/>
          <w:color w:val="auto"/>
        </w:rPr>
        <w:t>We do not amortize indefinite-lived intangible assets and goodwill but test these assets for impairment annually, during the fourth quarter or more often if indicators of impairment arise. We have the option to first perform a qualitative assessment to determine whether it is necessary to perform a quantitative impairment test. However, we may elect to bypass the qualitative assessment in any period and proceed directly to performing the quantitative impairment test. Our intangible assets with indefinite lives primarily consist of FCC licenses and certain other contractual or regulatory rights to use spectrum at specified orbital locations. Generally, we have determined that our FCC licenses have indefinite useful lives due to the following:</w:t>
      </w:r>
    </w:p>
    <w:p>
      <w:pPr>
        <w:spacing w:after="0" w:line="334" w:lineRule="exact"/>
        <w:rPr>
          <w:sz w:val="20"/>
          <w:szCs w:val="20"/>
          <w:color w:val="auto"/>
        </w:rPr>
      </w:pPr>
    </w:p>
    <w:p>
      <w:pPr>
        <w:ind w:left="640" w:hanging="284"/>
        <w:spacing w:after="0"/>
        <w:tabs>
          <w:tab w:leader="none" w:pos="6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FCC licenses are a non-depleting asset;</w:t>
      </w:r>
    </w:p>
    <w:p>
      <w:pPr>
        <w:spacing w:after="0" w:line="24"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existing FCC licenses are integral to our business segments and will contribute to cash flows indefinitely;</w:t>
      </w:r>
    </w:p>
    <w:p>
      <w:pPr>
        <w:spacing w:after="0" w:line="8" w:lineRule="exact"/>
        <w:rPr>
          <w:rFonts w:ascii="Times New Roman" w:cs="Times New Roman" w:eastAsia="Times New Roman" w:hAnsi="Times New Roman"/>
          <w:sz w:val="16"/>
          <w:szCs w:val="16"/>
          <w:color w:val="auto"/>
        </w:rPr>
      </w:pPr>
    </w:p>
    <w:p>
      <w:pPr>
        <w:ind w:left="640" w:right="719" w:hanging="284"/>
        <w:spacing w:after="0" w:line="236" w:lineRule="auto"/>
        <w:tabs>
          <w:tab w:leader="none" w:pos="6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replacement satellite applications are generally authorized by the FCC subject to certain conditions, without substantial cost under a stable regulatory, legislative and legal environment;</w:t>
      </w:r>
    </w:p>
    <w:p>
      <w:pPr>
        <w:ind w:left="640" w:hanging="284"/>
        <w:spacing w:after="0"/>
        <w:tabs>
          <w:tab w:leader="none" w:pos="6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maintenance expenditures to obtain future cash flows are not significant;</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FCC licenses are not technologically dependent; and</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we intend to use these assets indefinitely.</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Pay-TV Segment Licenses</w:t>
      </w:r>
    </w:p>
    <w:p>
      <w:pPr>
        <w:spacing w:after="0" w:line="177"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We combine all of our indefinite-lived Pay-TV segment licenses that we currently utilize or plan to utilize in the future into a single unit of accounting. For 2024, 2023 and 2022, management performed a qualitative assessment to determine whether it was more likely than not that the fair value of the Pay-TV segment licenses exceeds the carrying amount. In our assessment, we considered several factors, including, among others, overall financial performance, industry and market considerations and relevant company specific events. In contemplating all factors in their totality, we concluded that it is more likely than not that the fair value of the Pay-TV segment licenses exceeds the carrying amount. As such, no further analysis was required.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59">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0" w:name="page141"/>
    <w:bookmarkEnd w:id="14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Broadband and Satellite Services Segment Licenses</w:t>
      </w:r>
    </w:p>
    <w:p>
      <w:pPr>
        <w:spacing w:after="0" w:line="177" w:lineRule="exact"/>
        <w:rPr>
          <w:sz w:val="20"/>
          <w:szCs w:val="20"/>
          <w:color w:val="auto"/>
        </w:rPr>
      </w:pPr>
    </w:p>
    <w:p>
      <w:pPr>
        <w:ind w:left="40" w:right="119"/>
        <w:spacing w:after="0" w:line="243" w:lineRule="auto"/>
        <w:rPr>
          <w:sz w:val="20"/>
          <w:szCs w:val="20"/>
          <w:color w:val="auto"/>
        </w:rPr>
      </w:pPr>
      <w:r>
        <w:rPr>
          <w:rFonts w:ascii="Arial" w:cs="Arial" w:eastAsia="Arial" w:hAnsi="Arial"/>
          <w:sz w:val="16"/>
          <w:szCs w:val="16"/>
          <w:color w:val="auto"/>
        </w:rPr>
        <w:t>We combine all of our indefinite-lived Broadband and Satellite Services segment licenses that we currently utilize or plan to utilize in the future into a single unit of accounting. For 2024, 2023 and 2022, management performed a qualitative assessment to determine whether it was more likely than not that the fair value of the Broadband and Satellite Services segment licenses exceeds the carrying amount. In our assessment, we considered several factors, including, among others, overall financial performance, industry and market considerations and relevant company specific events. In contemplating all factors in their totality, we concluded that it is more likely than not that the fair value of the Broadband and Satellite Services segment licenses exceeds the carrying amount. As such, no further analysis was required.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Wireless Segment Spectrum Licenses</w:t>
      </w:r>
    </w:p>
    <w:p>
      <w:pPr>
        <w:spacing w:after="0" w:line="177" w:lineRule="exact"/>
        <w:rPr>
          <w:sz w:val="20"/>
          <w:szCs w:val="20"/>
          <w:color w:val="auto"/>
        </w:rPr>
      </w:pPr>
    </w:p>
    <w:p>
      <w:pPr>
        <w:ind w:left="40" w:right="79"/>
        <w:spacing w:after="0" w:line="275" w:lineRule="auto"/>
        <w:rPr>
          <w:sz w:val="20"/>
          <w:szCs w:val="20"/>
          <w:color w:val="auto"/>
        </w:rPr>
      </w:pPr>
      <w:r>
        <w:rPr>
          <w:rFonts w:ascii="Arial" w:cs="Arial" w:eastAsia="Arial" w:hAnsi="Arial"/>
          <w:sz w:val="16"/>
          <w:szCs w:val="16"/>
          <w:color w:val="auto"/>
        </w:rPr>
        <w:t>We combine all of our indefinite-lived Wireless segment spectrum licenses, excluding the MVDDS Licenses discussed below, into a single unit of accounting.</w:t>
      </w:r>
    </w:p>
    <w:p>
      <w:pPr>
        <w:spacing w:after="0" w:line="123"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auto"/>
        </w:rPr>
        <w:t>Management performs either a qualitative assessment or a quantitative assessment, using the market approach or the income approach, to determine whether it is more likely than not that the fair value of these licenses exceeds the carrying amount. The market approach assesses the value of our spectrum using benchmarks, based on market transactions, which may include spectrum auctions and secondary market transactions, either acquisitions of spectrum or of businesses for which spectrum values can reliably be inferred.</w:t>
      </w:r>
    </w:p>
    <w:p>
      <w:pPr>
        <w:spacing w:after="0" w:line="146"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In 2024, management performed a qualitative assessment to determine whether it is more likely than not that the fair value of these licenses exceeds the carrying amount. In our assessment, we considered several factors, including, among others, prior year quantitative assessments, industry considerations and secondary market transactions. In contemplating all factors in their totality, we concluded that it is more likely than not that the fair value of these licenses exceeds the carrying amount.</w:t>
      </w:r>
    </w:p>
    <w:p>
      <w:pPr>
        <w:spacing w:after="0" w:line="144" w:lineRule="exact"/>
        <w:rPr>
          <w:sz w:val="20"/>
          <w:szCs w:val="20"/>
          <w:color w:val="auto"/>
        </w:rPr>
      </w:pPr>
    </w:p>
    <w:p>
      <w:pPr>
        <w:ind w:left="40" w:right="219"/>
        <w:spacing w:after="0" w:line="249" w:lineRule="auto"/>
        <w:rPr>
          <w:sz w:val="20"/>
          <w:szCs w:val="20"/>
          <w:color w:val="auto"/>
        </w:rPr>
      </w:pPr>
      <w:r>
        <w:rPr>
          <w:rFonts w:ascii="Arial" w:cs="Arial" w:eastAsia="Arial" w:hAnsi="Arial"/>
          <w:sz w:val="16"/>
          <w:szCs w:val="16"/>
          <w:color w:val="auto"/>
        </w:rPr>
        <w:t>In 2023, management performed a quantitative assessment to determine whether the fair value of these licenses exceeds the carrying amount. The quantitative assessment consisted of a market approach performed by a third-party and reviewed by management. In our assessment, we concluded that under the market approach the fair value of these licenses are substantially in excess of the carrying value.</w:t>
      </w:r>
    </w:p>
    <w:p>
      <w:pPr>
        <w:spacing w:after="0" w:line="144" w:lineRule="exact"/>
        <w:rPr>
          <w:sz w:val="20"/>
          <w:szCs w:val="20"/>
          <w:color w:val="auto"/>
        </w:rPr>
      </w:pPr>
    </w:p>
    <w:p>
      <w:pPr>
        <w:jc w:val="both"/>
        <w:ind w:left="40" w:right="279"/>
        <w:spacing w:after="0" w:line="256" w:lineRule="auto"/>
        <w:rPr>
          <w:sz w:val="20"/>
          <w:szCs w:val="20"/>
          <w:color w:val="auto"/>
        </w:rPr>
      </w:pPr>
      <w:r>
        <w:rPr>
          <w:rFonts w:ascii="Arial" w:cs="Arial" w:eastAsia="Arial" w:hAnsi="Arial"/>
          <w:sz w:val="16"/>
          <w:szCs w:val="16"/>
          <w:color w:val="auto"/>
        </w:rPr>
        <w:t>In 2022, management performed a quantitative assessment to determine whether the fair value of these licenses exceeds the carrying amount. In our assessment, we performed the market approach and the income approach and concluded that under both scenarios the fair value of these licenses are substantially in excess of the carrying value.</w:t>
      </w:r>
    </w:p>
    <w:p>
      <w:pPr>
        <w:spacing w:after="0" w:line="137" w:lineRule="exact"/>
        <w:rPr>
          <w:sz w:val="20"/>
          <w:szCs w:val="20"/>
          <w:color w:val="auto"/>
        </w:rPr>
      </w:pPr>
    </w:p>
    <w:p>
      <w:pPr>
        <w:ind w:left="40" w:right="139"/>
        <w:spacing w:after="0" w:line="275" w:lineRule="auto"/>
        <w:rPr>
          <w:sz w:val="20"/>
          <w:szCs w:val="20"/>
          <w:color w:val="auto"/>
        </w:rPr>
      </w:pPr>
      <w:r>
        <w:rPr>
          <w:rFonts w:ascii="Arial" w:cs="Arial" w:eastAsia="Arial" w:hAnsi="Arial"/>
          <w:sz w:val="16"/>
          <w:szCs w:val="16"/>
          <w:color w:val="auto"/>
        </w:rPr>
        <w:t>Changes in circumstances or market conditions could result in a write-down of any of the above Wireless segment spectrum licenses in the future.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Goodwill</w:t>
      </w:r>
    </w:p>
    <w:p>
      <w:pPr>
        <w:spacing w:after="0" w:line="177" w:lineRule="exact"/>
        <w:rPr>
          <w:sz w:val="20"/>
          <w:szCs w:val="20"/>
          <w:color w:val="auto"/>
        </w:rPr>
      </w:pPr>
    </w:p>
    <w:p>
      <w:pPr>
        <w:ind w:left="40" w:right="159"/>
        <w:spacing w:after="0" w:line="275" w:lineRule="auto"/>
        <w:rPr>
          <w:sz w:val="20"/>
          <w:szCs w:val="20"/>
          <w:color w:val="auto"/>
        </w:rPr>
      </w:pPr>
      <w:r>
        <w:rPr>
          <w:rFonts w:ascii="Arial" w:cs="Arial" w:eastAsia="Arial" w:hAnsi="Arial"/>
          <w:sz w:val="16"/>
          <w:szCs w:val="16"/>
          <w:color w:val="auto"/>
        </w:rPr>
        <w:t>We perform our annual impairment assessment for goodwill and other indefinite-lived intangible assets each year during the fourth quarter or more frequently if events or changes in circumstances indicate an impairment may be possible.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60">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1" w:name="page142"/>
    <w:bookmarkEnd w:id="14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color w:val="auto"/>
        </w:rPr>
        <w:t>For the year ended December 31, 2023, our assessment indicated the goodwill attributed to certain acquisitions was no longer supported based on the sustained decrease in our market capitalization. As such, we recorded a total noncash impairment charge equal to all of our goodwill of approximately $758 million in “Impairment of long-lived assets and goodwill” on our Consolidated Statements of Operations and Comprehensive Income (Loss).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presents the changes in the carrying amounts of goodwill by operating segment:</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5"/>
                <w:szCs w:val="15"/>
                <w:b w:val="1"/>
                <w:bCs w:val="1"/>
                <w:color w:val="auto"/>
              </w:rPr>
              <w:t>Broadband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ind w:left="20"/>
              <w:spacing w:after="0" w:line="169" w:lineRule="exact"/>
              <w:rPr>
                <w:sz w:val="20"/>
                <w:szCs w:val="20"/>
                <w:color w:val="auto"/>
              </w:rPr>
            </w:pPr>
            <w:r>
              <w:rPr>
                <w:rFonts w:ascii="Arial" w:cs="Arial" w:eastAsia="Arial" w:hAnsi="Arial"/>
                <w:sz w:val="15"/>
                <w:szCs w:val="15"/>
                <w:b w:val="1"/>
                <w:bCs w:val="1"/>
                <w:color w:val="auto"/>
              </w:rPr>
              <w:t>and Satellite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5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Goodwill</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Pay-TV</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97"/>
              </w:rPr>
              <w:t>Wireless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97"/>
              </w:rPr>
              <w:t>Services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2"/>
        </w:trPr>
        <w:tc>
          <w:tcPr>
            <w:tcW w:w="45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427"/>
              <w:spacing w:after="0" w:line="161" w:lineRule="exact"/>
              <w:rPr>
                <w:sz w:val="20"/>
                <w:szCs w:val="20"/>
                <w:color w:val="auto"/>
              </w:rPr>
            </w:pPr>
            <w:r>
              <w:rPr>
                <w:rFonts w:ascii="Arial" w:cs="Arial" w:eastAsia="Arial" w:hAnsi="Arial"/>
                <w:sz w:val="15"/>
                <w:szCs w:val="15"/>
                <w:color w:val="auto"/>
              </w:rPr>
              <w:t>(In thousands)</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720" w:type="dxa"/>
            <w:vAlign w:val="bottom"/>
            <w:gridSpan w:val="2"/>
            <w:shd w:val="clear" w:color="auto" w:fill="CCEEFF"/>
          </w:tcPr>
          <w:p>
            <w:pPr>
              <w:spacing w:after="0" w:line="137" w:lineRule="exact"/>
              <w:rPr>
                <w:sz w:val="20"/>
                <w:szCs w:val="20"/>
                <w:color w:val="auto"/>
              </w:rPr>
            </w:pPr>
            <w:r>
              <w:rPr>
                <w:rFonts w:ascii="Arial" w:cs="Arial" w:eastAsia="Arial" w:hAnsi="Arial"/>
                <w:sz w:val="15"/>
                <w:szCs w:val="15"/>
                <w:b w:val="1"/>
                <w:bCs w:val="1"/>
                <w:color w:val="auto"/>
              </w:rPr>
              <w:t>Balance, December 31, 2022, net of accumulated impairment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7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6,457</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218,560</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532,491</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757,508</w:t>
            </w:r>
          </w:p>
        </w:tc>
        <w:tc>
          <w:tcPr>
            <w:tcW w:w="0" w:type="dxa"/>
            <w:vAlign w:val="bottom"/>
          </w:tcPr>
          <w:p>
            <w:pPr>
              <w:spacing w:after="0"/>
              <w:rPr>
                <w:sz w:val="1"/>
                <w:szCs w:val="1"/>
                <w:color w:val="auto"/>
              </w:rPr>
            </w:pPr>
          </w:p>
        </w:tc>
      </w:tr>
      <w:tr>
        <w:trPr>
          <w:trHeight w:val="162"/>
        </w:trPr>
        <w:tc>
          <w:tcPr>
            <w:tcW w:w="472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Impairment of goodwill</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(6,457)</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(218,560)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(532,491)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(757,508)</w:t>
            </w:r>
          </w:p>
        </w:tc>
        <w:tc>
          <w:tcPr>
            <w:tcW w:w="0" w:type="dxa"/>
            <w:vAlign w:val="bottom"/>
          </w:tcPr>
          <w:p>
            <w:pPr>
              <w:spacing w:after="0"/>
              <w:rPr>
                <w:sz w:val="1"/>
                <w:szCs w:val="1"/>
                <w:color w:val="auto"/>
              </w:rPr>
            </w:pPr>
          </w:p>
        </w:tc>
      </w:tr>
      <w:tr>
        <w:trPr>
          <w:trHeight w:val="137"/>
        </w:trPr>
        <w:tc>
          <w:tcPr>
            <w:tcW w:w="4720" w:type="dxa"/>
            <w:vAlign w:val="bottom"/>
            <w:gridSpan w:val="2"/>
            <w:shd w:val="clear" w:color="auto" w:fill="CCEEFF"/>
          </w:tcPr>
          <w:p>
            <w:pPr>
              <w:spacing w:after="0" w:line="137" w:lineRule="exact"/>
              <w:rPr>
                <w:sz w:val="20"/>
                <w:szCs w:val="20"/>
                <w:color w:val="auto"/>
              </w:rPr>
            </w:pPr>
            <w:r>
              <w:rPr>
                <w:rFonts w:ascii="Arial" w:cs="Arial" w:eastAsia="Arial" w:hAnsi="Arial"/>
                <w:sz w:val="15"/>
                <w:szCs w:val="15"/>
                <w:b w:val="1"/>
                <w:bCs w:val="1"/>
                <w:color w:val="auto"/>
              </w:rPr>
              <w:t>Balance, December 31, 2023, net of accumulated impairment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472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losses</w:t>
            </w:r>
          </w:p>
        </w:tc>
        <w:tc>
          <w:tcPr>
            <w:tcW w:w="1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Capitalized Interest</w:t>
      </w:r>
    </w:p>
    <w:p>
      <w:pPr>
        <w:spacing w:after="0" w:line="177" w:lineRule="exact"/>
        <w:rPr>
          <w:sz w:val="20"/>
          <w:szCs w:val="20"/>
          <w:color w:val="auto"/>
        </w:rPr>
      </w:pPr>
    </w:p>
    <w:p>
      <w:pPr>
        <w:jc w:val="both"/>
        <w:ind w:left="40" w:right="379"/>
        <w:spacing w:after="0" w:line="249" w:lineRule="auto"/>
        <w:rPr>
          <w:sz w:val="20"/>
          <w:szCs w:val="20"/>
          <w:color w:val="auto"/>
        </w:rPr>
      </w:pPr>
      <w:r>
        <w:rPr>
          <w:rFonts w:ascii="Arial" w:cs="Arial" w:eastAsia="Arial" w:hAnsi="Arial"/>
          <w:sz w:val="16"/>
          <w:szCs w:val="16"/>
          <w:color w:val="auto"/>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these activities are substantially suspended.</w:t>
      </w:r>
    </w:p>
    <w:p>
      <w:pPr>
        <w:spacing w:after="0" w:line="144" w:lineRule="exact"/>
        <w:rPr>
          <w:sz w:val="20"/>
          <w:szCs w:val="20"/>
          <w:color w:val="auto"/>
        </w:rPr>
      </w:pPr>
    </w:p>
    <w:p>
      <w:pPr>
        <w:ind w:left="40" w:right="99" w:hanging="6"/>
        <w:spacing w:after="0" w:line="242" w:lineRule="auto"/>
        <w:rPr>
          <w:sz w:val="20"/>
          <w:szCs w:val="20"/>
          <w:color w:val="auto"/>
        </w:rPr>
      </w:pPr>
      <w:r>
        <w:rPr>
          <w:rFonts w:ascii="Arial" w:cs="Arial" w:eastAsia="Arial" w:hAnsi="Arial"/>
          <w:sz w:val="16"/>
          <w:szCs w:val="16"/>
          <w:color w:val="auto"/>
        </w:rPr>
        <w:t>We are currently commercializing our 5G Network Deployment. As a result, the interest expense related to the carrying amount of the 5G Network Deployment qualifying assets is being capitalized. Historically, the qualifying assets exceeded the carrying value of our long-term debt and finance lease obligations, therefore substantially all of our interest expense was being capitalized. As the qualifying assets, including markets within certain bands of wireless spectrum licenses, have been placed into service with the deployment of our 5G Network, we no longer capitalize substantially all interest on those assets and as a result, during the year ended December 31, 2024, we incurred $429 million of “Interest expense, net of amounts capitalized” on our Consolidated Statements of Operations and Comprehensive Income (Loss), which would have previously been capitalized. We expect this trend to continue.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77"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When we acquire a business that is not subject to rules pertaining to common control, we allocate the purchase price to the various components of the acquisition based upon the fair value of each component using various valuation techniques, including the market approach, income approach and/or cost approach. The accounting standard for business combinations requires identifiable assets, liabilities, noncontrolling interests and goodwill acquired to be recorded at acquisition date fair values. Transaction costs related to the acquisition of the business are expensed as incurred. Costs associated with the issuance of debt associated with a business combination are capitalized and included as a yield adjustment to the underlying debt’s stated rate.</w:t>
      </w:r>
    </w:p>
    <w:p>
      <w:pPr>
        <w:spacing w:after="0" w:line="148"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Acquired intangible assets other than goodwill are amortized over their estimated useful lives unless the lives are determined to be indefinite. Amortization of these intangible assets in general are recognized on a straight-line basis over an average finite useful life primarily ranging from approximately one to 20 years or in relation to the estimated discounted cash flows over the life of the intangible asset.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1">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Long-Term Deferred Revenue and Other Long-Term Liabilities</w:t>
      </w:r>
    </w:p>
    <w:p>
      <w:pPr>
        <w:spacing w:after="0" w:line="177" w:lineRule="exact"/>
        <w:rPr>
          <w:sz w:val="20"/>
          <w:szCs w:val="20"/>
          <w:color w:val="auto"/>
        </w:rPr>
      </w:pPr>
    </w:p>
    <w:p>
      <w:pPr>
        <w:ind w:left="40" w:right="139"/>
        <w:spacing w:after="0" w:line="249" w:lineRule="auto"/>
        <w:rPr>
          <w:sz w:val="20"/>
          <w:szCs w:val="20"/>
          <w:color w:val="auto"/>
        </w:rPr>
      </w:pPr>
      <w:r>
        <w:rPr>
          <w:rFonts w:ascii="Arial" w:cs="Arial" w:eastAsia="Arial" w:hAnsi="Arial"/>
          <w:sz w:val="16"/>
          <w:szCs w:val="16"/>
          <w:color w:val="auto"/>
        </w:rPr>
        <w:t>Certain programmers provide us up-front payments. Such amounts are deferred and recognized as reductions to “Cost of services” on a straight-line basis over the relevant remaining contract term (generally up to ten years). The current and long-term portions of these deferred credits are recorded on our Consolidated Balance Sheets in “Deferred revenue and other” and “Long-term deferred revenue and other long-term liabilities,” respectively.</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Sales Taxes</w:t>
      </w:r>
    </w:p>
    <w:p>
      <w:pPr>
        <w:spacing w:after="0" w:line="177" w:lineRule="exact"/>
        <w:rPr>
          <w:sz w:val="20"/>
          <w:szCs w:val="20"/>
          <w:color w:val="auto"/>
        </w:rPr>
      </w:pPr>
    </w:p>
    <w:p>
      <w:pPr>
        <w:ind w:left="40" w:right="459"/>
        <w:spacing w:after="0" w:line="256" w:lineRule="auto"/>
        <w:rPr>
          <w:sz w:val="20"/>
          <w:szCs w:val="20"/>
          <w:color w:val="auto"/>
        </w:rPr>
      </w:pPr>
      <w:r>
        <w:rPr>
          <w:rFonts w:ascii="Arial" w:cs="Arial" w:eastAsia="Arial" w:hAnsi="Arial"/>
          <w:sz w:val="16"/>
          <w:szCs w:val="16"/>
          <w:color w:val="auto"/>
        </w:rPr>
        <w:t>We account for sales taxes imposed on our goods and services on a net basis on our Consolidated Statements of Operations and Comprehensive Income (Loss). Since we primarily act as an agent for the governmental authorities, the amount charged to the customer is collected and remitted directly to the appropriate jurisdictional entity.</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Income Taxes</w:t>
      </w:r>
    </w:p>
    <w:p>
      <w:pPr>
        <w:spacing w:after="0" w:line="177" w:lineRule="exact"/>
        <w:rPr>
          <w:sz w:val="20"/>
          <w:szCs w:val="20"/>
          <w:color w:val="auto"/>
        </w:rPr>
      </w:pPr>
    </w:p>
    <w:p>
      <w:pPr>
        <w:ind w:left="40" w:right="199"/>
        <w:spacing w:after="0" w:line="249" w:lineRule="auto"/>
        <w:rPr>
          <w:sz w:val="20"/>
          <w:szCs w:val="20"/>
          <w:color w:val="auto"/>
        </w:rPr>
      </w:pPr>
      <w:r>
        <w:rPr>
          <w:rFonts w:ascii="Arial" w:cs="Arial" w:eastAsia="Arial" w:hAnsi="Arial"/>
          <w:sz w:val="16"/>
          <w:szCs w:val="16"/>
          <w:color w:val="auto"/>
        </w:rPr>
        <w:t>We establish a provision for income taxes currently payable or receivable and for income tax amounts deferred to future periods. Deferred tax assets and liabilities are recorded for the estimated future tax effects of differences that exist between the book and tax basis of assets and liabilities. Deferred tax assets are offset by valuation allowances when we believe it is more likely than not that such net deferred tax assets will not be realized.</w:t>
      </w:r>
    </w:p>
    <w:p>
      <w:pPr>
        <w:spacing w:after="0" w:line="144" w:lineRule="exact"/>
        <w:rPr>
          <w:sz w:val="20"/>
          <w:szCs w:val="20"/>
          <w:color w:val="auto"/>
        </w:rPr>
      </w:pPr>
    </w:p>
    <w:p>
      <w:pPr>
        <w:ind w:left="40" w:right="179"/>
        <w:spacing w:after="0" w:line="242" w:lineRule="auto"/>
        <w:rPr>
          <w:sz w:val="20"/>
          <w:szCs w:val="20"/>
          <w:color w:val="auto"/>
        </w:rPr>
      </w:pPr>
      <w:r>
        <w:rPr>
          <w:rFonts w:ascii="Arial" w:cs="Arial" w:eastAsia="Arial" w:hAnsi="Arial"/>
          <w:sz w:val="16"/>
          <w:szCs w:val="16"/>
          <w:color w:val="auto"/>
        </w:rPr>
        <w:t>From time to time, we engage in transactions where the tax consequences may be subject to uncertainty. We record a liability when, in management’s judgment, a tax filing position does not meet the more likely than not threshold. For tax positions that meet the more likely than not threshold, we may record a liability depending on management’s assessment of how the tax position will ultimately be settled. We adjust our estimates periodically for ongoing examinations by and settlements with various taxing authorities, as well as changes in tax laws, regulations and precedent. We classify interest and penalties, if any, associated with our uncertain tax positions as a component of “Interest expense, net of amounts capitalized” and “Other, net,” respectively, on our Consolidated Statements of Operations and Comprehensive Income (Loss).</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77" w:lineRule="exact"/>
        <w:rPr>
          <w:sz w:val="20"/>
          <w:szCs w:val="20"/>
          <w:color w:val="auto"/>
        </w:rPr>
      </w:pPr>
    </w:p>
    <w:p>
      <w:pPr>
        <w:ind w:left="40" w:right="59"/>
        <w:spacing w:after="0" w:line="247" w:lineRule="auto"/>
        <w:rPr>
          <w:sz w:val="20"/>
          <w:szCs w:val="20"/>
          <w:color w:val="auto"/>
        </w:rPr>
      </w:pPr>
      <w:r>
        <w:rPr>
          <w:rFonts w:ascii="Arial" w:cs="Arial" w:eastAsia="Arial" w:hAnsi="Arial"/>
          <w:sz w:val="16"/>
          <w:szCs w:val="16"/>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332" w:lineRule="exact"/>
        <w:rPr>
          <w:sz w:val="20"/>
          <w:szCs w:val="20"/>
          <w:color w:val="auto"/>
        </w:rPr>
      </w:pPr>
    </w:p>
    <w:p>
      <w:pPr>
        <w:ind w:left="640" w:hanging="284"/>
        <w:spacing w:after="0"/>
        <w:tabs>
          <w:tab w:leader="none" w:pos="64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Level 1, defined as observable inputs being quoted prices in active markets for identical assets;</w:t>
      </w:r>
    </w:p>
    <w:p>
      <w:pPr>
        <w:spacing w:after="0" w:line="24" w:lineRule="exact"/>
        <w:rPr>
          <w:rFonts w:ascii="Times New Roman" w:cs="Times New Roman" w:eastAsia="Times New Roman" w:hAnsi="Times New Roman"/>
          <w:sz w:val="16"/>
          <w:szCs w:val="16"/>
          <w:color w:val="auto"/>
        </w:rPr>
      </w:pPr>
    </w:p>
    <w:p>
      <w:pPr>
        <w:ind w:left="640" w:right="59" w:hanging="284"/>
        <w:spacing w:after="0" w:line="236" w:lineRule="auto"/>
        <w:tabs>
          <w:tab w:leader="none" w:pos="64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6"/>
          <w:szCs w:val="16"/>
          <w:color w:val="auto"/>
        </w:rPr>
      </w:pPr>
    </w:p>
    <w:p>
      <w:pPr>
        <w:ind w:left="640" w:right="79" w:hanging="284"/>
        <w:spacing w:after="0" w:line="254" w:lineRule="auto"/>
        <w:tabs>
          <w:tab w:leader="none" w:pos="64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38" w:lineRule="exact"/>
        <w:rPr>
          <w:sz w:val="20"/>
          <w:szCs w:val="20"/>
          <w:color w:val="auto"/>
        </w:rPr>
      </w:pPr>
    </w:p>
    <w:p>
      <w:pPr>
        <w:ind w:left="40" w:right="59"/>
        <w:spacing w:after="0" w:line="256" w:lineRule="auto"/>
        <w:rPr>
          <w:sz w:val="20"/>
          <w:szCs w:val="20"/>
          <w:color w:val="auto"/>
        </w:rPr>
      </w:pPr>
      <w:r>
        <w:rPr>
          <w:rFonts w:ascii="Arial" w:cs="Arial" w:eastAsia="Arial" w:hAnsi="Arial"/>
          <w:sz w:val="16"/>
          <w:szCs w:val="16"/>
          <w:color w:val="auto"/>
        </w:rPr>
        <w:t>As of December 31, 2024 and 2023,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2">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3" w:name="page144"/>
    <w:bookmarkEnd w:id="14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59"/>
        <w:spacing w:after="0"/>
        <w:rPr>
          <w:sz w:val="20"/>
          <w:szCs w:val="20"/>
          <w:color w:val="auto"/>
        </w:rPr>
      </w:pPr>
      <w:r>
        <w:rPr>
          <w:rFonts w:ascii="Arial" w:cs="Arial" w:eastAsia="Arial" w:hAnsi="Arial"/>
          <w:sz w:val="16"/>
          <w:szCs w:val="16"/>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6 for the fair value of our marketable investment securities and derivative instruments.</w:t>
      </w:r>
    </w:p>
    <w:p>
      <w:pPr>
        <w:spacing w:after="0" w:line="152" w:lineRule="exact"/>
        <w:rPr>
          <w:sz w:val="20"/>
          <w:szCs w:val="20"/>
          <w:color w:val="auto"/>
        </w:rPr>
      </w:pPr>
    </w:p>
    <w:p>
      <w:pPr>
        <w:ind w:left="40" w:right="59"/>
        <w:spacing w:after="0" w:line="246" w:lineRule="auto"/>
        <w:rPr>
          <w:sz w:val="20"/>
          <w:szCs w:val="20"/>
          <w:color w:val="auto"/>
        </w:rPr>
      </w:pPr>
      <w:r>
        <w:rPr>
          <w:rFonts w:ascii="Arial" w:cs="Arial" w:eastAsia="Arial" w:hAnsi="Arial"/>
          <w:sz w:val="16"/>
          <w:szCs w:val="16"/>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10 for the fair value of our debt.</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Deferred Debt Issuance Costs and Debt Discounts</w:t>
      </w:r>
    </w:p>
    <w:p>
      <w:pPr>
        <w:spacing w:after="0" w:line="177" w:lineRule="exact"/>
        <w:rPr>
          <w:sz w:val="20"/>
          <w:szCs w:val="20"/>
          <w:color w:val="auto"/>
        </w:rPr>
      </w:pPr>
    </w:p>
    <w:p>
      <w:pPr>
        <w:ind w:left="40" w:right="199"/>
        <w:spacing w:after="0" w:line="249" w:lineRule="auto"/>
        <w:rPr>
          <w:sz w:val="20"/>
          <w:szCs w:val="20"/>
          <w:color w:val="auto"/>
        </w:rPr>
      </w:pPr>
      <w:r>
        <w:rPr>
          <w:rFonts w:ascii="Arial" w:cs="Arial" w:eastAsia="Arial" w:hAnsi="Arial"/>
          <w:sz w:val="16"/>
          <w:szCs w:val="16"/>
          <w:color w:val="auto"/>
        </w:rPr>
        <w:t>Costs of issuing debt, including premiums and discounts relative to par value, are generally deferred and amortized to “Interest expense, net of amounts capitalized” on our Consolidated Statements of Operations and Comprehensive Income (Loss) using the effective interest rate method over the terms of the respective notes. We report unamortized debt issuance costs as a reduction of the related long-term debt on our Consolidated Balance Sheets. See Note 10 for further information.</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Pay-TV Segment</w:t>
      </w:r>
    </w:p>
    <w:p>
      <w:pPr>
        <w:spacing w:after="0" w:line="177" w:lineRule="exact"/>
        <w:rPr>
          <w:sz w:val="20"/>
          <w:szCs w:val="20"/>
          <w:color w:val="auto"/>
        </w:rPr>
      </w:pPr>
    </w:p>
    <w:p>
      <w:pPr>
        <w:ind w:left="40" w:right="99"/>
        <w:spacing w:after="0" w:line="244" w:lineRule="auto"/>
        <w:rPr>
          <w:sz w:val="20"/>
          <w:szCs w:val="20"/>
          <w:color w:val="auto"/>
        </w:rPr>
      </w:pPr>
      <w:r>
        <w:rPr>
          <w:rFonts w:ascii="Arial" w:cs="Arial" w:eastAsia="Arial" w:hAnsi="Arial"/>
          <w:sz w:val="16"/>
          <w:szCs w:val="16"/>
          <w:color w:val="auto"/>
        </w:rPr>
        <w:t>Our Pay-TV segment revenue is primarily derived from Pay-TV subscriber revenue. We also generate revenue from equipment rental fees and other hardware related fees, including DVRs and fees from subscribers with multiple receivers; advertising services; fees earned from our in-home service operations; broadband services; warranty services; sales of digital receivers and related equipment to third-party pay-TV providers; satellite uplink and telemetry, tracking and control (“TT&amp;C”) services; and revenue from in-home services. See Note 16 for further information, including revenue disaggregated by major source.</w:t>
      </w:r>
    </w:p>
    <w:p>
      <w:pPr>
        <w:spacing w:after="0" w:line="148" w:lineRule="exact"/>
        <w:rPr>
          <w:sz w:val="20"/>
          <w:szCs w:val="20"/>
          <w:color w:val="auto"/>
        </w:rPr>
      </w:pPr>
    </w:p>
    <w:p>
      <w:pPr>
        <w:ind w:left="40" w:right="219"/>
        <w:spacing w:after="0" w:line="243" w:lineRule="auto"/>
        <w:rPr>
          <w:sz w:val="20"/>
          <w:szCs w:val="20"/>
          <w:color w:val="auto"/>
        </w:rPr>
      </w:pPr>
      <w:r>
        <w:rPr>
          <w:rFonts w:ascii="Arial" w:cs="Arial" w:eastAsia="Arial" w:hAnsi="Arial"/>
          <w:sz w:val="16"/>
          <w:szCs w:val="16"/>
          <w:color w:val="auto"/>
        </w:rPr>
        <w:t>Our residential video subscribers contract for individual services or combinations of services, as discussed above, the majority of which are generally distinct and are accounted for as separate performance obligations. We consider our installations for first time DISH TV subscribers to be a service. However, since we provide a significant integration service combining the installation with programming services, we have concluded that the installation is not distinct from programming and thus the installation and programming services are accounted for as a single performance obligation. We generally satisfy these performance obligations and recognize revenue as the services are provided, for example as the programming is broadcast to subscribers, as this best represents the transfer of control of the services to the subscriber.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63">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159"/>
        <w:spacing w:after="0" w:line="244" w:lineRule="auto"/>
        <w:rPr>
          <w:sz w:val="20"/>
          <w:szCs w:val="20"/>
          <w:color w:val="auto"/>
        </w:rPr>
      </w:pPr>
      <w:r>
        <w:rPr>
          <w:rFonts w:ascii="Arial" w:cs="Arial" w:eastAsia="Arial" w:hAnsi="Arial"/>
          <w:sz w:val="16"/>
          <w:szCs w:val="16"/>
          <w:color w:val="auto"/>
        </w:rPr>
        <w:t>In cases where a subscriber is charged certain nonrefundable upfront fees, those fees are generally considered to be material rights to the subscriber related to the subscriber’s option to renew without having to pay an additional fee upon renewal. These fees are deferred and recognized over the estimated period of time during which the fee remains material to the customer, which we estimate to be less than one year. Revenues arising from our in-home services that are separate from the initial installation, such as mounting a TV on a subscriber’s wall, are generally recognized when these services are performed.</w:t>
      </w:r>
    </w:p>
    <w:p>
      <w:pPr>
        <w:spacing w:after="0" w:line="148"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color w:val="auto"/>
        </w:rPr>
        <w:t xml:space="preserve">For our residential video subscribers, we have concluded that the contract term under Accounting Standard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is one month and as a result the revenue recognized for these subscribers for a given month is equal to the amount billed in that month, except for certain nonrefundable upfront fees that are accounted for as material rights, as discussed above.</w:t>
      </w:r>
    </w:p>
    <w:p>
      <w:pPr>
        <w:spacing w:after="0" w:line="144"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color w:val="auto"/>
        </w:rPr>
        <w:t>Revenues from our advertising services are typically recognized as the advertisements are broadcast. Sales of equipment to subscribers or other third parties are recognized when control is transferred under the contract. Revenue from our commercial video subscribers typically follows the residential model described above, with the exception that the contract term for most of our commercial subscribers exceeds one month and can be multiple years in length. However, commercial subscribers typically do not receive time-limited discounts or free service periods and accordingly, while they may have multiple performance obligations, revenue is equal to the amount billed in a given month.</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Wireless Segment</w:t>
      </w:r>
    </w:p>
    <w:p>
      <w:pPr>
        <w:spacing w:after="0" w:line="177" w:lineRule="exact"/>
        <w:rPr>
          <w:sz w:val="20"/>
          <w:szCs w:val="20"/>
          <w:color w:val="auto"/>
        </w:rPr>
      </w:pPr>
    </w:p>
    <w:p>
      <w:pPr>
        <w:ind w:left="40" w:right="219"/>
        <w:spacing w:after="0" w:line="242" w:lineRule="auto"/>
        <w:rPr>
          <w:sz w:val="20"/>
          <w:szCs w:val="20"/>
          <w:color w:val="auto"/>
        </w:rPr>
      </w:pPr>
      <w:r>
        <w:rPr>
          <w:rFonts w:ascii="Arial" w:cs="Arial" w:eastAsia="Arial" w:hAnsi="Arial"/>
          <w:sz w:val="16"/>
          <w:szCs w:val="16"/>
          <w:color w:val="auto"/>
        </w:rPr>
        <w:t>Our Wireless Segment revenue is primarily derived from Wireless subscriber revenue and selling wireless devices to subscribers. The majority of our subscribers are prepaid with a smaller subset of postpaid subscribers. Prepaid subscribers prepay for their monthly service on a month-to-month contract. Our contracts with prepaid customers are determined to be one month. Postpaid subscribers are qualified to pay for their service after it has been provided and pay for their monthly service on a month-to -month contract. Our contracts with postpaid customers typically have an enforceable duration of one month. However, promotional bill credits offered to a customer on an equipment sale that are paid over time and are contingent on the customer maintaining a service contract may result in an extended service contract based on whether a substantive penalty is deemed to exist.</w:t>
      </w:r>
    </w:p>
    <w:p>
      <w:pPr>
        <w:spacing w:after="0" w:line="150" w:lineRule="exact"/>
        <w:rPr>
          <w:sz w:val="20"/>
          <w:szCs w:val="20"/>
          <w:color w:val="auto"/>
        </w:rPr>
      </w:pPr>
    </w:p>
    <w:p>
      <w:pPr>
        <w:ind w:left="40" w:right="99"/>
        <w:spacing w:after="0" w:line="239" w:lineRule="auto"/>
        <w:rPr>
          <w:sz w:val="20"/>
          <w:szCs w:val="20"/>
          <w:color w:val="auto"/>
        </w:rPr>
      </w:pPr>
      <w:r>
        <w:rPr>
          <w:rFonts w:ascii="Arial" w:cs="Arial" w:eastAsia="Arial" w:hAnsi="Arial"/>
          <w:sz w:val="16"/>
          <w:szCs w:val="16"/>
          <w:color w:val="auto"/>
        </w:rPr>
        <w:t>We have both an indirect sales channel, which includes third-party owned retail stores and big box stores, as well as online through Amazon and Apple, and a direct sales channel, which services customers online through each respective brand’s website. To deliver products to third-party retail stores through the indirect sales channel, we use direct distribution partners to facilitate product delivery. Our contracts with customers may involve more than one performance obligation, which include wireless services, wireless devices or a combination thereof, and we allocate the transaction price between each performance obligation based on its relative standalone selling price. Although our Wireless segment offers both products and services, we have determined that not all contracts with customers are bundled arrangements as the wireless device and service are sometimes sold at different times, and in the case of certain sales arrangements through the indirect sales channel, have different customers. When control of the product is transferred to an intermediary other than the end customer in the indirect channel, the customer for the wireless device is the intermediary, such as the direct distribution partner, whereas for the service the subscriber is the end consumer. When control of the product is not transferred to the intermediary, in the indirect channel the product is accounted for as consigned inventory and the customer for both the wireless device and service is the end customer. Service revenues may also include other value added services to subscribers, which may be recorded either gross or net within our Consolidated Statements of Operations and Comprehensive Income (Loss) depending on whether we are deemed to be the principal or agent in the relationship with the subscriber. Service revenues are recognized when the service has been provided and no further obligation exists. Concessions given to subscribers are recorded as a reduction to revenue.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64">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99"/>
        <w:spacing w:after="0" w:line="239" w:lineRule="auto"/>
        <w:rPr>
          <w:sz w:val="20"/>
          <w:szCs w:val="20"/>
          <w:color w:val="auto"/>
        </w:rPr>
      </w:pPr>
      <w:r>
        <w:rPr>
          <w:rFonts w:ascii="Arial" w:cs="Arial" w:eastAsia="Arial" w:hAnsi="Arial"/>
          <w:sz w:val="16"/>
          <w:szCs w:val="16"/>
          <w:color w:val="auto"/>
        </w:rPr>
        <w:t>Equipment revenues are primarily related to the sale of wireless devices. Equipment revenue is recognized when control of the product is transferred to our customer, either the direct distribution partner or the end customer, as described above. We offer postpaid customers the option to pay for devices in installments, generally over 36 months. We recognize the effects of a financing component as a reduction of the transaction price in contracts where customers purchase their devices with an installment term of more than one year, including those financing components that are not considered to be significant to the contract in “Service revenue” on our Consolidated Statements of Operations and Comprehensive Income (Loss). We have elected the practical expedient of not recognizing the effects of a significant financing component for contracts where we expect, at contract inception, that the period between the transfer of a performance obligation to a customer and the customer’s payment for that performance obligation will be one year or less. We may offer certain promotions that provide our customers on device installment plans with the right to upgrade to a new device after paying a specified portion of their device payment plan agreement amount and trading in their device in good working order. We account for this trade-in right as a guarantee obligation. The full amount of the trade-in right’s fair value is recognized as a guarantee liability and results in a reduction to the revenue recognized upon the sale of the device. The total transaction price is reduced by the guarantee, which is accounted for outside the scope of ASC 606, and the remaining transaction price is allocated between the performance obligations within the contract.</w:t>
      </w:r>
    </w:p>
    <w:p>
      <w:pPr>
        <w:spacing w:after="0" w:line="156" w:lineRule="exact"/>
        <w:rPr>
          <w:sz w:val="20"/>
          <w:szCs w:val="20"/>
          <w:color w:val="auto"/>
        </w:rPr>
      </w:pPr>
    </w:p>
    <w:p>
      <w:pPr>
        <w:ind w:left="40" w:right="119"/>
        <w:spacing w:after="0" w:line="275" w:lineRule="auto"/>
        <w:rPr>
          <w:sz w:val="20"/>
          <w:szCs w:val="20"/>
          <w:color w:val="auto"/>
        </w:rPr>
      </w:pPr>
      <w:r>
        <w:rPr>
          <w:rFonts w:ascii="Arial" w:cs="Arial" w:eastAsia="Arial" w:hAnsi="Arial"/>
          <w:sz w:val="16"/>
          <w:szCs w:val="16"/>
          <w:color w:val="auto"/>
        </w:rPr>
        <w:t>Sales of equipment in the indirect sales channel often include credits subsequently paid to the direct distribution partner as a reimbursement for any discount promotions offered to the end consumer.</w:t>
      </w:r>
    </w:p>
    <w:p>
      <w:pPr>
        <w:spacing w:after="0" w:line="123" w:lineRule="exact"/>
        <w:rPr>
          <w:sz w:val="20"/>
          <w:szCs w:val="20"/>
          <w:color w:val="auto"/>
        </w:rPr>
      </w:pPr>
    </w:p>
    <w:p>
      <w:pPr>
        <w:ind w:left="40" w:right="139"/>
        <w:spacing w:after="0" w:line="249" w:lineRule="auto"/>
        <w:rPr>
          <w:sz w:val="20"/>
          <w:szCs w:val="20"/>
          <w:color w:val="auto"/>
        </w:rPr>
      </w:pPr>
      <w:r>
        <w:rPr>
          <w:rFonts w:ascii="Arial" w:cs="Arial" w:eastAsia="Arial" w:hAnsi="Arial"/>
          <w:sz w:val="16"/>
          <w:szCs w:val="16"/>
          <w:color w:val="auto"/>
        </w:rPr>
        <w:t>These credits (payments to a customer) are accounted for as variable consideration when estimating the amount of revenue to recognize from the sales of equipment to indirect dealers and are estimated based on historical experience and other factors, such as expected promotional activity. For wireless devices sold with a right of return, we defer a portion of equipment revenue and cost of sales to reflect this variable consideration.</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Broadband and Satellite Services Segment</w:t>
      </w:r>
    </w:p>
    <w:p>
      <w:pPr>
        <w:spacing w:after="0" w:line="177" w:lineRule="exact"/>
        <w:rPr>
          <w:sz w:val="20"/>
          <w:szCs w:val="20"/>
          <w:color w:val="auto"/>
        </w:rPr>
      </w:pPr>
    </w:p>
    <w:p>
      <w:pPr>
        <w:ind w:left="40" w:right="159"/>
        <w:spacing w:after="0"/>
        <w:rPr>
          <w:sz w:val="20"/>
          <w:szCs w:val="20"/>
          <w:color w:val="auto"/>
        </w:rPr>
      </w:pPr>
      <w:r>
        <w:rPr>
          <w:rFonts w:ascii="Arial" w:cs="Arial" w:eastAsia="Arial" w:hAnsi="Arial"/>
          <w:sz w:val="16"/>
          <w:szCs w:val="16"/>
          <w:color w:val="auto"/>
        </w:rPr>
        <w:t>Our broadband service contracts typically obligate us to provide substantially the same services on a recurring basis in exchange for fixed recurring fees over the term of the contract. We satisfy such performance obligations over time and recognize revenue ratably as services are rendered over the service period. Certain of our contracts with service obligations provide for fees based on usage, capacity or volume. We satisfy these performance obligations and recognize the related revenue at the point in time, or over the period, when the services are rendered. Our Broadband and Satellite Services segment also sells and leases communications equipment to its customers. Revenue from equipment sales generally is recognized based upon shipment terms. Our equipment sales contracts typically include standard product warranties, but generally do not provide for returns or refunds. Revenue for extended warranties is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149" w:lineRule="exact"/>
        <w:rPr>
          <w:sz w:val="20"/>
          <w:szCs w:val="20"/>
          <w:color w:val="auto"/>
        </w:rPr>
      </w:pPr>
    </w:p>
    <w:p>
      <w:pPr>
        <w:ind w:left="40" w:right="139"/>
        <w:spacing w:after="0" w:line="241" w:lineRule="auto"/>
        <w:rPr>
          <w:sz w:val="20"/>
          <w:szCs w:val="20"/>
          <w:color w:val="auto"/>
        </w:rPr>
      </w:pPr>
      <w:r>
        <w:rPr>
          <w:rFonts w:ascii="Arial" w:cs="Arial" w:eastAsia="Arial" w:hAnsi="Arial"/>
          <w:sz w:val="16"/>
          <w:szCs w:val="16"/>
          <w:color w:val="auto"/>
        </w:rPr>
        <w:t>In addition to equipment and service offerings, our Broadband and Satellite Services segment also enters into long-term contracts to design, develop, construct and install complex telecommunication networks for mobile system operators and enterprise customers. Revenue from such contracts is generally recognized over time as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65">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6" w:name="page147"/>
    <w:bookmarkEnd w:id="14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139"/>
        <w:spacing w:after="0" w:line="275" w:lineRule="auto"/>
        <w:rPr>
          <w:sz w:val="20"/>
          <w:szCs w:val="20"/>
          <w:color w:val="auto"/>
        </w:rPr>
      </w:pPr>
      <w:r>
        <w:rPr>
          <w:rFonts w:ascii="Arial" w:cs="Arial" w:eastAsia="Arial" w:hAnsi="Arial"/>
          <w:sz w:val="16"/>
          <w:szCs w:val="16"/>
          <w:color w:val="auto"/>
        </w:rPr>
        <w:t>Estimated losses on contracts are recorded in the period in which they are identified. We generally receive interim payments as work progresses, although for some contracts, we may be entitled to receive an advance payment.</w:t>
      </w:r>
    </w:p>
    <w:p>
      <w:pPr>
        <w:spacing w:after="0" w:line="123"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We derive a portion of our revenues from contracts with customers for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generally based upon usage.</w:t>
      </w:r>
    </w:p>
    <w:p>
      <w:pPr>
        <w:spacing w:after="0" w:line="144" w:lineRule="exact"/>
        <w:rPr>
          <w:sz w:val="20"/>
          <w:szCs w:val="20"/>
          <w:color w:val="auto"/>
        </w:rPr>
      </w:pPr>
    </w:p>
    <w:p>
      <w:pPr>
        <w:jc w:val="both"/>
        <w:ind w:left="40" w:right="199"/>
        <w:spacing w:after="0" w:line="256" w:lineRule="auto"/>
        <w:rPr>
          <w:sz w:val="20"/>
          <w:szCs w:val="20"/>
          <w:color w:val="auto"/>
        </w:rPr>
      </w:pPr>
      <w:r>
        <w:rPr>
          <w:rFonts w:ascii="Arial" w:cs="Arial" w:eastAsia="Arial" w:hAnsi="Arial"/>
          <w:sz w:val="16"/>
          <w:szCs w:val="16"/>
          <w:color w:val="auto"/>
        </w:rPr>
        <w:t>Generally, our satellite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Governmental Funding</w:t>
      </w:r>
    </w:p>
    <w:p>
      <w:pPr>
        <w:spacing w:after="0" w:line="177" w:lineRule="exact"/>
        <w:rPr>
          <w:sz w:val="20"/>
          <w:szCs w:val="20"/>
          <w:color w:val="auto"/>
        </w:rPr>
      </w:pPr>
    </w:p>
    <w:p>
      <w:pPr>
        <w:ind w:left="40" w:right="219"/>
        <w:spacing w:after="0" w:line="243" w:lineRule="auto"/>
        <w:rPr>
          <w:sz w:val="20"/>
          <w:szCs w:val="20"/>
          <w:color w:val="auto"/>
        </w:rPr>
      </w:pPr>
      <w:r>
        <w:rPr>
          <w:rFonts w:ascii="Arial" w:cs="Arial" w:eastAsia="Arial" w:hAnsi="Arial"/>
          <w:sz w:val="16"/>
          <w:szCs w:val="16"/>
          <w:color w:val="auto"/>
        </w:rPr>
        <w:t>We participate in various United States federal and state programs, including, but not limited to, the Affordable Connectivity Program (“ACP”) and Lifeline program, under which eligible low-income households may receive a discount off the cost of broadband service and certain connected devices, and participating providers can receive a reimbursement for such discounts. The ACP program funding concluded on June 1, 2024. This revenue is included in “Service revenue” on our Consolidated Statements of Operations and Comprehensive Income (Loss). Corresponding receivables are recorded when services have been provided to the customers and costs incurred, but cash has not been received. These amounts are included in “Trade accounts receivable, net” on our Consolidated Balance Sheets.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Contract Balances</w:t>
      </w:r>
    </w:p>
    <w:p>
      <w:pPr>
        <w:spacing w:after="0" w:line="177" w:lineRule="exact"/>
        <w:rPr>
          <w:sz w:val="20"/>
          <w:szCs w:val="20"/>
          <w:color w:val="auto"/>
        </w:rPr>
      </w:pPr>
    </w:p>
    <w:p>
      <w:pPr>
        <w:ind w:left="40" w:right="59"/>
        <w:spacing w:after="0"/>
        <w:rPr>
          <w:sz w:val="20"/>
          <w:szCs w:val="20"/>
          <w:color w:val="auto"/>
        </w:rPr>
      </w:pPr>
      <w:r>
        <w:rPr>
          <w:rFonts w:ascii="Arial" w:cs="Arial" w:eastAsia="Arial" w:hAnsi="Arial"/>
          <w:sz w:val="16"/>
          <w:szCs w:val="16"/>
          <w:color w:val="auto"/>
        </w:rPr>
        <w:t>The timing of revenue recognition generally differs from the timing of invoicing to customers. A contract asset is recorded when revenue is recognized in advance of our right to receive consideration (i.e., we must perform additional services in order to receive consideration). Amounts are recorded as trade accounts receivable when our right to consideration is unconditional. When consideration is received, or we have an unconditional right to consideration in advance of delivery of goods or services, a contract liability is recorded. The transaction price can include nonrefundable upfront fees, which are allocated to the identifiable performance obligations. Our residential video subscribers are typically billed monthly, and the contract balances for those customers arise from the timing of the monthly billing cycle. Our current Wireless subscribers, the majority of which are prepaid, generate deferred revenue. We do not adjust the amount of consideration for financing impacts when we anticipate that the period between transfer of goods and services and eventual payment for those goods and services will be less than one year. Contract assets are included in “Trade accounts receivable, net” and contract liabilities are included in “Deferred revenue and other” and “Long-term deferred revenue and other long-term liabilities” on our Consolidated Balance Sheets. Contract balances are amortized over the contract term. See Note 17 for further information, including balance and activity detail about our allowance for credit losses and deferred revenue related to contracts with subscribers.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Assets Recognized Related to the Costs to Obtain a Contract with a Customer</w:t>
      </w:r>
    </w:p>
    <w:p>
      <w:pPr>
        <w:spacing w:after="0" w:line="177" w:lineRule="exact"/>
        <w:rPr>
          <w:sz w:val="20"/>
          <w:szCs w:val="20"/>
          <w:color w:val="auto"/>
        </w:rPr>
      </w:pPr>
    </w:p>
    <w:p>
      <w:pPr>
        <w:ind w:left="40" w:right="179"/>
        <w:spacing w:after="0" w:line="243" w:lineRule="auto"/>
        <w:rPr>
          <w:sz w:val="20"/>
          <w:szCs w:val="20"/>
          <w:color w:val="auto"/>
        </w:rPr>
      </w:pPr>
      <w:r>
        <w:rPr>
          <w:rFonts w:ascii="Arial" w:cs="Arial" w:eastAsia="Arial" w:hAnsi="Arial"/>
          <w:sz w:val="16"/>
          <w:szCs w:val="16"/>
          <w:color w:val="auto"/>
        </w:rPr>
        <w:t>We recognize an asset for the incremental costs of obtaining a contract with a customer if we expect the benefit of those costs to be longer than one year. We have determined that certain sales incentive programs in our Pay-TV, Broadband and Satellite Services, and Wireless segments,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Consolidated Balance Sheets, and then amortized in “Selling, general and administrative expenses” on our Consolidated Statements of Operations and Comprehensive Income (Loss).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7" w:name="page148"/>
    <w:bookmarkEnd w:id="14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Leases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Lessee Accounting</w:t>
      </w:r>
    </w:p>
    <w:p>
      <w:pPr>
        <w:spacing w:after="0" w:line="177" w:lineRule="exact"/>
        <w:rPr>
          <w:sz w:val="20"/>
          <w:szCs w:val="20"/>
          <w:color w:val="auto"/>
        </w:rPr>
      </w:pPr>
    </w:p>
    <w:p>
      <w:pPr>
        <w:ind w:left="40" w:right="359" w:hanging="6"/>
        <w:spacing w:after="0" w:line="243" w:lineRule="auto"/>
        <w:rPr>
          <w:sz w:val="20"/>
          <w:szCs w:val="20"/>
          <w:color w:val="auto"/>
        </w:rPr>
      </w:pPr>
      <w:r>
        <w:rPr>
          <w:rFonts w:ascii="Arial" w:cs="Arial" w:eastAsia="Arial" w:hAnsi="Arial"/>
          <w:sz w:val="16"/>
          <w:szCs w:val="16"/>
          <w:color w:val="auto"/>
        </w:rPr>
        <w:t>We enter into non-cancelable operating and finance leases for, among other things, communication towers, satellites, satellite-related ground infrastructure, data centers, office space, dark fiber and transport equipment, warehouses and distribution centers, vehicles and other equipment. Substantially all of our leases have remaining lease terms from one to</w:t>
      </w:r>
    </w:p>
    <w:p>
      <w:pPr>
        <w:spacing w:after="0" w:line="2" w:lineRule="exact"/>
        <w:rPr>
          <w:sz w:val="20"/>
          <w:szCs w:val="20"/>
          <w:color w:val="auto"/>
        </w:rPr>
      </w:pPr>
    </w:p>
    <w:p>
      <w:pPr>
        <w:ind w:left="40" w:right="99"/>
        <w:spacing w:after="0" w:line="245" w:lineRule="auto"/>
        <w:rPr>
          <w:sz w:val="20"/>
          <w:szCs w:val="20"/>
          <w:color w:val="auto"/>
        </w:rPr>
      </w:pPr>
      <w:r>
        <w:rPr>
          <w:rFonts w:ascii="Arial" w:cs="Arial" w:eastAsia="Arial" w:hAnsi="Arial"/>
          <w:sz w:val="16"/>
          <w:szCs w:val="16"/>
          <w:color w:val="auto"/>
        </w:rPr>
        <w:t>13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spacing w:after="0" w:line="147"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We determine if an arrangement is a lease and classify that lease as either an operating or finance lease at inception. Operating leases are included in “Operating lease assets,” “Other accrued expenses” and “Operating lease liabilities” on our Consolidated Balance Sheets. Finance leases are included in “Property and equipment, net,” “Current portion of debt, finance lease and other obligations” and “Long-term debt, finance lease and other obligations, net of current portion” on our Consolidated Balance Sheets. Leases with an initial term of 12 months or less are not recorded on the balance sheet and we recognize lease expense for these leases on a straight-line basis over the lease term on our Consolidated Statements of Operations and Comprehensive Income (Loss). See Note 9 for further information on our lease expenses.</w:t>
      </w:r>
    </w:p>
    <w:p>
      <w:pPr>
        <w:spacing w:after="0" w:line="148"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the present value of our obligation to make lease payments arising from the lease. Operating lease ROU assets and liabilities are recognized at commencement date based on the present value of lease payments over the lease term. The operating lease ROU asset also includes the impact of prepaid or deferred lease payments. When our leases do not provide an implicit rate, we use our IBR based on the information available at commencement date in determining the present value of lease payments. Our IBR is based on an estimated secured rate for the same term as the underlying lease plus a credit spread as secured by our assets. For leases denominated in a currency different than U.S. dollar, IBR is estimated using the collateralized borrowing rate in the foreign currency using the U.S. dollar and foreign currency swap spread, when available. The length of our lease term may include options to extend or terminate the lease when it is reasonably certain that we will exercise that option. Lease expense for operating lease payments is recognized on a straight-line basis over the lease term.</w:t>
      </w:r>
    </w:p>
    <w:p>
      <w:pPr>
        <w:spacing w:after="0" w:line="149" w:lineRule="exact"/>
        <w:rPr>
          <w:sz w:val="20"/>
          <w:szCs w:val="20"/>
          <w:color w:val="auto"/>
        </w:rPr>
      </w:pPr>
    </w:p>
    <w:p>
      <w:pPr>
        <w:ind w:left="40" w:right="939"/>
        <w:spacing w:after="0" w:line="473" w:lineRule="auto"/>
        <w:rPr>
          <w:sz w:val="20"/>
          <w:szCs w:val="20"/>
          <w:color w:val="auto"/>
        </w:rPr>
      </w:pPr>
      <w:r>
        <w:rPr>
          <w:rFonts w:ascii="Arial" w:cs="Arial" w:eastAsia="Arial" w:hAnsi="Arial"/>
          <w:sz w:val="16"/>
          <w:szCs w:val="16"/>
          <w:color w:val="auto"/>
        </w:rPr>
        <w:t xml:space="preserve">We have lease agreements with lease and non-lease components, which are generally accounted for separately. </w:t>
      </w:r>
      <w:r>
        <w:rPr>
          <w:rFonts w:ascii="Arial" w:cs="Arial" w:eastAsia="Arial" w:hAnsi="Arial"/>
          <w:sz w:val="16"/>
          <w:szCs w:val="16"/>
          <w:i w:val="1"/>
          <w:iCs w:val="1"/>
          <w:color w:val="auto"/>
        </w:rPr>
        <w:t>Lessor Accounting</w:t>
      </w:r>
    </w:p>
    <w:p>
      <w:pPr>
        <w:spacing w:after="0" w:line="1" w:lineRule="exact"/>
        <w:rPr>
          <w:sz w:val="20"/>
          <w:szCs w:val="20"/>
          <w:color w:val="auto"/>
        </w:rPr>
      </w:pPr>
    </w:p>
    <w:p>
      <w:pPr>
        <w:ind w:left="40" w:right="259"/>
        <w:spacing w:after="0" w:line="249" w:lineRule="auto"/>
        <w:rPr>
          <w:sz w:val="20"/>
          <w:szCs w:val="20"/>
          <w:color w:val="auto"/>
        </w:rPr>
      </w:pPr>
      <w:r>
        <w:rPr>
          <w:rFonts w:ascii="Arial" w:cs="Arial" w:eastAsia="Arial" w:hAnsi="Arial"/>
          <w:sz w:val="16"/>
          <w:szCs w:val="16"/>
          <w:color w:val="auto"/>
        </w:rPr>
        <w:t>DISH TV subscribers have the choice of leasing or purchasing the satellite receiver and other equipment necessary to receive our DISH TV services. Most of our new DISH TV subscribers choose to lease equipment and thus we retain title to such equipment. Equipment leased to new and existing DISH TV subscribers is capitalized and depreciated over their estimated useful lives.</w:t>
      </w:r>
    </w:p>
    <w:p>
      <w:pPr>
        <w:spacing w:after="0" w:line="144"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For equipment leased to new and existing DISH TV subscribers, we made an accounting policy election to combine the equipment with our programming services as a single performance obligation in accordance with the revenue recognition guidance as the programming services are the predominant component. The non-lease service revenue related to equipment leased to new and existing DISH TV subscribers would have otherwise been accounted for as an operating lease.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67">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8" w:name="page149"/>
    <w:bookmarkEnd w:id="14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399"/>
        <w:spacing w:after="0" w:line="249" w:lineRule="auto"/>
        <w:rPr>
          <w:sz w:val="20"/>
          <w:szCs w:val="20"/>
          <w:color w:val="auto"/>
        </w:rPr>
      </w:pPr>
      <w:r>
        <w:rPr>
          <w:rFonts w:ascii="Arial" w:cs="Arial" w:eastAsia="Arial" w:hAnsi="Arial"/>
          <w:sz w:val="16"/>
          <w:szCs w:val="16"/>
          <w:color w:val="auto"/>
        </w:rPr>
        <w:t>We lease satellite capacity, communications equipment and real estate to certain of our customers. We identify and determine the classification of such leases as operating leases or sales-type leases. A lease is classified as a sales-type lease if it meets the criteria for a finance lease; otherwise it is classified as an operating lease. Some of our leases are embedded in contracts with customers that include non-lease performance obligations.</w:t>
      </w:r>
    </w:p>
    <w:p>
      <w:pPr>
        <w:spacing w:after="0" w:line="144" w:lineRule="exact"/>
        <w:rPr>
          <w:sz w:val="20"/>
          <w:szCs w:val="20"/>
          <w:color w:val="auto"/>
        </w:rPr>
      </w:pPr>
    </w:p>
    <w:p>
      <w:pPr>
        <w:ind w:left="40" w:right="99"/>
        <w:spacing w:after="0" w:line="243" w:lineRule="auto"/>
        <w:rPr>
          <w:sz w:val="20"/>
          <w:szCs w:val="20"/>
          <w:color w:val="auto"/>
        </w:rPr>
      </w:pPr>
      <w:r>
        <w:rPr>
          <w:rFonts w:ascii="Arial" w:cs="Arial" w:eastAsia="Arial" w:hAnsi="Arial"/>
          <w:sz w:val="16"/>
          <w:szCs w:val="16"/>
          <w:color w:val="auto"/>
        </w:rPr>
        <w:t>For such contracts, except where we have elected otherwise, we allocate consideration in the contract between lease and non-lease components based on their relative standalone selling prices. We elected an accounting policy to not separate the lease of equipment from related services in our HughesNet satellite internet service (the “HughesNet service”) contracts with customers and account for all revenue from such contracts as non-lease service revenue. Assets subject to operating leases remain in “Property and equipment, net” and continue to be depreciated. Assets subject to sales-type leases are derecognized from “Property and equipment, net” at lease commencement and a net investment in the lease asset is recognized in “Trade accounts receivable, net” and “Other noncurrent assets, net” on our Consolidated Balance Sheets.</w:t>
      </w:r>
    </w:p>
    <w:p>
      <w:pPr>
        <w:spacing w:after="0" w:line="148"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Operating lease revenue is generally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are discounted using the interest rate implicit in the lease. We report revenue and periodic interest income from sales-type leases at the commencement date in “Equipment sales and other revenue” on our Consolidated Statements of Operations and Comprehensive Income (Loss). We report operating lease revenue in “Service revenue” on our Consolidated Statements of Operations and Comprehensive Income (Loss).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Cost of Services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Pay-TV Segment</w:t>
      </w:r>
    </w:p>
    <w:p>
      <w:pPr>
        <w:spacing w:after="0" w:line="177"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“Cost of services” on our Consolidated Statements of Operations and Comprehensive Income (Loss) principally includes programming expenses and other operating costs related to our Pay-TV segment. The cost of television programming distribution rights is generally incurred on a per subscriber basis and various upfront carriage payments are recognized when the related programming is distributed to subscribers. Long-term flat rate programming contracts are generally charged to expense using the straight-line method over the term of the agreement. The cost of television programming rights to distribute live sporting events for a season or tournament is charged to expense using the straight-line method over the course of the season or tournament.</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Wireless Segment</w:t>
      </w:r>
    </w:p>
    <w:p>
      <w:pPr>
        <w:spacing w:after="0" w:line="177"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color w:val="auto"/>
        </w:rPr>
        <w:t>“Cost of services” on our Consolidated Statements of Operations and Comprehensive Income (Loss) principally includes costs incurred under the MNSA and NSA, lease expense on communication towers and transport as well as cloud services, certain direct costs of our 5G Network operations necessary to deliver wireless voice and data services. Costs incurred under the MNSA and NSA are recognized as the services are performed or as incurred. Lease costs are generally recognized on a straight-line basis over the lease term. Costs related to cloud services are either recognized ratably over the contract term or based on usage.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Broadband and Satellite Services Segment</w:t>
      </w:r>
    </w:p>
    <w:p>
      <w:pPr>
        <w:spacing w:after="0" w:line="177" w:lineRule="exact"/>
        <w:rPr>
          <w:sz w:val="20"/>
          <w:szCs w:val="20"/>
          <w:color w:val="auto"/>
        </w:rPr>
      </w:pPr>
    </w:p>
    <w:p>
      <w:pPr>
        <w:ind w:left="40" w:right="239"/>
        <w:spacing w:after="0" w:line="256" w:lineRule="auto"/>
        <w:rPr>
          <w:sz w:val="20"/>
          <w:szCs w:val="20"/>
          <w:color w:val="auto"/>
        </w:rPr>
      </w:pPr>
      <w:r>
        <w:rPr>
          <w:rFonts w:ascii="Arial" w:cs="Arial" w:eastAsia="Arial" w:hAnsi="Arial"/>
          <w:sz w:val="16"/>
          <w:szCs w:val="16"/>
          <w:color w:val="auto"/>
        </w:rPr>
        <w:t>“Cost of services” on our Consolidated Statements of Operations and Comprehensive Income (Loss) principally consists of costs of satellite capacity and services, hub infrastructure, customer care, wireline and wireless capacity and direct labor costs associated with the services provided and is generally charged to expense as incurred.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68">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49" w:name="page150"/>
    <w:bookmarkEnd w:id="14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Cost of Sales – Equipment and Other</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Pay-TV Segment</w:t>
      </w:r>
    </w:p>
    <w:p>
      <w:pPr>
        <w:spacing w:after="0" w:line="177" w:lineRule="exact"/>
        <w:rPr>
          <w:sz w:val="20"/>
          <w:szCs w:val="20"/>
          <w:color w:val="auto"/>
        </w:rPr>
      </w:pPr>
    </w:p>
    <w:p>
      <w:pPr>
        <w:ind w:left="40" w:right="359"/>
        <w:spacing w:after="0" w:line="256" w:lineRule="auto"/>
        <w:rPr>
          <w:sz w:val="20"/>
          <w:szCs w:val="20"/>
          <w:color w:val="auto"/>
        </w:rPr>
      </w:pPr>
      <w:r>
        <w:rPr>
          <w:rFonts w:ascii="Arial" w:cs="Arial" w:eastAsia="Arial" w:hAnsi="Arial"/>
          <w:sz w:val="16"/>
          <w:szCs w:val="16"/>
          <w:color w:val="auto"/>
        </w:rPr>
        <w:t>“Cost of sales – equipment and other” on our Consolidated Statements of Operations and Comprehensive Income (Loss) principally includes costs related to the non-subsidized sales of Pay-TV equipment. Costs are generally recognized as products are delivered to customers and the related revenue is recognized.</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Wireless Segment</w:t>
      </w:r>
    </w:p>
    <w:p>
      <w:pPr>
        <w:spacing w:after="0" w:line="177" w:lineRule="exact"/>
        <w:rPr>
          <w:sz w:val="20"/>
          <w:szCs w:val="20"/>
          <w:color w:val="auto"/>
        </w:rPr>
      </w:pPr>
    </w:p>
    <w:p>
      <w:pPr>
        <w:jc w:val="both"/>
        <w:ind w:left="40" w:right="279"/>
        <w:spacing w:after="0" w:line="256" w:lineRule="auto"/>
        <w:rPr>
          <w:sz w:val="20"/>
          <w:szCs w:val="20"/>
          <w:color w:val="auto"/>
        </w:rPr>
      </w:pPr>
      <w:r>
        <w:rPr>
          <w:rFonts w:ascii="Arial" w:cs="Arial" w:eastAsia="Arial" w:hAnsi="Arial"/>
          <w:sz w:val="16"/>
          <w:szCs w:val="16"/>
          <w:color w:val="auto"/>
        </w:rPr>
        <w:t>“Cost of sales – equipment and other” on our Consolidated Statements of Operations and Comprehensive Income (Loss) principally includes the cost of wireless devices and other related items. Costs are recognized as products are delivered to customers and the related revenue is recognized.</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Broadband and Satellite Services Segment</w:t>
      </w:r>
    </w:p>
    <w:p>
      <w:pPr>
        <w:spacing w:after="0" w:line="177" w:lineRule="exact"/>
        <w:rPr>
          <w:sz w:val="20"/>
          <w:szCs w:val="20"/>
          <w:color w:val="auto"/>
        </w:rPr>
      </w:pPr>
    </w:p>
    <w:p>
      <w:pPr>
        <w:ind w:left="40" w:right="219"/>
        <w:spacing w:after="0" w:line="256" w:lineRule="auto"/>
        <w:rPr>
          <w:sz w:val="20"/>
          <w:szCs w:val="20"/>
          <w:color w:val="auto"/>
        </w:rPr>
      </w:pPr>
      <w:r>
        <w:rPr>
          <w:rFonts w:ascii="Arial" w:cs="Arial" w:eastAsia="Arial" w:hAnsi="Arial"/>
          <w:sz w:val="16"/>
          <w:szCs w:val="16"/>
          <w:color w:val="auto"/>
        </w:rPr>
        <w:t>“Cost of sales – equipment and other” on our Consolidated Statements of Operations and Comprehensive Income (Loss) principally consists of inventory costs, including freight and royalties, and is generally recognized at the point in time control of the equipment is passed to the customer and related revenue is recognized.</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177" w:lineRule="exact"/>
        <w:rPr>
          <w:sz w:val="20"/>
          <w:szCs w:val="20"/>
          <w:color w:val="auto"/>
        </w:rPr>
      </w:pPr>
    </w:p>
    <w:p>
      <w:pPr>
        <w:ind w:left="40" w:right="99"/>
        <w:spacing w:after="0" w:line="256" w:lineRule="auto"/>
        <w:rPr>
          <w:sz w:val="20"/>
          <w:szCs w:val="20"/>
          <w:color w:val="auto"/>
        </w:rPr>
      </w:pPr>
      <w:r>
        <w:rPr>
          <w:rFonts w:ascii="Arial" w:cs="Arial" w:eastAsia="Arial" w:hAnsi="Arial"/>
          <w:sz w:val="16"/>
          <w:szCs w:val="16"/>
          <w:color w:val="auto"/>
        </w:rPr>
        <w:t>We recognize advertising expense when incurred as a component of “Selling, general and administrative expenses” on our Consolidated Statements of Operations and Comprehensive Income (Loss). Advertising expenses totaled $745 million, $868 million and $816 million for the years ended December 31, 2024, 2023 and 2022, respectively.</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77" w:lineRule="exact"/>
        <w:rPr>
          <w:sz w:val="20"/>
          <w:szCs w:val="20"/>
          <w:color w:val="auto"/>
        </w:rPr>
      </w:pPr>
    </w:p>
    <w:p>
      <w:pPr>
        <w:ind w:left="40" w:right="119"/>
        <w:spacing w:after="0" w:line="243" w:lineRule="auto"/>
        <w:rPr>
          <w:sz w:val="20"/>
          <w:szCs w:val="20"/>
          <w:color w:val="auto"/>
        </w:rPr>
      </w:pPr>
      <w:r>
        <w:rPr>
          <w:rFonts w:ascii="Arial" w:cs="Arial" w:eastAsia="Arial" w:hAnsi="Arial"/>
          <w:sz w:val="16"/>
          <w:szCs w:val="16"/>
          <w:color w:val="auto"/>
        </w:rPr>
        <w:t>Research and development costs, not incurred in connection with customer requirements, are expensed as incurred and are included as a component of “Selling, general and administrative expenses” on our Consolidated Statements of Operations and Comprehensive Income (Loss). Additionally, customer-related research and development costs are incurred in connection with the specific requirements of a customer’s order; in such instances, the amounts for these customer funded development efforts are also included in “Cost of sales – equipment and other” on our Consolidated Statements of Operations and Comprehensive Income (Loss). Research and development costs totaled $91 million, $110 million and $110 million for the years ended December 31, 2024, 2023 and 2022, respectively.</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Foreign Currency</w:t>
      </w:r>
    </w:p>
    <w:p>
      <w:pPr>
        <w:spacing w:after="0" w:line="177"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in “Other, net” on our Consolidated Statements of Operations and Comprehensive Income (Loss). Except in certain uncommon circumstances, we have not recorded deferred income taxes related to our foreign currency translation adjustments.</w:t>
      </w:r>
    </w:p>
    <w:p>
      <w:pPr>
        <w:spacing w:after="0" w:line="146" w:lineRule="exact"/>
        <w:rPr>
          <w:sz w:val="20"/>
          <w:szCs w:val="20"/>
          <w:color w:val="auto"/>
        </w:rPr>
      </w:pPr>
    </w:p>
    <w:p>
      <w:pPr>
        <w:ind w:left="40" w:right="379"/>
        <w:spacing w:after="0" w:line="275" w:lineRule="auto"/>
        <w:rPr>
          <w:sz w:val="20"/>
          <w:szCs w:val="20"/>
          <w:color w:val="auto"/>
        </w:rPr>
      </w:pPr>
      <w:r>
        <w:rPr>
          <w:rFonts w:ascii="Arial" w:cs="Arial" w:eastAsia="Arial" w:hAnsi="Arial"/>
          <w:sz w:val="16"/>
          <w:szCs w:val="16"/>
          <w:color w:val="auto"/>
        </w:rPr>
        <w:t>Gains and losses resulting from the re-measurement of transactions denominated in foreign currencies are recognized in “Other, net” on our Consolidated Statements of Operations and Comprehensive Income (Loss).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69">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50" w:name="page151"/>
    <w:bookmarkEnd w:id="15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New Accounting Pronouncements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Not Yet Adopted</w:t>
      </w:r>
    </w:p>
    <w:p>
      <w:pPr>
        <w:spacing w:after="0" w:line="177" w:lineRule="exact"/>
        <w:rPr>
          <w:sz w:val="20"/>
          <w:szCs w:val="20"/>
          <w:color w:val="auto"/>
        </w:rPr>
      </w:pPr>
    </w:p>
    <w:p>
      <w:pPr>
        <w:ind w:left="40" w:right="59"/>
        <w:spacing w:after="0" w:line="242" w:lineRule="auto"/>
        <w:rPr>
          <w:sz w:val="20"/>
          <w:szCs w:val="20"/>
          <w:color w:val="auto"/>
        </w:rPr>
      </w:pPr>
      <w:r>
        <w:rPr>
          <w:rFonts w:ascii="Arial" w:cs="Arial" w:eastAsia="Arial" w:hAnsi="Arial"/>
          <w:sz w:val="16"/>
          <w:szCs w:val="16"/>
          <w:i w:val="1"/>
          <w:iCs w:val="1"/>
          <w:color w:val="auto"/>
        </w:rPr>
        <w:t xml:space="preserve">Joint Ventures. </w:t>
      </w:r>
      <w:r>
        <w:rPr>
          <w:rFonts w:ascii="Arial" w:cs="Arial" w:eastAsia="Arial" w:hAnsi="Arial"/>
          <w:sz w:val="16"/>
          <w:szCs w:val="16"/>
          <w:color w:val="auto"/>
        </w:rPr>
        <w:t>On August 23, 2023, the FASB issued ASU 2023-05,</w:t>
      </w:r>
      <w:r>
        <w:rPr>
          <w:rFonts w:ascii="Arial" w:cs="Arial" w:eastAsia="Arial" w:hAnsi="Arial"/>
          <w:sz w:val="16"/>
          <w:szCs w:val="16"/>
          <w:i w:val="1"/>
          <w:iCs w:val="1"/>
          <w:color w:val="auto"/>
        </w:rPr>
        <w:t xml:space="preserve"> Business Combinations — Joint Venture Formations (Subtopic 805-60) </w:t>
      </w:r>
      <w:r>
        <w:rPr>
          <w:rFonts w:ascii="Arial" w:cs="Arial" w:eastAsia="Arial" w:hAnsi="Arial"/>
          <w:sz w:val="16"/>
          <w:szCs w:val="16"/>
          <w:color w:val="auto"/>
        </w:rPr>
        <w:t>(“ASU 2023-05”), which requires an entity that qualifies as either a joint venture or a corporate joint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as defined in the FASB Accounting Standards Codification (ASC) master glossary to apply a new basis of accounting upon the formation of the joint venture. This standard will be effective for all joint venture formations with a formation date on or after January 1, 2025.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We plan to adopt the standard if applicable and we expect the adoption of the standard will have an immaterial impact on our disclosures.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On December 14, 2023, the FASB issued ASU 2023-9,</w:t>
      </w:r>
      <w:r>
        <w:rPr>
          <w:rFonts w:ascii="Arial" w:cs="Arial" w:eastAsia="Arial" w:hAnsi="Arial"/>
          <w:sz w:val="16"/>
          <w:szCs w:val="16"/>
          <w:i w:val="1"/>
          <w:iCs w:val="1"/>
          <w:color w:val="auto"/>
        </w:rPr>
        <w:t xml:space="preserve"> Income Taxes (Topic 740):</w:t>
      </w:r>
    </w:p>
    <w:p>
      <w:pPr>
        <w:spacing w:after="0" w:line="14" w:lineRule="exact"/>
        <w:rPr>
          <w:sz w:val="20"/>
          <w:szCs w:val="20"/>
          <w:color w:val="auto"/>
        </w:rPr>
      </w:pPr>
    </w:p>
    <w:p>
      <w:pPr>
        <w:ind w:left="40" w:right="299"/>
        <w:spacing w:after="0"/>
        <w:rPr>
          <w:sz w:val="20"/>
          <w:szCs w:val="20"/>
          <w:color w:val="auto"/>
        </w:rPr>
      </w:pPr>
      <w:r>
        <w:rPr>
          <w:rFonts w:ascii="Arial" w:cs="Arial" w:eastAsia="Arial" w:hAnsi="Arial"/>
          <w:sz w:val="16"/>
          <w:szCs w:val="16"/>
          <w:i w:val="1"/>
          <w:iCs w:val="1"/>
          <w:color w:val="auto"/>
        </w:rPr>
        <w:t xml:space="preserve">Improvements to Income Tax Disclosures </w:t>
      </w:r>
      <w:r>
        <w:rPr>
          <w:rFonts w:ascii="Arial" w:cs="Arial" w:eastAsia="Arial" w:hAnsi="Arial"/>
          <w:sz w:val="16"/>
          <w:szCs w:val="16"/>
          <w:color w:val="auto"/>
        </w:rPr>
        <w:t>(“ASU 2023-09”), which will enhance income tax disclosures. ASU 2023-09</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among other items 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 We are evaluating the impact the adoption of ASU 2023-09 will have on our Consolidated Financial Statements and related disclosures.</w:t>
      </w:r>
    </w:p>
    <w:p>
      <w:pPr>
        <w:spacing w:after="0" w:line="151" w:lineRule="exact"/>
        <w:rPr>
          <w:sz w:val="20"/>
          <w:szCs w:val="20"/>
          <w:color w:val="auto"/>
        </w:rPr>
      </w:pPr>
    </w:p>
    <w:p>
      <w:pPr>
        <w:ind w:left="40" w:right="99"/>
        <w:spacing w:after="0" w:line="243" w:lineRule="auto"/>
        <w:rPr>
          <w:sz w:val="20"/>
          <w:szCs w:val="20"/>
          <w:color w:val="auto"/>
        </w:rPr>
      </w:pPr>
      <w:r>
        <w:rPr>
          <w:rFonts w:ascii="Arial" w:cs="Arial" w:eastAsia="Arial" w:hAnsi="Arial"/>
          <w:sz w:val="16"/>
          <w:szCs w:val="16"/>
          <w:i w:val="1"/>
          <w:iCs w:val="1"/>
          <w:color w:val="auto"/>
        </w:rPr>
        <w:t>Disaggregation of Income Statement Expenses</w:t>
      </w:r>
      <w:r>
        <w:rPr>
          <w:rFonts w:ascii="Arial" w:cs="Arial" w:eastAsia="Arial" w:hAnsi="Arial"/>
          <w:sz w:val="16"/>
          <w:szCs w:val="16"/>
          <w:color w:val="auto"/>
        </w:rPr>
        <w:t>. On November 5, 2024, the FASB issued ASU 2024-03,</w:t>
      </w:r>
      <w:r>
        <w:rPr>
          <w:rFonts w:ascii="Arial" w:cs="Arial" w:eastAsia="Arial" w:hAnsi="Arial"/>
          <w:sz w:val="16"/>
          <w:szCs w:val="16"/>
          <w:i w:val="1"/>
          <w:iCs w:val="1"/>
          <w:color w:val="auto"/>
        </w:rPr>
        <w:t xml:space="preserve"> Income Statement – Reporting Comprehensive Income – Expense Disaggregation Disclosures (Subtopic 220-40) </w:t>
      </w:r>
      <w:r>
        <w:rPr>
          <w:rFonts w:ascii="Arial" w:cs="Arial" w:eastAsia="Arial" w:hAnsi="Arial"/>
          <w:sz w:val="16"/>
          <w:szCs w:val="16"/>
          <w:color w:val="auto"/>
        </w:rPr>
        <w:t>(“ASU 2024-03”),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Consolidated Financial Statements and related disclosures.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3.  Basic and Diluted Net Income (Loss) Per Share</w:t>
      </w:r>
    </w:p>
    <w:p>
      <w:pPr>
        <w:spacing w:after="0" w:line="179" w:lineRule="exact"/>
        <w:rPr>
          <w:sz w:val="20"/>
          <w:szCs w:val="20"/>
          <w:color w:val="auto"/>
        </w:rPr>
      </w:pPr>
    </w:p>
    <w:p>
      <w:pPr>
        <w:ind w:left="40" w:right="159"/>
        <w:spacing w:after="0" w:line="241" w:lineRule="auto"/>
        <w:rPr>
          <w:sz w:val="20"/>
          <w:szCs w:val="20"/>
          <w:color w:val="auto"/>
        </w:rPr>
      </w:pPr>
      <w:r>
        <w:rPr>
          <w:rFonts w:ascii="Arial" w:cs="Arial" w:eastAsia="Arial" w:hAnsi="Arial"/>
          <w:sz w:val="16"/>
          <w:szCs w:val="16"/>
          <w:color w:val="auto"/>
        </w:rPr>
        <w:t xml:space="preserve">We present both basic earnings per share (“EPS”) and diluted EPS. Basic EPS excludes potential dilution and is computed by dividing “Net income (loss) attributable to EchoStar” by the weighted-average number of common shares outstanding for the period. Diluted EPS reflects the potential dilution that could occur if stock awards were exercised and if, our Existing DISH Convertible Notes </w:t>
      </w:r>
      <w:r>
        <w:rPr>
          <w:rFonts w:ascii="Arial" w:cs="Arial" w:eastAsia="Arial" w:hAnsi="Arial"/>
          <w:sz w:val="16"/>
          <w:szCs w:val="16"/>
          <w:color w:val="222222"/>
        </w:rPr>
        <w:t>and EchoStar Convertible Notes, as defined in Note 10, (together the “Convertible Notes,”)</w:t>
      </w:r>
      <w:r>
        <w:rPr>
          <w:rFonts w:ascii="Arial" w:cs="Arial" w:eastAsia="Arial" w:hAnsi="Arial"/>
          <w:sz w:val="16"/>
          <w:szCs w:val="16"/>
          <w:color w:val="auto"/>
        </w:rPr>
        <w:t xml:space="preserve"> were converted. The potential dilution from stock awards is accounted for using the treasury stock method based on the average market value of our Class A common stock for the reporting period. The potential dilution from conversion of the Convertible Notes is accounted for using the if-converted method, which requires that all of the shares of our Class A common stock issuable upon conversion of the Convertible Notes will be included in the calculation of diluted EPS assuming conversion of the Convertible Notes at the beginning of the reporting period (or at time of issuance, if later).</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0">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51" w:name="page152"/>
    <w:bookmarkEnd w:id="15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359"/>
        <w:spacing w:after="0" w:line="257" w:lineRule="auto"/>
        <w:rPr>
          <w:sz w:val="20"/>
          <w:szCs w:val="20"/>
          <w:color w:val="auto"/>
        </w:rPr>
      </w:pPr>
      <w:r>
        <w:rPr>
          <w:rFonts w:ascii="Arial" w:cs="Arial" w:eastAsia="Arial" w:hAnsi="Arial"/>
          <w:sz w:val="16"/>
          <w:szCs w:val="16"/>
          <w:color w:val="auto"/>
        </w:rPr>
        <w:t>The following table presents EPS amounts for all periods and the basic and diluted weighted-average shares outstanding used in the calculation.</w:t>
      </w:r>
    </w:p>
    <w:tbl>
      <w:tblPr>
        <w:tblLayout w:type="fixed"/>
        <w:tblInd w:w="40" w:type="dxa"/>
        <w:tblCellMar>
          <w:top w:w="0" w:type="dxa"/>
          <w:left w:w="0" w:type="dxa"/>
          <w:bottom w:w="0" w:type="dxa"/>
          <w:right w:w="0" w:type="dxa"/>
        </w:tblCellMar>
      </w:tblPr>
      <w:tr>
        <w:trPr>
          <w:trHeight w:val="147"/>
        </w:trPr>
        <w:tc>
          <w:tcPr>
            <w:tcW w:w="2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6"/>
          </w:tcPr>
          <w:p>
            <w:pPr>
              <w:ind w:left="460"/>
              <w:spacing w:after="0" w:line="143" w:lineRule="exact"/>
              <w:rPr>
                <w:sz w:val="20"/>
                <w:szCs w:val="20"/>
                <w:color w:val="auto"/>
              </w:rPr>
            </w:pPr>
            <w:r>
              <w:rPr>
                <w:rFonts w:ascii="Arial" w:cs="Arial" w:eastAsia="Arial" w:hAnsi="Arial"/>
                <w:sz w:val="13"/>
                <w:szCs w:val="13"/>
                <w:b w:val="1"/>
                <w:bCs w:val="1"/>
                <w:color w:val="auto"/>
                <w:w w:val="98"/>
              </w:rPr>
              <w:t>For the Years Ended December 31,</w:t>
            </w:r>
          </w:p>
        </w:tc>
        <w:tc>
          <w:tcPr>
            <w:tcW w:w="6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2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6"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6"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6" w:lineRule="exact"/>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2"/>
                <w:szCs w:val="12"/>
                <w:color w:val="auto"/>
              </w:rPr>
            </w:pPr>
          </w:p>
        </w:tc>
      </w:tr>
      <w:tr>
        <w:trPr>
          <w:trHeight w:val="125"/>
        </w:trPr>
        <w:tc>
          <w:tcPr>
            <w:tcW w:w="22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(In thousands,</w:t>
            </w:r>
          </w:p>
        </w:tc>
        <w:tc>
          <w:tcPr>
            <w:tcW w:w="1200" w:type="dxa"/>
            <w:vAlign w:val="bottom"/>
            <w:gridSpan w:val="3"/>
          </w:tcPr>
          <w:p>
            <w:pPr>
              <w:ind w:left="180"/>
              <w:spacing w:after="0" w:line="126" w:lineRule="exact"/>
              <w:rPr>
                <w:sz w:val="20"/>
                <w:szCs w:val="20"/>
                <w:color w:val="auto"/>
              </w:rPr>
            </w:pPr>
            <w:r>
              <w:rPr>
                <w:rFonts w:ascii="Arial" w:cs="Arial" w:eastAsia="Arial" w:hAnsi="Arial"/>
                <w:sz w:val="13"/>
                <w:szCs w:val="13"/>
                <w:color w:val="auto"/>
              </w:rPr>
              <w:t>except per share</w:t>
            </w:r>
          </w:p>
        </w:tc>
        <w:tc>
          <w:tcPr>
            <w:tcW w:w="1000" w:type="dxa"/>
            <w:vAlign w:val="bottom"/>
            <w:gridSpan w:val="2"/>
          </w:tcPr>
          <w:p>
            <w:pPr>
              <w:spacing w:after="0" w:line="126" w:lineRule="exact"/>
              <w:rPr>
                <w:sz w:val="20"/>
                <w:szCs w:val="20"/>
                <w:color w:val="auto"/>
              </w:rPr>
            </w:pPr>
            <w:r>
              <w:rPr>
                <w:rFonts w:ascii="Arial" w:cs="Arial" w:eastAsia="Arial" w:hAnsi="Arial"/>
                <w:sz w:val="13"/>
                <w:szCs w:val="13"/>
                <w:color w:val="auto"/>
              </w:rPr>
              <w:t>amounts)</w:t>
            </w:r>
          </w:p>
        </w:tc>
        <w:tc>
          <w:tcPr>
            <w:tcW w:w="40" w:type="dxa"/>
            <w:vAlign w:val="bottom"/>
          </w:tcPr>
          <w:p>
            <w:pPr>
              <w:spacing w:after="0"/>
              <w:rPr>
                <w:sz w:val="10"/>
                <w:szCs w:val="10"/>
                <w:color w:val="auto"/>
              </w:rPr>
            </w:pPr>
          </w:p>
        </w:tc>
      </w:tr>
      <w:tr>
        <w:trPr>
          <w:trHeight w:val="145"/>
        </w:trPr>
        <w:tc>
          <w:tcPr>
            <w:tcW w:w="54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income (loss)</w:t>
            </w:r>
          </w:p>
        </w:tc>
        <w:tc>
          <w:tcPr>
            <w:tcW w:w="220" w:type="dxa"/>
            <w:vAlign w:val="bottom"/>
            <w:shd w:val="clear" w:color="auto" w:fill="CCEEFF"/>
          </w:tcPr>
          <w:p>
            <w:pPr>
              <w:jc w:val="right"/>
              <w:ind w:right="75"/>
              <w:spacing w:after="0" w:line="146" w:lineRule="exact"/>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(124,515)</w:t>
            </w:r>
          </w:p>
        </w:tc>
        <w:tc>
          <w:tcPr>
            <w:tcW w:w="200" w:type="dxa"/>
            <w:vAlign w:val="bottom"/>
            <w:shd w:val="clear" w:color="auto" w:fill="CCEEFF"/>
          </w:tcPr>
          <w:p>
            <w:pPr>
              <w:jc w:val="right"/>
              <w:ind w:right="55"/>
              <w:spacing w:after="0" w:line="146"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(1,634,824)</w:t>
            </w:r>
          </w:p>
        </w:tc>
        <w:tc>
          <w:tcPr>
            <w:tcW w:w="3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2,536,892</w:t>
            </w:r>
          </w:p>
        </w:tc>
        <w:tc>
          <w:tcPr>
            <w:tcW w:w="40" w:type="dxa"/>
            <w:vAlign w:val="bottom"/>
            <w:shd w:val="clear" w:color="auto" w:fill="CCEEFF"/>
          </w:tcPr>
          <w:p>
            <w:pPr>
              <w:spacing w:after="0"/>
              <w:rPr>
                <w:sz w:val="12"/>
                <w:szCs w:val="12"/>
                <w:color w:val="auto"/>
              </w:rPr>
            </w:pPr>
          </w:p>
        </w:tc>
      </w:tr>
      <w:tr>
        <w:trPr>
          <w:trHeight w:val="145"/>
        </w:trPr>
        <w:tc>
          <w:tcPr>
            <w:tcW w:w="540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Less: Net income (loss) attributable to noncontrolling interests, net of tax</w:t>
            </w:r>
          </w:p>
        </w:tc>
        <w:tc>
          <w:tcPr>
            <w:tcW w:w="220" w:type="dxa"/>
            <w:vAlign w:val="bottom"/>
          </w:tcPr>
          <w:p>
            <w:pPr>
              <w:spacing w:after="0"/>
              <w:rPr>
                <w:sz w:val="12"/>
                <w:szCs w:val="12"/>
                <w:color w:val="auto"/>
              </w:rPr>
            </w:pPr>
          </w:p>
        </w:tc>
        <w:tc>
          <w:tcPr>
            <w:tcW w:w="10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(4,969)</w:t>
            </w:r>
          </w:p>
        </w:tc>
        <w:tc>
          <w:tcPr>
            <w:tcW w:w="20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67,233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59,172</w:t>
            </w:r>
          </w:p>
        </w:tc>
        <w:tc>
          <w:tcPr>
            <w:tcW w:w="40" w:type="dxa"/>
            <w:vAlign w:val="bottom"/>
          </w:tcPr>
          <w:p>
            <w:pPr>
              <w:spacing w:after="0"/>
              <w:rPr>
                <w:sz w:val="12"/>
                <w:szCs w:val="12"/>
                <w:color w:val="auto"/>
              </w:rPr>
            </w:pPr>
          </w:p>
        </w:tc>
      </w:tr>
      <w:tr>
        <w:trPr>
          <w:trHeight w:val="137"/>
        </w:trPr>
        <w:tc>
          <w:tcPr>
            <w:tcW w:w="5400" w:type="dxa"/>
            <w:vAlign w:val="bottom"/>
            <w:tcBorders>
              <w:top w:val="single" w:sz="8" w:color="CCEEFF"/>
            </w:tcBorders>
            <w:gridSpan w:val="2"/>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Net income (loss) attributable to EchoStar - Basic</w:t>
            </w: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(119,546)</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(1,702,057)</w:t>
            </w:r>
          </w:p>
        </w:tc>
        <w:tc>
          <w:tcPr>
            <w:tcW w:w="2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2,477,720</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5400" w:type="dxa"/>
            <w:vAlign w:val="bottom"/>
            <w:gridSpan w:val="2"/>
          </w:tcPr>
          <w:p>
            <w:pPr>
              <w:spacing w:after="0" w:line="146" w:lineRule="exact"/>
              <w:rPr>
                <w:sz w:val="20"/>
                <w:szCs w:val="20"/>
                <w:color w:val="auto"/>
              </w:rPr>
            </w:pPr>
            <w:r>
              <w:rPr>
                <w:rFonts w:ascii="Arial" w:cs="Arial" w:eastAsia="Arial" w:hAnsi="Arial"/>
                <w:sz w:val="13"/>
                <w:szCs w:val="13"/>
                <w:color w:val="auto"/>
              </w:rPr>
              <w:t>Interest on dilutive Convertible Notes, net of tax (1)(5)</w:t>
            </w:r>
          </w:p>
        </w:tc>
        <w:tc>
          <w:tcPr>
            <w:tcW w:w="220" w:type="dxa"/>
            <w:vAlign w:val="bottom"/>
          </w:tcPr>
          <w:p>
            <w:pPr>
              <w:spacing w:after="0"/>
              <w:rPr>
                <w:sz w:val="12"/>
                <w:szCs w:val="12"/>
                <w:color w:val="auto"/>
              </w:rPr>
            </w:pPr>
          </w:p>
        </w:tc>
        <w:tc>
          <w:tcPr>
            <w:tcW w:w="106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r>
      <w:tr>
        <w:trPr>
          <w:trHeight w:val="137"/>
        </w:trPr>
        <w:tc>
          <w:tcPr>
            <w:tcW w:w="5400" w:type="dxa"/>
            <w:vAlign w:val="bottom"/>
            <w:tcBorders>
              <w:top w:val="single" w:sz="8" w:color="CCEEFF"/>
              <w:bottom w:val="single" w:sz="8" w:color="CCEEFF"/>
            </w:tcBorders>
            <w:gridSpan w:val="2"/>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Net income (loss) attributable to EchoStar - Diluted</w:t>
            </w:r>
          </w:p>
        </w:tc>
        <w:tc>
          <w:tcPr>
            <w:tcW w:w="220" w:type="dxa"/>
            <w:vAlign w:val="bottom"/>
            <w:tcBorders>
              <w:top w:val="single" w:sz="8" w:color="auto"/>
              <w:bottom w:val="single" w:sz="8" w:color="auto"/>
            </w:tcBorders>
            <w:shd w:val="clear" w:color="auto" w:fill="CCEEFF"/>
          </w:tcPr>
          <w:p>
            <w:pPr>
              <w:jc w:val="right"/>
              <w:ind w:right="75"/>
              <w:spacing w:after="0" w:line="138"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(119,546)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55"/>
              <w:spacing w:after="0" w:line="138"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(1,702,057)</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ind w:left="20"/>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2,477,720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2"/>
        </w:trPr>
        <w:tc>
          <w:tcPr>
            <w:tcW w:w="22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5"/>
        </w:trPr>
        <w:tc>
          <w:tcPr>
            <w:tcW w:w="54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Weighted-average common shares outstanding - Class A and B common stock:</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540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Basic (2)</w:t>
            </w:r>
          </w:p>
        </w:tc>
        <w:tc>
          <w:tcPr>
            <w:tcW w:w="220" w:type="dxa"/>
            <w:vAlign w:val="bottom"/>
          </w:tcPr>
          <w:p>
            <w:pPr>
              <w:spacing w:after="0"/>
              <w:rPr>
                <w:sz w:val="12"/>
                <w:szCs w:val="12"/>
                <w:color w:val="auto"/>
              </w:rPr>
            </w:pP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274,079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270,842</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270,102</w:t>
            </w:r>
          </w:p>
        </w:tc>
        <w:tc>
          <w:tcPr>
            <w:tcW w:w="40" w:type="dxa"/>
            <w:vAlign w:val="bottom"/>
          </w:tcPr>
          <w:p>
            <w:pPr>
              <w:spacing w:after="0"/>
              <w:rPr>
                <w:sz w:val="12"/>
                <w:szCs w:val="12"/>
                <w:color w:val="auto"/>
              </w:rPr>
            </w:pPr>
          </w:p>
        </w:tc>
      </w:tr>
      <w:tr>
        <w:trPr>
          <w:trHeight w:val="145"/>
        </w:trPr>
        <w:tc>
          <w:tcPr>
            <w:tcW w:w="54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Dilutive impact of Convertible Notes (3)(4)(5)</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37,550</w:t>
            </w:r>
          </w:p>
        </w:tc>
        <w:tc>
          <w:tcPr>
            <w:tcW w:w="40" w:type="dxa"/>
            <w:vAlign w:val="bottom"/>
            <w:shd w:val="clear" w:color="auto" w:fill="CCEEFF"/>
          </w:tcPr>
          <w:p>
            <w:pPr>
              <w:spacing w:after="0"/>
              <w:rPr>
                <w:sz w:val="12"/>
                <w:szCs w:val="12"/>
                <w:color w:val="auto"/>
              </w:rPr>
            </w:pPr>
          </w:p>
        </w:tc>
      </w:tr>
      <w:tr>
        <w:trPr>
          <w:trHeight w:val="145"/>
        </w:trPr>
        <w:tc>
          <w:tcPr>
            <w:tcW w:w="5400" w:type="dxa"/>
            <w:vAlign w:val="bottom"/>
            <w:gridSpan w:val="2"/>
          </w:tcPr>
          <w:p>
            <w:pPr>
              <w:spacing w:after="0" w:line="146" w:lineRule="exact"/>
              <w:rPr>
                <w:sz w:val="20"/>
                <w:szCs w:val="20"/>
                <w:color w:val="auto"/>
              </w:rPr>
            </w:pPr>
            <w:r>
              <w:rPr>
                <w:rFonts w:ascii="Arial" w:cs="Arial" w:eastAsia="Arial" w:hAnsi="Arial"/>
                <w:sz w:val="13"/>
                <w:szCs w:val="13"/>
                <w:color w:val="auto"/>
              </w:rPr>
              <w:t>Dilutive impact of stock awards outstanding (5)</w:t>
            </w:r>
          </w:p>
        </w:tc>
        <w:tc>
          <w:tcPr>
            <w:tcW w:w="220" w:type="dxa"/>
            <w:vAlign w:val="bottom"/>
          </w:tcPr>
          <w:p>
            <w:pPr>
              <w:spacing w:after="0"/>
              <w:rPr>
                <w:sz w:val="12"/>
                <w:szCs w:val="12"/>
                <w:color w:val="auto"/>
              </w:rPr>
            </w:pPr>
          </w:p>
        </w:tc>
        <w:tc>
          <w:tcPr>
            <w:tcW w:w="106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81</w:t>
            </w:r>
          </w:p>
        </w:tc>
        <w:tc>
          <w:tcPr>
            <w:tcW w:w="40" w:type="dxa"/>
            <w:vAlign w:val="bottom"/>
          </w:tcPr>
          <w:p>
            <w:pPr>
              <w:spacing w:after="0"/>
              <w:rPr>
                <w:sz w:val="12"/>
                <w:szCs w:val="12"/>
                <w:color w:val="auto"/>
              </w:rPr>
            </w:pPr>
          </w:p>
        </w:tc>
      </w:tr>
      <w:tr>
        <w:trPr>
          <w:trHeight w:val="137"/>
        </w:trPr>
        <w:tc>
          <w:tcPr>
            <w:tcW w:w="5400" w:type="dxa"/>
            <w:vAlign w:val="bottom"/>
            <w:tcBorders>
              <w:top w:val="single" w:sz="8" w:color="CCEEFF"/>
              <w:bottom w:val="single" w:sz="8" w:color="CCEEFF"/>
            </w:tcBorders>
            <w:gridSpan w:val="2"/>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Diluted</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274,079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270,842</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307,733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2"/>
        </w:trPr>
        <w:tc>
          <w:tcPr>
            <w:tcW w:w="22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5"/>
        </w:trPr>
        <w:tc>
          <w:tcPr>
            <w:tcW w:w="54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Earnings per share - Class A and B common stock:</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5400" w:type="dxa"/>
            <w:vAlign w:val="bottom"/>
            <w:gridSpan w:val="2"/>
          </w:tcPr>
          <w:p>
            <w:pPr>
              <w:spacing w:after="0" w:line="146" w:lineRule="exact"/>
              <w:rPr>
                <w:sz w:val="20"/>
                <w:szCs w:val="20"/>
                <w:color w:val="auto"/>
              </w:rPr>
            </w:pPr>
            <w:r>
              <w:rPr>
                <w:rFonts w:ascii="Arial" w:cs="Arial" w:eastAsia="Arial" w:hAnsi="Arial"/>
                <w:sz w:val="13"/>
                <w:szCs w:val="13"/>
                <w:color w:val="auto"/>
              </w:rPr>
              <w:t>Basic net income (loss) per share attributable to EchoStar</w:t>
            </w:r>
          </w:p>
        </w:tc>
        <w:tc>
          <w:tcPr>
            <w:tcW w:w="220" w:type="dxa"/>
            <w:vAlign w:val="bottom"/>
          </w:tcPr>
          <w:p>
            <w:pPr>
              <w:jc w:val="right"/>
              <w:ind w:right="75"/>
              <w:spacing w:after="0" w:line="146" w:lineRule="exact"/>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(0.44)</w:t>
            </w:r>
          </w:p>
        </w:tc>
        <w:tc>
          <w:tcPr>
            <w:tcW w:w="200" w:type="dxa"/>
            <w:vAlign w:val="bottom"/>
          </w:tcPr>
          <w:p>
            <w:pPr>
              <w:jc w:val="right"/>
              <w:ind w:right="55"/>
              <w:spacing w:after="0" w:line="146"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(6.28)</w:t>
            </w:r>
          </w:p>
        </w:tc>
        <w:tc>
          <w:tcPr>
            <w:tcW w:w="340" w:type="dxa"/>
            <w:vAlign w:val="bottom"/>
          </w:tcPr>
          <w:p>
            <w:pPr>
              <w:ind w:left="20"/>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9.17</w:t>
            </w:r>
          </w:p>
        </w:tc>
        <w:tc>
          <w:tcPr>
            <w:tcW w:w="40" w:type="dxa"/>
            <w:vAlign w:val="bottom"/>
          </w:tcPr>
          <w:p>
            <w:pPr>
              <w:spacing w:after="0"/>
              <w:rPr>
                <w:sz w:val="12"/>
                <w:szCs w:val="12"/>
                <w:color w:val="auto"/>
              </w:rPr>
            </w:pPr>
          </w:p>
        </w:tc>
      </w:tr>
      <w:tr>
        <w:trPr>
          <w:trHeight w:val="145"/>
        </w:trPr>
        <w:tc>
          <w:tcPr>
            <w:tcW w:w="54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Diluted net income (loss) per share attributable to EchoStar</w:t>
            </w:r>
          </w:p>
        </w:tc>
        <w:tc>
          <w:tcPr>
            <w:tcW w:w="220" w:type="dxa"/>
            <w:vAlign w:val="bottom"/>
            <w:shd w:val="clear" w:color="auto" w:fill="CCEEFF"/>
          </w:tcPr>
          <w:p>
            <w:pPr>
              <w:jc w:val="right"/>
              <w:ind w:right="75"/>
              <w:spacing w:after="0" w:line="146" w:lineRule="exact"/>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(0.44)</w:t>
            </w:r>
          </w:p>
        </w:tc>
        <w:tc>
          <w:tcPr>
            <w:tcW w:w="200" w:type="dxa"/>
            <w:vAlign w:val="bottom"/>
            <w:shd w:val="clear" w:color="auto" w:fill="CCEEFF"/>
          </w:tcPr>
          <w:p>
            <w:pPr>
              <w:jc w:val="right"/>
              <w:ind w:right="55"/>
              <w:spacing w:after="0" w:line="146"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(6.28)</w:t>
            </w:r>
          </w:p>
        </w:tc>
        <w:tc>
          <w:tcPr>
            <w:tcW w:w="34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8.05</w:t>
            </w:r>
          </w:p>
        </w:tc>
        <w:tc>
          <w:tcPr>
            <w:tcW w:w="40" w:type="dxa"/>
            <w:vAlign w:val="bottom"/>
            <w:shd w:val="clear" w:color="auto" w:fill="CCEEFF"/>
          </w:tcPr>
          <w:p>
            <w:pPr>
              <w:spacing w:after="0"/>
              <w:rPr>
                <w:sz w:val="12"/>
                <w:szCs w:val="12"/>
                <w:color w:val="auto"/>
              </w:rPr>
            </w:pPr>
          </w:p>
        </w:tc>
      </w:tr>
      <w:tr>
        <w:trPr>
          <w:trHeight w:val="97"/>
        </w:trPr>
        <w:tc>
          <w:tcPr>
            <w:tcW w:w="22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68" w:lineRule="exact"/>
        <w:rPr>
          <w:sz w:val="20"/>
          <w:szCs w:val="20"/>
          <w:color w:val="auto"/>
        </w:rPr>
      </w:pPr>
    </w:p>
    <w:p>
      <w:pPr>
        <w:ind w:left="340" w:right="159" w:hanging="298"/>
        <w:spacing w:after="0" w:line="247"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the years ended December 31, 2023 and 2022, substantially all of our interest expense was capitalized. See Note 2 for further information.</w:t>
      </w:r>
    </w:p>
    <w:p>
      <w:pPr>
        <w:ind w:left="340" w:right="279" w:hanging="298"/>
        <w:spacing w:after="0" w:line="236"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On November 12, 2024, as a result of the PIPE Investment (as defined below), we issued 14.265 million shares of our Class A Common Stock.</w:t>
      </w:r>
    </w:p>
    <w:p>
      <w:pPr>
        <w:spacing w:after="0" w:line="1" w:lineRule="exact"/>
        <w:rPr>
          <w:rFonts w:ascii="Arial" w:cs="Arial" w:eastAsia="Arial" w:hAnsi="Arial"/>
          <w:sz w:val="16"/>
          <w:szCs w:val="16"/>
          <w:color w:val="auto"/>
        </w:rPr>
      </w:pPr>
    </w:p>
    <w:p>
      <w:pPr>
        <w:ind w:left="340" w:right="99" w:hanging="298"/>
        <w:spacing w:after="0" w:line="236"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We repurchased or redeemed the principal balance of our 2 3/8% Convertible Notes due 2024 as of March 15, 2024, the instrument’s maturity date.</w:t>
      </w:r>
    </w:p>
    <w:p>
      <w:pPr>
        <w:spacing w:after="0" w:line="1" w:lineRule="exact"/>
        <w:rPr>
          <w:rFonts w:ascii="Arial" w:cs="Arial" w:eastAsia="Arial" w:hAnsi="Arial"/>
          <w:sz w:val="16"/>
          <w:szCs w:val="16"/>
          <w:color w:val="auto"/>
        </w:rPr>
      </w:pPr>
    </w:p>
    <w:p>
      <w:pPr>
        <w:ind w:left="340" w:right="79" w:hanging="298"/>
        <w:spacing w:after="0" w:line="236"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On November 12, 2024, we issued $1.906 billion aggregate principal amount of EchoStar Convertible Notes (as defined in Note 10), which includes the EchoStar Convertible Notes issued upon the closing of the EchoStar Exchange Offers (as defined in Note 10). Upon the closing of the EchoStar Exchange Offers the Existing DISH Convertible Notes (as defined in Note 10) with an aggregate principal amount of $183 million remain outstanding. Subsequent to November 12, 2024, the total outstanding aggregate principal amount of our Convertible Notes may be converted into 58 million shares.</w:t>
      </w:r>
    </w:p>
    <w:p>
      <w:pPr>
        <w:spacing w:after="0" w:line="3" w:lineRule="exact"/>
        <w:rPr>
          <w:rFonts w:ascii="Arial" w:cs="Arial" w:eastAsia="Arial" w:hAnsi="Arial"/>
          <w:sz w:val="16"/>
          <w:szCs w:val="16"/>
          <w:color w:val="auto"/>
        </w:rPr>
      </w:pPr>
    </w:p>
    <w:p>
      <w:pPr>
        <w:ind w:left="340" w:right="379" w:hanging="298"/>
        <w:spacing w:after="0" w:line="242"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both the years ended December 31, 2024 and 2023, the dilutive impact of 38 million weighted-average shares of Class A common stock were excluded from the computation of “Diluted net income (loss) per share attributable to EchoStar” because the effect would have been anti-dilutive as a result of the net loss attributable to EchoStar in the period.</w:t>
      </w:r>
    </w:p>
    <w:p>
      <w:pPr>
        <w:spacing w:after="0" w:line="150"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auto"/>
        </w:rPr>
        <w:t>Certain stock awards to acquire our Class A common stock are not included in the weighted-average common shares outstanding above, as their effect is anti-dilutive. In addition, vesting of performance/market based options and rights to acquire shares of our Class A common stock granted pursuant to our performance based stock incentive plans (“Restricted Performance Units”) are both contingent upon meeting certain goals, some of which are not yet probable of being achieved. Furthermore, the warrants that we issued to certain option counterparties in connection with the Convertible Notes due 2026 are only exercisable at their expiration if the market price per share of our Class A common stock is greater than the strike price of the warrants, which is at price ranges of approximately $185.75 to $245.33 per share, subject to certain adjustments. As a consequence, the following are not included in the diluted EPS calculation.</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As of December 31,</w:t>
            </w:r>
          </w:p>
        </w:tc>
        <w:tc>
          <w:tcPr>
            <w:tcW w:w="1300" w:type="dxa"/>
            <w:vAlign w:val="bottom"/>
            <w:tcBorders>
              <w:bottom w:val="single" w:sz="8" w:color="auto"/>
            </w:tcBorders>
          </w:tcPr>
          <w:p>
            <w:pPr>
              <w:spacing w:after="0"/>
              <w:rPr>
                <w:sz w:val="17"/>
                <w:szCs w:val="17"/>
                <w:color w:val="auto"/>
              </w:rPr>
            </w:pPr>
          </w:p>
        </w:tc>
      </w:tr>
      <w:tr>
        <w:trPr>
          <w:trHeight w:val="182"/>
        </w:trPr>
        <w:tc>
          <w:tcPr>
            <w:tcW w:w="3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jc w:val="right"/>
              <w:ind w:right="405"/>
              <w:spacing w:after="0" w:line="181" w:lineRule="exact"/>
              <w:rPr>
                <w:sz w:val="20"/>
                <w:szCs w:val="20"/>
                <w:color w:val="auto"/>
              </w:rPr>
            </w:pPr>
            <w:r>
              <w:rPr>
                <w:rFonts w:ascii="Arial" w:cs="Arial" w:eastAsia="Arial" w:hAnsi="Arial"/>
                <w:sz w:val="16"/>
                <w:szCs w:val="16"/>
                <w:b w:val="1"/>
                <w:bCs w:val="1"/>
                <w:color w:val="auto"/>
              </w:rPr>
              <w:t>2024</w:t>
            </w:r>
          </w:p>
        </w:tc>
        <w:tc>
          <w:tcPr>
            <w:tcW w:w="1580" w:type="dxa"/>
            <w:vAlign w:val="bottom"/>
            <w:gridSpan w:val="2"/>
          </w:tcPr>
          <w:p>
            <w:pPr>
              <w:jc w:val="center"/>
              <w:ind w:left="219"/>
              <w:spacing w:after="0" w:line="181" w:lineRule="exact"/>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15"/>
                <w:szCs w:val="15"/>
                <w:color w:val="auto"/>
              </w:rPr>
            </w:pPr>
          </w:p>
        </w:tc>
        <w:tc>
          <w:tcPr>
            <w:tcW w:w="1300" w:type="dxa"/>
            <w:vAlign w:val="bottom"/>
          </w:tcPr>
          <w:p>
            <w:pPr>
              <w:jc w:val="right"/>
              <w:ind w:right="399"/>
              <w:spacing w:after="0" w:line="181" w:lineRule="exact"/>
              <w:rPr>
                <w:sz w:val="20"/>
                <w:szCs w:val="20"/>
                <w:color w:val="auto"/>
              </w:rPr>
            </w:pPr>
            <w:r>
              <w:rPr>
                <w:rFonts w:ascii="Arial" w:cs="Arial" w:eastAsia="Arial" w:hAnsi="Arial"/>
                <w:sz w:val="16"/>
                <w:szCs w:val="16"/>
                <w:b w:val="1"/>
                <w:bCs w:val="1"/>
                <w:color w:val="auto"/>
              </w:rPr>
              <w:t>2022</w:t>
            </w:r>
          </w:p>
        </w:tc>
      </w:tr>
      <w:tr>
        <w:trPr>
          <w:trHeight w:val="162"/>
        </w:trPr>
        <w:tc>
          <w:tcPr>
            <w:tcW w:w="3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color w:val="auto"/>
                <w:w w:val="99"/>
              </w:rPr>
              <w:t>(In thousands)</w:t>
            </w:r>
          </w:p>
        </w:tc>
        <w:tc>
          <w:tcPr>
            <w:tcW w:w="32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182"/>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Anti-dilutive stock awards</w:t>
            </w:r>
          </w:p>
        </w:tc>
        <w:tc>
          <w:tcPr>
            <w:tcW w:w="23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7,082</w:t>
            </w:r>
          </w:p>
        </w:tc>
        <w:tc>
          <w:tcPr>
            <w:tcW w:w="15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10,906</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9,680</w:t>
            </w:r>
          </w:p>
        </w:tc>
      </w:tr>
      <w:tr>
        <w:trPr>
          <w:trHeight w:val="182"/>
        </w:trPr>
        <w:tc>
          <w:tcPr>
            <w:tcW w:w="3360" w:type="dxa"/>
            <w:vAlign w:val="bottom"/>
          </w:tcPr>
          <w:p>
            <w:pPr>
              <w:spacing w:after="0"/>
              <w:rPr>
                <w:sz w:val="20"/>
                <w:szCs w:val="20"/>
                <w:color w:val="auto"/>
              </w:rPr>
            </w:pPr>
            <w:r>
              <w:rPr>
                <w:rFonts w:ascii="Arial" w:cs="Arial" w:eastAsia="Arial" w:hAnsi="Arial"/>
                <w:sz w:val="15"/>
                <w:szCs w:val="15"/>
                <w:color w:val="auto"/>
              </w:rPr>
              <w:t>Performance/market based options</w:t>
            </w:r>
          </w:p>
        </w:tc>
        <w:tc>
          <w:tcPr>
            <w:tcW w:w="23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4,300</w:t>
            </w:r>
          </w:p>
        </w:tc>
        <w:tc>
          <w:tcPr>
            <w:tcW w:w="15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4,631</w:t>
            </w:r>
          </w:p>
        </w:tc>
        <w:tc>
          <w:tcPr>
            <w:tcW w:w="32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Arial" w:cs="Arial" w:eastAsia="Arial" w:hAnsi="Arial"/>
                <w:sz w:val="16"/>
                <w:szCs w:val="16"/>
                <w:color w:val="auto"/>
              </w:rPr>
              <w:t>5,285</w:t>
            </w:r>
          </w:p>
        </w:tc>
      </w:tr>
      <w:tr>
        <w:trPr>
          <w:trHeight w:val="182"/>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Restricted Performance Units/Awards</w:t>
            </w:r>
          </w:p>
        </w:tc>
        <w:tc>
          <w:tcPr>
            <w:tcW w:w="10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11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388</w:t>
            </w:r>
          </w:p>
        </w:tc>
      </w:tr>
      <w:tr>
        <w:trPr>
          <w:trHeight w:val="182"/>
        </w:trPr>
        <w:tc>
          <w:tcPr>
            <w:tcW w:w="3360" w:type="dxa"/>
            <w:vAlign w:val="bottom"/>
          </w:tcPr>
          <w:p>
            <w:pPr>
              <w:spacing w:after="0"/>
              <w:rPr>
                <w:sz w:val="20"/>
                <w:szCs w:val="20"/>
                <w:color w:val="auto"/>
              </w:rPr>
            </w:pPr>
            <w:r>
              <w:rPr>
                <w:rFonts w:ascii="Arial" w:cs="Arial" w:eastAsia="Arial" w:hAnsi="Arial"/>
                <w:sz w:val="15"/>
                <w:szCs w:val="15"/>
                <w:color w:val="auto"/>
              </w:rPr>
              <w:t>Common stock warrants</w:t>
            </w:r>
          </w:p>
        </w:tc>
        <w:tc>
          <w:tcPr>
            <w:tcW w:w="23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16,151</w:t>
            </w:r>
          </w:p>
        </w:tc>
        <w:tc>
          <w:tcPr>
            <w:tcW w:w="15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16,151</w:t>
            </w:r>
          </w:p>
        </w:tc>
        <w:tc>
          <w:tcPr>
            <w:tcW w:w="32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Arial" w:cs="Arial" w:eastAsia="Arial" w:hAnsi="Arial"/>
                <w:sz w:val="16"/>
                <w:szCs w:val="16"/>
                <w:color w:val="auto"/>
              </w:rPr>
              <w:t>16,151</w:t>
            </w:r>
          </w:p>
        </w:tc>
      </w:tr>
      <w:tr>
        <w:trPr>
          <w:trHeight w:val="174"/>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27,533</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31,688</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31,504</w:t>
            </w:r>
          </w:p>
        </w:tc>
      </w:tr>
      <w:tr>
        <w:trPr>
          <w:trHeight w:val="20"/>
        </w:trPr>
        <w:tc>
          <w:tcPr>
            <w:tcW w:w="3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54"/>
        </w:trPr>
        <w:tc>
          <w:tcPr>
            <w:tcW w:w="3360" w:type="dxa"/>
            <w:vAlign w:val="bottom"/>
          </w:tcPr>
          <w:p>
            <w:pPr>
              <w:spacing w:after="0"/>
              <w:rPr>
                <w:sz w:val="24"/>
                <w:szCs w:val="24"/>
                <w:color w:val="auto"/>
              </w:rPr>
            </w:pPr>
          </w:p>
        </w:tc>
        <w:tc>
          <w:tcPr>
            <w:tcW w:w="2360" w:type="dxa"/>
            <w:vAlign w:val="bottom"/>
            <w:gridSpan w:val="2"/>
          </w:tcPr>
          <w:p>
            <w:pPr>
              <w:jc w:val="right"/>
              <w:ind w:right="1025"/>
              <w:spacing w:after="0"/>
              <w:rPr>
                <w:sz w:val="20"/>
                <w:szCs w:val="20"/>
                <w:color w:val="auto"/>
              </w:rPr>
            </w:pPr>
            <w:r>
              <w:rPr>
                <w:rFonts w:ascii="Arial" w:cs="Arial" w:eastAsia="Arial" w:hAnsi="Arial"/>
                <w:sz w:val="16"/>
                <w:szCs w:val="16"/>
                <w:color w:val="auto"/>
              </w:rPr>
              <w:t>F-30</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3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4" w:right="1440" w:bottom="1440" w:gutter="0" w:footer="0" w:header="0"/>
        </w:sectPr>
      </w:pPr>
    </w:p>
    <w:bookmarkStart w:id="152" w:name="page153"/>
    <w:bookmarkEnd w:id="15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222222"/>
        </w:rPr>
        <w:t>PIPE Shares</w:t>
      </w:r>
    </w:p>
    <w:p>
      <w:pPr>
        <w:spacing w:after="0" w:line="177" w:lineRule="exact"/>
        <w:rPr>
          <w:sz w:val="20"/>
          <w:szCs w:val="20"/>
          <w:color w:val="auto"/>
        </w:rPr>
      </w:pPr>
    </w:p>
    <w:p>
      <w:pPr>
        <w:ind w:left="40" w:right="299"/>
        <w:spacing w:after="0" w:line="242" w:lineRule="auto"/>
        <w:rPr>
          <w:sz w:val="20"/>
          <w:szCs w:val="20"/>
          <w:color w:val="auto"/>
        </w:rPr>
      </w:pPr>
      <w:r>
        <w:rPr>
          <w:rFonts w:ascii="Arial" w:cs="Arial" w:eastAsia="Arial" w:hAnsi="Arial"/>
          <w:sz w:val="16"/>
          <w:szCs w:val="16"/>
          <w:color w:val="222222"/>
        </w:rPr>
        <w:t xml:space="preserve">On September 30, 2024, we entered into subscription agreements with certain accredited investors including </w:t>
      </w:r>
      <w:r>
        <w:rPr>
          <w:rFonts w:ascii="Arial" w:cs="Arial" w:eastAsia="Arial" w:hAnsi="Arial"/>
          <w:sz w:val="16"/>
          <w:szCs w:val="16"/>
          <w:color w:val="000000"/>
        </w:rPr>
        <w:t>CONX Corp.</w:t>
      </w:r>
      <w:r>
        <w:rPr>
          <w:rFonts w:ascii="Arial" w:cs="Arial" w:eastAsia="Arial" w:hAnsi="Arial"/>
          <w:sz w:val="16"/>
          <w:szCs w:val="16"/>
          <w:color w:val="222222"/>
        </w:rPr>
        <w:t xml:space="preserve"> </w:t>
      </w:r>
      <w:r>
        <w:rPr>
          <w:rFonts w:ascii="Arial" w:cs="Arial" w:eastAsia="Arial" w:hAnsi="Arial"/>
          <w:sz w:val="16"/>
          <w:szCs w:val="16"/>
          <w:color w:val="000000"/>
        </w:rPr>
        <w:t xml:space="preserve">(an entity partially owned by Charles W. Ergen, our Chairman) (“CONX”), </w:t>
      </w:r>
      <w:r>
        <w:rPr>
          <w:rFonts w:ascii="Arial" w:cs="Arial" w:eastAsia="Arial" w:hAnsi="Arial"/>
          <w:sz w:val="16"/>
          <w:szCs w:val="16"/>
          <w:color w:val="222222"/>
        </w:rPr>
        <w:t>(the “PIPE Investors” and the subscription</w:t>
      </w:r>
      <w:r>
        <w:rPr>
          <w:rFonts w:ascii="Arial" w:cs="Arial" w:eastAsia="Arial" w:hAnsi="Arial"/>
          <w:sz w:val="16"/>
          <w:szCs w:val="16"/>
          <w:color w:val="000000"/>
        </w:rPr>
        <w:t xml:space="preserve"> </w:t>
      </w:r>
      <w:r>
        <w:rPr>
          <w:rFonts w:ascii="Arial" w:cs="Arial" w:eastAsia="Arial" w:hAnsi="Arial"/>
          <w:sz w:val="16"/>
          <w:szCs w:val="16"/>
          <w:color w:val="222222"/>
        </w:rPr>
        <w:t>agreements, the “Subscription Agreements”), pursuant to which the PIPE Investors agreed to purchase an aggregate of 14.265 million shares (the “PIPE Shares”) of our Class A Common Stock at a purchase price of $28.04 per share, for an aggregate cash purchase price of approximately $400 million (such investment, the “PIPE Investment”). The portion of the PIPE Investment represented by the CONX Subscription Agreement represented an agreement to purchase from us an aggregate of 1.551 million shares of our Class A Common Stock for an aggregate cash purchase price of approximately $43.5 million. The PIPE Shares were issued and settled on November 12, 2024.</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  Supplemental Data - Statements of Cash Flows</w:t>
      </w:r>
    </w:p>
    <w:p>
      <w:pPr>
        <w:spacing w:after="0" w:line="191" w:lineRule="exact"/>
        <w:rPr>
          <w:sz w:val="20"/>
          <w:szCs w:val="20"/>
          <w:color w:val="auto"/>
        </w:rPr>
      </w:pPr>
    </w:p>
    <w:p>
      <w:pPr>
        <w:ind w:left="40" w:right="79"/>
        <w:spacing w:after="0" w:line="275" w:lineRule="auto"/>
        <w:rPr>
          <w:sz w:val="20"/>
          <w:szCs w:val="20"/>
          <w:color w:val="auto"/>
        </w:rPr>
      </w:pPr>
      <w:r>
        <w:rPr>
          <w:rFonts w:ascii="Arial" w:cs="Arial" w:eastAsia="Arial" w:hAnsi="Arial"/>
          <w:sz w:val="16"/>
          <w:szCs w:val="16"/>
          <w:color w:val="auto"/>
        </w:rPr>
        <w:t>The following table presents certain supplemental cash flow and other non-cash data. See Note 9 for supplemental cash flow and non-cash data related to leases.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2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6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9"/>
              </w:rPr>
              <w:t>For the Years Ended December 31,</w:t>
            </w:r>
          </w:p>
        </w:tc>
      </w:tr>
      <w:tr>
        <w:trPr>
          <w:trHeight w:val="182"/>
        </w:trPr>
        <w:tc>
          <w:tcPr>
            <w:tcW w:w="22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60" w:type="dxa"/>
            <w:vAlign w:val="bottom"/>
            <w:tcBorders>
              <w:bottom w:val="single" w:sz="8" w:color="auto"/>
            </w:tcBorders>
          </w:tcPr>
          <w:p>
            <w:pPr>
              <w:jc w:val="right"/>
              <w:ind w:right="279"/>
              <w:spacing w:after="0" w:line="181" w:lineRule="exact"/>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ind w:right="279"/>
              <w:spacing w:after="0" w:line="181" w:lineRule="exact"/>
              <w:rPr>
                <w:sz w:val="20"/>
                <w:szCs w:val="20"/>
                <w:color w:val="auto"/>
              </w:rPr>
            </w:pPr>
            <w:r>
              <w:rPr>
                <w:rFonts w:ascii="Arial" w:cs="Arial" w:eastAsia="Arial" w:hAnsi="Arial"/>
                <w:sz w:val="16"/>
                <w:szCs w:val="16"/>
                <w:b w:val="1"/>
                <w:bCs w:val="1"/>
                <w:color w:val="auto"/>
              </w:rPr>
              <w:t>2022</w:t>
            </w:r>
          </w:p>
        </w:tc>
      </w:tr>
      <w:tr>
        <w:trPr>
          <w:trHeight w:val="162"/>
        </w:trPr>
        <w:tc>
          <w:tcPr>
            <w:tcW w:w="22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line="161" w:lineRule="exact"/>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2"/>
        </w:trPr>
        <w:tc>
          <w:tcPr>
            <w:tcW w:w="5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paid for interest (including capitalized interest)</w:t>
            </w:r>
          </w:p>
        </w:tc>
        <w:tc>
          <w:tcPr>
            <w:tcW w:w="10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  1,429,588</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  1,400,524</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  1,144,915</w:t>
            </w:r>
          </w:p>
        </w:tc>
      </w:tr>
      <w:tr>
        <w:trPr>
          <w:trHeight w:val="182"/>
        </w:trPr>
        <w:tc>
          <w:tcPr>
            <w:tcW w:w="5280" w:type="dxa"/>
            <w:vAlign w:val="bottom"/>
            <w:gridSpan w:val="2"/>
          </w:tcPr>
          <w:p>
            <w:pPr>
              <w:spacing w:after="0"/>
              <w:rPr>
                <w:sz w:val="20"/>
                <w:szCs w:val="20"/>
                <w:color w:val="auto"/>
              </w:rPr>
            </w:pPr>
            <w:r>
              <w:rPr>
                <w:rFonts w:ascii="Arial" w:cs="Arial" w:eastAsia="Arial" w:hAnsi="Arial"/>
                <w:sz w:val="15"/>
                <w:szCs w:val="15"/>
                <w:color w:val="auto"/>
              </w:rPr>
              <w:t>Cash received for interest</w:t>
            </w: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53,037</w:t>
            </w:r>
          </w:p>
        </w:tc>
        <w:tc>
          <w:tcPr>
            <w:tcW w:w="22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163,729</w:t>
            </w:r>
          </w:p>
        </w:tc>
        <w:tc>
          <w:tcPr>
            <w:tcW w:w="22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30,264</w:t>
            </w:r>
          </w:p>
        </w:tc>
      </w:tr>
      <w:tr>
        <w:trPr>
          <w:trHeight w:val="182"/>
        </w:trPr>
        <w:tc>
          <w:tcPr>
            <w:tcW w:w="5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paid for income taxes, net of (refunds)</w:t>
            </w:r>
          </w:p>
        </w:tc>
        <w:tc>
          <w:tcPr>
            <w:tcW w:w="12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(11,675)</w:t>
            </w:r>
          </w:p>
        </w:tc>
        <w:tc>
          <w:tcPr>
            <w:tcW w:w="10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15,634</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98,930</w:t>
            </w:r>
          </w:p>
        </w:tc>
      </w:tr>
      <w:tr>
        <w:trPr>
          <w:trHeight w:val="182"/>
        </w:trPr>
        <w:tc>
          <w:tcPr>
            <w:tcW w:w="5280" w:type="dxa"/>
            <w:vAlign w:val="bottom"/>
            <w:gridSpan w:val="2"/>
          </w:tcPr>
          <w:p>
            <w:pPr>
              <w:spacing w:after="0"/>
              <w:rPr>
                <w:sz w:val="20"/>
                <w:szCs w:val="20"/>
                <w:color w:val="auto"/>
              </w:rPr>
            </w:pPr>
            <w:r>
              <w:rPr>
                <w:rFonts w:ascii="Arial" w:cs="Arial" w:eastAsia="Arial" w:hAnsi="Arial"/>
                <w:sz w:val="15"/>
                <w:szCs w:val="15"/>
                <w:color w:val="auto"/>
              </w:rPr>
              <w:t>Capitalized interest (1)</w:t>
            </w: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1,104,736</w:t>
            </w:r>
          </w:p>
        </w:tc>
        <w:tc>
          <w:tcPr>
            <w:tcW w:w="22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1,335,129</w:t>
            </w:r>
          </w:p>
        </w:tc>
        <w:tc>
          <w:tcPr>
            <w:tcW w:w="22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1,084,880</w:t>
            </w:r>
          </w:p>
        </w:tc>
      </w:tr>
      <w:tr>
        <w:trPr>
          <w:trHeight w:val="182"/>
        </w:trPr>
        <w:tc>
          <w:tcPr>
            <w:tcW w:w="5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Employee benefits paid in Class A common stock</w:t>
            </w:r>
          </w:p>
        </w:tc>
        <w:tc>
          <w:tcPr>
            <w:tcW w:w="1280" w:type="dxa"/>
            <w:vAlign w:val="bottom"/>
            <w:gridSpan w:val="2"/>
            <w:shd w:val="clear" w:color="auto" w:fill="CCEEFF"/>
          </w:tcPr>
          <w:p>
            <w:pPr>
              <w:jc w:val="right"/>
              <w:ind w:right="280"/>
              <w:spacing w:after="0" w:line="181"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20,101</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33,389</w:t>
            </w:r>
          </w:p>
        </w:tc>
      </w:tr>
      <w:tr>
        <w:trPr>
          <w:trHeight w:val="182"/>
        </w:trPr>
        <w:tc>
          <w:tcPr>
            <w:tcW w:w="5280" w:type="dxa"/>
            <w:vAlign w:val="bottom"/>
            <w:gridSpan w:val="2"/>
          </w:tcPr>
          <w:p>
            <w:pPr>
              <w:spacing w:after="0"/>
              <w:rPr>
                <w:sz w:val="20"/>
                <w:szCs w:val="20"/>
                <w:color w:val="auto"/>
              </w:rPr>
            </w:pPr>
            <w:r>
              <w:rPr>
                <w:rFonts w:ascii="Arial" w:cs="Arial" w:eastAsia="Arial" w:hAnsi="Arial"/>
                <w:sz w:val="15"/>
                <w:szCs w:val="15"/>
                <w:color w:val="auto"/>
              </w:rPr>
              <w:t>Vendor financing</w:t>
            </w:r>
          </w:p>
        </w:tc>
        <w:tc>
          <w:tcPr>
            <w:tcW w:w="1280" w:type="dxa"/>
            <w:vAlign w:val="bottom"/>
            <w:gridSpan w:val="2"/>
          </w:tcPr>
          <w:p>
            <w:pPr>
              <w:jc w:val="right"/>
              <w:ind w:right="280"/>
              <w:spacing w:after="0" w:line="181"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87,343</w:t>
            </w:r>
          </w:p>
        </w:tc>
        <w:tc>
          <w:tcPr>
            <w:tcW w:w="22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108,048</w:t>
            </w:r>
          </w:p>
        </w:tc>
      </w:tr>
      <w:tr>
        <w:trPr>
          <w:trHeight w:val="182"/>
        </w:trPr>
        <w:tc>
          <w:tcPr>
            <w:tcW w:w="5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Regulatory authorizations reclassification</w:t>
            </w:r>
          </w:p>
        </w:tc>
        <w:tc>
          <w:tcPr>
            <w:tcW w:w="1280" w:type="dxa"/>
            <w:vAlign w:val="bottom"/>
            <w:gridSpan w:val="2"/>
            <w:shd w:val="clear" w:color="auto" w:fill="CCEEFF"/>
          </w:tcPr>
          <w:p>
            <w:pPr>
              <w:jc w:val="right"/>
              <w:ind w:right="280"/>
              <w:spacing w:after="0" w:line="181"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80"/>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122,657</w:t>
            </w:r>
          </w:p>
        </w:tc>
      </w:tr>
      <w:tr>
        <w:trPr>
          <w:trHeight w:val="182"/>
        </w:trPr>
        <w:tc>
          <w:tcPr>
            <w:tcW w:w="5280" w:type="dxa"/>
            <w:vAlign w:val="bottom"/>
            <w:gridSpan w:val="2"/>
          </w:tcPr>
          <w:p>
            <w:pPr>
              <w:spacing w:after="0"/>
              <w:rPr>
                <w:sz w:val="20"/>
                <w:szCs w:val="20"/>
                <w:color w:val="auto"/>
              </w:rPr>
            </w:pPr>
            <w:r>
              <w:rPr>
                <w:rFonts w:ascii="Arial" w:cs="Arial" w:eastAsia="Arial" w:hAnsi="Arial"/>
                <w:sz w:val="15"/>
                <w:szCs w:val="15"/>
                <w:color w:val="auto"/>
              </w:rPr>
              <w:t>Accrued capital expenditures</w:t>
            </w: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137,685</w:t>
            </w:r>
          </w:p>
        </w:tc>
        <w:tc>
          <w:tcPr>
            <w:tcW w:w="22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Arial" w:cs="Arial" w:eastAsia="Arial" w:hAnsi="Arial"/>
                <w:sz w:val="16"/>
                <w:szCs w:val="16"/>
                <w:color w:val="auto"/>
              </w:rPr>
              <w:t>238,231</w:t>
            </w:r>
          </w:p>
        </w:tc>
        <w:tc>
          <w:tcPr>
            <w:tcW w:w="22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403,134</w:t>
            </w:r>
          </w:p>
        </w:tc>
      </w:tr>
      <w:tr>
        <w:trPr>
          <w:trHeight w:val="182"/>
        </w:trPr>
        <w:tc>
          <w:tcPr>
            <w:tcW w:w="5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Asset retirement obligation</w:t>
            </w:r>
          </w:p>
        </w:tc>
        <w:tc>
          <w:tcPr>
            <w:tcW w:w="10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20,929</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74,189</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122,390</w:t>
            </w:r>
          </w:p>
        </w:tc>
      </w:tr>
      <w:tr>
        <w:trPr>
          <w:trHeight w:val="182"/>
        </w:trPr>
        <w:tc>
          <w:tcPr>
            <w:tcW w:w="5280" w:type="dxa"/>
            <w:vAlign w:val="bottom"/>
            <w:gridSpan w:val="2"/>
          </w:tcPr>
          <w:p>
            <w:pPr>
              <w:spacing w:after="0"/>
              <w:rPr>
                <w:sz w:val="20"/>
                <w:szCs w:val="20"/>
                <w:color w:val="auto"/>
              </w:rPr>
            </w:pPr>
            <w:r>
              <w:rPr>
                <w:rFonts w:ascii="Arial" w:cs="Arial" w:eastAsia="Arial" w:hAnsi="Arial"/>
                <w:sz w:val="15"/>
                <w:szCs w:val="15"/>
                <w:color w:val="auto"/>
              </w:rPr>
              <w:t>Revaluation of contingent liabilities</w:t>
            </w:r>
          </w:p>
        </w:tc>
        <w:tc>
          <w:tcPr>
            <w:tcW w:w="1280" w:type="dxa"/>
            <w:vAlign w:val="bottom"/>
            <w:gridSpan w:val="2"/>
          </w:tcPr>
          <w:p>
            <w:pPr>
              <w:jc w:val="right"/>
              <w:ind w:right="280"/>
              <w:spacing w:after="0" w:line="181" w:lineRule="exact"/>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80"/>
              <w:spacing w:after="0" w:line="181"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1" w:lineRule="exact"/>
              <w:rPr>
                <w:sz w:val="20"/>
                <w:szCs w:val="20"/>
                <w:color w:val="auto"/>
              </w:rPr>
            </w:pPr>
            <w:r>
              <w:rPr>
                <w:rFonts w:ascii="Arial" w:cs="Arial" w:eastAsia="Arial" w:hAnsi="Arial"/>
                <w:sz w:val="16"/>
                <w:szCs w:val="16"/>
                <w:color w:val="auto"/>
              </w:rPr>
              <w:t>47,916</w:t>
            </w:r>
          </w:p>
        </w:tc>
      </w:tr>
      <w:tr>
        <w:trPr>
          <w:trHeight w:val="182"/>
        </w:trPr>
        <w:tc>
          <w:tcPr>
            <w:tcW w:w="52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Non-cash net assets received as part of the India JV formation</w:t>
            </w:r>
          </w:p>
        </w:tc>
        <w:tc>
          <w:tcPr>
            <w:tcW w:w="1280" w:type="dxa"/>
            <w:vAlign w:val="bottom"/>
            <w:gridSpan w:val="2"/>
            <w:shd w:val="clear" w:color="auto" w:fill="CCEEFF"/>
          </w:tcPr>
          <w:p>
            <w:pPr>
              <w:jc w:val="right"/>
              <w:ind w:right="280"/>
              <w:spacing w:after="0" w:line="181"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80"/>
              <w:spacing w:after="0" w:line="181"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36,701</w:t>
            </w:r>
          </w:p>
        </w:tc>
      </w:tr>
      <w:tr>
        <w:trPr>
          <w:trHeight w:val="97"/>
        </w:trPr>
        <w:tc>
          <w:tcPr>
            <w:tcW w:w="224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See Note 2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1">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53" w:name="page154"/>
    <w:bookmarkEnd w:id="15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  Other Comprehensive Income (Loss)</w:t>
      </w:r>
    </w:p>
    <w:p>
      <w:pPr>
        <w:spacing w:after="0" w:line="179" w:lineRule="exact"/>
        <w:rPr>
          <w:sz w:val="20"/>
          <w:szCs w:val="20"/>
          <w:color w:val="auto"/>
        </w:rPr>
      </w:pPr>
    </w:p>
    <w:p>
      <w:pPr>
        <w:ind w:left="40" w:right="679"/>
        <w:spacing w:after="0" w:line="275" w:lineRule="auto"/>
        <w:rPr>
          <w:sz w:val="20"/>
          <w:szCs w:val="20"/>
          <w:color w:val="auto"/>
        </w:rPr>
      </w:pPr>
      <w:r>
        <w:rPr>
          <w:rFonts w:ascii="Arial" w:cs="Arial" w:eastAsia="Arial" w:hAnsi="Arial"/>
          <w:sz w:val="16"/>
          <w:szCs w:val="16"/>
          <w:color w:val="auto"/>
        </w:rPr>
        <w:t>The following table presents the tax effect on each component of “Other comprehensive income (loss)” and excludes noncontrolling interest:</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50"/>
        </w:trPr>
        <w:tc>
          <w:tcPr>
            <w:tcW w:w="2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2"/>
                <w:szCs w:val="12"/>
                <w:b w:val="1"/>
                <w:bCs w:val="1"/>
                <w:color w:val="auto"/>
                <w:w w:val="99"/>
              </w:rPr>
              <w:t>For the Years Ended December 31,</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39"/>
              <w:spacing w:after="0" w:line="133" w:lineRule="exact"/>
              <w:rPr>
                <w:sz w:val="20"/>
                <w:szCs w:val="20"/>
                <w:color w:val="auto"/>
              </w:rPr>
            </w:pPr>
            <w:r>
              <w:rPr>
                <w:rFonts w:ascii="Arial" w:cs="Arial" w:eastAsia="Arial" w:hAnsi="Arial"/>
                <w:sz w:val="12"/>
                <w:szCs w:val="12"/>
                <w:b w:val="1"/>
                <w:bCs w:val="1"/>
                <w:color w:val="auto"/>
                <w:w w:val="97"/>
              </w:rPr>
              <w:t>2024</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39"/>
              <w:spacing w:after="0" w:line="133" w:lineRule="exact"/>
              <w:rPr>
                <w:sz w:val="20"/>
                <w:szCs w:val="20"/>
                <w:color w:val="auto"/>
              </w:rPr>
            </w:pPr>
            <w:r>
              <w:rPr>
                <w:rFonts w:ascii="Arial" w:cs="Arial" w:eastAsia="Arial" w:hAnsi="Arial"/>
                <w:sz w:val="12"/>
                <w:szCs w:val="12"/>
                <w:b w:val="1"/>
                <w:bCs w:val="1"/>
                <w:color w:val="auto"/>
                <w:w w:val="97"/>
              </w:rPr>
              <w:t>2023</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9"/>
              <w:spacing w:after="0" w:line="133" w:lineRule="exact"/>
              <w:rPr>
                <w:sz w:val="20"/>
                <w:szCs w:val="20"/>
                <w:color w:val="auto"/>
              </w:rPr>
            </w:pPr>
            <w:r>
              <w:rPr>
                <w:rFonts w:ascii="Arial" w:cs="Arial" w:eastAsia="Arial" w:hAnsi="Arial"/>
                <w:sz w:val="12"/>
                <w:szCs w:val="12"/>
                <w:b w:val="1"/>
                <w:bCs w:val="1"/>
                <w:color w:val="auto"/>
                <w:w w:val="97"/>
              </w:rPr>
              <w:t>2022</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40"/>
              <w:spacing w:after="0" w:line="113" w:lineRule="exact"/>
              <w:rPr>
                <w:sz w:val="20"/>
                <w:szCs w:val="20"/>
                <w:color w:val="auto"/>
              </w:rPr>
            </w:pPr>
            <w:r>
              <w:rPr>
                <w:rFonts w:ascii="Arial" w:cs="Arial" w:eastAsia="Arial" w:hAnsi="Arial"/>
                <w:sz w:val="12"/>
                <w:szCs w:val="12"/>
                <w:b w:val="1"/>
                <w:bCs w:val="1"/>
                <w:color w:val="auto"/>
                <w:w w:val="99"/>
              </w:rPr>
              <w:t>Before</w:t>
            </w:r>
          </w:p>
        </w:tc>
        <w:tc>
          <w:tcPr>
            <w:tcW w:w="100" w:type="dxa"/>
            <w:vAlign w:val="bottom"/>
          </w:tcPr>
          <w:p>
            <w:pPr>
              <w:spacing w:after="0"/>
              <w:rPr>
                <w:sz w:val="9"/>
                <w:szCs w:val="9"/>
                <w:color w:val="auto"/>
              </w:rPr>
            </w:pPr>
          </w:p>
        </w:tc>
        <w:tc>
          <w:tcPr>
            <w:tcW w:w="700" w:type="dxa"/>
            <w:vAlign w:val="bottom"/>
            <w:gridSpan w:val="2"/>
          </w:tcPr>
          <w:p>
            <w:pPr>
              <w:jc w:val="center"/>
              <w:ind w:right="260"/>
              <w:spacing w:after="0" w:line="113" w:lineRule="exact"/>
              <w:rPr>
                <w:sz w:val="20"/>
                <w:szCs w:val="20"/>
                <w:color w:val="auto"/>
              </w:rPr>
            </w:pPr>
            <w:r>
              <w:rPr>
                <w:rFonts w:ascii="Arial" w:cs="Arial" w:eastAsia="Arial" w:hAnsi="Arial"/>
                <w:sz w:val="12"/>
                <w:szCs w:val="12"/>
                <w:b w:val="1"/>
                <w:bCs w:val="1"/>
                <w:color w:val="auto"/>
                <w:w w:val="96"/>
              </w:rPr>
              <w:t>Tax</w:t>
            </w:r>
          </w:p>
        </w:tc>
        <w:tc>
          <w:tcPr>
            <w:tcW w:w="80" w:type="dxa"/>
            <w:vAlign w:val="bottom"/>
          </w:tcPr>
          <w:p>
            <w:pPr>
              <w:spacing w:after="0"/>
              <w:rPr>
                <w:sz w:val="9"/>
                <w:szCs w:val="9"/>
                <w:color w:val="auto"/>
              </w:rPr>
            </w:pPr>
          </w:p>
        </w:tc>
        <w:tc>
          <w:tcPr>
            <w:tcW w:w="560" w:type="dxa"/>
            <w:vAlign w:val="bottom"/>
          </w:tcPr>
          <w:p>
            <w:pPr>
              <w:jc w:val="center"/>
              <w:ind w:right="59"/>
              <w:spacing w:after="0" w:line="113" w:lineRule="exact"/>
              <w:rPr>
                <w:sz w:val="20"/>
                <w:szCs w:val="20"/>
                <w:color w:val="auto"/>
              </w:rPr>
            </w:pPr>
            <w:r>
              <w:rPr>
                <w:rFonts w:ascii="Arial" w:cs="Arial" w:eastAsia="Arial" w:hAnsi="Arial"/>
                <w:sz w:val="12"/>
                <w:szCs w:val="12"/>
                <w:b w:val="1"/>
                <w:bCs w:val="1"/>
                <w:color w:val="auto"/>
              </w:rPr>
              <w:t>Net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tcPr>
          <w:p>
            <w:pPr>
              <w:jc w:val="center"/>
              <w:ind w:right="160"/>
              <w:spacing w:after="0" w:line="113" w:lineRule="exact"/>
              <w:rPr>
                <w:sz w:val="20"/>
                <w:szCs w:val="20"/>
                <w:color w:val="auto"/>
              </w:rPr>
            </w:pPr>
            <w:r>
              <w:rPr>
                <w:rFonts w:ascii="Arial" w:cs="Arial" w:eastAsia="Arial" w:hAnsi="Arial"/>
                <w:sz w:val="12"/>
                <w:szCs w:val="12"/>
                <w:b w:val="1"/>
                <w:bCs w:val="1"/>
                <w:color w:val="auto"/>
                <w:w w:val="99"/>
              </w:rPr>
              <w:t>Before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260"/>
              <w:spacing w:after="0" w:line="113" w:lineRule="exact"/>
              <w:rPr>
                <w:sz w:val="20"/>
                <w:szCs w:val="20"/>
                <w:color w:val="auto"/>
              </w:rPr>
            </w:pPr>
            <w:r>
              <w:rPr>
                <w:rFonts w:ascii="Arial" w:cs="Arial" w:eastAsia="Arial" w:hAnsi="Arial"/>
                <w:sz w:val="12"/>
                <w:szCs w:val="12"/>
                <w:b w:val="1"/>
                <w:bCs w:val="1"/>
                <w:color w:val="auto"/>
                <w:w w:val="96"/>
              </w:rPr>
              <w:t>Tax</w:t>
            </w:r>
          </w:p>
        </w:tc>
        <w:tc>
          <w:tcPr>
            <w:tcW w:w="100" w:type="dxa"/>
            <w:vAlign w:val="bottom"/>
          </w:tcPr>
          <w:p>
            <w:pPr>
              <w:spacing w:after="0"/>
              <w:rPr>
                <w:sz w:val="9"/>
                <w:szCs w:val="9"/>
                <w:color w:val="auto"/>
              </w:rPr>
            </w:pPr>
          </w:p>
        </w:tc>
        <w:tc>
          <w:tcPr>
            <w:tcW w:w="480" w:type="dxa"/>
            <w:vAlign w:val="bottom"/>
          </w:tcPr>
          <w:p>
            <w:pPr>
              <w:jc w:val="center"/>
              <w:ind w:right="59"/>
              <w:spacing w:after="0" w:line="113" w:lineRule="exact"/>
              <w:rPr>
                <w:sz w:val="20"/>
                <w:szCs w:val="20"/>
                <w:color w:val="auto"/>
              </w:rPr>
            </w:pPr>
            <w:r>
              <w:rPr>
                <w:rFonts w:ascii="Arial" w:cs="Arial" w:eastAsia="Arial" w:hAnsi="Arial"/>
                <w:sz w:val="12"/>
                <w:szCs w:val="12"/>
                <w:b w:val="1"/>
                <w:bCs w:val="1"/>
                <w:color w:val="auto"/>
              </w:rPr>
              <w:t>Net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260"/>
              <w:spacing w:after="0" w:line="113" w:lineRule="exact"/>
              <w:rPr>
                <w:sz w:val="20"/>
                <w:szCs w:val="20"/>
                <w:color w:val="auto"/>
              </w:rPr>
            </w:pPr>
            <w:r>
              <w:rPr>
                <w:rFonts w:ascii="Arial" w:cs="Arial" w:eastAsia="Arial" w:hAnsi="Arial"/>
                <w:sz w:val="12"/>
                <w:szCs w:val="12"/>
                <w:b w:val="1"/>
                <w:bCs w:val="1"/>
                <w:color w:val="auto"/>
                <w:w w:val="99"/>
              </w:rPr>
              <w:t>Before</w:t>
            </w:r>
          </w:p>
        </w:tc>
        <w:tc>
          <w:tcPr>
            <w:tcW w:w="120" w:type="dxa"/>
            <w:vAlign w:val="bottom"/>
          </w:tcPr>
          <w:p>
            <w:pPr>
              <w:spacing w:after="0"/>
              <w:rPr>
                <w:sz w:val="9"/>
                <w:szCs w:val="9"/>
                <w:color w:val="auto"/>
              </w:rPr>
            </w:pPr>
          </w:p>
        </w:tc>
        <w:tc>
          <w:tcPr>
            <w:tcW w:w="740" w:type="dxa"/>
            <w:vAlign w:val="bottom"/>
            <w:gridSpan w:val="2"/>
          </w:tcPr>
          <w:p>
            <w:pPr>
              <w:jc w:val="center"/>
              <w:ind w:right="300"/>
              <w:spacing w:after="0" w:line="113" w:lineRule="exact"/>
              <w:rPr>
                <w:sz w:val="20"/>
                <w:szCs w:val="20"/>
                <w:color w:val="auto"/>
              </w:rPr>
            </w:pPr>
            <w:r>
              <w:rPr>
                <w:rFonts w:ascii="Arial" w:cs="Arial" w:eastAsia="Arial" w:hAnsi="Arial"/>
                <w:sz w:val="12"/>
                <w:szCs w:val="12"/>
                <w:b w:val="1"/>
                <w:bCs w:val="1"/>
                <w:color w:val="auto"/>
                <w:w w:val="96"/>
              </w:rPr>
              <w:t>Tax</w:t>
            </w:r>
          </w:p>
        </w:tc>
        <w:tc>
          <w:tcPr>
            <w:tcW w:w="60" w:type="dxa"/>
            <w:vAlign w:val="bottom"/>
          </w:tcPr>
          <w:p>
            <w:pPr>
              <w:spacing w:after="0"/>
              <w:rPr>
                <w:sz w:val="9"/>
                <w:szCs w:val="9"/>
                <w:color w:val="auto"/>
              </w:rPr>
            </w:pPr>
          </w:p>
        </w:tc>
        <w:tc>
          <w:tcPr>
            <w:tcW w:w="540" w:type="dxa"/>
            <w:vAlign w:val="bottom"/>
          </w:tcPr>
          <w:p>
            <w:pPr>
              <w:jc w:val="center"/>
              <w:ind w:right="39"/>
              <w:spacing w:after="0" w:line="113" w:lineRule="exact"/>
              <w:rPr>
                <w:sz w:val="20"/>
                <w:szCs w:val="20"/>
                <w:color w:val="auto"/>
              </w:rPr>
            </w:pPr>
            <w:r>
              <w:rPr>
                <w:rFonts w:ascii="Arial" w:cs="Arial" w:eastAsia="Arial" w:hAnsi="Arial"/>
                <w:sz w:val="12"/>
                <w:szCs w:val="12"/>
                <w:b w:val="1"/>
                <w:bCs w:val="1"/>
                <w:color w:val="auto"/>
              </w:rPr>
              <w:t>Net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6"/>
              </w:rPr>
              <w:t>Tax</w:t>
            </w:r>
          </w:p>
        </w:tc>
        <w:tc>
          <w:tcPr>
            <w:tcW w:w="800" w:type="dxa"/>
            <w:vAlign w:val="bottom"/>
            <w:gridSpan w:val="3"/>
          </w:tcPr>
          <w:p>
            <w:pPr>
              <w:jc w:val="center"/>
              <w:ind w:right="140"/>
              <w:spacing w:after="0" w:line="133" w:lineRule="exact"/>
              <w:rPr>
                <w:sz w:val="20"/>
                <w:szCs w:val="20"/>
                <w:color w:val="auto"/>
              </w:rPr>
            </w:pPr>
            <w:r>
              <w:rPr>
                <w:rFonts w:ascii="Arial" w:cs="Arial" w:eastAsia="Arial" w:hAnsi="Arial"/>
                <w:sz w:val="12"/>
                <w:szCs w:val="12"/>
                <w:b w:val="1"/>
                <w:bCs w:val="1"/>
                <w:color w:val="auto"/>
              </w:rPr>
              <w:t>(Expense)</w:t>
            </w:r>
          </w:p>
        </w:tc>
        <w:tc>
          <w:tcPr>
            <w:tcW w:w="80" w:type="dxa"/>
            <w:vAlign w:val="bottom"/>
          </w:tcPr>
          <w:p>
            <w:pPr>
              <w:spacing w:after="0"/>
              <w:rPr>
                <w:sz w:val="11"/>
                <w:szCs w:val="11"/>
                <w:color w:val="auto"/>
              </w:rPr>
            </w:pPr>
          </w:p>
        </w:tc>
        <w:tc>
          <w:tcPr>
            <w:tcW w:w="70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rPr>
              <w:t>of Tax</w:t>
            </w:r>
          </w:p>
        </w:tc>
        <w:tc>
          <w:tcPr>
            <w:tcW w:w="80" w:type="dxa"/>
            <w:vAlign w:val="bottom"/>
          </w:tcPr>
          <w:p>
            <w:pPr>
              <w:spacing w:after="0"/>
              <w:rPr>
                <w:sz w:val="11"/>
                <w:szCs w:val="11"/>
                <w:color w:val="auto"/>
              </w:rPr>
            </w:pPr>
          </w:p>
        </w:tc>
        <w:tc>
          <w:tcPr>
            <w:tcW w:w="54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6"/>
              </w:rPr>
              <w:t>Tax</w:t>
            </w:r>
          </w:p>
        </w:tc>
        <w:tc>
          <w:tcPr>
            <w:tcW w:w="100" w:type="dxa"/>
            <w:vAlign w:val="bottom"/>
          </w:tcPr>
          <w:p>
            <w:pPr>
              <w:spacing w:after="0"/>
              <w:rPr>
                <w:sz w:val="11"/>
                <w:szCs w:val="11"/>
                <w:color w:val="auto"/>
              </w:rPr>
            </w:pPr>
          </w:p>
        </w:tc>
        <w:tc>
          <w:tcPr>
            <w:tcW w:w="800" w:type="dxa"/>
            <w:vAlign w:val="bottom"/>
            <w:gridSpan w:val="3"/>
          </w:tcPr>
          <w:p>
            <w:pPr>
              <w:jc w:val="center"/>
              <w:ind w:right="140"/>
              <w:spacing w:after="0" w:line="133" w:lineRule="exact"/>
              <w:rPr>
                <w:sz w:val="20"/>
                <w:szCs w:val="20"/>
                <w:color w:val="auto"/>
              </w:rPr>
            </w:pPr>
            <w:r>
              <w:rPr>
                <w:rFonts w:ascii="Arial" w:cs="Arial" w:eastAsia="Arial" w:hAnsi="Arial"/>
                <w:sz w:val="12"/>
                <w:szCs w:val="12"/>
                <w:b w:val="1"/>
                <w:bCs w:val="1"/>
                <w:color w:val="auto"/>
              </w:rPr>
              <w:t>(Expense)</w:t>
            </w:r>
          </w:p>
        </w:tc>
        <w:tc>
          <w:tcPr>
            <w:tcW w:w="100" w:type="dxa"/>
            <w:vAlign w:val="bottom"/>
          </w:tcPr>
          <w:p>
            <w:pPr>
              <w:spacing w:after="0"/>
              <w:rPr>
                <w:sz w:val="11"/>
                <w:szCs w:val="11"/>
                <w:color w:val="auto"/>
              </w:rPr>
            </w:pPr>
          </w:p>
        </w:tc>
        <w:tc>
          <w:tcPr>
            <w:tcW w:w="62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96"/>
              </w:rPr>
              <w:t>of Tax</w:t>
            </w:r>
          </w:p>
        </w:tc>
        <w:tc>
          <w:tcPr>
            <w:tcW w:w="80" w:type="dxa"/>
            <w:vAlign w:val="bottom"/>
          </w:tcPr>
          <w:p>
            <w:pPr>
              <w:spacing w:after="0"/>
              <w:rPr>
                <w:sz w:val="11"/>
                <w:szCs w:val="11"/>
                <w:color w:val="auto"/>
              </w:rPr>
            </w:pPr>
          </w:p>
        </w:tc>
        <w:tc>
          <w:tcPr>
            <w:tcW w:w="660" w:type="dxa"/>
            <w:vAlign w:val="bottom"/>
            <w:gridSpan w:val="2"/>
          </w:tcPr>
          <w:p>
            <w:pPr>
              <w:jc w:val="right"/>
              <w:ind w:right="360"/>
              <w:spacing w:after="0" w:line="133" w:lineRule="exact"/>
              <w:rPr>
                <w:sz w:val="20"/>
                <w:szCs w:val="20"/>
                <w:color w:val="auto"/>
              </w:rPr>
            </w:pPr>
            <w:r>
              <w:rPr>
                <w:rFonts w:ascii="Arial" w:cs="Arial" w:eastAsia="Arial" w:hAnsi="Arial"/>
                <w:sz w:val="12"/>
                <w:szCs w:val="12"/>
                <w:b w:val="1"/>
                <w:bCs w:val="1"/>
                <w:color w:val="auto"/>
              </w:rPr>
              <w:t>Tax</w:t>
            </w:r>
          </w:p>
        </w:tc>
        <w:tc>
          <w:tcPr>
            <w:tcW w:w="860" w:type="dxa"/>
            <w:vAlign w:val="bottom"/>
            <w:gridSpan w:val="3"/>
          </w:tcPr>
          <w:p>
            <w:pPr>
              <w:jc w:val="center"/>
              <w:ind w:right="160"/>
              <w:spacing w:after="0" w:line="133" w:lineRule="exact"/>
              <w:rPr>
                <w:sz w:val="20"/>
                <w:szCs w:val="20"/>
                <w:color w:val="auto"/>
              </w:rPr>
            </w:pPr>
            <w:r>
              <w:rPr>
                <w:rFonts w:ascii="Arial" w:cs="Arial" w:eastAsia="Arial" w:hAnsi="Arial"/>
                <w:sz w:val="12"/>
                <w:szCs w:val="12"/>
                <w:b w:val="1"/>
                <w:bCs w:val="1"/>
                <w:color w:val="auto"/>
              </w:rPr>
              <w:t>(Expense)</w:t>
            </w:r>
          </w:p>
        </w:tc>
        <w:tc>
          <w:tcPr>
            <w:tcW w:w="60" w:type="dxa"/>
            <w:vAlign w:val="bottom"/>
          </w:tcPr>
          <w:p>
            <w:pPr>
              <w:spacing w:after="0"/>
              <w:rPr>
                <w:sz w:val="11"/>
                <w:szCs w:val="11"/>
                <w:color w:val="auto"/>
              </w:rPr>
            </w:pPr>
          </w:p>
        </w:tc>
        <w:tc>
          <w:tcPr>
            <w:tcW w:w="56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of Tax</w:t>
            </w: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rPr>
              <w:t>Benefit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2"/>
                <w:szCs w:val="12"/>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rPr>
              <w:t>Benefit</w:t>
            </w:r>
          </w:p>
        </w:tc>
        <w:tc>
          <w:tcPr>
            <w:tcW w:w="140" w:type="dxa"/>
            <w:vAlign w:val="bottom"/>
          </w:tcPr>
          <w:p>
            <w:pPr>
              <w:spacing w:after="0"/>
              <w:rPr>
                <w:sz w:val="12"/>
                <w:szCs w:val="12"/>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Amount</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rPr>
              <w:t>Benefit</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tcPr>
          <w:p>
            <w:pPr>
              <w:jc w:val="right"/>
              <w:spacing w:after="0" w:line="113" w:lineRule="exact"/>
              <w:rPr>
                <w:sz w:val="20"/>
                <w:szCs w:val="20"/>
                <w:color w:val="auto"/>
              </w:rPr>
            </w:pPr>
            <w:r>
              <w:rPr>
                <w:rFonts w:ascii="Arial" w:cs="Arial" w:eastAsia="Arial" w:hAnsi="Arial"/>
                <w:sz w:val="12"/>
                <w:szCs w:val="12"/>
                <w:color w:val="auto"/>
                <w:w w:val="96"/>
              </w:rPr>
              <w:t>(In thousands)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12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Foreign currency translation</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adjustments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(36,230)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(35,667)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15,479</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(503)</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33,742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line="121" w:lineRule="exact"/>
              <w:rPr>
                <w:sz w:val="20"/>
                <w:szCs w:val="20"/>
                <w:color w:val="auto"/>
              </w:rPr>
            </w:pPr>
            <w:r>
              <w:rPr>
                <w:rFonts w:ascii="Arial" w:cs="Arial" w:eastAsia="Arial" w:hAnsi="Arial"/>
                <w:sz w:val="12"/>
                <w:szCs w:val="12"/>
                <w:color w:val="auto"/>
              </w:rPr>
              <w:t>Unrealized holding gains (losses) on</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120" w:type="dxa"/>
            <w:vAlign w:val="bottom"/>
          </w:tcPr>
          <w:p>
            <w:pPr>
              <w:spacing w:after="0"/>
              <w:rPr>
                <w:sz w:val="20"/>
                <w:szCs w:val="20"/>
                <w:color w:val="auto"/>
              </w:rPr>
            </w:pPr>
            <w:r>
              <w:rPr>
                <w:rFonts w:ascii="Arial" w:cs="Arial" w:eastAsia="Arial" w:hAnsi="Arial"/>
                <w:sz w:val="12"/>
                <w:szCs w:val="12"/>
                <w:color w:val="auto"/>
              </w:rPr>
              <w:t>available-for-sale securities</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(375)</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(241)</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(1,071)</w:t>
            </w: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(535)</w:t>
            </w:r>
          </w:p>
        </w:tc>
        <w:tc>
          <w:tcPr>
            <w:tcW w:w="0" w:type="dxa"/>
            <w:vAlign w:val="bottom"/>
          </w:tcPr>
          <w:p>
            <w:pPr>
              <w:spacing w:after="0"/>
              <w:rPr>
                <w:sz w:val="1"/>
                <w:szCs w:val="1"/>
                <w:color w:val="auto"/>
              </w:rPr>
            </w:pPr>
          </w:p>
        </w:tc>
      </w:tr>
      <w:tr>
        <w:trPr>
          <w:trHeight w:val="121"/>
        </w:trPr>
        <w:tc>
          <w:tcPr>
            <w:tcW w:w="212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Recognition of previously unrealized</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(gains) losses on available-for-sale</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securities included in net income</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(loss)</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(1,539)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(1,162)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12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Other</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2,660</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line="101" w:lineRule="exact"/>
              <w:rPr>
                <w:sz w:val="20"/>
                <w:szCs w:val="20"/>
                <w:color w:val="auto"/>
              </w:rPr>
            </w:pPr>
            <w:r>
              <w:rPr>
                <w:rFonts w:ascii="Arial" w:cs="Arial" w:eastAsia="Arial" w:hAnsi="Arial"/>
                <w:sz w:val="11"/>
                <w:szCs w:val="11"/>
                <w:b w:val="1"/>
                <w:bCs w:val="1"/>
                <w:color w:val="auto"/>
              </w:rPr>
              <w:t>Other comprehensive income</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(36,220)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565</w:t>
            </w:r>
          </w:p>
        </w:tc>
        <w:tc>
          <w:tcPr>
            <w:tcW w:w="14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(35,655)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15,723</w:t>
            </w:r>
          </w:p>
        </w:tc>
        <w:tc>
          <w:tcPr>
            <w:tcW w:w="4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(512)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15,211</w:t>
            </w:r>
          </w:p>
        </w:tc>
        <w:tc>
          <w:tcPr>
            <w:tcW w:w="14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36,913</w:t>
            </w:r>
          </w:p>
        </w:tc>
        <w:tc>
          <w:tcPr>
            <w:tcW w:w="14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(359)</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36,554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1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(loss)</w:t>
            </w:r>
          </w:p>
        </w:tc>
        <w:tc>
          <w:tcPr>
            <w:tcW w:w="80" w:type="dxa"/>
            <w:vAlign w:val="bottom"/>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right="1039"/>
        <w:spacing w:after="0" w:line="275" w:lineRule="auto"/>
        <w:rPr>
          <w:sz w:val="20"/>
          <w:szCs w:val="20"/>
          <w:color w:val="auto"/>
        </w:rPr>
      </w:pPr>
      <w:r>
        <w:rPr>
          <w:rFonts w:ascii="Arial" w:cs="Arial" w:eastAsia="Arial" w:hAnsi="Arial"/>
          <w:sz w:val="16"/>
          <w:szCs w:val="16"/>
          <w:color w:val="auto"/>
        </w:rPr>
        <w:t>The “Accumulated other comprehensive income (loss)” is detailed in the following table, net of tax and excludes noncontrolling interest:</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Foreign</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Unrealized/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9" w:lineRule="exact"/>
              <w:rPr>
                <w:sz w:val="20"/>
                <w:szCs w:val="20"/>
                <w:color w:val="auto"/>
              </w:rPr>
            </w:pPr>
            <w:r>
              <w:rPr>
                <w:rFonts w:ascii="Arial" w:cs="Arial" w:eastAsia="Arial" w:hAnsi="Arial"/>
                <w:sz w:val="15"/>
                <w:szCs w:val="15"/>
                <w:b w:val="1"/>
                <w:bCs w:val="1"/>
                <w:color w:val="auto"/>
                <w:w w:val="97"/>
              </w:rPr>
              <w:t>Currency</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9" w:lineRule="exact"/>
              <w:rPr>
                <w:sz w:val="20"/>
                <w:szCs w:val="20"/>
                <w:color w:val="auto"/>
              </w:rPr>
            </w:pPr>
            <w:r>
              <w:rPr>
                <w:rFonts w:ascii="Arial" w:cs="Arial" w:eastAsia="Arial" w:hAnsi="Arial"/>
                <w:sz w:val="15"/>
                <w:szCs w:val="15"/>
                <w:b w:val="1"/>
                <w:bCs w:val="1"/>
                <w:color w:val="auto"/>
                <w:w w:val="94"/>
              </w:rPr>
              <w:t>Recognized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9" w:lineRule="exact"/>
              <w:rPr>
                <w:sz w:val="20"/>
                <w:szCs w:val="20"/>
                <w:color w:val="auto"/>
              </w:rPr>
            </w:pPr>
            <w:r>
              <w:rPr>
                <w:rFonts w:ascii="Arial" w:cs="Arial" w:eastAsia="Arial" w:hAnsi="Arial"/>
                <w:sz w:val="15"/>
                <w:szCs w:val="15"/>
                <w:b w:val="1"/>
                <w:bCs w:val="1"/>
                <w:color w:val="auto"/>
                <w:w w:val="93"/>
              </w:rPr>
              <w:t>Translation</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9" w:lineRule="exact"/>
              <w:rPr>
                <w:sz w:val="20"/>
                <w:szCs w:val="20"/>
                <w:color w:val="auto"/>
              </w:rPr>
            </w:pPr>
            <w:r>
              <w:rPr>
                <w:rFonts w:ascii="Arial" w:cs="Arial" w:eastAsia="Arial" w:hAnsi="Arial"/>
                <w:sz w:val="15"/>
                <w:szCs w:val="15"/>
                <w:b w:val="1"/>
                <w:bCs w:val="1"/>
                <w:color w:val="auto"/>
                <w:w w:val="95"/>
              </w:rPr>
              <w:t>Gains</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4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Accumulated Other Comprehensive Income (Loss)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Adjustment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(Losses)</w:t>
            </w:r>
          </w:p>
        </w:tc>
        <w:tc>
          <w:tcPr>
            <w:tcW w:w="18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Other</w:t>
            </w: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Total</w:t>
            </w:r>
          </w:p>
        </w:tc>
        <w:tc>
          <w:tcPr>
            <w:tcW w:w="20" w:type="dxa"/>
            <w:vAlign w:val="bottom"/>
          </w:tcPr>
          <w:p>
            <w:pPr>
              <w:spacing w:after="0"/>
              <w:rPr>
                <w:sz w:val="15"/>
                <w:szCs w:val="15"/>
                <w:color w:val="auto"/>
              </w:rPr>
            </w:pPr>
          </w:p>
        </w:tc>
      </w:tr>
      <w:tr>
        <w:trPr>
          <w:trHeight w:val="162"/>
        </w:trPr>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3"/>
          </w:tcPr>
          <w:p>
            <w:pPr>
              <w:jc w:val="right"/>
              <w:ind w:right="287"/>
              <w:spacing w:after="0" w:line="161" w:lineRule="exact"/>
              <w:rPr>
                <w:sz w:val="20"/>
                <w:szCs w:val="20"/>
                <w:color w:val="auto"/>
              </w:rPr>
            </w:pPr>
            <w:r>
              <w:rPr>
                <w:rFonts w:ascii="Arial" w:cs="Arial" w:eastAsia="Arial" w:hAnsi="Arial"/>
                <w:sz w:val="15"/>
                <w:szCs w:val="15"/>
                <w:color w:val="auto"/>
              </w:rPr>
              <w:t>(In thousands)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43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Balance,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(175,047)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(122)</w:t>
            </w:r>
          </w:p>
        </w:tc>
        <w:tc>
          <w:tcPr>
            <w:tcW w:w="70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7"/>
              </w:rPr>
              <w:t>(98)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(175,267)</w:t>
            </w:r>
          </w:p>
        </w:tc>
      </w:tr>
      <w:tr>
        <w:trPr>
          <w:trHeight w:val="162"/>
        </w:trPr>
        <w:tc>
          <w:tcPr>
            <w:tcW w:w="4360" w:type="dxa"/>
            <w:vAlign w:val="bottom"/>
            <w:gridSpan w:val="2"/>
          </w:tcPr>
          <w:p>
            <w:pPr>
              <w:spacing w:after="0" w:line="161" w:lineRule="exact"/>
              <w:rPr>
                <w:sz w:val="20"/>
                <w:szCs w:val="20"/>
                <w:color w:val="auto"/>
              </w:rPr>
            </w:pPr>
            <w:r>
              <w:rPr>
                <w:rFonts w:ascii="Arial" w:cs="Arial" w:eastAsia="Arial" w:hAnsi="Arial"/>
                <w:sz w:val="15"/>
                <w:szCs w:val="15"/>
                <w:color w:val="auto"/>
              </w:rPr>
              <w:t>Foreign currency translation adjustments</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14,878</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98</w:t>
            </w:r>
          </w:p>
        </w:tc>
        <w:tc>
          <w:tcPr>
            <w:tcW w:w="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61" w:lineRule="exact"/>
              <w:rPr>
                <w:sz w:val="20"/>
                <w:szCs w:val="20"/>
                <w:color w:val="auto"/>
              </w:rPr>
            </w:pPr>
            <w:r>
              <w:rPr>
                <w:rFonts w:ascii="Arial" w:cs="Arial" w:eastAsia="Arial" w:hAnsi="Arial"/>
                <w:sz w:val="15"/>
                <w:szCs w:val="15"/>
                <w:color w:val="auto"/>
              </w:rPr>
              <w:t>14,976</w:t>
            </w:r>
          </w:p>
        </w:tc>
        <w:tc>
          <w:tcPr>
            <w:tcW w:w="20" w:type="dxa"/>
            <w:vAlign w:val="bottom"/>
          </w:tcPr>
          <w:p>
            <w:pPr>
              <w:spacing w:after="0"/>
              <w:rPr>
                <w:sz w:val="14"/>
                <w:szCs w:val="14"/>
                <w:color w:val="auto"/>
              </w:rPr>
            </w:pPr>
          </w:p>
        </w:tc>
      </w:tr>
      <w:tr>
        <w:trPr>
          <w:trHeight w:val="182"/>
        </w:trPr>
        <w:tc>
          <w:tcPr>
            <w:tcW w:w="4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comprehensive income (loss) before reclassification</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(241)</w:t>
            </w:r>
          </w:p>
        </w:tc>
        <w:tc>
          <w:tcPr>
            <w:tcW w:w="7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(241)</w:t>
            </w:r>
          </w:p>
        </w:tc>
      </w:tr>
      <w:tr>
        <w:trPr>
          <w:trHeight w:val="157"/>
        </w:trPr>
        <w:tc>
          <w:tcPr>
            <w:tcW w:w="4360" w:type="dxa"/>
            <w:vAlign w:val="bottom"/>
            <w:gridSpan w:val="2"/>
          </w:tcPr>
          <w:p>
            <w:pPr>
              <w:spacing w:after="0" w:line="157" w:lineRule="exact"/>
              <w:rPr>
                <w:sz w:val="20"/>
                <w:szCs w:val="20"/>
                <w:color w:val="auto"/>
              </w:rPr>
            </w:pPr>
            <w:r>
              <w:rPr>
                <w:rFonts w:ascii="Arial" w:cs="Arial" w:eastAsia="Arial" w:hAnsi="Arial"/>
                <w:sz w:val="15"/>
                <w:szCs w:val="15"/>
                <w:color w:val="auto"/>
              </w:rPr>
              <w:t>Amounts reclassified from accumulated other comprehensive</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4360" w:type="dxa"/>
            <w:vAlign w:val="bottom"/>
            <w:gridSpan w:val="2"/>
          </w:tcPr>
          <w:p>
            <w:pPr>
              <w:spacing w:after="0"/>
              <w:rPr>
                <w:sz w:val="20"/>
                <w:szCs w:val="20"/>
                <w:color w:val="auto"/>
              </w:rPr>
            </w:pPr>
            <w:r>
              <w:rPr>
                <w:rFonts w:ascii="Arial" w:cs="Arial" w:eastAsia="Arial" w:hAnsi="Arial"/>
                <w:sz w:val="15"/>
                <w:szCs w:val="15"/>
                <w:color w:val="auto"/>
              </w:rPr>
              <w:t>income (loss)</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476</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476</w:t>
            </w:r>
          </w:p>
        </w:tc>
        <w:tc>
          <w:tcPr>
            <w:tcW w:w="20" w:type="dxa"/>
            <w:vAlign w:val="bottom"/>
          </w:tcPr>
          <w:p>
            <w:pPr>
              <w:spacing w:after="0"/>
              <w:rPr>
                <w:sz w:val="15"/>
                <w:szCs w:val="15"/>
                <w:color w:val="auto"/>
              </w:rPr>
            </w:pPr>
          </w:p>
        </w:tc>
      </w:tr>
      <w:tr>
        <w:trPr>
          <w:trHeight w:val="162"/>
        </w:trPr>
        <w:tc>
          <w:tcPr>
            <w:tcW w:w="436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Balance, December 31, 2023</w:t>
            </w:r>
          </w:p>
        </w:tc>
        <w:tc>
          <w:tcPr>
            <w:tcW w:w="1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(160,169)</w:t>
            </w: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113</w:t>
            </w:r>
          </w:p>
        </w:tc>
        <w:tc>
          <w:tcPr>
            <w:tcW w:w="1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547"/>
              <w:spacing w:after="0" w:line="161" w:lineRule="exact"/>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7"/>
              <w:spacing w:after="0" w:line="161"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(160,056)</w:t>
            </w:r>
          </w:p>
        </w:tc>
        <w:tc>
          <w:tcPr>
            <w:tcW w:w="20" w:type="dxa"/>
            <w:vAlign w:val="bottom"/>
            <w:tcBorders>
              <w:top w:val="single" w:sz="8" w:color="CCEEFF"/>
            </w:tcBorders>
            <w:shd w:val="clear" w:color="auto" w:fill="CCEEFF"/>
          </w:tcPr>
          <w:p>
            <w:pPr>
              <w:spacing w:after="0"/>
              <w:rPr>
                <w:sz w:val="14"/>
                <w:szCs w:val="14"/>
                <w:color w:val="auto"/>
              </w:rPr>
            </w:pPr>
          </w:p>
        </w:tc>
      </w:tr>
      <w:tr>
        <w:trPr>
          <w:trHeight w:val="162"/>
        </w:trPr>
        <w:tc>
          <w:tcPr>
            <w:tcW w:w="4360" w:type="dxa"/>
            <w:vAlign w:val="bottom"/>
            <w:gridSpan w:val="2"/>
          </w:tcPr>
          <w:p>
            <w:pPr>
              <w:spacing w:after="0" w:line="161" w:lineRule="exact"/>
              <w:rPr>
                <w:sz w:val="20"/>
                <w:szCs w:val="20"/>
                <w:color w:val="auto"/>
              </w:rPr>
            </w:pPr>
            <w:r>
              <w:rPr>
                <w:rFonts w:ascii="Arial" w:cs="Arial" w:eastAsia="Arial" w:hAnsi="Arial"/>
                <w:sz w:val="15"/>
                <w:szCs w:val="15"/>
                <w:color w:val="auto"/>
              </w:rPr>
              <w:t>Foreign currency translation adjustments</w:t>
            </w:r>
          </w:p>
        </w:tc>
        <w:tc>
          <w:tcPr>
            <w:tcW w:w="120" w:type="dxa"/>
            <w:vAlign w:val="bottom"/>
          </w:tcPr>
          <w:p>
            <w:pPr>
              <w:spacing w:after="0"/>
              <w:rPr>
                <w:sz w:val="14"/>
                <w:szCs w:val="14"/>
                <w:color w:val="auto"/>
              </w:rPr>
            </w:pPr>
          </w:p>
        </w:tc>
        <w:tc>
          <w:tcPr>
            <w:tcW w:w="900" w:type="dxa"/>
            <w:vAlign w:val="bottom"/>
          </w:tcPr>
          <w:p>
            <w:pPr>
              <w:jc w:val="right"/>
              <w:spacing w:after="0" w:line="161" w:lineRule="exact"/>
              <w:rPr>
                <w:sz w:val="20"/>
                <w:szCs w:val="20"/>
                <w:color w:val="auto"/>
              </w:rPr>
            </w:pPr>
            <w:r>
              <w:rPr>
                <w:rFonts w:ascii="Arial" w:cs="Arial" w:eastAsia="Arial" w:hAnsi="Arial"/>
                <w:sz w:val="15"/>
                <w:szCs w:val="15"/>
                <w:color w:val="auto"/>
              </w:rPr>
              <w:t>(35,667)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line="161" w:lineRule="exact"/>
              <w:rPr>
                <w:sz w:val="20"/>
                <w:szCs w:val="20"/>
                <w:color w:val="auto"/>
              </w:rPr>
            </w:pPr>
            <w:r>
              <w:rPr>
                <w:rFonts w:ascii="Arial" w:cs="Arial" w:eastAsia="Arial" w:hAnsi="Arial"/>
                <w:sz w:val="15"/>
                <w:szCs w:val="15"/>
                <w:color w:val="auto"/>
              </w:rPr>
              <w:t>(35,667)</w:t>
            </w:r>
          </w:p>
        </w:tc>
        <w:tc>
          <w:tcPr>
            <w:tcW w:w="20" w:type="dxa"/>
            <w:vAlign w:val="bottom"/>
          </w:tcPr>
          <w:p>
            <w:pPr>
              <w:spacing w:after="0"/>
              <w:rPr>
                <w:sz w:val="14"/>
                <w:szCs w:val="14"/>
                <w:color w:val="auto"/>
              </w:rPr>
            </w:pPr>
          </w:p>
        </w:tc>
      </w:tr>
      <w:tr>
        <w:trPr>
          <w:trHeight w:val="182"/>
        </w:trPr>
        <w:tc>
          <w:tcPr>
            <w:tcW w:w="4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comprehensive income (loss) before reclassification</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w:t>
            </w:r>
          </w:p>
        </w:tc>
        <w:tc>
          <w:tcPr>
            <w:tcW w:w="20" w:type="dxa"/>
            <w:vAlign w:val="bottom"/>
            <w:shd w:val="clear" w:color="auto" w:fill="CCEEFF"/>
          </w:tcPr>
          <w:p>
            <w:pPr>
              <w:spacing w:after="0"/>
              <w:rPr>
                <w:sz w:val="15"/>
                <w:szCs w:val="15"/>
                <w:color w:val="auto"/>
              </w:rPr>
            </w:pPr>
          </w:p>
        </w:tc>
      </w:tr>
      <w:tr>
        <w:trPr>
          <w:trHeight w:val="157"/>
        </w:trPr>
        <w:tc>
          <w:tcPr>
            <w:tcW w:w="4360" w:type="dxa"/>
            <w:vAlign w:val="bottom"/>
            <w:gridSpan w:val="2"/>
          </w:tcPr>
          <w:p>
            <w:pPr>
              <w:spacing w:after="0" w:line="157" w:lineRule="exact"/>
              <w:rPr>
                <w:sz w:val="20"/>
                <w:szCs w:val="20"/>
                <w:color w:val="auto"/>
              </w:rPr>
            </w:pPr>
            <w:r>
              <w:rPr>
                <w:rFonts w:ascii="Arial" w:cs="Arial" w:eastAsia="Arial" w:hAnsi="Arial"/>
                <w:sz w:val="15"/>
                <w:szCs w:val="15"/>
                <w:color w:val="auto"/>
              </w:rPr>
              <w:t>Amounts reclassified from accumulated other comprehensive</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4360" w:type="dxa"/>
            <w:vAlign w:val="bottom"/>
            <w:gridSpan w:val="2"/>
          </w:tcPr>
          <w:p>
            <w:pPr>
              <w:spacing w:after="0"/>
              <w:rPr>
                <w:sz w:val="20"/>
                <w:szCs w:val="20"/>
                <w:color w:val="auto"/>
              </w:rPr>
            </w:pPr>
            <w:r>
              <w:rPr>
                <w:rFonts w:ascii="Arial" w:cs="Arial" w:eastAsia="Arial" w:hAnsi="Arial"/>
                <w:sz w:val="15"/>
                <w:szCs w:val="15"/>
                <w:color w:val="auto"/>
              </w:rPr>
              <w:t>income (loss)</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(1,162)</w:t>
            </w:r>
          </w:p>
        </w:tc>
        <w:tc>
          <w:tcPr>
            <w:tcW w:w="700" w:type="dxa"/>
            <w:vAlign w:val="bottom"/>
          </w:tcPr>
          <w:p>
            <w:pPr>
              <w:spacing w:after="0"/>
              <w:rPr>
                <w:sz w:val="15"/>
                <w:szCs w:val="15"/>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(1,162)</w:t>
            </w:r>
          </w:p>
        </w:tc>
      </w:tr>
      <w:tr>
        <w:trPr>
          <w:trHeight w:val="162"/>
        </w:trPr>
        <w:tc>
          <w:tcPr>
            <w:tcW w:w="4360" w:type="dxa"/>
            <w:vAlign w:val="bottom"/>
            <w:tcBorders>
              <w:top w:val="single" w:sz="8" w:color="CCEEFF"/>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Balance, December 31, 2024</w:t>
            </w:r>
          </w:p>
        </w:tc>
        <w:tc>
          <w:tcPr>
            <w:tcW w:w="1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(195,836)</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125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547"/>
              <w:spacing w:after="0" w:line="161" w:lineRule="exact"/>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7"/>
              <w:spacing w:after="0" w:line="161"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(195,711)</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2">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54" w:name="page155"/>
    <w:bookmarkEnd w:id="15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6.  Marketable Investment Securities, Restricted Cash and Cash Equivalents, and Other Investments</w:t>
      </w:r>
    </w:p>
    <w:p>
      <w:pPr>
        <w:spacing w:after="0" w:line="179" w:lineRule="exact"/>
        <w:rPr>
          <w:sz w:val="20"/>
          <w:szCs w:val="20"/>
          <w:color w:val="auto"/>
        </w:rPr>
      </w:pPr>
    </w:p>
    <w:p>
      <w:pPr>
        <w:ind w:left="40" w:right="759"/>
        <w:spacing w:after="0" w:line="275" w:lineRule="auto"/>
        <w:rPr>
          <w:sz w:val="20"/>
          <w:szCs w:val="20"/>
          <w:color w:val="auto"/>
        </w:rPr>
      </w:pPr>
      <w:r>
        <w:rPr>
          <w:rFonts w:ascii="Arial" w:cs="Arial" w:eastAsia="Arial" w:hAnsi="Arial"/>
          <w:sz w:val="16"/>
          <w:szCs w:val="16"/>
          <w:color w:val="auto"/>
        </w:rPr>
        <w:t>Our marketable investment securities, restricted cash and cash equivalents, and other investments consisted of the following:</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7"/>
              <w:spacing w:after="0" w:line="169" w:lineRule="exact"/>
              <w:rPr>
                <w:sz w:val="20"/>
                <w:szCs w:val="20"/>
                <w:color w:val="auto"/>
              </w:rPr>
            </w:pPr>
            <w:r>
              <w:rPr>
                <w:rFonts w:ascii="Arial" w:cs="Arial" w:eastAsia="Arial" w:hAnsi="Arial"/>
                <w:sz w:val="15"/>
                <w:szCs w:val="15"/>
                <w:b w:val="1"/>
                <w:bCs w:val="1"/>
                <w:color w:val="auto"/>
              </w:rPr>
              <w:t>2024</w:t>
            </w: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87"/>
              <w:spacing w:after="0" w:line="169" w:lineRule="exact"/>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3"/>
          </w:tcPr>
          <w:p>
            <w:pPr>
              <w:jc w:val="right"/>
              <w:ind w:right="187"/>
              <w:spacing w:after="0" w:line="149" w:lineRule="exact"/>
              <w:rPr>
                <w:sz w:val="20"/>
                <w:szCs w:val="20"/>
                <w:color w:val="auto"/>
              </w:rPr>
            </w:pPr>
            <w:r>
              <w:rPr>
                <w:rFonts w:ascii="Arial" w:cs="Arial" w:eastAsia="Arial" w:hAnsi="Arial"/>
                <w:sz w:val="15"/>
                <w:szCs w:val="15"/>
                <w:color w:val="auto"/>
              </w:rPr>
              <w:t>(In thousands)</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Marketable investment securities:</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gridSpan w:val="2"/>
          </w:tcPr>
          <w:p>
            <w:pPr>
              <w:spacing w:after="0" w:line="169" w:lineRule="exact"/>
              <w:rPr>
                <w:sz w:val="20"/>
                <w:szCs w:val="20"/>
                <w:color w:val="auto"/>
              </w:rPr>
            </w:pPr>
            <w:r>
              <w:rPr>
                <w:rFonts w:ascii="Arial" w:cs="Arial" w:eastAsia="Arial" w:hAnsi="Arial"/>
                <w:sz w:val="15"/>
                <w:szCs w:val="15"/>
                <w:color w:val="auto"/>
              </w:rPr>
              <w:t>Current marketable investment securities: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gridSpan w:val="2"/>
            <w:shd w:val="clear" w:color="auto" w:fill="CCEEFF"/>
          </w:tcPr>
          <w:p>
            <w:pPr>
              <w:ind w:left="100"/>
              <w:spacing w:after="0" w:line="169" w:lineRule="exact"/>
              <w:rPr>
                <w:sz w:val="20"/>
                <w:szCs w:val="20"/>
                <w:color w:val="auto"/>
              </w:rPr>
            </w:pPr>
            <w:r>
              <w:rPr>
                <w:rFonts w:ascii="Arial" w:cs="Arial" w:eastAsia="Arial" w:hAnsi="Arial"/>
                <w:sz w:val="15"/>
                <w:szCs w:val="15"/>
                <w:color w:val="auto"/>
              </w:rPr>
              <w:t>Strategic - available-for-sale</w:t>
            </w:r>
          </w:p>
        </w:tc>
        <w:tc>
          <w:tcPr>
            <w:tcW w:w="340" w:type="dxa"/>
            <w:vAlign w:val="bottom"/>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51</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7"/>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69"/>
        </w:trPr>
        <w:tc>
          <w:tcPr>
            <w:tcW w:w="54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Strategic - trading/equity</w:t>
            </w:r>
          </w:p>
        </w:tc>
        <w:tc>
          <w:tcPr>
            <w:tcW w:w="3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26,454</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176,205</w:t>
            </w:r>
          </w:p>
        </w:tc>
        <w:tc>
          <w:tcPr>
            <w:tcW w:w="0" w:type="dxa"/>
            <w:vAlign w:val="bottom"/>
          </w:tcPr>
          <w:p>
            <w:pPr>
              <w:spacing w:after="0"/>
              <w:rPr>
                <w:sz w:val="1"/>
                <w:szCs w:val="1"/>
                <w:color w:val="auto"/>
              </w:rPr>
            </w:pPr>
          </w:p>
        </w:tc>
      </w:tr>
      <w:tr>
        <w:trPr>
          <w:trHeight w:val="169"/>
        </w:trPr>
        <w:tc>
          <w:tcPr>
            <w:tcW w:w="5400" w:type="dxa"/>
            <w:vAlign w:val="bottom"/>
            <w:gridSpan w:val="2"/>
            <w:shd w:val="clear" w:color="auto" w:fill="CCEEFF"/>
          </w:tcPr>
          <w:p>
            <w:pPr>
              <w:ind w:left="100"/>
              <w:spacing w:after="0" w:line="169" w:lineRule="exact"/>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1,215,531</w:t>
            </w:r>
          </w:p>
        </w:tc>
        <w:tc>
          <w:tcPr>
            <w:tcW w:w="3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446,695</w:t>
            </w:r>
          </w:p>
        </w:tc>
        <w:tc>
          <w:tcPr>
            <w:tcW w:w="0" w:type="dxa"/>
            <w:vAlign w:val="bottom"/>
          </w:tcPr>
          <w:p>
            <w:pPr>
              <w:spacing w:after="0"/>
              <w:rPr>
                <w:sz w:val="1"/>
                <w:szCs w:val="1"/>
                <w:color w:val="auto"/>
              </w:rPr>
            </w:pPr>
          </w:p>
        </w:tc>
      </w:tr>
      <w:tr>
        <w:trPr>
          <w:trHeight w:val="162"/>
        </w:trPr>
        <w:tc>
          <w:tcPr>
            <w:tcW w:w="5400" w:type="dxa"/>
            <w:vAlign w:val="bottom"/>
            <w:gridSpan w:val="2"/>
          </w:tcPr>
          <w:p>
            <w:pPr>
              <w:spacing w:after="0" w:line="161" w:lineRule="exact"/>
              <w:rPr>
                <w:sz w:val="20"/>
                <w:szCs w:val="20"/>
                <w:color w:val="auto"/>
              </w:rPr>
            </w:pPr>
            <w:r>
              <w:rPr>
                <w:rFonts w:ascii="Arial" w:cs="Arial" w:eastAsia="Arial" w:hAnsi="Arial"/>
                <w:sz w:val="15"/>
                <w:szCs w:val="15"/>
                <w:b w:val="1"/>
                <w:bCs w:val="1"/>
                <w:i w:val="1"/>
                <w:iCs w:val="1"/>
                <w:color w:val="auto"/>
              </w:rPr>
              <w:t>Total current marketable investment securities</w:t>
            </w:r>
          </w:p>
        </w:tc>
        <w:tc>
          <w:tcPr>
            <w:tcW w:w="340" w:type="dxa"/>
            <w:vAlign w:val="bottom"/>
          </w:tcPr>
          <w:p>
            <w:pPr>
              <w:spacing w:after="0"/>
              <w:rPr>
                <w:sz w:val="14"/>
                <w:szCs w:val="14"/>
                <w:color w:val="auto"/>
              </w:rPr>
            </w:pPr>
          </w:p>
        </w:tc>
        <w:tc>
          <w:tcPr>
            <w:tcW w:w="1200" w:type="dxa"/>
            <w:vAlign w:val="bottom"/>
          </w:tcPr>
          <w:p>
            <w:pPr>
              <w:jc w:val="right"/>
              <w:spacing w:after="0" w:line="161" w:lineRule="exact"/>
              <w:rPr>
                <w:sz w:val="20"/>
                <w:szCs w:val="20"/>
                <w:color w:val="auto"/>
              </w:rPr>
            </w:pPr>
            <w:r>
              <w:rPr>
                <w:rFonts w:ascii="Arial" w:cs="Arial" w:eastAsia="Arial" w:hAnsi="Arial"/>
                <w:sz w:val="15"/>
                <w:szCs w:val="15"/>
                <w:color w:val="auto"/>
              </w:rPr>
              <w:t>1,242,036</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spacing w:after="0" w:line="161" w:lineRule="exact"/>
              <w:rPr>
                <w:sz w:val="20"/>
                <w:szCs w:val="20"/>
                <w:color w:val="auto"/>
              </w:rPr>
            </w:pPr>
            <w:r>
              <w:rPr>
                <w:rFonts w:ascii="Arial" w:cs="Arial" w:eastAsia="Arial" w:hAnsi="Arial"/>
                <w:sz w:val="15"/>
                <w:szCs w:val="15"/>
                <w:color w:val="auto"/>
              </w:rPr>
              <w:t>623,044</w:t>
            </w:r>
          </w:p>
        </w:tc>
        <w:tc>
          <w:tcPr>
            <w:tcW w:w="0" w:type="dxa"/>
            <w:vAlign w:val="bottom"/>
          </w:tcPr>
          <w:p>
            <w:pPr>
              <w:spacing w:after="0"/>
              <w:rPr>
                <w:sz w:val="1"/>
                <w:szCs w:val="1"/>
                <w:color w:val="auto"/>
              </w:rPr>
            </w:pPr>
          </w:p>
        </w:tc>
      </w:tr>
      <w:tr>
        <w:trPr>
          <w:trHeight w:val="169"/>
        </w:trPr>
        <w:tc>
          <w:tcPr>
            <w:tcW w:w="5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Restricted marketable investment securities (1)</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32,114</w:t>
            </w:r>
          </w:p>
        </w:tc>
        <w:tc>
          <w:tcPr>
            <w:tcW w:w="3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27,840</w:t>
            </w:r>
          </w:p>
        </w:tc>
        <w:tc>
          <w:tcPr>
            <w:tcW w:w="0" w:type="dxa"/>
            <w:vAlign w:val="bottom"/>
          </w:tcPr>
          <w:p>
            <w:pPr>
              <w:spacing w:after="0"/>
              <w:rPr>
                <w:sz w:val="1"/>
                <w:szCs w:val="1"/>
                <w:color w:val="auto"/>
              </w:rPr>
            </w:pPr>
          </w:p>
        </w:tc>
      </w:tr>
      <w:tr>
        <w:trPr>
          <w:trHeight w:val="162"/>
        </w:trPr>
        <w:tc>
          <w:tcPr>
            <w:tcW w:w="540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b w:val="1"/>
                <w:bCs w:val="1"/>
                <w:color w:val="auto"/>
              </w:rPr>
              <w:t>Total marketable investment securities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1,274,150</w:t>
            </w:r>
          </w:p>
        </w:tc>
        <w:tc>
          <w:tcPr>
            <w:tcW w:w="3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650,884</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Restricted cash and cash equivalents (1)</w:t>
            </w:r>
          </w:p>
        </w:tc>
        <w:tc>
          <w:tcPr>
            <w:tcW w:w="3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288,411</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90,225</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Other investments, net:</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Equity method investments (2)</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83,423</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169,038</w:t>
            </w:r>
          </w:p>
        </w:tc>
        <w:tc>
          <w:tcPr>
            <w:tcW w:w="0" w:type="dxa"/>
            <w:vAlign w:val="bottom"/>
          </w:tcPr>
          <w:p>
            <w:pPr>
              <w:spacing w:after="0"/>
              <w:rPr>
                <w:sz w:val="1"/>
                <w:szCs w:val="1"/>
                <w:color w:val="auto"/>
              </w:rPr>
            </w:pPr>
          </w:p>
        </w:tc>
      </w:tr>
      <w:tr>
        <w:trPr>
          <w:trHeight w:val="169"/>
        </w:trPr>
        <w:tc>
          <w:tcPr>
            <w:tcW w:w="5400" w:type="dxa"/>
            <w:vAlign w:val="bottom"/>
            <w:gridSpan w:val="2"/>
          </w:tcPr>
          <w:p>
            <w:pPr>
              <w:spacing w:after="0" w:line="169" w:lineRule="exact"/>
              <w:rPr>
                <w:sz w:val="20"/>
                <w:szCs w:val="20"/>
                <w:color w:val="auto"/>
              </w:rPr>
            </w:pPr>
            <w:r>
              <w:rPr>
                <w:rFonts w:ascii="Arial" w:cs="Arial" w:eastAsia="Arial" w:hAnsi="Arial"/>
                <w:sz w:val="15"/>
                <w:szCs w:val="15"/>
                <w:color w:val="auto"/>
              </w:rPr>
              <w:t>Cost method investments</w:t>
            </w:r>
          </w:p>
        </w:tc>
        <w:tc>
          <w:tcPr>
            <w:tcW w:w="3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106,811</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106,134</w:t>
            </w:r>
          </w:p>
        </w:tc>
        <w:tc>
          <w:tcPr>
            <w:tcW w:w="0" w:type="dxa"/>
            <w:vAlign w:val="bottom"/>
          </w:tcPr>
          <w:p>
            <w:pPr>
              <w:spacing w:after="0"/>
              <w:rPr>
                <w:sz w:val="1"/>
                <w:szCs w:val="1"/>
                <w:color w:val="auto"/>
              </w:rPr>
            </w:pPr>
          </w:p>
        </w:tc>
      </w:tr>
      <w:tr>
        <w:trPr>
          <w:trHeight w:val="169"/>
        </w:trPr>
        <w:tc>
          <w:tcPr>
            <w:tcW w:w="5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Fair value method and other debt investments (3)</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12,093</w:t>
            </w:r>
          </w:p>
        </w:tc>
        <w:tc>
          <w:tcPr>
            <w:tcW w:w="3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39,198</w:t>
            </w:r>
          </w:p>
        </w:tc>
        <w:tc>
          <w:tcPr>
            <w:tcW w:w="0" w:type="dxa"/>
            <w:vAlign w:val="bottom"/>
          </w:tcPr>
          <w:p>
            <w:pPr>
              <w:spacing w:after="0"/>
              <w:rPr>
                <w:sz w:val="1"/>
                <w:szCs w:val="1"/>
                <w:color w:val="auto"/>
              </w:rPr>
            </w:pPr>
          </w:p>
        </w:tc>
      </w:tr>
      <w:tr>
        <w:trPr>
          <w:trHeight w:val="162"/>
        </w:trPr>
        <w:tc>
          <w:tcPr>
            <w:tcW w:w="540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b w:val="1"/>
                <w:bCs w:val="1"/>
                <w:color w:val="auto"/>
              </w:rPr>
              <w:t>Total other investments, net</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202,327</w:t>
            </w:r>
          </w:p>
        </w:tc>
        <w:tc>
          <w:tcPr>
            <w:tcW w:w="3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314,370</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line="157" w:lineRule="exact"/>
              <w:rPr>
                <w:sz w:val="20"/>
                <w:szCs w:val="20"/>
                <w:color w:val="auto"/>
              </w:rPr>
            </w:pPr>
            <w:r>
              <w:rPr>
                <w:rFonts w:ascii="Arial" w:cs="Arial" w:eastAsia="Arial" w:hAnsi="Arial"/>
                <w:sz w:val="15"/>
                <w:szCs w:val="15"/>
                <w:b w:val="1"/>
                <w:bCs w:val="1"/>
                <w:color w:val="auto"/>
              </w:rPr>
              <w:t>Total marketable investment securities, restricted cash and cash</w:t>
            </w:r>
          </w:p>
        </w:tc>
        <w:tc>
          <w:tcPr>
            <w:tcW w:w="340" w:type="dxa"/>
            <w:vAlign w:val="bottom"/>
            <w:vMerge w:val="restart"/>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1,764,888</w:t>
            </w:r>
          </w:p>
        </w:tc>
        <w:tc>
          <w:tcPr>
            <w:tcW w:w="340" w:type="dxa"/>
            <w:vAlign w:val="bottom"/>
          </w:tcPr>
          <w:p>
            <w:pPr>
              <w:spacing w:after="0"/>
              <w:rPr>
                <w:sz w:val="13"/>
                <w:szCs w:val="13"/>
                <w:color w:val="auto"/>
              </w:rPr>
            </w:pPr>
          </w:p>
        </w:tc>
        <w:tc>
          <w:tcPr>
            <w:tcW w:w="600" w:type="dxa"/>
            <w:vAlign w:val="bottom"/>
            <w:vMerge w:val="restart"/>
          </w:tcPr>
          <w:p>
            <w:pPr>
              <w:jc w:val="right"/>
              <w:ind w:right="447"/>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1,055,479</w:t>
            </w:r>
          </w:p>
        </w:tc>
        <w:tc>
          <w:tcPr>
            <w:tcW w:w="0" w:type="dxa"/>
            <w:vAlign w:val="bottom"/>
          </w:tcPr>
          <w:p>
            <w:pPr>
              <w:spacing w:after="0"/>
              <w:rPr>
                <w:sz w:val="1"/>
                <w:szCs w:val="1"/>
                <w:color w:val="auto"/>
              </w:rPr>
            </w:pPr>
          </w:p>
        </w:tc>
      </w:tr>
      <w:tr>
        <w:trPr>
          <w:trHeight w:val="175"/>
        </w:trPr>
        <w:tc>
          <w:tcPr>
            <w:tcW w:w="5400" w:type="dxa"/>
            <w:vAlign w:val="bottom"/>
            <w:gridSpan w:val="2"/>
          </w:tcPr>
          <w:p>
            <w:pPr>
              <w:spacing w:after="0" w:line="170" w:lineRule="exact"/>
              <w:rPr>
                <w:sz w:val="20"/>
                <w:szCs w:val="20"/>
                <w:color w:val="auto"/>
              </w:rPr>
            </w:pPr>
            <w:r>
              <w:rPr>
                <w:rFonts w:ascii="Arial" w:cs="Arial" w:eastAsia="Arial" w:hAnsi="Arial"/>
                <w:sz w:val="15"/>
                <w:szCs w:val="15"/>
                <w:b w:val="1"/>
                <w:bCs w:val="1"/>
                <w:color w:val="auto"/>
              </w:rPr>
              <w:t>equivalents, and other investments, net</w:t>
            </w:r>
          </w:p>
        </w:tc>
        <w:tc>
          <w:tcPr>
            <w:tcW w:w="34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240" w:type="dxa"/>
            <w:vAlign w:val="bottom"/>
            <w:tcBorders>
              <w:bottom w:val="single" w:sz="8" w:color="auto"/>
            </w:tcBorders>
          </w:tcPr>
          <w:p>
            <w:pPr>
              <w:spacing w:after="0"/>
              <w:rPr>
                <w:sz w:val="6"/>
                <w:szCs w:val="6"/>
                <w:color w:val="auto"/>
              </w:rPr>
            </w:pPr>
          </w:p>
        </w:tc>
        <w:tc>
          <w:tcPr>
            <w:tcW w:w="3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right="159" w:hanging="298"/>
        <w:spacing w:after="0" w:line="243"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Restricted marketable investment securities and restricted cash and cash equivalents are included in “Current restricted cash and cash equivalents” and “Restricted cash, cash equivalents and marketable investment securities” on our Consolidated Balance Sheets and discussed below.</w:t>
      </w:r>
    </w:p>
    <w:p>
      <w:pPr>
        <w:spacing w:after="0" w:line="1" w:lineRule="exact"/>
        <w:rPr>
          <w:rFonts w:ascii="Arial" w:cs="Arial" w:eastAsia="Arial" w:hAnsi="Arial"/>
          <w:sz w:val="16"/>
          <w:szCs w:val="16"/>
          <w:color w:val="auto"/>
        </w:rPr>
      </w:pPr>
    </w:p>
    <w:p>
      <w:pPr>
        <w:ind w:left="340" w:right="699" w:hanging="298"/>
        <w:spacing w:after="0" w:line="236"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decrease primarily resulted from our Invidi Technologies Corporation and Broadband Connectivity Solutions (Restricted) Limited investments, discussed below.</w:t>
      </w:r>
    </w:p>
    <w:p>
      <w:pPr>
        <w:spacing w:after="0" w:line="1" w:lineRule="exact"/>
        <w:rPr>
          <w:rFonts w:ascii="Arial" w:cs="Arial" w:eastAsia="Arial" w:hAnsi="Arial"/>
          <w:sz w:val="16"/>
          <w:szCs w:val="16"/>
          <w:color w:val="auto"/>
        </w:rPr>
      </w:pPr>
    </w:p>
    <w:p>
      <w:pPr>
        <w:ind w:left="340" w:right="239" w:hanging="298"/>
        <w:spacing w:after="0" w:line="245"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decrease primarily resulted from a $27 million impairment in a fair value method investment during the year ended December 31, 2024 and recorded in “Other, net” on our Consolidated Statements of Operations and Comprehensive Income (Loss).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Marketable Investment Securities</w:t>
      </w:r>
    </w:p>
    <w:p>
      <w:pPr>
        <w:spacing w:after="0" w:line="177"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auto"/>
        </w:rPr>
        <w:t>Our marketable investment securities portfolio may consist of debt and equity instruments. All equity securities are carried at fair value, with changes in fair value recognized in “Other, net” within “Other Income (Expense)” on our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Consolidated Balance Sheets. The corresponding changes in the fair value of marketable debt securities, which are determined to be company specific credit losses are recorded in “Other, net” within “Other Income (Expense)” on our Consolidated Statements of Operations and Comprehensive Income (Loss). See Note 2 for further information.</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Current Marketable Investment Securities – Strategic</w:t>
      </w:r>
    </w:p>
    <w:p>
      <w:pPr>
        <w:spacing w:after="0" w:line="177" w:lineRule="exact"/>
        <w:rPr>
          <w:sz w:val="20"/>
          <w:szCs w:val="20"/>
          <w:color w:val="auto"/>
        </w:rPr>
      </w:pPr>
    </w:p>
    <w:p>
      <w:pPr>
        <w:ind w:left="40" w:right="179"/>
        <w:spacing w:after="0" w:line="249" w:lineRule="auto"/>
        <w:rPr>
          <w:sz w:val="20"/>
          <w:szCs w:val="20"/>
          <w:color w:val="auto"/>
        </w:rPr>
      </w:pPr>
      <w:r>
        <w:rPr>
          <w:rFonts w:ascii="Arial" w:cs="Arial" w:eastAsia="Arial" w:hAnsi="Arial"/>
          <w:sz w:val="16"/>
          <w:szCs w:val="16"/>
          <w:color w:val="auto"/>
        </w:rPr>
        <w:t>Our current strategic marketable investment securities portfolio includes and may include strategic and financial debt and/or equity investments in private and public companies that are highly speculative and have experienced and continue to experience volatility. As of December 31, 2024, this portfolio consisted of securities of a small number of issuers, and as a result the value of that portfolio depends, among other things, on the performance of those issuers.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3">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55" w:name="page156"/>
    <w:bookmarkEnd w:id="15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right="199"/>
        <w:spacing w:after="0" w:line="275" w:lineRule="auto"/>
        <w:rPr>
          <w:sz w:val="20"/>
          <w:szCs w:val="20"/>
          <w:color w:val="auto"/>
        </w:rPr>
      </w:pPr>
      <w:r>
        <w:rPr>
          <w:rFonts w:ascii="Arial" w:cs="Arial" w:eastAsia="Arial" w:hAnsi="Arial"/>
          <w:sz w:val="16"/>
          <w:szCs w:val="16"/>
          <w:color w:val="auto"/>
        </w:rPr>
        <w:t>The fair value of certain of the debt and equity securities in this portfolio can be adversely impacted by, among other things, the issuers’ respective performance and ability to obtain any necessary additional financing on acceptable terms, or at all.</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Current Marketable Investment Securities – Other</w:t>
      </w:r>
    </w:p>
    <w:p>
      <w:pPr>
        <w:spacing w:after="0" w:line="177" w:lineRule="exact"/>
        <w:rPr>
          <w:sz w:val="20"/>
          <w:szCs w:val="20"/>
          <w:color w:val="auto"/>
        </w:rPr>
      </w:pPr>
    </w:p>
    <w:p>
      <w:pPr>
        <w:ind w:left="40" w:right="499"/>
        <w:spacing w:after="0" w:line="275" w:lineRule="auto"/>
        <w:rPr>
          <w:sz w:val="20"/>
          <w:szCs w:val="20"/>
          <w:color w:val="auto"/>
        </w:rPr>
      </w:pPr>
      <w:r>
        <w:rPr>
          <w:rFonts w:ascii="Arial" w:cs="Arial" w:eastAsia="Arial" w:hAnsi="Arial"/>
          <w:sz w:val="16"/>
          <w:szCs w:val="16"/>
          <w:color w:val="auto"/>
        </w:rPr>
        <w:t>Our current other marketable investment securities portfolio includes investments in various debt instruments including, among others, commercial paper, corporate securities and United States treasury and/or agency securities.</w:t>
      </w:r>
    </w:p>
    <w:p>
      <w:pPr>
        <w:spacing w:after="0" w:line="123" w:lineRule="exact"/>
        <w:rPr>
          <w:sz w:val="20"/>
          <w:szCs w:val="20"/>
          <w:color w:val="auto"/>
        </w:rPr>
      </w:pPr>
    </w:p>
    <w:p>
      <w:pPr>
        <w:ind w:left="40" w:right="59"/>
        <w:spacing w:after="0" w:line="249" w:lineRule="auto"/>
        <w:rPr>
          <w:sz w:val="20"/>
          <w:szCs w:val="20"/>
          <w:color w:val="auto"/>
        </w:rPr>
      </w:pPr>
      <w:r>
        <w:rPr>
          <w:rFonts w:ascii="Arial" w:cs="Arial" w:eastAsia="Arial" w:hAnsi="Arial"/>
          <w:sz w:val="16"/>
          <w:szCs w:val="16"/>
          <w:color w:val="auto"/>
        </w:rPr>
        <w:t>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Restricted Cash, Cash Equivalents and Marketable Investment Securities</w:t>
      </w:r>
    </w:p>
    <w:p>
      <w:pPr>
        <w:spacing w:after="0" w:line="177" w:lineRule="exact"/>
        <w:rPr>
          <w:sz w:val="20"/>
          <w:szCs w:val="20"/>
          <w:color w:val="auto"/>
        </w:rPr>
      </w:pPr>
    </w:p>
    <w:p>
      <w:pPr>
        <w:ind w:left="40" w:right="299"/>
        <w:spacing w:after="0" w:line="275" w:lineRule="auto"/>
        <w:rPr>
          <w:sz w:val="20"/>
          <w:szCs w:val="20"/>
          <w:color w:val="auto"/>
        </w:rPr>
      </w:pPr>
      <w:r>
        <w:rPr>
          <w:rFonts w:ascii="Arial" w:cs="Arial" w:eastAsia="Arial" w:hAnsi="Arial"/>
          <w:sz w:val="16"/>
          <w:szCs w:val="16"/>
          <w:color w:val="auto"/>
        </w:rPr>
        <w:t>As of December 31, 2024 and 2023, our restricted marketable investment securities, together with our restricted cash and cash equivalents, included amounts required as collateral for our letters of credit, surety bonds and trusts.</w:t>
      </w:r>
    </w:p>
    <w:p>
      <w:pPr>
        <w:spacing w:after="0" w:line="123"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i w:val="1"/>
          <w:iCs w:val="1"/>
          <w:color w:val="auto"/>
        </w:rPr>
        <w:t xml:space="preserve">Current restricted cash and cash equivalents. </w:t>
      </w:r>
      <w:r>
        <w:rPr>
          <w:rFonts w:ascii="Arial" w:cs="Arial" w:eastAsia="Arial" w:hAnsi="Arial"/>
          <w:sz w:val="16"/>
          <w:szCs w:val="16"/>
          <w:color w:val="auto"/>
        </w:rPr>
        <w:t>As of December 31, 2024, we had $151 million included in “Current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cash and cash equivalents” on our Consolidated Balance Sheets that primarily consists of funds received by our subsidiary, DISH DBS Issuer LLC (“DBS SubscriberCo”), from subscriber payments and certain other revenue, which are required to be restricted per the terms of the New DISH DBS Financing, as detailed and defined in Note 10. DBS SubscriberCo holds certain DISH TV subscribers and their related subscription and equipment agreements.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 Investments, net</w:t>
      </w:r>
    </w:p>
    <w:p>
      <w:pPr>
        <w:spacing w:after="0" w:line="177" w:lineRule="exact"/>
        <w:rPr>
          <w:sz w:val="20"/>
          <w:szCs w:val="20"/>
          <w:color w:val="auto"/>
        </w:rPr>
      </w:pPr>
    </w:p>
    <w:p>
      <w:pPr>
        <w:ind w:left="40" w:right="259"/>
        <w:spacing w:after="0" w:line="244" w:lineRule="auto"/>
        <w:rPr>
          <w:sz w:val="20"/>
          <w:szCs w:val="20"/>
          <w:color w:val="auto"/>
        </w:rPr>
      </w:pPr>
      <w:r>
        <w:rPr>
          <w:rFonts w:ascii="Arial" w:cs="Arial" w:eastAsia="Arial" w:hAnsi="Arial"/>
          <w:sz w:val="16"/>
          <w:szCs w:val="16"/>
          <w:color w:val="auto"/>
        </w:rPr>
        <w:t>We have strategic investments in certain debt and/or equity securities that are included in noncurrent “Other investments, net” on our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spacing w:after="0" w:line="148"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i w:val="1"/>
          <w:iCs w:val="1"/>
          <w:color w:val="auto"/>
        </w:rPr>
        <w:t xml:space="preserve">NagraStar L.L.C. </w:t>
      </w:r>
      <w:r>
        <w:rPr>
          <w:rFonts w:ascii="Arial" w:cs="Arial" w:eastAsia="Arial" w:hAnsi="Arial"/>
          <w:sz w:val="16"/>
          <w:szCs w:val="16"/>
          <w:color w:val="auto"/>
        </w:rPr>
        <w:t>We own a 50% interest in NagraStar L.L.C. (“NagraStar”), a joint venture that is our primary provider of</w:t>
      </w:r>
      <w:r>
        <w:rPr>
          <w:rFonts w:ascii="Arial" w:cs="Arial" w:eastAsia="Arial" w:hAnsi="Arial"/>
          <w:sz w:val="16"/>
          <w:szCs w:val="16"/>
          <w:i w:val="1"/>
          <w:iCs w:val="1"/>
          <w:color w:val="auto"/>
        </w:rPr>
        <w:t xml:space="preserve"> </w:t>
      </w:r>
      <w:r>
        <w:rPr>
          <w:rFonts w:ascii="Arial" w:cs="Arial" w:eastAsia="Arial" w:hAnsi="Arial"/>
          <w:sz w:val="16"/>
          <w:szCs w:val="16"/>
          <w:color w:val="auto"/>
        </w:rPr>
        <w:t>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144" w:lineRule="exact"/>
        <w:rPr>
          <w:sz w:val="20"/>
          <w:szCs w:val="20"/>
          <w:color w:val="auto"/>
        </w:rPr>
      </w:pPr>
    </w:p>
    <w:p>
      <w:pPr>
        <w:ind w:left="40" w:right="59"/>
        <w:spacing w:after="0" w:line="242" w:lineRule="auto"/>
        <w:rPr>
          <w:sz w:val="20"/>
          <w:szCs w:val="20"/>
          <w:color w:val="auto"/>
        </w:rPr>
      </w:pPr>
      <w:r>
        <w:rPr>
          <w:rFonts w:ascii="Arial" w:cs="Arial" w:eastAsia="Arial" w:hAnsi="Arial"/>
          <w:sz w:val="16"/>
          <w:szCs w:val="16"/>
          <w:i w:val="1"/>
          <w:iCs w:val="1"/>
          <w:color w:val="auto"/>
        </w:rPr>
        <w:t>Invidi Technologies Corporation</w:t>
      </w:r>
      <w:r>
        <w:rPr>
          <w:rFonts w:ascii="Arial" w:cs="Arial" w:eastAsia="Arial" w:hAnsi="Arial"/>
          <w:sz w:val="16"/>
          <w:szCs w:val="16"/>
          <w:color w:val="auto"/>
        </w:rPr>
        <w:t>. We own a 35% interest in Invidi Technologies Corporation (“Invidi”), an entity that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 During the year ended December 31, 2024, Invidi impaired the goodwill on their financial statements and our portion of this impairment resulted in a $63 million loss in “Equity in earnings (losses) of affiliates” recorded in “Other, net” on our Consolidated Statements of Operations and Comprehensive Income (Loss) during the year ended December 31, 2024.</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74">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56" w:name="page157"/>
    <w:bookmarkEnd w:id="15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299"/>
        <w:spacing w:after="0" w:line="246" w:lineRule="auto"/>
        <w:rPr>
          <w:sz w:val="20"/>
          <w:szCs w:val="20"/>
          <w:color w:val="auto"/>
        </w:rPr>
      </w:pPr>
      <w:r>
        <w:rPr>
          <w:rFonts w:ascii="Arial" w:cs="Arial" w:eastAsia="Arial" w:hAnsi="Arial"/>
          <w:sz w:val="16"/>
          <w:szCs w:val="16"/>
          <w:i w:val="1"/>
          <w:iCs w:val="1"/>
          <w:color w:val="auto"/>
        </w:rPr>
        <w:t xml:space="preserve">TerreStar Solutions, Inc. </w:t>
      </w:r>
      <w:r>
        <w:rPr>
          <w:rFonts w:ascii="Arial" w:cs="Arial" w:eastAsia="Arial" w:hAnsi="Arial"/>
          <w:sz w:val="16"/>
          <w:szCs w:val="16"/>
          <w:color w:val="auto"/>
        </w:rPr>
        <w:t>We own a 33% interest in TerreStar Solutions, Inc. (“TSI”), an entity that provides wireless mobile</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 coverage in Canada using a satellite user terminal. TSI’s wireless communications system is based on a satellite and ground-based technology, which provides communication services in hard-to-reach areas and provides a nationwide interoperable, survivable and critical communications infrastructure. TSI also holds and leases certain 2 GHz wireless spectrum licenses in Canada.</w:t>
      </w:r>
    </w:p>
    <w:p>
      <w:pPr>
        <w:spacing w:after="0" w:line="146" w:lineRule="exact"/>
        <w:rPr>
          <w:sz w:val="20"/>
          <w:szCs w:val="20"/>
          <w:color w:val="auto"/>
        </w:rPr>
      </w:pPr>
    </w:p>
    <w:p>
      <w:pPr>
        <w:ind w:left="40" w:right="159"/>
        <w:spacing w:after="0" w:line="256" w:lineRule="auto"/>
        <w:rPr>
          <w:sz w:val="20"/>
          <w:szCs w:val="20"/>
          <w:color w:val="auto"/>
        </w:rPr>
      </w:pPr>
      <w:r>
        <w:rPr>
          <w:rFonts w:ascii="Arial" w:cs="Arial" w:eastAsia="Arial" w:hAnsi="Arial"/>
          <w:sz w:val="16"/>
          <w:szCs w:val="16"/>
          <w:i w:val="1"/>
          <w:iCs w:val="1"/>
          <w:color w:val="auto"/>
        </w:rPr>
        <w:t xml:space="preserve">Deluxe/EchoStar LLC. </w:t>
      </w:r>
      <w:r>
        <w:rPr>
          <w:rFonts w:ascii="Arial" w:cs="Arial" w:eastAsia="Arial" w:hAnsi="Arial"/>
          <w:sz w:val="16"/>
          <w:szCs w:val="16"/>
          <w:color w:val="auto"/>
        </w:rPr>
        <w:t>We own 50% of Deluxe/EchoStar LLC (“Deluxe”), a joint venture that we entered into in 2010 to build</w:t>
      </w:r>
      <w:r>
        <w:rPr>
          <w:rFonts w:ascii="Arial" w:cs="Arial" w:eastAsia="Arial" w:hAnsi="Arial"/>
          <w:sz w:val="16"/>
          <w:szCs w:val="16"/>
          <w:i w:val="1"/>
          <w:iCs w:val="1"/>
          <w:color w:val="auto"/>
        </w:rPr>
        <w:t xml:space="preserve"> </w:t>
      </w:r>
      <w:r>
        <w:rPr>
          <w:rFonts w:ascii="Arial" w:cs="Arial" w:eastAsia="Arial" w:hAnsi="Arial"/>
          <w:sz w:val="16"/>
          <w:szCs w:val="16"/>
          <w:color w:val="auto"/>
        </w:rPr>
        <w:t>an advanced digital cinema satellite distribution network targeting delivery to digitally equipped theaters in the U.S. and Canada.</w:t>
      </w:r>
    </w:p>
    <w:p>
      <w:pPr>
        <w:spacing w:after="0" w:line="137" w:lineRule="exact"/>
        <w:rPr>
          <w:sz w:val="20"/>
          <w:szCs w:val="20"/>
          <w:color w:val="auto"/>
        </w:rPr>
      </w:pPr>
    </w:p>
    <w:p>
      <w:pPr>
        <w:ind w:left="40" w:right="159"/>
        <w:spacing w:after="0" w:line="249" w:lineRule="auto"/>
        <w:rPr>
          <w:sz w:val="20"/>
          <w:szCs w:val="20"/>
          <w:color w:val="auto"/>
        </w:rPr>
      </w:pPr>
      <w:r>
        <w:rPr>
          <w:rFonts w:ascii="Arial" w:cs="Arial" w:eastAsia="Arial" w:hAnsi="Arial"/>
          <w:sz w:val="16"/>
          <w:szCs w:val="16"/>
          <w:i w:val="1"/>
          <w:iCs w:val="1"/>
          <w:color w:val="auto"/>
        </w:rPr>
        <w:t xml:space="preserve">Broadband Connectivity Solutions (Restricted) Limited. </w:t>
      </w:r>
      <w:r>
        <w:rPr>
          <w:rFonts w:ascii="Arial" w:cs="Arial" w:eastAsia="Arial" w:hAnsi="Arial"/>
          <w:sz w:val="16"/>
          <w:szCs w:val="16"/>
          <w:color w:val="auto"/>
        </w:rPr>
        <w:t>We own 20% of Broadband Connectivity Solutions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(together with its subsidiaries, “BCS”), a joint venture that we entered into in 2018 to provide commercial Ka-band satellite broadband services across Africa, the Middle East and southwest Asia operating over Yahsat’s Al Yah 2 and Al Yah 3 Ka-band satellites. For the year ended December 31, 2024, BCS distributed $20 million of this investment to us.</w:t>
      </w:r>
    </w:p>
    <w:p>
      <w:pPr>
        <w:spacing w:after="0" w:line="144" w:lineRule="exact"/>
        <w:rPr>
          <w:sz w:val="20"/>
          <w:szCs w:val="20"/>
          <w:color w:val="auto"/>
        </w:rPr>
      </w:pPr>
    </w:p>
    <w:p>
      <w:pPr>
        <w:ind w:left="40" w:right="339"/>
        <w:spacing w:after="0" w:line="256" w:lineRule="auto"/>
        <w:rPr>
          <w:sz w:val="20"/>
          <w:szCs w:val="20"/>
          <w:color w:val="auto"/>
        </w:rPr>
      </w:pPr>
      <w:r>
        <w:rPr>
          <w:rFonts w:ascii="Arial" w:cs="Arial" w:eastAsia="Arial" w:hAnsi="Arial"/>
          <w:sz w:val="16"/>
          <w:szCs w:val="16"/>
          <w:color w:val="auto"/>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spacing w:after="0" w:line="137" w:lineRule="exact"/>
        <w:rPr>
          <w:sz w:val="20"/>
          <w:szCs w:val="20"/>
          <w:color w:val="auto"/>
        </w:rPr>
      </w:pPr>
    </w:p>
    <w:p>
      <w:pPr>
        <w:ind w:left="40" w:right="79"/>
        <w:spacing w:after="0" w:line="247" w:lineRule="auto"/>
        <w:rPr>
          <w:sz w:val="20"/>
          <w:szCs w:val="20"/>
          <w:color w:val="auto"/>
        </w:rPr>
      </w:pPr>
      <w:r>
        <w:rPr>
          <w:rFonts w:ascii="Arial" w:cs="Arial" w:eastAsia="Arial" w:hAnsi="Arial"/>
          <w:sz w:val="16"/>
          <w:szCs w:val="16"/>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investments measured at fair value on a recurring basis were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2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ind w:left="140"/>
              <w:spacing w:after="0"/>
              <w:rPr>
                <w:sz w:val="20"/>
                <w:szCs w:val="20"/>
                <w:color w:val="auto"/>
              </w:rPr>
            </w:pPr>
            <w:r>
              <w:rPr>
                <w:rFonts w:ascii="Arial" w:cs="Arial" w:eastAsia="Arial" w:hAnsi="Arial"/>
                <w:sz w:val="11"/>
                <w:szCs w:val="11"/>
                <w:b w:val="1"/>
                <w:bCs w:val="1"/>
                <w:color w:val="auto"/>
              </w:rPr>
              <w:t>As of December 31,</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r>
        <w:trPr>
          <w:trHeight w:val="121"/>
        </w:trPr>
        <w:tc>
          <w:tcPr>
            <w:tcW w:w="2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right"/>
              <w:ind w:right="4"/>
              <w:spacing w:after="0" w:line="121" w:lineRule="exact"/>
              <w:rPr>
                <w:sz w:val="20"/>
                <w:szCs w:val="20"/>
                <w:color w:val="auto"/>
              </w:rPr>
            </w:pPr>
            <w:r>
              <w:rPr>
                <w:rFonts w:ascii="Arial" w:cs="Arial" w:eastAsia="Arial" w:hAnsi="Arial"/>
                <w:sz w:val="11"/>
                <w:szCs w:val="11"/>
                <w:b w:val="1"/>
                <w:bCs w:val="1"/>
                <w:color w:val="auto"/>
              </w:rPr>
              <w:t>2024</w:t>
            </w: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right"/>
              <w:ind w:right="4"/>
              <w:spacing w:after="0" w:line="121" w:lineRule="exact"/>
              <w:rPr>
                <w:sz w:val="20"/>
                <w:szCs w:val="20"/>
                <w:color w:val="auto"/>
              </w:rPr>
            </w:pPr>
            <w:r>
              <w:rPr>
                <w:rFonts w:ascii="Arial" w:cs="Arial" w:eastAsia="Arial" w:hAnsi="Arial"/>
                <w:sz w:val="11"/>
                <w:szCs w:val="11"/>
                <w:b w:val="1"/>
                <w:bCs w:val="1"/>
                <w:color w:val="auto"/>
              </w:rPr>
              <w:t>2023</w:t>
            </w: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r>
        <w:trPr>
          <w:trHeight w:val="113"/>
        </w:trPr>
        <w:tc>
          <w:tcPr>
            <w:tcW w:w="2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04"/>
              <w:spacing w:after="0" w:line="113" w:lineRule="exact"/>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64"/>
              <w:spacing w:after="0" w:line="113" w:lineRule="exact"/>
              <w:rPr>
                <w:sz w:val="20"/>
                <w:szCs w:val="20"/>
                <w:color w:val="auto"/>
              </w:rPr>
            </w:pPr>
            <w:r>
              <w:rPr>
                <w:rFonts w:ascii="Arial" w:cs="Arial" w:eastAsia="Arial" w:hAnsi="Arial"/>
                <w:sz w:val="11"/>
                <w:szCs w:val="11"/>
                <w:b w:val="1"/>
                <w:bCs w:val="1"/>
                <w:color w:val="auto"/>
              </w:rPr>
              <w:t>Level 1</w:t>
            </w: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24"/>
              <w:spacing w:after="0" w:line="113" w:lineRule="exact"/>
              <w:rPr>
                <w:sz w:val="20"/>
                <w:szCs w:val="20"/>
                <w:color w:val="auto"/>
              </w:rPr>
            </w:pPr>
            <w:r>
              <w:rPr>
                <w:rFonts w:ascii="Arial" w:cs="Arial" w:eastAsia="Arial" w:hAnsi="Arial"/>
                <w:sz w:val="11"/>
                <w:szCs w:val="11"/>
                <w:b w:val="1"/>
                <w:bCs w:val="1"/>
                <w:color w:val="auto"/>
              </w:rPr>
              <w:t>Level 2</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64"/>
              <w:spacing w:after="0" w:line="113" w:lineRule="exact"/>
              <w:rPr>
                <w:sz w:val="20"/>
                <w:szCs w:val="20"/>
                <w:color w:val="auto"/>
              </w:rPr>
            </w:pPr>
            <w:r>
              <w:rPr>
                <w:rFonts w:ascii="Arial" w:cs="Arial" w:eastAsia="Arial" w:hAnsi="Arial"/>
                <w:sz w:val="11"/>
                <w:szCs w:val="11"/>
                <w:b w:val="1"/>
                <w:bCs w:val="1"/>
                <w:color w:val="auto"/>
              </w:rPr>
              <w:t>Level 3</w:t>
            </w: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04"/>
              <w:spacing w:after="0" w:line="113" w:lineRule="exact"/>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84"/>
              <w:spacing w:after="0" w:line="113" w:lineRule="exact"/>
              <w:rPr>
                <w:sz w:val="20"/>
                <w:szCs w:val="20"/>
                <w:color w:val="auto"/>
              </w:rPr>
            </w:pPr>
            <w:r>
              <w:rPr>
                <w:rFonts w:ascii="Arial" w:cs="Arial" w:eastAsia="Arial" w:hAnsi="Arial"/>
                <w:sz w:val="11"/>
                <w:szCs w:val="11"/>
                <w:b w:val="1"/>
                <w:bCs w:val="1"/>
                <w:color w:val="auto"/>
              </w:rPr>
              <w:t>Level 1</w:t>
            </w: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24"/>
              <w:spacing w:after="0" w:line="113" w:lineRule="exact"/>
              <w:rPr>
                <w:sz w:val="20"/>
                <w:szCs w:val="20"/>
                <w:color w:val="auto"/>
              </w:rPr>
            </w:pPr>
            <w:r>
              <w:rPr>
                <w:rFonts w:ascii="Arial" w:cs="Arial" w:eastAsia="Arial" w:hAnsi="Arial"/>
                <w:sz w:val="11"/>
                <w:szCs w:val="11"/>
                <w:b w:val="1"/>
                <w:bCs w:val="1"/>
                <w:color w:val="auto"/>
              </w:rPr>
              <w:t>Level 2</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84"/>
              <w:spacing w:after="0" w:line="113" w:lineRule="exact"/>
              <w:rPr>
                <w:sz w:val="20"/>
                <w:szCs w:val="20"/>
                <w:color w:val="auto"/>
              </w:rPr>
            </w:pPr>
            <w:r>
              <w:rPr>
                <w:rFonts w:ascii="Arial" w:cs="Arial" w:eastAsia="Arial" w:hAnsi="Arial"/>
                <w:sz w:val="11"/>
                <w:szCs w:val="11"/>
                <w:b w:val="1"/>
                <w:bCs w:val="1"/>
                <w:color w:val="auto"/>
              </w:rPr>
              <w:t>Level 3</w:t>
            </w:r>
          </w:p>
        </w:tc>
      </w:tr>
      <w:tr>
        <w:trPr>
          <w:trHeight w:val="101"/>
        </w:trPr>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4"/>
          </w:tcPr>
          <w:p>
            <w:pPr>
              <w:jc w:val="right"/>
              <w:ind w:right="324"/>
              <w:spacing w:after="0" w:line="101" w:lineRule="exact"/>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1"/>
        </w:trPr>
        <w:tc>
          <w:tcPr>
            <w:tcW w:w="2360" w:type="dxa"/>
            <w:vAlign w:val="bottom"/>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Cash equivalents (including restricted)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3,999,150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255,118</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3,744,032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4"/>
              <w:spacing w:after="0" w:line="121" w:lineRule="exact"/>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1,692,849</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573,504</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4"/>
              <w:spacing w:after="0" w:line="121" w:lineRule="exact"/>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1,119,345</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97"/>
        </w:trPr>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121"/>
        </w:trPr>
        <w:tc>
          <w:tcPr>
            <w:tcW w:w="2360" w:type="dxa"/>
            <w:vAlign w:val="bottom"/>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Debt securities (including restricted):</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21"/>
        </w:trPr>
        <w:tc>
          <w:tcPr>
            <w:tcW w:w="2360" w:type="dxa"/>
            <w:vAlign w:val="bottom"/>
          </w:tcPr>
          <w:p>
            <w:pPr>
              <w:ind w:left="100"/>
              <w:spacing w:after="0" w:line="121" w:lineRule="exact"/>
              <w:rPr>
                <w:sz w:val="20"/>
                <w:szCs w:val="20"/>
                <w:color w:val="auto"/>
              </w:rPr>
            </w:pPr>
            <w:r>
              <w:rPr>
                <w:rFonts w:ascii="Arial" w:cs="Arial" w:eastAsia="Arial" w:hAnsi="Arial"/>
                <w:sz w:val="11"/>
                <w:szCs w:val="11"/>
                <w:color w:val="auto"/>
              </w:rPr>
              <w:t>U.S. Treasury and agency securities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8,163</w:t>
            </w:r>
          </w:p>
        </w:tc>
        <w:tc>
          <w:tcPr>
            <w:tcW w:w="140" w:type="dxa"/>
            <w:vAlign w:val="bottom"/>
          </w:tcPr>
          <w:p>
            <w:pPr>
              <w:spacing w:after="0"/>
              <w:rPr>
                <w:sz w:val="10"/>
                <w:szCs w:val="10"/>
                <w:color w:val="auto"/>
              </w:rPr>
            </w:pPr>
          </w:p>
        </w:tc>
        <w:tc>
          <w:tcPr>
            <w:tcW w:w="100" w:type="dxa"/>
            <w:vAlign w:val="bottom"/>
          </w:tcPr>
          <w:p>
            <w:pPr>
              <w:jc w:val="right"/>
              <w:spacing w:after="0" w:line="121" w:lineRule="exact"/>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line="121" w:lineRule="exact"/>
              <w:rPr>
                <w:sz w:val="20"/>
                <w:szCs w:val="20"/>
                <w:color w:val="auto"/>
              </w:rPr>
            </w:pPr>
            <w:r>
              <w:rPr>
                <w:rFonts w:ascii="Arial" w:cs="Arial" w:eastAsia="Arial" w:hAnsi="Arial"/>
                <w:sz w:val="11"/>
                <w:szCs w:val="11"/>
                <w:color w:val="auto"/>
              </w:rPr>
              <w:t>8,163</w:t>
            </w:r>
          </w:p>
        </w:tc>
        <w:tc>
          <w:tcPr>
            <w:tcW w:w="140" w:type="dxa"/>
            <w:vAlign w:val="bottom"/>
          </w:tcPr>
          <w:p>
            <w:pPr>
              <w:spacing w:after="0"/>
              <w:rPr>
                <w:sz w:val="10"/>
                <w:szCs w:val="10"/>
                <w:color w:val="auto"/>
              </w:rPr>
            </w:pPr>
          </w:p>
        </w:tc>
        <w:tc>
          <w:tcPr>
            <w:tcW w:w="120" w:type="dxa"/>
            <w:vAlign w:val="bottom"/>
          </w:tcPr>
          <w:p>
            <w:pPr>
              <w:jc w:val="right"/>
              <w:spacing w:after="0" w:line="121" w:lineRule="exact"/>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line="121" w:lineRule="exact"/>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65,172</w:t>
            </w:r>
          </w:p>
        </w:tc>
        <w:tc>
          <w:tcPr>
            <w:tcW w:w="1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21" w:lineRule="exact"/>
              <w:rPr>
                <w:sz w:val="20"/>
                <w:szCs w:val="20"/>
                <w:color w:val="auto"/>
              </w:rPr>
            </w:pPr>
            <w:r>
              <w:rPr>
                <w:rFonts w:ascii="Arial" w:cs="Arial" w:eastAsia="Arial" w:hAnsi="Arial"/>
                <w:sz w:val="11"/>
                <w:szCs w:val="11"/>
                <w:color w:val="auto"/>
              </w:rPr>
              <w:t>65,172</w:t>
            </w:r>
          </w:p>
        </w:tc>
        <w:tc>
          <w:tcPr>
            <w:tcW w:w="140" w:type="dxa"/>
            <w:vAlign w:val="bottom"/>
          </w:tcPr>
          <w:p>
            <w:pPr>
              <w:spacing w:after="0"/>
              <w:rPr>
                <w:sz w:val="10"/>
                <w:szCs w:val="10"/>
                <w:color w:val="auto"/>
              </w:rPr>
            </w:pPr>
          </w:p>
        </w:tc>
        <w:tc>
          <w:tcPr>
            <w:tcW w:w="140" w:type="dxa"/>
            <w:vAlign w:val="bottom"/>
          </w:tcPr>
          <w:p>
            <w:pPr>
              <w:jc w:val="right"/>
              <w:ind w:right="4"/>
              <w:spacing w:after="0" w:line="121" w:lineRule="exact"/>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r>
      <w:tr>
        <w:trPr>
          <w:trHeight w:val="121"/>
        </w:trPr>
        <w:tc>
          <w:tcPr>
            <w:tcW w:w="236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Commercial paper</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596,568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596,568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290,398</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290,398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r>
      <w:tr>
        <w:trPr>
          <w:trHeight w:val="121"/>
        </w:trPr>
        <w:tc>
          <w:tcPr>
            <w:tcW w:w="2360" w:type="dxa"/>
            <w:vAlign w:val="bottom"/>
          </w:tcPr>
          <w:p>
            <w:pPr>
              <w:ind w:left="100"/>
              <w:spacing w:after="0" w:line="121" w:lineRule="exact"/>
              <w:rPr>
                <w:sz w:val="20"/>
                <w:szCs w:val="20"/>
                <w:color w:val="auto"/>
              </w:rPr>
            </w:pPr>
            <w:r>
              <w:rPr>
                <w:rFonts w:ascii="Arial" w:cs="Arial" w:eastAsia="Arial" w:hAnsi="Arial"/>
                <w:sz w:val="11"/>
                <w:szCs w:val="11"/>
                <w:color w:val="auto"/>
              </w:rPr>
              <w:t>Corporate securities</w:t>
            </w:r>
          </w:p>
        </w:tc>
        <w:tc>
          <w:tcPr>
            <w:tcW w:w="12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629,115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629,115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114,265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114,265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r>
      <w:tr>
        <w:trPr>
          <w:trHeight w:val="121"/>
        </w:trPr>
        <w:tc>
          <w:tcPr>
            <w:tcW w:w="2360" w:type="dxa"/>
            <w:vAlign w:val="bottom"/>
            <w:shd w:val="clear" w:color="auto" w:fill="CCEEFF"/>
          </w:tcPr>
          <w:p>
            <w:pPr>
              <w:ind w:left="100"/>
              <w:spacing w:after="0" w:line="121" w:lineRule="exact"/>
              <w:rPr>
                <w:sz w:val="20"/>
                <w:szCs w:val="20"/>
                <w:color w:val="auto"/>
              </w:rPr>
            </w:pPr>
            <w:r>
              <w:rPr>
                <w:rFonts w:ascii="Arial" w:cs="Arial" w:eastAsia="Arial" w:hAnsi="Arial"/>
                <w:sz w:val="11"/>
                <w:szCs w:val="11"/>
                <w:color w:val="auto"/>
              </w:rPr>
              <w:t>Other</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13,850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13,799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51</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4,844</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4,700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144</w:t>
            </w:r>
          </w:p>
        </w:tc>
      </w:tr>
      <w:tr>
        <w:trPr>
          <w:trHeight w:val="121"/>
        </w:trPr>
        <w:tc>
          <w:tcPr>
            <w:tcW w:w="2360" w:type="dxa"/>
            <w:vAlign w:val="bottom"/>
          </w:tcPr>
          <w:p>
            <w:pPr>
              <w:spacing w:after="0" w:line="121" w:lineRule="exact"/>
              <w:rPr>
                <w:sz w:val="20"/>
                <w:szCs w:val="20"/>
                <w:color w:val="auto"/>
              </w:rPr>
            </w:pPr>
            <w:r>
              <w:rPr>
                <w:rFonts w:ascii="Arial" w:cs="Arial" w:eastAsia="Arial" w:hAnsi="Arial"/>
                <w:sz w:val="11"/>
                <w:szCs w:val="11"/>
                <w:b w:val="1"/>
                <w:bCs w:val="1"/>
                <w:color w:val="auto"/>
              </w:rPr>
              <w:t>Equity securities</w:t>
            </w:r>
          </w:p>
        </w:tc>
        <w:tc>
          <w:tcPr>
            <w:tcW w:w="12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26,454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1"/>
                <w:szCs w:val="11"/>
                <w:color w:val="auto"/>
              </w:rPr>
              <w:t>26,454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80"/>
              <w:spacing w:after="0" w:line="12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1"/>
                <w:szCs w:val="11"/>
                <w:color w:val="auto"/>
              </w:rPr>
              <w:t>176,205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1"/>
                <w:szCs w:val="11"/>
                <w:color w:val="auto"/>
              </w:rPr>
              <w:t>166,481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1"/>
                <w:szCs w:val="11"/>
                <w:color w:val="auto"/>
              </w:rPr>
              <w:t>9,724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r>
      <w:tr>
        <w:trPr>
          <w:trHeight w:val="113"/>
        </w:trPr>
        <w:tc>
          <w:tcPr>
            <w:tcW w:w="2360" w:type="dxa"/>
            <w:vAlign w:val="bottom"/>
            <w:tcBorders>
              <w:top w:val="single" w:sz="8" w:color="CCEEFF"/>
              <w:bottom w:val="single" w:sz="8" w:color="CCEEFF"/>
            </w:tcBorders>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Total</w:t>
            </w:r>
          </w:p>
        </w:tc>
        <w:tc>
          <w:tcPr>
            <w:tcW w:w="120" w:type="dxa"/>
            <w:vAlign w:val="bottom"/>
            <w:tcBorders>
              <w:top w:val="single" w:sz="8" w:color="auto"/>
              <w:bottom w:val="single" w:sz="8" w:color="auto"/>
            </w:tcBorders>
            <w:shd w:val="clear" w:color="auto" w:fill="CCEEFF"/>
          </w:tcPr>
          <w:p>
            <w:pPr>
              <w:jc w:val="right"/>
              <w:ind w:right="9"/>
              <w:spacing w:after="0" w:line="114"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1,274,150</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34,617</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1,239,482</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51</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jc w:val="right"/>
              <w:ind w:right="4"/>
              <w:spacing w:after="0" w:line="113" w:lineRule="exact"/>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650,884</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231,653</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jc w:val="right"/>
              <w:ind w:right="4"/>
              <w:spacing w:after="0" w:line="113" w:lineRule="exact"/>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419,087</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144</w:t>
            </w:r>
          </w:p>
        </w:tc>
      </w:tr>
      <w:tr>
        <w:trPr>
          <w:trHeight w:val="20"/>
        </w:trPr>
        <w:tc>
          <w:tcPr>
            <w:tcW w:w="2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As of December 31, 2024, restricted and non-restricted marketable investment securities included debt securities of $652 million with contractual maturities within one year and $ 596 million with contractual maturities extending longer than one year through and including five years. Actual maturities may differ from contractual maturities as a result of our ability to sell these securities prior to maturity.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5">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57" w:name="page158"/>
    <w:bookmarkEnd w:id="15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Derivative Instruments</w:t>
      </w:r>
    </w:p>
    <w:p>
      <w:pPr>
        <w:spacing w:after="0" w:line="177" w:lineRule="exact"/>
        <w:rPr>
          <w:sz w:val="20"/>
          <w:szCs w:val="20"/>
          <w:color w:val="auto"/>
        </w:rPr>
      </w:pPr>
    </w:p>
    <w:p>
      <w:pPr>
        <w:ind w:left="40" w:right="139" w:hanging="6"/>
        <w:spacing w:after="0" w:line="242" w:lineRule="auto"/>
        <w:rPr>
          <w:sz w:val="20"/>
          <w:szCs w:val="20"/>
          <w:color w:val="auto"/>
        </w:rPr>
      </w:pPr>
      <w:r>
        <w:rPr>
          <w:rFonts w:ascii="Arial" w:cs="Arial" w:eastAsia="Arial" w:hAnsi="Arial"/>
          <w:sz w:val="16"/>
          <w:szCs w:val="16"/>
          <w:color w:val="auto"/>
        </w:rPr>
        <w:t xml:space="preserve">We had the option to purchase certain of T-Mobile’s 800 MHz spectrum licenses from T-Mobile at a fixed price pursuant to the License Purchase Agreement, as defined and detailed in our Annual Report on Form 10-K for the year ended December 31, 2023. This instrument met the definition of a derivative and was valued based upon, among other things, our estimate of the underlying asset price, the expected term, volatility, the risk free rate of return and the probability of us exercising the option. </w:t>
      </w:r>
      <w:r>
        <w:rPr>
          <w:rFonts w:ascii="Arial" w:cs="Arial" w:eastAsia="Arial" w:hAnsi="Arial"/>
          <w:sz w:val="16"/>
          <w:szCs w:val="16"/>
          <w:color w:val="222222"/>
        </w:rPr>
        <w:t>We did not exercise the option to purchase the 800 MHz spectrum licenses pursuant to the License</w:t>
      </w:r>
      <w:r>
        <w:rPr>
          <w:rFonts w:ascii="Arial" w:cs="Arial" w:eastAsia="Arial" w:hAnsi="Arial"/>
          <w:sz w:val="16"/>
          <w:szCs w:val="16"/>
          <w:color w:val="auto"/>
        </w:rPr>
        <w:t xml:space="preserve"> </w:t>
      </w:r>
      <w:r>
        <w:rPr>
          <w:rFonts w:ascii="Arial" w:cs="Arial" w:eastAsia="Arial" w:hAnsi="Arial"/>
          <w:sz w:val="16"/>
          <w:szCs w:val="16"/>
          <w:color w:val="222222"/>
        </w:rPr>
        <w:t xml:space="preserve">Purchase Agreement, which expired on its own terms on April 1, 2024. </w:t>
      </w:r>
      <w:r>
        <w:rPr>
          <w:rFonts w:ascii="Arial" w:cs="Arial" w:eastAsia="Arial" w:hAnsi="Arial"/>
          <w:sz w:val="16"/>
          <w:szCs w:val="16"/>
          <w:color w:val="000000"/>
        </w:rPr>
        <w:t>As of December 31, 2023, the derivative’s fair value</w:t>
      </w:r>
      <w:r>
        <w:rPr>
          <w:rFonts w:ascii="Arial" w:cs="Arial" w:eastAsia="Arial" w:hAnsi="Arial"/>
          <w:sz w:val="16"/>
          <w:szCs w:val="16"/>
          <w:color w:val="222222"/>
        </w:rPr>
        <w:t xml:space="preserve"> </w:t>
      </w:r>
      <w:r>
        <w:rPr>
          <w:rFonts w:ascii="Arial" w:cs="Arial" w:eastAsia="Arial" w:hAnsi="Arial"/>
          <w:sz w:val="16"/>
          <w:szCs w:val="16"/>
          <w:color w:val="000000"/>
        </w:rPr>
        <w:t>was zero on our Consolidated Balance Sheets. All changes in the derivative’s fair value were recorded in “Other, net” on our Consolidated Statements of Operations and Comprehensive Income (Loss). See the table below.</w:t>
      </w:r>
    </w:p>
    <w:p>
      <w:pPr>
        <w:spacing w:after="0" w:line="150" w:lineRule="exact"/>
        <w:rPr>
          <w:sz w:val="20"/>
          <w:szCs w:val="20"/>
          <w:color w:val="auto"/>
        </w:rPr>
      </w:pPr>
    </w:p>
    <w:p>
      <w:pPr>
        <w:ind w:left="40" w:right="679"/>
        <w:spacing w:after="0" w:line="275" w:lineRule="auto"/>
        <w:rPr>
          <w:sz w:val="20"/>
          <w:szCs w:val="20"/>
          <w:color w:val="auto"/>
        </w:rPr>
      </w:pPr>
      <w:r>
        <w:rPr>
          <w:rFonts w:ascii="Arial" w:cs="Arial" w:eastAsia="Arial" w:hAnsi="Arial"/>
          <w:sz w:val="16"/>
          <w:szCs w:val="16"/>
          <w:color w:val="auto"/>
        </w:rPr>
        <w:t>We accounted for our option to purchase certain T-Mobile’s 800 MHz spectrum licenses under the License Purchase Agreement as a Level 3 instrument within the fair value hierarchy.</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Gains and Losses on Sales and Changes in Carrying Amounts of Investments and Other</w:t>
      </w:r>
    </w:p>
    <w:p>
      <w:pPr>
        <w:spacing w:after="0" w:line="177" w:lineRule="exact"/>
        <w:rPr>
          <w:sz w:val="20"/>
          <w:szCs w:val="20"/>
          <w:color w:val="auto"/>
        </w:rPr>
      </w:pPr>
    </w:p>
    <w:p>
      <w:pPr>
        <w:ind w:left="40" w:right="299"/>
        <w:spacing w:after="0" w:line="275" w:lineRule="auto"/>
        <w:rPr>
          <w:sz w:val="20"/>
          <w:szCs w:val="20"/>
          <w:color w:val="auto"/>
        </w:rPr>
      </w:pPr>
      <w:r>
        <w:rPr>
          <w:rFonts w:ascii="Arial" w:cs="Arial" w:eastAsia="Arial" w:hAnsi="Arial"/>
          <w:sz w:val="16"/>
          <w:szCs w:val="16"/>
          <w:color w:val="auto"/>
        </w:rPr>
        <w:t>“Other, net” within “Other Income (Expense)” included on our Consolidated Statements of Operations and Comprehensive Income (Loss) is as follows: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10"/>
          </w:tcPr>
          <w:p>
            <w:pPr>
              <w:jc w:val="right"/>
              <w:ind w:right="302"/>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2"/>
        </w:trPr>
        <w:tc>
          <w:tcPr>
            <w:tcW w:w="4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Other, net:</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2"/>
              <w:spacing w:after="0" w:line="181" w:lineRule="exact"/>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282"/>
              <w:spacing w:after="0" w:line="181" w:lineRule="exact"/>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2"/>
              <w:spacing w:after="0" w:line="181"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74"/>
        </w:trPr>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right"/>
              <w:spacing w:after="0" w:line="174" w:lineRule="exact"/>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500" w:type="dxa"/>
            <w:vAlign w:val="bottom"/>
            <w:gridSpan w:val="3"/>
            <w:shd w:val="clear" w:color="auto" w:fill="CCEEFF"/>
          </w:tcPr>
          <w:p>
            <w:pPr>
              <w:spacing w:after="0" w:line="157" w:lineRule="exact"/>
              <w:rPr>
                <w:sz w:val="20"/>
                <w:szCs w:val="20"/>
                <w:color w:val="auto"/>
              </w:rPr>
            </w:pPr>
            <w:r>
              <w:rPr>
                <w:rFonts w:ascii="Arial" w:cs="Arial" w:eastAsia="Arial" w:hAnsi="Arial"/>
                <w:sz w:val="15"/>
                <w:szCs w:val="15"/>
                <w:color w:val="auto"/>
              </w:rPr>
              <w:t>Marketable and non-marketable investment securities - realized and unrealized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(73,217)</w:t>
            </w:r>
          </w:p>
        </w:tc>
        <w:tc>
          <w:tcPr>
            <w:tcW w:w="32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13,664</w:t>
            </w:r>
          </w:p>
        </w:tc>
        <w:tc>
          <w:tcPr>
            <w:tcW w:w="12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73,293</w:t>
            </w:r>
          </w:p>
        </w:tc>
        <w:tc>
          <w:tcPr>
            <w:tcW w:w="0" w:type="dxa"/>
            <w:vAlign w:val="bottom"/>
          </w:tcPr>
          <w:p>
            <w:pPr>
              <w:spacing w:after="0"/>
              <w:rPr>
                <w:sz w:val="1"/>
                <w:szCs w:val="1"/>
                <w:color w:val="auto"/>
              </w:rPr>
            </w:pPr>
          </w:p>
        </w:tc>
      </w:tr>
      <w:tr>
        <w:trPr>
          <w:trHeight w:val="182"/>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gains (losses)</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rPr>
                <w:sz w:val="20"/>
                <w:szCs w:val="20"/>
                <w:color w:val="auto"/>
              </w:rPr>
            </w:pPr>
            <w:r>
              <w:rPr>
                <w:rFonts w:ascii="Arial" w:cs="Arial" w:eastAsia="Arial" w:hAnsi="Arial"/>
                <w:sz w:val="15"/>
                <w:szCs w:val="15"/>
                <w:color w:val="auto"/>
              </w:rPr>
              <w:t>Derivative instruments - net realized and/or unrealized gains (losses)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20"/>
              <w:spacing w:after="0" w:line="181" w:lineRule="exact"/>
              <w:rPr>
                <w:sz w:val="20"/>
                <w:szCs w:val="20"/>
                <w:color w:val="auto"/>
              </w:rPr>
            </w:pPr>
            <w:r>
              <w:rPr>
                <w:rFonts w:ascii="Arial" w:cs="Arial" w:eastAsia="Arial" w:hAnsi="Arial"/>
                <w:sz w:val="16"/>
                <w:szCs w:val="16"/>
                <w:color w:val="auto"/>
              </w:rPr>
              <w:t>(1,793,387)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1,015,387</w:t>
            </w:r>
          </w:p>
        </w:tc>
        <w:tc>
          <w:tcPr>
            <w:tcW w:w="0" w:type="dxa"/>
            <w:vAlign w:val="bottom"/>
          </w:tcPr>
          <w:p>
            <w:pPr>
              <w:spacing w:after="0"/>
              <w:rPr>
                <w:sz w:val="1"/>
                <w:szCs w:val="1"/>
                <w:color w:val="auto"/>
              </w:rPr>
            </w:pPr>
          </w:p>
        </w:tc>
      </w:tr>
      <w:tr>
        <w:trPr>
          <w:trHeight w:val="182"/>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Other investment securities - other-than-temporary impairments</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(39,800)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980" w:type="dxa"/>
            <w:vAlign w:val="bottom"/>
          </w:tcPr>
          <w:p>
            <w:pPr>
              <w:spacing w:after="0"/>
              <w:rPr>
                <w:sz w:val="20"/>
                <w:szCs w:val="20"/>
                <w:color w:val="auto"/>
              </w:rPr>
            </w:pPr>
            <w:r>
              <w:rPr>
                <w:rFonts w:ascii="Arial" w:cs="Arial" w:eastAsia="Arial" w:hAnsi="Arial"/>
                <w:sz w:val="15"/>
                <w:szCs w:val="15"/>
                <w:color w:val="auto"/>
              </w:rPr>
              <w:t>Gains (losses) related to early redemption of debt</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73,024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182"/>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transaction gains (losses)</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(4,511)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5,677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r>
        <w:trPr>
          <w:trHeight w:val="182"/>
        </w:trPr>
        <w:tc>
          <w:tcPr>
            <w:tcW w:w="4980" w:type="dxa"/>
            <w:vAlign w:val="bottom"/>
          </w:tcPr>
          <w:p>
            <w:pPr>
              <w:spacing w:after="0"/>
              <w:rPr>
                <w:sz w:val="20"/>
                <w:szCs w:val="20"/>
                <w:color w:val="auto"/>
              </w:rPr>
            </w:pPr>
            <w:r>
              <w:rPr>
                <w:rFonts w:ascii="Arial" w:cs="Arial" w:eastAsia="Arial" w:hAnsi="Arial"/>
                <w:sz w:val="15"/>
                <w:szCs w:val="15"/>
                <w:color w:val="auto"/>
              </w:rPr>
              <w:t>Equity in earnings (losses) of affiliates</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(73,451)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20"/>
              <w:spacing w:after="0" w:line="181" w:lineRule="exact"/>
              <w:rPr>
                <w:sz w:val="20"/>
                <w:szCs w:val="20"/>
                <w:color w:val="auto"/>
              </w:rPr>
            </w:pPr>
            <w:r>
              <w:rPr>
                <w:rFonts w:ascii="Arial" w:cs="Arial" w:eastAsia="Arial" w:hAnsi="Arial"/>
                <w:sz w:val="16"/>
                <w:szCs w:val="16"/>
                <w:color w:val="auto"/>
              </w:rPr>
              <w:t>(8,098)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(3,087)</w:t>
            </w:r>
          </w:p>
        </w:tc>
        <w:tc>
          <w:tcPr>
            <w:tcW w:w="0" w:type="dxa"/>
            <w:vAlign w:val="bottom"/>
          </w:tcPr>
          <w:p>
            <w:pPr>
              <w:spacing w:after="0"/>
              <w:rPr>
                <w:sz w:val="1"/>
                <w:szCs w:val="1"/>
                <w:color w:val="auto"/>
              </w:rPr>
            </w:pPr>
          </w:p>
        </w:tc>
      </w:tr>
      <w:tr>
        <w:trPr>
          <w:trHeight w:val="182"/>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Liberty Puerto Rico Asset Sale gains (losses) (Note 15)</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50,418</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980" w:type="dxa"/>
            <w:vAlign w:val="bottom"/>
          </w:tcPr>
          <w:p>
            <w:pPr>
              <w:spacing w:after="0"/>
              <w:rPr>
                <w:sz w:val="20"/>
                <w:szCs w:val="20"/>
                <w:color w:val="auto"/>
              </w:rPr>
            </w:pPr>
            <w:r>
              <w:rPr>
                <w:rFonts w:ascii="Arial" w:cs="Arial" w:eastAsia="Arial" w:hAnsi="Arial"/>
                <w:sz w:val="15"/>
                <w:szCs w:val="15"/>
                <w:color w:val="auto"/>
              </w:rPr>
              <w:t>EchoStar Exchange Offers debt extinguishment gains (losses) (Note 10)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auto"/>
              </w:rPr>
              <w:t>688,661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5,597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(21,872)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(1,465)</w:t>
            </w:r>
          </w:p>
        </w:tc>
        <w:tc>
          <w:tcPr>
            <w:tcW w:w="0" w:type="dxa"/>
            <w:vAlign w:val="bottom"/>
          </w:tcPr>
          <w:p>
            <w:pPr>
              <w:spacing w:after="0"/>
              <w:rPr>
                <w:sz w:val="1"/>
                <w:szCs w:val="1"/>
                <w:color w:val="auto"/>
              </w:rPr>
            </w:pPr>
          </w:p>
        </w:tc>
      </w:tr>
      <w:tr>
        <w:trPr>
          <w:trHeight w:val="214"/>
        </w:trPr>
        <w:tc>
          <w:tcPr>
            <w:tcW w:w="498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Total</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174"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593,497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line="174" w:lineRule="exact"/>
              <w:rPr>
                <w:sz w:val="20"/>
                <w:szCs w:val="20"/>
                <w:color w:val="auto"/>
              </w:rPr>
            </w:pPr>
            <w:r>
              <w:rPr>
                <w:rFonts w:ascii="Arial" w:cs="Arial" w:eastAsia="Arial" w:hAnsi="Arial"/>
                <w:sz w:val="16"/>
                <w:szCs w:val="16"/>
                <w:color w:val="auto"/>
              </w:rPr>
              <w:t>(1,770,792)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174"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1,088,441</w:t>
            </w:r>
          </w:p>
        </w:tc>
        <w:tc>
          <w:tcPr>
            <w:tcW w:w="0" w:type="dxa"/>
            <w:vAlign w:val="bottom"/>
          </w:tcPr>
          <w:p>
            <w:pPr>
              <w:spacing w:after="0"/>
              <w:rPr>
                <w:sz w:val="1"/>
                <w:szCs w:val="1"/>
                <w:color w:val="auto"/>
              </w:rPr>
            </w:pPr>
          </w:p>
        </w:tc>
      </w:tr>
      <w:tr>
        <w:trPr>
          <w:trHeight w:val="158"/>
        </w:trPr>
        <w:tc>
          <w:tcPr>
            <w:tcW w:w="4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4980" w:type="dxa"/>
            <w:vAlign w:val="bottom"/>
          </w:tcPr>
          <w:p>
            <w:pPr>
              <w:spacing w:after="0"/>
              <w:rPr>
                <w:sz w:val="20"/>
                <w:szCs w:val="20"/>
                <w:color w:val="auto"/>
              </w:rPr>
            </w:pPr>
            <w:r>
              <w:rPr>
                <w:rFonts w:ascii="Arial" w:cs="Arial" w:eastAsia="Arial" w:hAnsi="Arial"/>
                <w:sz w:val="16"/>
                <w:szCs w:val="16"/>
                <w:b w:val="1"/>
                <w:bCs w:val="1"/>
                <w:color w:val="auto"/>
              </w:rPr>
              <w:t>7.  Inventory</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980" w:type="dxa"/>
            <w:vAlign w:val="bottom"/>
          </w:tcPr>
          <w:p>
            <w:pPr>
              <w:spacing w:after="0"/>
              <w:rPr>
                <w:sz w:val="20"/>
                <w:szCs w:val="20"/>
                <w:color w:val="auto"/>
              </w:rPr>
            </w:pPr>
            <w:r>
              <w:rPr>
                <w:rFonts w:ascii="Arial" w:cs="Arial" w:eastAsia="Arial" w:hAnsi="Arial"/>
                <w:sz w:val="16"/>
                <w:szCs w:val="16"/>
                <w:color w:val="auto"/>
              </w:rPr>
              <w:t>Inventory consisted of the following:</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7"/>
            <w:vMerge w:val="restart"/>
          </w:tcPr>
          <w:p>
            <w:pPr>
              <w:jc w:val="right"/>
              <w:ind w:right="180"/>
              <w:spacing w:after="0"/>
              <w:rPr>
                <w:sz w:val="20"/>
                <w:szCs w:val="20"/>
                <w:color w:val="auto"/>
              </w:rPr>
            </w:pPr>
            <w:r>
              <w:rPr>
                <w:rFonts w:ascii="Arial" w:cs="Arial" w:eastAsia="Arial" w:hAnsi="Arial"/>
                <w:sz w:val="15"/>
                <w:szCs w:val="15"/>
                <w:b w:val="1"/>
                <w:bCs w:val="1"/>
                <w:color w:val="auto"/>
              </w:rPr>
              <w:t>As of 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2"/>
              <w:spacing w:after="0" w:line="169" w:lineRule="exact"/>
              <w:rPr>
                <w:sz w:val="20"/>
                <w:szCs w:val="20"/>
                <w:color w:val="auto"/>
              </w:rPr>
            </w:pPr>
            <w:r>
              <w:rPr>
                <w:rFonts w:ascii="Arial" w:cs="Arial" w:eastAsia="Arial" w:hAnsi="Arial"/>
                <w:sz w:val="15"/>
                <w:szCs w:val="15"/>
                <w:b w:val="1"/>
                <w:bCs w:val="1"/>
                <w:color w:val="auto"/>
              </w:rPr>
              <w:t>2024</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60"/>
              <w:spacing w:after="0" w:line="169" w:lineRule="exact"/>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5"/>
          </w:tcPr>
          <w:p>
            <w:pPr>
              <w:jc w:val="right"/>
              <w:ind w:right="380"/>
              <w:spacing w:after="0" w:line="149" w:lineRule="exact"/>
              <w:rPr>
                <w:sz w:val="20"/>
                <w:szCs w:val="20"/>
                <w:color w:val="auto"/>
              </w:rPr>
            </w:pPr>
            <w:r>
              <w:rPr>
                <w:rFonts w:ascii="Arial" w:cs="Arial" w:eastAsia="Arial" w:hAnsi="Arial"/>
                <w:sz w:val="15"/>
                <w:szCs w:val="15"/>
                <w:color w:val="auto"/>
              </w:rPr>
              <w:t>(In thousands)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Finished goods</w:t>
            </w:r>
          </w:p>
        </w:tc>
        <w:tc>
          <w:tcPr>
            <w:tcW w:w="340" w:type="dxa"/>
            <w:vAlign w:val="bottom"/>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line="169" w:lineRule="exact"/>
              <w:rPr>
                <w:sz w:val="20"/>
                <w:szCs w:val="20"/>
                <w:color w:val="auto"/>
              </w:rPr>
            </w:pPr>
            <w:r>
              <w:rPr>
                <w:rFonts w:ascii="Arial" w:cs="Arial" w:eastAsia="Arial" w:hAnsi="Arial"/>
                <w:sz w:val="15"/>
                <w:szCs w:val="15"/>
                <w:color w:val="auto"/>
              </w:rPr>
              <w:t>353,401</w:t>
            </w:r>
          </w:p>
        </w:tc>
        <w:tc>
          <w:tcPr>
            <w:tcW w:w="920" w:type="dxa"/>
            <w:vAlign w:val="bottom"/>
            <w:gridSpan w:val="2"/>
            <w:shd w:val="clear" w:color="auto" w:fill="CCEEFF"/>
          </w:tcPr>
          <w:p>
            <w:pPr>
              <w:jc w:val="right"/>
              <w:ind w:right="382"/>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512,894</w:t>
            </w:r>
          </w:p>
        </w:tc>
        <w:tc>
          <w:tcPr>
            <w:tcW w:w="0" w:type="dxa"/>
            <w:vAlign w:val="bottom"/>
          </w:tcPr>
          <w:p>
            <w:pPr>
              <w:spacing w:after="0"/>
              <w:rPr>
                <w:sz w:val="1"/>
                <w:szCs w:val="1"/>
                <w:color w:val="auto"/>
              </w:rPr>
            </w:pP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Work-in-process and service repairs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58,028</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68,463</w:t>
            </w: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Consignment</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line="169" w:lineRule="exact"/>
              <w:rPr>
                <w:sz w:val="20"/>
                <w:szCs w:val="20"/>
                <w:color w:val="auto"/>
              </w:rPr>
            </w:pPr>
            <w:r>
              <w:rPr>
                <w:rFonts w:ascii="Arial" w:cs="Arial" w:eastAsia="Arial" w:hAnsi="Arial"/>
                <w:sz w:val="15"/>
                <w:szCs w:val="15"/>
                <w:color w:val="auto"/>
              </w:rPr>
              <w:t>10,110</w:t>
            </w:r>
          </w:p>
        </w:tc>
        <w:tc>
          <w:tcPr>
            <w:tcW w:w="3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56,360</w:t>
            </w: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Raw materials</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line="169" w:lineRule="exact"/>
              <w:rPr>
                <w:sz w:val="20"/>
                <w:szCs w:val="20"/>
                <w:color w:val="auto"/>
              </w:rPr>
            </w:pPr>
            <w:r>
              <w:rPr>
                <w:rFonts w:ascii="Arial" w:cs="Arial" w:eastAsia="Arial" w:hAnsi="Arial"/>
                <w:sz w:val="15"/>
                <w:szCs w:val="15"/>
                <w:color w:val="auto"/>
              </w:rPr>
              <w:t>33,658</w:t>
            </w:r>
          </w:p>
        </w:tc>
        <w:tc>
          <w:tcPr>
            <w:tcW w:w="3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27,452</w:t>
            </w:r>
          </w:p>
        </w:tc>
        <w:tc>
          <w:tcPr>
            <w:tcW w:w="0" w:type="dxa"/>
            <w:vAlign w:val="bottom"/>
          </w:tcPr>
          <w:p>
            <w:pPr>
              <w:spacing w:after="0"/>
              <w:rPr>
                <w:sz w:val="1"/>
                <w:szCs w:val="1"/>
                <w:color w:val="auto"/>
              </w:rPr>
            </w:pPr>
          </w:p>
        </w:tc>
      </w:tr>
      <w:tr>
        <w:trPr>
          <w:trHeight w:val="162"/>
        </w:trPr>
        <w:tc>
          <w:tcPr>
            <w:tcW w:w="498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inventory</w:t>
            </w:r>
          </w:p>
        </w:tc>
        <w:tc>
          <w:tcPr>
            <w:tcW w:w="340" w:type="dxa"/>
            <w:vAlign w:val="bottom"/>
            <w:tcBorders>
              <w:bottom w:val="single" w:sz="8" w:color="auto"/>
            </w:tcBorders>
            <w:shd w:val="clear" w:color="auto" w:fill="CCEEFF"/>
          </w:tcPr>
          <w:p>
            <w:pPr>
              <w:jc w:val="right"/>
              <w:ind w:right="187"/>
              <w:spacing w:after="0" w:line="161" w:lineRule="exact"/>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gridSpan w:val="4"/>
            <w:shd w:val="clear" w:color="auto" w:fill="CCEEFF"/>
          </w:tcPr>
          <w:p>
            <w:pPr>
              <w:jc w:val="right"/>
              <w:spacing w:after="0" w:line="161" w:lineRule="exact"/>
              <w:rPr>
                <w:sz w:val="20"/>
                <w:szCs w:val="20"/>
                <w:color w:val="auto"/>
              </w:rPr>
            </w:pPr>
            <w:r>
              <w:rPr>
                <w:rFonts w:ascii="Arial" w:cs="Arial" w:eastAsia="Arial" w:hAnsi="Arial"/>
                <w:sz w:val="15"/>
                <w:szCs w:val="15"/>
                <w:color w:val="auto"/>
              </w:rPr>
              <w:t>455,197</w:t>
            </w:r>
          </w:p>
        </w:tc>
        <w:tc>
          <w:tcPr>
            <w:tcW w:w="3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382"/>
              <w:spacing w:after="0" w:line="161" w:lineRule="exact"/>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665,169</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4300"/>
              <w:spacing w:after="0"/>
              <w:rPr>
                <w:sz w:val="20"/>
                <w:szCs w:val="20"/>
                <w:color w:val="auto"/>
              </w:rPr>
            </w:pPr>
            <w:r>
              <w:rPr>
                <w:rFonts w:ascii="Arial" w:cs="Arial" w:eastAsia="Arial" w:hAnsi="Arial"/>
                <w:sz w:val="16"/>
                <w:szCs w:val="16"/>
                <w:color w:val="auto"/>
              </w:rPr>
              <w:t>F-36</w:t>
            </w: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4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4" w:right="1440" w:bottom="1440" w:gutter="0" w:footer="0" w:header="0"/>
        </w:sectPr>
      </w:pPr>
    </w:p>
    <w:bookmarkStart w:id="158" w:name="page159"/>
    <w:bookmarkEnd w:id="15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  Property and Equipment and Intangible Assets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and equipment consisted of the following:</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2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740" w:type="dxa"/>
            <w:vAlign w:val="bottom"/>
            <w:gridSpan w:val="4"/>
          </w:tcPr>
          <w:p>
            <w:pPr>
              <w:jc w:val="center"/>
              <w:ind w:right="220"/>
              <w:spacing w:after="0"/>
              <w:rPr>
                <w:sz w:val="20"/>
                <w:szCs w:val="20"/>
                <w:color w:val="auto"/>
              </w:rPr>
            </w:pPr>
            <w:r>
              <w:rPr>
                <w:rFonts w:ascii="Arial" w:cs="Arial" w:eastAsia="Arial" w:hAnsi="Arial"/>
                <w:sz w:val="15"/>
                <w:szCs w:val="15"/>
                <w:b w:val="1"/>
                <w:bCs w:val="1"/>
                <w:color w:val="auto"/>
                <w:w w:val="96"/>
              </w:rPr>
              <w:t>Depreciable Life</w:t>
            </w: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87"/>
              <w:spacing w:after="0"/>
              <w:rPr>
                <w:sz w:val="20"/>
                <w:szCs w:val="20"/>
                <w:color w:val="auto"/>
              </w:rPr>
            </w:pPr>
            <w:r>
              <w:rPr>
                <w:rFonts w:ascii="Arial" w:cs="Arial" w:eastAsia="Arial" w:hAnsi="Arial"/>
                <w:sz w:val="15"/>
                <w:szCs w:val="15"/>
                <w:b w:val="1"/>
                <w:bCs w:val="1"/>
                <w:color w:val="auto"/>
              </w:rPr>
              <w:t>As of December 31,</w:t>
            </w:r>
          </w:p>
        </w:tc>
      </w:tr>
      <w:tr>
        <w:trPr>
          <w:trHeight w:val="169"/>
        </w:trPr>
        <w:tc>
          <w:tcPr>
            <w:tcW w:w="2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93"/>
              </w:rPr>
              <w:t>(In Years)</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7"/>
              <w:spacing w:after="0" w:line="169" w:lineRule="exact"/>
              <w:rPr>
                <w:sz w:val="20"/>
                <w:szCs w:val="20"/>
                <w:color w:val="auto"/>
              </w:rPr>
            </w:pPr>
            <w:r>
              <w:rPr>
                <w:rFonts w:ascii="Arial" w:cs="Arial" w:eastAsia="Arial" w:hAnsi="Arial"/>
                <w:sz w:val="15"/>
                <w:szCs w:val="15"/>
                <w:b w:val="1"/>
                <w:bCs w:val="1"/>
                <w:color w:val="auto"/>
              </w:rPr>
              <w:t>2024</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7"/>
              <w:spacing w:after="0" w:line="169" w:lineRule="exact"/>
              <w:rPr>
                <w:sz w:val="20"/>
                <w:szCs w:val="20"/>
                <w:color w:val="auto"/>
              </w:rPr>
            </w:pPr>
            <w:r>
              <w:rPr>
                <w:rFonts w:ascii="Arial" w:cs="Arial" w:eastAsia="Arial" w:hAnsi="Arial"/>
                <w:sz w:val="15"/>
                <w:szCs w:val="15"/>
                <w:b w:val="1"/>
                <w:bCs w:val="1"/>
                <w:color w:val="auto"/>
              </w:rPr>
              <w:t>2023</w:t>
            </w:r>
          </w:p>
        </w:tc>
      </w:tr>
      <w:tr>
        <w:trPr>
          <w:trHeight w:val="149"/>
        </w:trPr>
        <w:tc>
          <w:tcPr>
            <w:tcW w:w="22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3"/>
          </w:tcPr>
          <w:p>
            <w:pPr>
              <w:jc w:val="right"/>
              <w:spacing w:after="0" w:line="149" w:lineRule="exact"/>
              <w:rPr>
                <w:sz w:val="20"/>
                <w:szCs w:val="20"/>
                <w:color w:val="auto"/>
              </w:rPr>
            </w:pPr>
            <w:r>
              <w:rPr>
                <w:rFonts w:ascii="Arial" w:cs="Arial" w:eastAsia="Arial" w:hAnsi="Arial"/>
                <w:sz w:val="15"/>
                <w:szCs w:val="15"/>
                <w:color w:val="auto"/>
              </w:rPr>
              <w:t>(In thousands)</w:t>
            </w:r>
          </w:p>
        </w:tc>
        <w:tc>
          <w:tcPr>
            <w:tcW w:w="820" w:type="dxa"/>
            <w:vAlign w:val="bottom"/>
          </w:tcPr>
          <w:p>
            <w:pPr>
              <w:spacing w:after="0"/>
              <w:rPr>
                <w:sz w:val="12"/>
                <w:szCs w:val="12"/>
                <w:color w:val="auto"/>
              </w:rPr>
            </w:pPr>
          </w:p>
        </w:tc>
      </w:tr>
      <w:tr>
        <w:trPr>
          <w:trHeight w:val="169"/>
        </w:trPr>
        <w:tc>
          <w:tcPr>
            <w:tcW w:w="45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Equipment leased to customers</w:t>
            </w:r>
          </w:p>
        </w:tc>
        <w:tc>
          <w:tcPr>
            <w:tcW w:w="32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2</w:t>
            </w:r>
          </w:p>
        </w:tc>
        <w:tc>
          <w:tcPr>
            <w:tcW w:w="86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79"/>
              </w:rPr>
              <w:t>-</w:t>
            </w:r>
          </w:p>
        </w:tc>
        <w:tc>
          <w:tcPr>
            <w:tcW w:w="32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5</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7"/>
              <w:spacing w:after="0" w:line="169" w:lineRule="exact"/>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1,784,801</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7"/>
              <w:spacing w:after="0" w:line="169" w:lineRule="exact"/>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1,977,450</w:t>
            </w:r>
          </w:p>
        </w:tc>
      </w:tr>
      <w:tr>
        <w:trPr>
          <w:trHeight w:val="169"/>
        </w:trPr>
        <w:tc>
          <w:tcPr>
            <w:tcW w:w="4520" w:type="dxa"/>
            <w:vAlign w:val="bottom"/>
            <w:gridSpan w:val="2"/>
          </w:tcPr>
          <w:p>
            <w:pPr>
              <w:spacing w:after="0" w:line="169" w:lineRule="exact"/>
              <w:rPr>
                <w:sz w:val="20"/>
                <w:szCs w:val="20"/>
                <w:color w:val="auto"/>
              </w:rPr>
            </w:pPr>
            <w:r>
              <w:rPr>
                <w:rFonts w:ascii="Arial" w:cs="Arial" w:eastAsia="Arial" w:hAnsi="Arial"/>
                <w:sz w:val="15"/>
                <w:szCs w:val="15"/>
                <w:color w:val="auto"/>
              </w:rPr>
              <w:t>Satellites (1)</w:t>
            </w:r>
          </w:p>
        </w:tc>
        <w:tc>
          <w:tcPr>
            <w:tcW w:w="320" w:type="dxa"/>
            <w:vAlign w:val="bottom"/>
          </w:tcPr>
          <w:p>
            <w:pPr>
              <w:jc w:val="right"/>
              <w:ind w:right="27"/>
              <w:spacing w:after="0" w:line="169" w:lineRule="exact"/>
              <w:rPr>
                <w:sz w:val="20"/>
                <w:szCs w:val="20"/>
                <w:color w:val="auto"/>
              </w:rPr>
            </w:pPr>
            <w:r>
              <w:rPr>
                <w:rFonts w:ascii="Arial" w:cs="Arial" w:eastAsia="Arial" w:hAnsi="Arial"/>
                <w:sz w:val="15"/>
                <w:szCs w:val="15"/>
                <w:color w:val="auto"/>
              </w:rPr>
              <w:t>5</w:t>
            </w:r>
          </w:p>
        </w:tc>
        <w:tc>
          <w:tcPr>
            <w:tcW w:w="860" w:type="dxa"/>
            <w:vAlign w:val="bottom"/>
          </w:tcPr>
          <w:p>
            <w:pPr>
              <w:jc w:val="center"/>
              <w:spacing w:after="0" w:line="169" w:lineRule="exact"/>
              <w:rPr>
                <w:sz w:val="20"/>
                <w:szCs w:val="20"/>
                <w:color w:val="auto"/>
              </w:rPr>
            </w:pPr>
            <w:r>
              <w:rPr>
                <w:rFonts w:ascii="Arial" w:cs="Arial" w:eastAsia="Arial" w:hAnsi="Arial"/>
                <w:sz w:val="15"/>
                <w:szCs w:val="15"/>
                <w:color w:val="auto"/>
                <w:w w:val="79"/>
              </w:rPr>
              <w:t>-</w:t>
            </w:r>
          </w:p>
        </w:tc>
        <w:tc>
          <w:tcPr>
            <w:tcW w:w="320" w:type="dxa"/>
            <w:vAlign w:val="bottom"/>
          </w:tcPr>
          <w:p>
            <w:pPr>
              <w:jc w:val="center"/>
              <w:spacing w:after="0" w:line="169" w:lineRule="exact"/>
              <w:rPr>
                <w:sz w:val="20"/>
                <w:szCs w:val="20"/>
                <w:color w:val="auto"/>
              </w:rPr>
            </w:pPr>
            <w:r>
              <w:rPr>
                <w:rFonts w:ascii="Arial" w:cs="Arial" w:eastAsia="Arial" w:hAnsi="Arial"/>
                <w:sz w:val="15"/>
                <w:szCs w:val="15"/>
                <w:color w:val="auto"/>
                <w:w w:val="95"/>
              </w:rPr>
              <w:t>15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3,872,664</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4,168,766</w:t>
            </w:r>
          </w:p>
        </w:tc>
      </w:tr>
      <w:tr>
        <w:trPr>
          <w:trHeight w:val="169"/>
        </w:trPr>
        <w:tc>
          <w:tcPr>
            <w:tcW w:w="45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Satellites acquired under finance lease agreements (2)</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15</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344,972</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712,832</w:t>
            </w:r>
          </w:p>
        </w:tc>
      </w:tr>
      <w:tr>
        <w:trPr>
          <w:trHeight w:val="169"/>
        </w:trPr>
        <w:tc>
          <w:tcPr>
            <w:tcW w:w="4520" w:type="dxa"/>
            <w:vAlign w:val="bottom"/>
            <w:gridSpan w:val="2"/>
          </w:tcPr>
          <w:p>
            <w:pPr>
              <w:spacing w:after="0" w:line="169" w:lineRule="exact"/>
              <w:rPr>
                <w:sz w:val="20"/>
                <w:szCs w:val="20"/>
                <w:color w:val="auto"/>
              </w:rPr>
            </w:pPr>
            <w:r>
              <w:rPr>
                <w:rFonts w:ascii="Arial" w:cs="Arial" w:eastAsia="Arial" w:hAnsi="Arial"/>
                <w:sz w:val="15"/>
                <w:szCs w:val="15"/>
                <w:color w:val="auto"/>
              </w:rPr>
              <w:t>Furniture, fixtures, equipment and other</w:t>
            </w:r>
          </w:p>
        </w:tc>
        <w:tc>
          <w:tcPr>
            <w:tcW w:w="320" w:type="dxa"/>
            <w:vAlign w:val="bottom"/>
          </w:tcPr>
          <w:p>
            <w:pPr>
              <w:jc w:val="right"/>
              <w:ind w:right="27"/>
              <w:spacing w:after="0" w:line="169" w:lineRule="exact"/>
              <w:rPr>
                <w:sz w:val="20"/>
                <w:szCs w:val="20"/>
                <w:color w:val="auto"/>
              </w:rPr>
            </w:pPr>
            <w:r>
              <w:rPr>
                <w:rFonts w:ascii="Arial" w:cs="Arial" w:eastAsia="Arial" w:hAnsi="Arial"/>
                <w:sz w:val="15"/>
                <w:szCs w:val="15"/>
                <w:color w:val="auto"/>
              </w:rPr>
              <w:t>1</w:t>
            </w:r>
          </w:p>
        </w:tc>
        <w:tc>
          <w:tcPr>
            <w:tcW w:w="860" w:type="dxa"/>
            <w:vAlign w:val="bottom"/>
          </w:tcPr>
          <w:p>
            <w:pPr>
              <w:jc w:val="center"/>
              <w:spacing w:after="0" w:line="169" w:lineRule="exact"/>
              <w:rPr>
                <w:sz w:val="20"/>
                <w:szCs w:val="20"/>
                <w:color w:val="auto"/>
              </w:rPr>
            </w:pPr>
            <w:r>
              <w:rPr>
                <w:rFonts w:ascii="Arial" w:cs="Arial" w:eastAsia="Arial" w:hAnsi="Arial"/>
                <w:sz w:val="15"/>
                <w:szCs w:val="15"/>
                <w:color w:val="auto"/>
                <w:w w:val="79"/>
              </w:rPr>
              <w:t>-</w:t>
            </w:r>
          </w:p>
        </w:tc>
        <w:tc>
          <w:tcPr>
            <w:tcW w:w="320" w:type="dxa"/>
            <w:vAlign w:val="bottom"/>
          </w:tcPr>
          <w:p>
            <w:pPr>
              <w:jc w:val="center"/>
              <w:spacing w:after="0" w:line="169" w:lineRule="exact"/>
              <w:rPr>
                <w:sz w:val="20"/>
                <w:szCs w:val="20"/>
                <w:color w:val="auto"/>
              </w:rPr>
            </w:pPr>
            <w:r>
              <w:rPr>
                <w:rFonts w:ascii="Arial" w:cs="Arial" w:eastAsia="Arial" w:hAnsi="Arial"/>
                <w:sz w:val="15"/>
                <w:szCs w:val="15"/>
                <w:color w:val="auto"/>
                <w:w w:val="95"/>
              </w:rPr>
              <w:t>20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1,686,992</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1,691,389</w:t>
            </w:r>
          </w:p>
        </w:tc>
      </w:tr>
      <w:tr>
        <w:trPr>
          <w:trHeight w:val="169"/>
        </w:trPr>
        <w:tc>
          <w:tcPr>
            <w:tcW w:w="45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5G Network Deployment equipment (3)</w:t>
            </w:r>
          </w:p>
        </w:tc>
        <w:tc>
          <w:tcPr>
            <w:tcW w:w="32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3</w:t>
            </w:r>
          </w:p>
        </w:tc>
        <w:tc>
          <w:tcPr>
            <w:tcW w:w="86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79"/>
              </w:rPr>
              <w:t>-</w:t>
            </w:r>
          </w:p>
        </w:tc>
        <w:tc>
          <w:tcPr>
            <w:tcW w:w="32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15</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5,382,706</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4,263,327</w:t>
            </w:r>
          </w:p>
        </w:tc>
      </w:tr>
      <w:tr>
        <w:trPr>
          <w:trHeight w:val="169"/>
        </w:trPr>
        <w:tc>
          <w:tcPr>
            <w:tcW w:w="4520" w:type="dxa"/>
            <w:vAlign w:val="bottom"/>
            <w:gridSpan w:val="2"/>
          </w:tcPr>
          <w:p>
            <w:pPr>
              <w:spacing w:after="0" w:line="169" w:lineRule="exact"/>
              <w:rPr>
                <w:sz w:val="20"/>
                <w:szCs w:val="20"/>
                <w:color w:val="auto"/>
              </w:rPr>
            </w:pPr>
            <w:r>
              <w:rPr>
                <w:rFonts w:ascii="Arial" w:cs="Arial" w:eastAsia="Arial" w:hAnsi="Arial"/>
                <w:sz w:val="15"/>
                <w:szCs w:val="15"/>
                <w:color w:val="auto"/>
              </w:rPr>
              <w:t>Software and computer equipment</w:t>
            </w:r>
          </w:p>
        </w:tc>
        <w:tc>
          <w:tcPr>
            <w:tcW w:w="320" w:type="dxa"/>
            <w:vAlign w:val="bottom"/>
          </w:tcPr>
          <w:p>
            <w:pPr>
              <w:jc w:val="right"/>
              <w:ind w:right="27"/>
              <w:spacing w:after="0" w:line="169" w:lineRule="exact"/>
              <w:rPr>
                <w:sz w:val="20"/>
                <w:szCs w:val="20"/>
                <w:color w:val="auto"/>
              </w:rPr>
            </w:pPr>
            <w:r>
              <w:rPr>
                <w:rFonts w:ascii="Arial" w:cs="Arial" w:eastAsia="Arial" w:hAnsi="Arial"/>
                <w:sz w:val="15"/>
                <w:szCs w:val="15"/>
                <w:color w:val="auto"/>
              </w:rPr>
              <w:t>2</w:t>
            </w:r>
          </w:p>
        </w:tc>
        <w:tc>
          <w:tcPr>
            <w:tcW w:w="860" w:type="dxa"/>
            <w:vAlign w:val="bottom"/>
          </w:tcPr>
          <w:p>
            <w:pPr>
              <w:jc w:val="center"/>
              <w:spacing w:after="0" w:line="169" w:lineRule="exact"/>
              <w:rPr>
                <w:sz w:val="20"/>
                <w:szCs w:val="20"/>
                <w:color w:val="auto"/>
              </w:rPr>
            </w:pPr>
            <w:r>
              <w:rPr>
                <w:rFonts w:ascii="Arial" w:cs="Arial" w:eastAsia="Arial" w:hAnsi="Arial"/>
                <w:sz w:val="15"/>
                <w:szCs w:val="15"/>
                <w:color w:val="auto"/>
                <w:w w:val="79"/>
              </w:rPr>
              <w:t>-</w:t>
            </w:r>
          </w:p>
        </w:tc>
        <w:tc>
          <w:tcPr>
            <w:tcW w:w="320" w:type="dxa"/>
            <w:vAlign w:val="bottom"/>
          </w:tcPr>
          <w:p>
            <w:pPr>
              <w:jc w:val="center"/>
              <w:spacing w:after="0" w:line="169" w:lineRule="exact"/>
              <w:rPr>
                <w:sz w:val="20"/>
                <w:szCs w:val="20"/>
                <w:color w:val="auto"/>
              </w:rPr>
            </w:pPr>
            <w:r>
              <w:rPr>
                <w:rFonts w:ascii="Arial" w:cs="Arial" w:eastAsia="Arial" w:hAnsi="Arial"/>
                <w:sz w:val="15"/>
                <w:szCs w:val="15"/>
                <w:color w:val="auto"/>
                <w:w w:val="95"/>
              </w:rPr>
              <w:t>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2,216,007</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2,503,597</w:t>
            </w:r>
          </w:p>
        </w:tc>
      </w:tr>
      <w:tr>
        <w:trPr>
          <w:trHeight w:val="169"/>
        </w:trPr>
        <w:tc>
          <w:tcPr>
            <w:tcW w:w="45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Buildings and improvements (4)</w:t>
            </w:r>
          </w:p>
        </w:tc>
        <w:tc>
          <w:tcPr>
            <w:tcW w:w="32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1</w:t>
            </w:r>
          </w:p>
        </w:tc>
        <w:tc>
          <w:tcPr>
            <w:tcW w:w="86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79"/>
              </w:rPr>
              <w:t>-</w:t>
            </w:r>
          </w:p>
        </w:tc>
        <w:tc>
          <w:tcPr>
            <w:tcW w:w="32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40</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513,419</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538,815</w:t>
            </w:r>
          </w:p>
        </w:tc>
      </w:tr>
      <w:tr>
        <w:trPr>
          <w:trHeight w:val="169"/>
        </w:trPr>
        <w:tc>
          <w:tcPr>
            <w:tcW w:w="4520" w:type="dxa"/>
            <w:vAlign w:val="bottom"/>
            <w:gridSpan w:val="2"/>
          </w:tcPr>
          <w:p>
            <w:pPr>
              <w:spacing w:after="0" w:line="169" w:lineRule="exact"/>
              <w:rPr>
                <w:sz w:val="20"/>
                <w:szCs w:val="20"/>
                <w:color w:val="auto"/>
              </w:rPr>
            </w:pPr>
            <w:r>
              <w:rPr>
                <w:rFonts w:ascii="Arial" w:cs="Arial" w:eastAsia="Arial" w:hAnsi="Arial"/>
                <w:sz w:val="15"/>
                <w:szCs w:val="15"/>
                <w:color w:val="auto"/>
              </w:rPr>
              <w:t>Land (4)</w:t>
            </w:r>
          </w:p>
        </w:tc>
        <w:tc>
          <w:tcPr>
            <w:tcW w:w="320" w:type="dxa"/>
            <w:vAlign w:val="bottom"/>
          </w:tcPr>
          <w:p>
            <w:pPr>
              <w:spacing w:after="0"/>
              <w:rPr>
                <w:sz w:val="14"/>
                <w:szCs w:val="14"/>
                <w:color w:val="auto"/>
              </w:rPr>
            </w:pPr>
          </w:p>
        </w:tc>
        <w:tc>
          <w:tcPr>
            <w:tcW w:w="860" w:type="dxa"/>
            <w:vAlign w:val="bottom"/>
          </w:tcPr>
          <w:p>
            <w:pPr>
              <w:jc w:val="center"/>
              <w:spacing w:after="0" w:line="169" w:lineRule="exact"/>
              <w:rPr>
                <w:sz w:val="20"/>
                <w:szCs w:val="20"/>
                <w:color w:val="auto"/>
              </w:rPr>
            </w:pPr>
            <w:r>
              <w:rPr>
                <w:rFonts w:ascii="Arial" w:cs="Arial" w:eastAsia="Arial" w:hAnsi="Arial"/>
                <w:sz w:val="15"/>
                <w:szCs w:val="15"/>
                <w:color w:val="auto"/>
                <w:w w:val="79"/>
              </w:rPr>
              <w:t>-</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42,842</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46,675</w:t>
            </w:r>
          </w:p>
        </w:tc>
      </w:tr>
      <w:tr>
        <w:trPr>
          <w:trHeight w:val="169"/>
        </w:trPr>
        <w:tc>
          <w:tcPr>
            <w:tcW w:w="45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Construction in progress</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79"/>
              </w:rPr>
              <w:t>-</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1,570,275</w:t>
            </w:r>
          </w:p>
        </w:tc>
        <w:tc>
          <w:tcPr>
            <w:tcW w:w="24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1,844,338</w:t>
            </w:r>
          </w:p>
        </w:tc>
      </w:tr>
      <w:tr>
        <w:trPr>
          <w:trHeight w:val="162"/>
        </w:trPr>
        <w:tc>
          <w:tcPr>
            <w:tcW w:w="4520" w:type="dxa"/>
            <w:vAlign w:val="bottom"/>
            <w:gridSpan w:val="2"/>
          </w:tcPr>
          <w:p>
            <w:pPr>
              <w:spacing w:after="0" w:line="161" w:lineRule="exact"/>
              <w:rPr>
                <w:sz w:val="20"/>
                <w:szCs w:val="20"/>
                <w:color w:val="auto"/>
              </w:rPr>
            </w:pPr>
            <w:r>
              <w:rPr>
                <w:rFonts w:ascii="Arial" w:cs="Arial" w:eastAsia="Arial" w:hAnsi="Arial"/>
                <w:sz w:val="15"/>
                <w:szCs w:val="15"/>
                <w:b w:val="1"/>
                <w:bCs w:val="1"/>
                <w:color w:val="auto"/>
              </w:rPr>
              <w:t>Total property and equipment</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1" w:lineRule="exact"/>
              <w:rPr>
                <w:sz w:val="20"/>
                <w:szCs w:val="20"/>
                <w:color w:val="auto"/>
              </w:rPr>
            </w:pPr>
            <w:r>
              <w:rPr>
                <w:rFonts w:ascii="Arial" w:cs="Arial" w:eastAsia="Arial" w:hAnsi="Arial"/>
                <w:sz w:val="15"/>
                <w:szCs w:val="15"/>
                <w:color w:val="auto"/>
              </w:rPr>
              <w:t>17,414,678</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line="161" w:lineRule="exact"/>
              <w:rPr>
                <w:sz w:val="20"/>
                <w:szCs w:val="20"/>
                <w:color w:val="auto"/>
              </w:rPr>
            </w:pPr>
            <w:r>
              <w:rPr>
                <w:rFonts w:ascii="Arial" w:cs="Arial" w:eastAsia="Arial" w:hAnsi="Arial"/>
                <w:sz w:val="15"/>
                <w:szCs w:val="15"/>
                <w:color w:val="auto"/>
              </w:rPr>
              <w:t>17,747,189</w:t>
            </w:r>
          </w:p>
        </w:tc>
      </w:tr>
      <w:tr>
        <w:trPr>
          <w:trHeight w:val="169"/>
        </w:trPr>
        <w:tc>
          <w:tcPr>
            <w:tcW w:w="45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Accumulated depreciation</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(8,227,546)</w:t>
            </w: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(8,185,355)</w:t>
            </w:r>
          </w:p>
        </w:tc>
      </w:tr>
      <w:tr>
        <w:trPr>
          <w:trHeight w:val="202"/>
        </w:trPr>
        <w:tc>
          <w:tcPr>
            <w:tcW w:w="452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b w:val="1"/>
                <w:bCs w:val="1"/>
                <w:color w:val="auto"/>
              </w:rPr>
              <w:t>Property and equipment, net</w:t>
            </w:r>
          </w:p>
        </w:tc>
        <w:tc>
          <w:tcPr>
            <w:tcW w:w="3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7"/>
              <w:spacing w:after="0" w:line="161" w:lineRule="exact"/>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9,187,132</w:t>
            </w:r>
          </w:p>
        </w:tc>
        <w:tc>
          <w:tcPr>
            <w:tcW w:w="24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27"/>
              <w:spacing w:after="0" w:line="161" w:lineRule="exact"/>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9,561,834</w:t>
            </w:r>
          </w:p>
        </w:tc>
      </w:tr>
      <w:tr>
        <w:trPr>
          <w:trHeight w:val="158"/>
        </w:trPr>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97"/>
        </w:trPr>
        <w:tc>
          <w:tcPr>
            <w:tcW w:w="224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r>
    </w:tbl>
    <w:p>
      <w:pPr>
        <w:spacing w:after="0" w:line="68" w:lineRule="exact"/>
        <w:rPr>
          <w:sz w:val="20"/>
          <w:szCs w:val="20"/>
          <w:color w:val="auto"/>
        </w:rPr>
      </w:pPr>
    </w:p>
    <w:p>
      <w:pPr>
        <w:ind w:left="340" w:hanging="298"/>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Spaceway 3 satellite was deorbited in January 2024.</w:t>
      </w:r>
    </w:p>
    <w:p>
      <w:pPr>
        <w:spacing w:after="0" w:line="13" w:lineRule="exact"/>
        <w:rPr>
          <w:rFonts w:ascii="Arial" w:cs="Arial" w:eastAsia="Arial" w:hAnsi="Arial"/>
          <w:sz w:val="16"/>
          <w:szCs w:val="16"/>
          <w:color w:val="auto"/>
        </w:rPr>
      </w:pPr>
    </w:p>
    <w:p>
      <w:pPr>
        <w:ind w:left="340" w:right="479" w:hanging="298"/>
        <w:spacing w:after="0" w:line="236"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decrease is primarily related to the Nimiq 5 finance lease that was extended in October 2024 and as a result is currently accounted for as an operating lease.</w:t>
      </w:r>
    </w:p>
    <w:p>
      <w:pPr>
        <w:spacing w:after="0" w:line="1" w:lineRule="exact"/>
        <w:rPr>
          <w:rFonts w:ascii="Arial" w:cs="Arial" w:eastAsia="Arial" w:hAnsi="Arial"/>
          <w:sz w:val="16"/>
          <w:szCs w:val="16"/>
          <w:color w:val="auto"/>
        </w:rPr>
      </w:pPr>
    </w:p>
    <w:p>
      <w:pPr>
        <w:ind w:left="340" w:hanging="298"/>
        <w:spacing w:after="0" w:line="236"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5G Network Deployment assets acquired under finance lease agreements.</w:t>
      </w:r>
    </w:p>
    <w:p>
      <w:pPr>
        <w:ind w:left="340" w:right="559" w:hanging="298"/>
        <w:spacing w:after="0" w:line="255"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decrease resulted from the sale of certain assets to CONX Corp., which closed May 1, 2024. See Note 18 for further information.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Construction in progress consisted of the following:</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48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5"/>
                <w:szCs w:val="15"/>
                <w:b w:val="1"/>
                <w:bCs w:val="1"/>
                <w:color w:val="auto"/>
              </w:rPr>
              <w:t>As of December 31,</w:t>
            </w: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820" w:type="dxa"/>
            <w:vAlign w:val="bottom"/>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2024</w:t>
            </w:r>
          </w:p>
        </w:tc>
        <w:tc>
          <w:tcPr>
            <w:tcW w:w="7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7"/>
              <w:spacing w:after="0" w:line="169" w:lineRule="exact"/>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4"/>
                <w:szCs w:val="14"/>
                <w:color w:val="auto"/>
              </w:rPr>
            </w:pPr>
          </w:p>
        </w:tc>
      </w:tr>
      <w:tr>
        <w:trPr>
          <w:trHeight w:val="149"/>
        </w:trPr>
        <w:tc>
          <w:tcPr>
            <w:tcW w:w="4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20" w:type="dxa"/>
            <w:vAlign w:val="bottom"/>
            <w:gridSpan w:val="3"/>
          </w:tcPr>
          <w:p>
            <w:pPr>
              <w:jc w:val="right"/>
              <w:ind w:right="267"/>
              <w:spacing w:after="0" w:line="149" w:lineRule="exact"/>
              <w:rPr>
                <w:sz w:val="20"/>
                <w:szCs w:val="20"/>
                <w:color w:val="auto"/>
              </w:rPr>
            </w:pPr>
            <w:r>
              <w:rPr>
                <w:rFonts w:ascii="Arial" w:cs="Arial" w:eastAsia="Arial" w:hAnsi="Arial"/>
                <w:sz w:val="15"/>
                <w:szCs w:val="15"/>
                <w:color w:val="auto"/>
              </w:rPr>
              <w:t>(In thousands)</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2"/>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Pay-TV</w:t>
            </w:r>
          </w:p>
        </w:tc>
        <w:tc>
          <w:tcPr>
            <w:tcW w:w="1100" w:type="dxa"/>
            <w:vAlign w:val="bottom"/>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268,423</w:t>
            </w: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162,055</w:t>
            </w:r>
          </w:p>
        </w:tc>
        <w:tc>
          <w:tcPr>
            <w:tcW w:w="80" w:type="dxa"/>
            <w:vAlign w:val="bottom"/>
            <w:shd w:val="clear" w:color="auto" w:fill="CCEEFF"/>
          </w:tcPr>
          <w:p>
            <w:pPr>
              <w:spacing w:after="0"/>
              <w:rPr>
                <w:sz w:val="15"/>
                <w:szCs w:val="15"/>
                <w:color w:val="auto"/>
              </w:rPr>
            </w:pPr>
          </w:p>
        </w:tc>
      </w:tr>
      <w:tr>
        <w:trPr>
          <w:trHeight w:val="182"/>
        </w:trPr>
        <w:tc>
          <w:tcPr>
            <w:tcW w:w="4820" w:type="dxa"/>
            <w:vAlign w:val="bottom"/>
          </w:tcPr>
          <w:p>
            <w:pPr>
              <w:spacing w:after="0"/>
              <w:rPr>
                <w:sz w:val="20"/>
                <w:szCs w:val="20"/>
                <w:color w:val="auto"/>
              </w:rPr>
            </w:pPr>
            <w:r>
              <w:rPr>
                <w:rFonts w:ascii="Arial" w:cs="Arial" w:eastAsia="Arial" w:hAnsi="Arial"/>
                <w:sz w:val="15"/>
                <w:szCs w:val="15"/>
                <w:color w:val="auto"/>
              </w:rPr>
              <w:t>Wireless</w:t>
            </w:r>
          </w:p>
        </w:tc>
        <w:tc>
          <w:tcPr>
            <w:tcW w:w="1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8"/>
              </w:rPr>
              <w:t>1,276,393</w:t>
            </w: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1,639,945</w:t>
            </w:r>
          </w:p>
        </w:tc>
        <w:tc>
          <w:tcPr>
            <w:tcW w:w="80" w:type="dxa"/>
            <w:vAlign w:val="bottom"/>
          </w:tcPr>
          <w:p>
            <w:pPr>
              <w:spacing w:after="0"/>
              <w:rPr>
                <w:sz w:val="15"/>
                <w:szCs w:val="15"/>
                <w:color w:val="auto"/>
              </w:rPr>
            </w:pPr>
          </w:p>
        </w:tc>
      </w:tr>
      <w:tr>
        <w:trPr>
          <w:trHeight w:val="182"/>
        </w:trPr>
        <w:tc>
          <w:tcPr>
            <w:tcW w:w="4820" w:type="dxa"/>
            <w:vAlign w:val="bottom"/>
            <w:shd w:val="clear" w:color="auto" w:fill="CCEEFF"/>
          </w:tcPr>
          <w:p>
            <w:pPr>
              <w:spacing w:after="0"/>
              <w:rPr>
                <w:sz w:val="20"/>
                <w:szCs w:val="20"/>
                <w:color w:val="auto"/>
              </w:rPr>
            </w:pPr>
            <w:r>
              <w:rPr>
                <w:rFonts w:ascii="Arial" w:cs="Arial" w:eastAsia="Arial" w:hAnsi="Arial"/>
                <w:sz w:val="15"/>
                <w:szCs w:val="15"/>
                <w:color w:val="auto"/>
              </w:rPr>
              <w:t>Broadband and Satellite Services</w:t>
            </w:r>
          </w:p>
        </w:tc>
        <w:tc>
          <w:tcPr>
            <w:tcW w:w="1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25,459</w:t>
            </w:r>
          </w:p>
        </w:tc>
        <w:tc>
          <w:tcPr>
            <w:tcW w:w="3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42,338</w:t>
            </w:r>
          </w:p>
        </w:tc>
        <w:tc>
          <w:tcPr>
            <w:tcW w:w="80" w:type="dxa"/>
            <w:vAlign w:val="bottom"/>
            <w:shd w:val="clear" w:color="auto" w:fill="CCEEFF"/>
          </w:tcPr>
          <w:p>
            <w:pPr>
              <w:spacing w:after="0"/>
              <w:rPr>
                <w:sz w:val="15"/>
                <w:szCs w:val="15"/>
                <w:color w:val="auto"/>
              </w:rPr>
            </w:pPr>
          </w:p>
        </w:tc>
      </w:tr>
      <w:tr>
        <w:trPr>
          <w:trHeight w:val="162"/>
        </w:trPr>
        <w:tc>
          <w:tcPr>
            <w:tcW w:w="4820" w:type="dxa"/>
            <w:vAlign w:val="bottom"/>
          </w:tcPr>
          <w:p>
            <w:pPr>
              <w:spacing w:after="0" w:line="161" w:lineRule="exact"/>
              <w:rPr>
                <w:sz w:val="20"/>
                <w:szCs w:val="20"/>
                <w:color w:val="auto"/>
              </w:rPr>
            </w:pPr>
            <w:r>
              <w:rPr>
                <w:rFonts w:ascii="Arial" w:cs="Arial" w:eastAsia="Arial" w:hAnsi="Arial"/>
                <w:sz w:val="15"/>
                <w:szCs w:val="15"/>
                <w:b w:val="1"/>
                <w:bCs w:val="1"/>
                <w:color w:val="auto"/>
              </w:rPr>
              <w:t>Total construction in progress</w:t>
            </w:r>
          </w:p>
        </w:tc>
        <w:tc>
          <w:tcPr>
            <w:tcW w:w="1100" w:type="dxa"/>
            <w:vAlign w:val="bottom"/>
            <w:tcBorders>
              <w:bottom w:val="single" w:sz="8" w:color="auto"/>
            </w:tcBorders>
          </w:tcPr>
          <w:p>
            <w:pPr>
              <w:jc w:val="right"/>
              <w:ind w:right="947"/>
              <w:spacing w:after="0" w:line="161"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98"/>
              </w:rPr>
              <w:t>1,570,275</w:t>
            </w:r>
          </w:p>
        </w:tc>
        <w:tc>
          <w:tcPr>
            <w:tcW w:w="380" w:type="dxa"/>
            <w:vAlign w:val="bottom"/>
          </w:tcPr>
          <w:p>
            <w:pPr>
              <w:spacing w:after="0"/>
              <w:rPr>
                <w:sz w:val="14"/>
                <w:szCs w:val="14"/>
                <w:color w:val="auto"/>
              </w:rPr>
            </w:pPr>
          </w:p>
        </w:tc>
        <w:tc>
          <w:tcPr>
            <w:tcW w:w="620" w:type="dxa"/>
            <w:vAlign w:val="bottom"/>
            <w:tcBorders>
              <w:bottom w:val="single" w:sz="8" w:color="auto"/>
            </w:tcBorders>
          </w:tcPr>
          <w:p>
            <w:pPr>
              <w:jc w:val="right"/>
              <w:ind w:right="467"/>
              <w:spacing w:after="0" w:line="161"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1,844,338</w:t>
            </w:r>
          </w:p>
        </w:tc>
        <w:tc>
          <w:tcPr>
            <w:tcW w:w="80" w:type="dxa"/>
            <w:vAlign w:val="bottom"/>
          </w:tcPr>
          <w:p>
            <w:pPr>
              <w:spacing w:after="0"/>
              <w:rPr>
                <w:sz w:val="14"/>
                <w:szCs w:val="14"/>
                <w:color w:val="auto"/>
              </w:rPr>
            </w:pPr>
          </w:p>
        </w:tc>
      </w:tr>
      <w:tr>
        <w:trPr>
          <w:trHeight w:val="20"/>
        </w:trPr>
        <w:tc>
          <w:tcPr>
            <w:tcW w:w="4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Depreciation and amortization expense consisted of the following:</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547"/>
              <w:spacing w:after="0"/>
              <w:rPr>
                <w:sz w:val="20"/>
                <w:szCs w:val="20"/>
                <w:color w:val="auto"/>
              </w:rPr>
            </w:pPr>
            <w:r>
              <w:rPr>
                <w:rFonts w:ascii="Arial" w:cs="Arial" w:eastAsia="Arial" w:hAnsi="Arial"/>
                <w:sz w:val="15"/>
                <w:szCs w:val="15"/>
                <w:b w:val="1"/>
                <w:bCs w:val="1"/>
                <w:color w:val="auto"/>
                <w:w w:val="96"/>
              </w:rPr>
              <w:t>For the Years Ended December 31,</w:t>
            </w:r>
          </w:p>
        </w:tc>
        <w:tc>
          <w:tcPr>
            <w:tcW w:w="900" w:type="dxa"/>
            <w:vAlign w:val="bottom"/>
            <w:tcBorders>
              <w:bottom w:val="single" w:sz="8" w:color="auto"/>
            </w:tcBorders>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7"/>
              <w:spacing w:after="0" w:line="169" w:lineRule="exact"/>
              <w:rPr>
                <w:sz w:val="20"/>
                <w:szCs w:val="20"/>
                <w:color w:val="auto"/>
              </w:rPr>
            </w:pPr>
            <w:r>
              <w:rPr>
                <w:rFonts w:ascii="Arial" w:cs="Arial" w:eastAsia="Arial" w:hAnsi="Arial"/>
                <w:sz w:val="15"/>
                <w:szCs w:val="15"/>
                <w:b w:val="1"/>
                <w:bCs w:val="1"/>
                <w:color w:val="auto"/>
              </w:rPr>
              <w:t>2024</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7"/>
              <w:spacing w:after="0" w:line="169" w:lineRule="exact"/>
              <w:rPr>
                <w:sz w:val="20"/>
                <w:szCs w:val="20"/>
                <w:color w:val="auto"/>
              </w:rPr>
            </w:pPr>
            <w:r>
              <w:rPr>
                <w:rFonts w:ascii="Arial" w:cs="Arial" w:eastAsia="Arial" w:hAnsi="Arial"/>
                <w:sz w:val="15"/>
                <w:szCs w:val="15"/>
                <w:b w:val="1"/>
                <w:bCs w:val="1"/>
                <w:color w:val="auto"/>
                <w:w w:val="95"/>
              </w:rPr>
              <w:t>2023</w:t>
            </w: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7"/>
              <w:spacing w:after="0" w:line="169" w:lineRule="exact"/>
              <w:rPr>
                <w:sz w:val="20"/>
                <w:szCs w:val="20"/>
                <w:color w:val="auto"/>
              </w:rPr>
            </w:pPr>
            <w:r>
              <w:rPr>
                <w:rFonts w:ascii="Arial" w:cs="Arial" w:eastAsia="Arial" w:hAnsi="Arial"/>
                <w:sz w:val="15"/>
                <w:szCs w:val="15"/>
                <w:b w:val="1"/>
                <w:bCs w:val="1"/>
                <w:color w:val="auto"/>
              </w:rPr>
              <w:t>2022</w:t>
            </w:r>
          </w:p>
        </w:tc>
      </w:tr>
      <w:tr>
        <w:trPr>
          <w:trHeight w:val="149"/>
        </w:trPr>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47"/>
              <w:spacing w:after="0" w:line="149" w:lineRule="exact"/>
              <w:rPr>
                <w:sz w:val="20"/>
                <w:szCs w:val="20"/>
                <w:color w:val="auto"/>
              </w:rPr>
            </w:pPr>
            <w:r>
              <w:rPr>
                <w:rFonts w:ascii="Arial" w:cs="Arial" w:eastAsia="Arial" w:hAnsi="Arial"/>
                <w:sz w:val="15"/>
                <w:szCs w:val="15"/>
                <w:color w:val="auto"/>
                <w:w w:val="97"/>
              </w:rPr>
              <w:t>(In thousands)</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9"/>
        </w:trPr>
        <w:tc>
          <w:tcPr>
            <w:tcW w:w="4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Equipment leased to customers</w:t>
            </w:r>
          </w:p>
        </w:tc>
        <w:tc>
          <w:tcPr>
            <w:tcW w:w="280" w:type="dxa"/>
            <w:vAlign w:val="bottom"/>
            <w:shd w:val="clear" w:color="auto" w:fill="CCEEFF"/>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283,099</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329,449</w:t>
            </w: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400,651</w:t>
            </w:r>
          </w:p>
        </w:tc>
      </w:tr>
      <w:tr>
        <w:trPr>
          <w:trHeight w:val="169"/>
        </w:trPr>
        <w:tc>
          <w:tcPr>
            <w:tcW w:w="4540" w:type="dxa"/>
            <w:vAlign w:val="bottom"/>
          </w:tcPr>
          <w:p>
            <w:pPr>
              <w:spacing w:after="0" w:line="169" w:lineRule="exact"/>
              <w:rPr>
                <w:sz w:val="20"/>
                <w:szCs w:val="20"/>
                <w:color w:val="auto"/>
              </w:rPr>
            </w:pPr>
            <w:r>
              <w:rPr>
                <w:rFonts w:ascii="Arial" w:cs="Arial" w:eastAsia="Arial" w:hAnsi="Arial"/>
                <w:sz w:val="15"/>
                <w:szCs w:val="15"/>
                <w:color w:val="auto"/>
              </w:rPr>
              <w:t>Satellites</w:t>
            </w:r>
          </w:p>
        </w:tc>
        <w:tc>
          <w:tcPr>
            <w:tcW w:w="2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293,260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264,433</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268,994</w:t>
            </w:r>
          </w:p>
        </w:tc>
      </w:tr>
      <w:tr>
        <w:trPr>
          <w:trHeight w:val="169"/>
        </w:trPr>
        <w:tc>
          <w:tcPr>
            <w:tcW w:w="4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Buildings, furniture, fixtures, equipment and other</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124,123</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144,722</w:t>
            </w: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98,762</w:t>
            </w:r>
          </w:p>
        </w:tc>
      </w:tr>
      <w:tr>
        <w:trPr>
          <w:trHeight w:val="169"/>
        </w:trPr>
        <w:tc>
          <w:tcPr>
            <w:tcW w:w="4540" w:type="dxa"/>
            <w:vAlign w:val="bottom"/>
          </w:tcPr>
          <w:p>
            <w:pPr>
              <w:spacing w:after="0" w:line="169" w:lineRule="exact"/>
              <w:rPr>
                <w:sz w:val="20"/>
                <w:szCs w:val="20"/>
                <w:color w:val="auto"/>
              </w:rPr>
            </w:pPr>
            <w:r>
              <w:rPr>
                <w:rFonts w:ascii="Arial" w:cs="Arial" w:eastAsia="Arial" w:hAnsi="Arial"/>
                <w:sz w:val="15"/>
                <w:szCs w:val="15"/>
                <w:color w:val="auto"/>
              </w:rPr>
              <w:t>5G Network Deployment equipment</w:t>
            </w:r>
          </w:p>
        </w:tc>
        <w:tc>
          <w:tcPr>
            <w:tcW w:w="2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718,729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371,640</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29,992</w:t>
            </w:r>
          </w:p>
        </w:tc>
      </w:tr>
      <w:tr>
        <w:trPr>
          <w:trHeight w:val="169"/>
        </w:trPr>
        <w:tc>
          <w:tcPr>
            <w:tcW w:w="4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Software and computer equipment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374,953</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270,200</w:t>
            </w: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185,538</w:t>
            </w:r>
          </w:p>
        </w:tc>
      </w:tr>
      <w:tr>
        <w:trPr>
          <w:trHeight w:val="169"/>
        </w:trPr>
        <w:tc>
          <w:tcPr>
            <w:tcW w:w="454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Intangible assets and other amortization expense</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136,029</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217,479</w:t>
            </w:r>
          </w:p>
        </w:tc>
        <w:tc>
          <w:tcPr>
            <w:tcW w:w="2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190,958</w:t>
            </w:r>
          </w:p>
        </w:tc>
      </w:tr>
      <w:tr>
        <w:trPr>
          <w:trHeight w:val="162"/>
        </w:trPr>
        <w:tc>
          <w:tcPr>
            <w:tcW w:w="454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depreciation and amortization</w:t>
            </w:r>
          </w:p>
        </w:tc>
        <w:tc>
          <w:tcPr>
            <w:tcW w:w="280" w:type="dxa"/>
            <w:vAlign w:val="bottom"/>
            <w:tcBorders>
              <w:bottom w:val="single" w:sz="8" w:color="auto"/>
            </w:tcBorders>
            <w:shd w:val="clear" w:color="auto" w:fill="CCEEFF"/>
          </w:tcPr>
          <w:p>
            <w:pPr>
              <w:jc w:val="right"/>
              <w:ind w:right="127"/>
              <w:spacing w:after="0" w:line="161"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1,930,193</w:t>
            </w:r>
          </w:p>
        </w:tc>
        <w:tc>
          <w:tcPr>
            <w:tcW w:w="2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1,597,923</w:t>
            </w:r>
          </w:p>
        </w:tc>
        <w:tc>
          <w:tcPr>
            <w:tcW w:w="2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7"/>
              <w:spacing w:after="0" w:line="161"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1,174,895</w:t>
            </w: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left="40" w:right="159"/>
        <w:spacing w:after="0" w:line="249" w:lineRule="auto"/>
        <w:rPr>
          <w:sz w:val="20"/>
          <w:szCs w:val="20"/>
          <w:color w:val="auto"/>
        </w:rPr>
      </w:pPr>
      <w:r>
        <w:rPr>
          <w:rFonts w:ascii="Arial" w:cs="Arial" w:eastAsia="Arial" w:hAnsi="Arial"/>
          <w:sz w:val="16"/>
          <w:szCs w:val="16"/>
          <w:color w:val="auto"/>
        </w:rPr>
        <w:t>Cost of sales and operating expense categories included in our accompanying Consolidated Statements of Operations and Comprehensive Income (Loss) do not include depreciation and amortization expense related to satellites, equipment leased to customers, or our 5G Network Deployment equipment and software, and amortization of development costs of externally marketed software.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59" w:name="page160"/>
    <w:bookmarkEnd w:id="15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Activity relating to our asset retirement obligations was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5"/>
                <w:szCs w:val="15"/>
                <w:b w:val="1"/>
                <w:bCs w:val="1"/>
                <w:color w:val="auto"/>
              </w:rPr>
              <w:t>As of December 31,</w:t>
            </w:r>
          </w:p>
        </w:tc>
        <w:tc>
          <w:tcPr>
            <w:tcW w:w="110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2024</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7"/>
              <w:spacing w:after="0" w:line="169" w:lineRule="exact"/>
              <w:rPr>
                <w:sz w:val="20"/>
                <w:szCs w:val="20"/>
                <w:color w:val="auto"/>
              </w:rPr>
            </w:pPr>
            <w:r>
              <w:rPr>
                <w:rFonts w:ascii="Arial" w:cs="Arial" w:eastAsia="Arial" w:hAnsi="Arial"/>
                <w:sz w:val="15"/>
                <w:szCs w:val="15"/>
                <w:b w:val="1"/>
                <w:bCs w:val="1"/>
                <w:color w:val="auto"/>
              </w:rPr>
              <w:t>2023</w:t>
            </w:r>
          </w:p>
        </w:tc>
      </w:tr>
      <w:tr>
        <w:trPr>
          <w:trHeight w:val="149"/>
        </w:trPr>
        <w:tc>
          <w:tcPr>
            <w:tcW w:w="5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gridSpan w:val="3"/>
          </w:tcPr>
          <w:p>
            <w:pPr>
              <w:jc w:val="right"/>
              <w:ind w:right="207"/>
              <w:spacing w:after="0" w:line="149" w:lineRule="exact"/>
              <w:rPr>
                <w:sz w:val="20"/>
                <w:szCs w:val="20"/>
                <w:color w:val="auto"/>
              </w:rPr>
            </w:pPr>
            <w:r>
              <w:rPr>
                <w:rFonts w:ascii="Arial" w:cs="Arial" w:eastAsia="Arial" w:hAnsi="Arial"/>
                <w:sz w:val="15"/>
                <w:szCs w:val="15"/>
                <w:color w:val="auto"/>
              </w:rPr>
              <w:t>(In thousands)</w:t>
            </w:r>
          </w:p>
        </w:tc>
        <w:tc>
          <w:tcPr>
            <w:tcW w:w="1100" w:type="dxa"/>
            <w:vAlign w:val="bottom"/>
          </w:tcPr>
          <w:p>
            <w:pPr>
              <w:spacing w:after="0"/>
              <w:rPr>
                <w:sz w:val="12"/>
                <w:szCs w:val="12"/>
                <w:color w:val="auto"/>
              </w:rPr>
            </w:pPr>
          </w:p>
        </w:tc>
      </w:tr>
      <w:tr>
        <w:trPr>
          <w:trHeight w:val="169"/>
        </w:trPr>
        <w:tc>
          <w:tcPr>
            <w:tcW w:w="52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Balance, beginning of period</w:t>
            </w:r>
          </w:p>
        </w:tc>
        <w:tc>
          <w:tcPr>
            <w:tcW w:w="1040" w:type="dxa"/>
            <w:vAlign w:val="bottom"/>
            <w:shd w:val="clear" w:color="auto" w:fill="CCEEFF"/>
          </w:tcPr>
          <w:p>
            <w:pPr>
              <w:jc w:val="right"/>
              <w:ind w:right="887"/>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278,287</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7"/>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183,135</w:t>
            </w:r>
          </w:p>
        </w:tc>
      </w:tr>
      <w:tr>
        <w:trPr>
          <w:trHeight w:val="169"/>
        </w:trPr>
        <w:tc>
          <w:tcPr>
            <w:tcW w:w="5220" w:type="dxa"/>
            <w:vAlign w:val="bottom"/>
          </w:tcPr>
          <w:p>
            <w:pPr>
              <w:spacing w:after="0" w:line="169" w:lineRule="exact"/>
              <w:rPr>
                <w:sz w:val="20"/>
                <w:szCs w:val="20"/>
                <w:color w:val="auto"/>
              </w:rPr>
            </w:pPr>
            <w:r>
              <w:rPr>
                <w:rFonts w:ascii="Arial" w:cs="Arial" w:eastAsia="Arial" w:hAnsi="Arial"/>
                <w:sz w:val="15"/>
                <w:szCs w:val="15"/>
                <w:color w:val="auto"/>
              </w:rPr>
              <w:t>Liabilities incurred</w:t>
            </w:r>
          </w:p>
        </w:tc>
        <w:tc>
          <w:tcPr>
            <w:tcW w:w="104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20,929</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74,189</w:t>
            </w:r>
          </w:p>
        </w:tc>
      </w:tr>
      <w:tr>
        <w:trPr>
          <w:trHeight w:val="169"/>
        </w:trPr>
        <w:tc>
          <w:tcPr>
            <w:tcW w:w="52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Accretion expense</w:t>
            </w:r>
          </w:p>
        </w:tc>
        <w:tc>
          <w:tcPr>
            <w:tcW w:w="10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27,815</w:t>
            </w:r>
          </w:p>
        </w:tc>
        <w:tc>
          <w:tcPr>
            <w:tcW w:w="34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20,963</w:t>
            </w:r>
          </w:p>
        </w:tc>
      </w:tr>
      <w:tr>
        <w:trPr>
          <w:trHeight w:val="202"/>
        </w:trPr>
        <w:tc>
          <w:tcPr>
            <w:tcW w:w="522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b w:val="1"/>
                <w:bCs w:val="1"/>
                <w:color w:val="auto"/>
              </w:rPr>
              <w:t>Balance, end of period</w:t>
            </w:r>
          </w:p>
        </w:tc>
        <w:tc>
          <w:tcPr>
            <w:tcW w:w="1040" w:type="dxa"/>
            <w:vAlign w:val="bottom"/>
            <w:tcBorders>
              <w:bottom w:val="single" w:sz="8" w:color="auto"/>
            </w:tcBorders>
          </w:tcPr>
          <w:p>
            <w:pPr>
              <w:jc w:val="right"/>
              <w:ind w:right="887"/>
              <w:spacing w:after="0" w:line="161"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327,031</w:t>
            </w:r>
          </w:p>
        </w:tc>
        <w:tc>
          <w:tcPr>
            <w:tcW w:w="3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447"/>
              <w:spacing w:after="0" w:line="161"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278,287</w:t>
            </w:r>
          </w:p>
        </w:tc>
      </w:tr>
      <w:tr>
        <w:trPr>
          <w:trHeight w:val="146"/>
        </w:trPr>
        <w:tc>
          <w:tcPr>
            <w:tcW w:w="522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r>
      <w:tr>
        <w:trPr>
          <w:trHeight w:val="202"/>
        </w:trPr>
        <w:tc>
          <w:tcPr>
            <w:tcW w:w="522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b w:val="1"/>
                <w:bCs w:val="1"/>
                <w:color w:val="auto"/>
              </w:rPr>
              <w:t>Total included in Other long-term liabilities</w:t>
            </w:r>
          </w:p>
        </w:tc>
        <w:tc>
          <w:tcPr>
            <w:tcW w:w="1040" w:type="dxa"/>
            <w:vAlign w:val="bottom"/>
            <w:tcBorders>
              <w:bottom w:val="single" w:sz="8" w:color="auto"/>
            </w:tcBorders>
          </w:tcPr>
          <w:p>
            <w:pPr>
              <w:jc w:val="right"/>
              <w:ind w:right="887"/>
              <w:spacing w:after="0" w:line="161"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327,031</w:t>
            </w:r>
          </w:p>
        </w:tc>
        <w:tc>
          <w:tcPr>
            <w:tcW w:w="3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447"/>
              <w:spacing w:after="0" w:line="161"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278,287</w:t>
            </w:r>
          </w:p>
        </w:tc>
      </w:tr>
      <w:tr>
        <w:trPr>
          <w:trHeight w:val="158"/>
        </w:trPr>
        <w:tc>
          <w:tcPr>
            <w:tcW w:w="5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bl>
    <w:p>
      <w:pPr>
        <w:spacing w:after="0" w:line="177" w:lineRule="exact"/>
        <w:rPr>
          <w:sz w:val="20"/>
          <w:szCs w:val="20"/>
          <w:color w:val="auto"/>
        </w:rPr>
      </w:pPr>
    </w:p>
    <w:p>
      <w:pPr>
        <w:ind w:left="40" w:right="359"/>
        <w:spacing w:after="0" w:line="275" w:lineRule="auto"/>
        <w:rPr>
          <w:sz w:val="20"/>
          <w:szCs w:val="20"/>
          <w:color w:val="auto"/>
        </w:rPr>
      </w:pPr>
      <w:r>
        <w:rPr>
          <w:rFonts w:ascii="Arial" w:cs="Arial" w:eastAsia="Arial" w:hAnsi="Arial"/>
          <w:sz w:val="16"/>
          <w:szCs w:val="16"/>
          <w:color w:val="auto"/>
        </w:rPr>
        <w:t>The corresponding assets, net of accumulated depreciation, related to asset retirement obligations were $216 million and $217 million as of December 31, 2024 and 2023, respectively.</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Satellites Pay-TV Segment</w:t>
      </w:r>
    </w:p>
    <w:p>
      <w:pPr>
        <w:spacing w:after="0" w:line="177" w:lineRule="exact"/>
        <w:rPr>
          <w:sz w:val="20"/>
          <w:szCs w:val="20"/>
          <w:color w:val="auto"/>
        </w:rPr>
      </w:pPr>
    </w:p>
    <w:p>
      <w:pPr>
        <w:ind w:left="40" w:right="59"/>
        <w:spacing w:after="0" w:line="246" w:lineRule="auto"/>
        <w:rPr>
          <w:sz w:val="20"/>
          <w:szCs w:val="20"/>
          <w:color w:val="auto"/>
        </w:rPr>
      </w:pPr>
      <w:r>
        <w:rPr>
          <w:rFonts w:ascii="Arial" w:cs="Arial" w:eastAsia="Arial" w:hAnsi="Arial"/>
          <w:sz w:val="16"/>
          <w:szCs w:val="16"/>
          <w:color w:val="auto"/>
        </w:rPr>
        <w:t xml:space="preserve">Our Pay-TV segment currently utilizes nine satellites in </w:t>
      </w:r>
      <w:r>
        <w:rPr>
          <w:rFonts w:ascii="Arial" w:cs="Arial" w:eastAsia="Arial" w:hAnsi="Arial"/>
          <w:sz w:val="16"/>
          <w:szCs w:val="16"/>
          <w:color w:val="222222"/>
        </w:rPr>
        <w:t>geosynchronous</w:t>
      </w:r>
      <w:r>
        <w:rPr>
          <w:rFonts w:ascii="Arial" w:cs="Arial" w:eastAsia="Arial" w:hAnsi="Arial"/>
          <w:sz w:val="16"/>
          <w:szCs w:val="16"/>
          <w:color w:val="auto"/>
        </w:rPr>
        <w:t xml:space="preserve"> orbit approximately 22,300 miles above the equator, seven of which we own and depreciate over their estimated useful life. We also lease two satellites from third parties: Anik F3 and Nimiq 5, which are accounted for as operating leases. Through the third quarter of 2024, our Nimiq 5 satellite was accounted for as finance lease within our Pay-TV segment. However, during October 2024, we extended the Nimiq 5 lease and as a result it is currently accounted for as an operating lease.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2024, our Pay-TV segment satellite fleet consisted of the following:</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8"/>
              </w:rPr>
              <w:t>Degree</w:t>
            </w:r>
          </w:p>
        </w:tc>
        <w:tc>
          <w:tcPr>
            <w:tcW w:w="2140" w:type="dxa"/>
            <w:vAlign w:val="bottom"/>
          </w:tcPr>
          <w:p>
            <w:pPr>
              <w:jc w:val="center"/>
              <w:spacing w:after="0"/>
              <w:rPr>
                <w:sz w:val="20"/>
                <w:szCs w:val="20"/>
                <w:color w:val="auto"/>
              </w:rPr>
            </w:pPr>
            <w:r>
              <w:rPr>
                <w:rFonts w:ascii="Arial" w:cs="Arial" w:eastAsia="Arial" w:hAnsi="Arial"/>
                <w:sz w:val="15"/>
                <w:szCs w:val="15"/>
                <w:b w:val="1"/>
                <w:bCs w:val="1"/>
                <w:color w:val="auto"/>
                <w:w w:val="98"/>
              </w:rPr>
              <w:t>Lease</w:t>
            </w:r>
          </w:p>
        </w:tc>
      </w:tr>
      <w:tr>
        <w:trPr>
          <w:trHeight w:val="169"/>
        </w:trPr>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7"/>
              </w:rPr>
              <w:t>Launch</w:t>
            </w:r>
          </w:p>
        </w:tc>
        <w:tc>
          <w:tcPr>
            <w:tcW w:w="132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5"/>
              </w:rPr>
              <w:t>Orbital</w:t>
            </w:r>
          </w:p>
        </w:tc>
        <w:tc>
          <w:tcPr>
            <w:tcW w:w="214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5"/>
              </w:rPr>
              <w:t>Termination</w:t>
            </w:r>
          </w:p>
        </w:tc>
      </w:tr>
      <w:tr>
        <w:trPr>
          <w:trHeight w:val="182"/>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rPr>
              <w:t>Satellites</w:t>
            </w:r>
          </w:p>
        </w:tc>
        <w:tc>
          <w:tcPr>
            <w:tcW w:w="22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8"/>
              </w:rPr>
              <w:t>Date</w:t>
            </w: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Location</w:t>
            </w:r>
          </w:p>
        </w:tc>
        <w:tc>
          <w:tcPr>
            <w:tcW w:w="2140" w:type="dxa"/>
            <w:vAlign w:val="bottom"/>
          </w:tcPr>
          <w:p>
            <w:pPr>
              <w:jc w:val="center"/>
              <w:spacing w:after="0"/>
              <w:rPr>
                <w:sz w:val="20"/>
                <w:szCs w:val="20"/>
                <w:color w:val="auto"/>
              </w:rPr>
            </w:pPr>
            <w:r>
              <w:rPr>
                <w:rFonts w:ascii="Arial" w:cs="Arial" w:eastAsia="Arial" w:hAnsi="Arial"/>
                <w:sz w:val="15"/>
                <w:szCs w:val="15"/>
                <w:b w:val="1"/>
                <w:bCs w:val="1"/>
                <w:color w:val="auto"/>
                <w:w w:val="92"/>
              </w:rPr>
              <w:t>Date</w:t>
            </w:r>
          </w:p>
        </w:tc>
      </w:tr>
      <w:tr>
        <w:trPr>
          <w:trHeight w:val="162"/>
        </w:trPr>
        <w:tc>
          <w:tcPr>
            <w:tcW w:w="29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Owned:</w:t>
            </w:r>
          </w:p>
        </w:tc>
        <w:tc>
          <w:tcPr>
            <w:tcW w:w="28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spacing w:after="0"/>
              <w:rPr>
                <w:sz w:val="14"/>
                <w:szCs w:val="14"/>
                <w:color w:val="auto"/>
              </w:rPr>
            </w:pP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5"/>
                <w:szCs w:val="15"/>
                <w:color w:val="auto"/>
              </w:rPr>
              <w:t>EchoStar X</w:t>
            </w:r>
          </w:p>
        </w:tc>
        <w:tc>
          <w:tcPr>
            <w:tcW w:w="226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8"/>
              </w:rPr>
              <w:t>February 2006</w:t>
            </w:r>
          </w:p>
        </w:tc>
        <w:tc>
          <w:tcPr>
            <w:tcW w:w="1040" w:type="dxa"/>
            <w:vAlign w:val="bottom"/>
          </w:tcPr>
          <w:p>
            <w:pPr>
              <w:jc w:val="center"/>
              <w:spacing w:after="0" w:line="169" w:lineRule="exact"/>
              <w:rPr>
                <w:sz w:val="20"/>
                <w:szCs w:val="20"/>
                <w:color w:val="auto"/>
              </w:rPr>
            </w:pPr>
            <w:r>
              <w:rPr>
                <w:rFonts w:ascii="Arial" w:cs="Arial" w:eastAsia="Arial" w:hAnsi="Arial"/>
                <w:sz w:val="15"/>
                <w:szCs w:val="15"/>
                <w:color w:val="auto"/>
                <w:w w:val="87"/>
              </w:rPr>
              <w:t>110</w:t>
            </w:r>
          </w:p>
        </w:tc>
        <w:tc>
          <w:tcPr>
            <w:tcW w:w="280" w:type="dxa"/>
            <w:vAlign w:val="bottom"/>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Arial" w:cs="Arial" w:eastAsia="Arial" w:hAnsi="Arial"/>
                <w:sz w:val="15"/>
                <w:szCs w:val="15"/>
                <w:color w:val="auto"/>
              </w:rPr>
              <w:t>N/A</w:t>
            </w:r>
          </w:p>
        </w:tc>
      </w:tr>
      <w:tr>
        <w:trPr>
          <w:trHeight w:val="169"/>
        </w:trPr>
        <w:tc>
          <w:tcPr>
            <w:tcW w:w="32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EchoStar XI</w:t>
            </w:r>
          </w:p>
        </w:tc>
        <w:tc>
          <w:tcPr>
            <w:tcW w:w="2260" w:type="dxa"/>
            <w:vAlign w:val="bottom"/>
            <w:gridSpan w:val="2"/>
            <w:shd w:val="clear" w:color="auto" w:fill="CCEEFF"/>
          </w:tcPr>
          <w:p>
            <w:pPr>
              <w:jc w:val="center"/>
              <w:ind w:right="240"/>
              <w:spacing w:after="0" w:line="169" w:lineRule="exact"/>
              <w:rPr>
                <w:sz w:val="20"/>
                <w:szCs w:val="20"/>
                <w:color w:val="auto"/>
              </w:rPr>
            </w:pPr>
            <w:r>
              <w:rPr>
                <w:rFonts w:ascii="Arial" w:cs="Arial" w:eastAsia="Arial" w:hAnsi="Arial"/>
                <w:sz w:val="15"/>
                <w:szCs w:val="15"/>
                <w:color w:val="auto"/>
                <w:w w:val="96"/>
              </w:rPr>
              <w:t>July 2008</w:t>
            </w:r>
          </w:p>
        </w:tc>
        <w:tc>
          <w:tcPr>
            <w:tcW w:w="10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87"/>
              </w:rPr>
              <w:t>110</w:t>
            </w: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rPr>
              <w:t>N/A</w:t>
            </w: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5"/>
                <w:szCs w:val="15"/>
                <w:color w:val="auto"/>
              </w:rPr>
              <w:t>EchoStar XIV</w:t>
            </w:r>
          </w:p>
        </w:tc>
        <w:tc>
          <w:tcPr>
            <w:tcW w:w="226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5"/>
              </w:rPr>
              <w:t>March 2010</w:t>
            </w:r>
          </w:p>
        </w:tc>
        <w:tc>
          <w:tcPr>
            <w:tcW w:w="1040" w:type="dxa"/>
            <w:vAlign w:val="bottom"/>
          </w:tcPr>
          <w:p>
            <w:pPr>
              <w:jc w:val="center"/>
              <w:spacing w:after="0" w:line="169" w:lineRule="exact"/>
              <w:rPr>
                <w:sz w:val="20"/>
                <w:szCs w:val="20"/>
                <w:color w:val="auto"/>
              </w:rPr>
            </w:pPr>
            <w:r>
              <w:rPr>
                <w:rFonts w:ascii="Arial" w:cs="Arial" w:eastAsia="Arial" w:hAnsi="Arial"/>
                <w:sz w:val="15"/>
                <w:szCs w:val="15"/>
                <w:color w:val="auto"/>
                <w:w w:val="87"/>
              </w:rPr>
              <w:t>119</w:t>
            </w:r>
          </w:p>
        </w:tc>
        <w:tc>
          <w:tcPr>
            <w:tcW w:w="280" w:type="dxa"/>
            <w:vAlign w:val="bottom"/>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Arial" w:cs="Arial" w:eastAsia="Arial" w:hAnsi="Arial"/>
                <w:sz w:val="15"/>
                <w:szCs w:val="15"/>
                <w:color w:val="auto"/>
              </w:rPr>
              <w:t>N/A</w:t>
            </w:r>
          </w:p>
        </w:tc>
      </w:tr>
      <w:tr>
        <w:trPr>
          <w:trHeight w:val="169"/>
        </w:trPr>
        <w:tc>
          <w:tcPr>
            <w:tcW w:w="32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EchoStar XV</w:t>
            </w:r>
          </w:p>
        </w:tc>
        <w:tc>
          <w:tcPr>
            <w:tcW w:w="2260" w:type="dxa"/>
            <w:vAlign w:val="bottom"/>
            <w:gridSpan w:val="2"/>
            <w:shd w:val="clear" w:color="auto" w:fill="CCEEFF"/>
          </w:tcPr>
          <w:p>
            <w:pPr>
              <w:jc w:val="center"/>
              <w:ind w:right="240"/>
              <w:spacing w:after="0" w:line="169" w:lineRule="exact"/>
              <w:rPr>
                <w:sz w:val="20"/>
                <w:szCs w:val="20"/>
                <w:color w:val="auto"/>
              </w:rPr>
            </w:pPr>
            <w:r>
              <w:rPr>
                <w:rFonts w:ascii="Arial" w:cs="Arial" w:eastAsia="Arial" w:hAnsi="Arial"/>
                <w:sz w:val="15"/>
                <w:szCs w:val="15"/>
                <w:color w:val="auto"/>
                <w:w w:val="96"/>
              </w:rPr>
              <w:t>July 2010</w:t>
            </w:r>
          </w:p>
        </w:tc>
        <w:tc>
          <w:tcPr>
            <w:tcW w:w="10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61.5</w:t>
            </w: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rPr>
              <w:t>N/A</w:t>
            </w: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5"/>
                <w:szCs w:val="15"/>
                <w:color w:val="auto"/>
              </w:rPr>
              <w:t>EchoStar XVI</w:t>
            </w:r>
          </w:p>
        </w:tc>
        <w:tc>
          <w:tcPr>
            <w:tcW w:w="226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7"/>
              </w:rPr>
              <w:t>November 2012</w:t>
            </w:r>
          </w:p>
        </w:tc>
        <w:tc>
          <w:tcPr>
            <w:tcW w:w="1040" w:type="dxa"/>
            <w:vAlign w:val="bottom"/>
          </w:tcPr>
          <w:p>
            <w:pPr>
              <w:jc w:val="center"/>
              <w:spacing w:after="0" w:line="169" w:lineRule="exact"/>
              <w:rPr>
                <w:sz w:val="20"/>
                <w:szCs w:val="20"/>
                <w:color w:val="auto"/>
              </w:rPr>
            </w:pPr>
            <w:r>
              <w:rPr>
                <w:rFonts w:ascii="Arial" w:cs="Arial" w:eastAsia="Arial" w:hAnsi="Arial"/>
                <w:sz w:val="15"/>
                <w:szCs w:val="15"/>
                <w:color w:val="auto"/>
                <w:w w:val="95"/>
              </w:rPr>
              <w:t>61.5</w:t>
            </w:r>
          </w:p>
        </w:tc>
        <w:tc>
          <w:tcPr>
            <w:tcW w:w="280" w:type="dxa"/>
            <w:vAlign w:val="bottom"/>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Arial" w:cs="Arial" w:eastAsia="Arial" w:hAnsi="Arial"/>
                <w:sz w:val="15"/>
                <w:szCs w:val="15"/>
                <w:color w:val="auto"/>
              </w:rPr>
              <w:t>N/A</w:t>
            </w:r>
          </w:p>
        </w:tc>
      </w:tr>
      <w:tr>
        <w:trPr>
          <w:trHeight w:val="169"/>
        </w:trPr>
        <w:tc>
          <w:tcPr>
            <w:tcW w:w="32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EchoStar XVIII</w:t>
            </w:r>
          </w:p>
        </w:tc>
        <w:tc>
          <w:tcPr>
            <w:tcW w:w="2260" w:type="dxa"/>
            <w:vAlign w:val="bottom"/>
            <w:gridSpan w:val="2"/>
            <w:shd w:val="clear" w:color="auto" w:fill="CCEEFF"/>
          </w:tcPr>
          <w:p>
            <w:pPr>
              <w:jc w:val="center"/>
              <w:ind w:right="260"/>
              <w:spacing w:after="0" w:line="169" w:lineRule="exact"/>
              <w:rPr>
                <w:sz w:val="20"/>
                <w:szCs w:val="20"/>
                <w:color w:val="auto"/>
              </w:rPr>
            </w:pPr>
            <w:r>
              <w:rPr>
                <w:rFonts w:ascii="Arial" w:cs="Arial" w:eastAsia="Arial" w:hAnsi="Arial"/>
                <w:sz w:val="15"/>
                <w:szCs w:val="15"/>
                <w:color w:val="auto"/>
                <w:w w:val="97"/>
              </w:rPr>
              <w:t>June 2016</w:t>
            </w:r>
          </w:p>
        </w:tc>
        <w:tc>
          <w:tcPr>
            <w:tcW w:w="10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61.5</w:t>
            </w: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rPr>
              <w:t>N/A</w:t>
            </w: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5"/>
                <w:szCs w:val="15"/>
                <w:color w:val="auto"/>
              </w:rPr>
              <w:t>EchoStar XXIII</w:t>
            </w:r>
          </w:p>
        </w:tc>
        <w:tc>
          <w:tcPr>
            <w:tcW w:w="226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5"/>
              </w:rPr>
              <w:t>March 2017</w:t>
            </w:r>
          </w:p>
        </w:tc>
        <w:tc>
          <w:tcPr>
            <w:tcW w:w="1040" w:type="dxa"/>
            <w:vAlign w:val="bottom"/>
          </w:tcPr>
          <w:p>
            <w:pPr>
              <w:jc w:val="center"/>
              <w:spacing w:after="0" w:line="169" w:lineRule="exact"/>
              <w:rPr>
                <w:sz w:val="20"/>
                <w:szCs w:val="20"/>
                <w:color w:val="auto"/>
              </w:rPr>
            </w:pPr>
            <w:r>
              <w:rPr>
                <w:rFonts w:ascii="Arial" w:cs="Arial" w:eastAsia="Arial" w:hAnsi="Arial"/>
                <w:sz w:val="15"/>
                <w:szCs w:val="15"/>
                <w:color w:val="auto"/>
                <w:w w:val="87"/>
              </w:rPr>
              <w:t>110</w:t>
            </w:r>
          </w:p>
        </w:tc>
        <w:tc>
          <w:tcPr>
            <w:tcW w:w="280" w:type="dxa"/>
            <w:vAlign w:val="bottom"/>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Arial" w:cs="Arial" w:eastAsia="Arial" w:hAnsi="Arial"/>
                <w:sz w:val="15"/>
                <w:szCs w:val="15"/>
                <w:color w:val="auto"/>
              </w:rPr>
              <w:t>N/A</w:t>
            </w:r>
          </w:p>
        </w:tc>
      </w:tr>
      <w:tr>
        <w:trPr>
          <w:trHeight w:val="169"/>
        </w:trPr>
        <w:tc>
          <w:tcPr>
            <w:tcW w:w="2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Under Construction:</w:t>
            </w: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9"/>
        </w:trPr>
        <w:tc>
          <w:tcPr>
            <w:tcW w:w="32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EchoStar XXV</w:t>
            </w:r>
          </w:p>
        </w:tc>
        <w:tc>
          <w:tcPr>
            <w:tcW w:w="200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2026</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87"/>
              </w:rPr>
              <w:t>110</w:t>
            </w: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rPr>
              <w:t>N/A</w:t>
            </w:r>
          </w:p>
        </w:tc>
      </w:tr>
      <w:tr>
        <w:trPr>
          <w:trHeight w:val="169"/>
        </w:trPr>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9"/>
        </w:trPr>
        <w:tc>
          <w:tcPr>
            <w:tcW w:w="32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Leased from Other Third-Party:</w:t>
            </w:r>
          </w:p>
        </w:tc>
        <w:tc>
          <w:tcPr>
            <w:tcW w:w="2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5"/>
                <w:szCs w:val="15"/>
                <w:color w:val="auto"/>
              </w:rPr>
              <w:t>Anik F3</w:t>
            </w:r>
          </w:p>
        </w:tc>
        <w:tc>
          <w:tcPr>
            <w:tcW w:w="2260" w:type="dxa"/>
            <w:vAlign w:val="bottom"/>
            <w:gridSpan w:val="2"/>
          </w:tcPr>
          <w:p>
            <w:pPr>
              <w:jc w:val="center"/>
              <w:ind w:right="260"/>
              <w:spacing w:after="0" w:line="169" w:lineRule="exact"/>
              <w:rPr>
                <w:sz w:val="20"/>
                <w:szCs w:val="20"/>
                <w:color w:val="auto"/>
              </w:rPr>
            </w:pPr>
            <w:r>
              <w:rPr>
                <w:rFonts w:ascii="Arial" w:cs="Arial" w:eastAsia="Arial" w:hAnsi="Arial"/>
                <w:sz w:val="15"/>
                <w:szCs w:val="15"/>
                <w:color w:val="auto"/>
                <w:w w:val="94"/>
              </w:rPr>
              <w:t>April 2007</w:t>
            </w:r>
          </w:p>
        </w:tc>
        <w:tc>
          <w:tcPr>
            <w:tcW w:w="1040" w:type="dxa"/>
            <w:vAlign w:val="bottom"/>
          </w:tcPr>
          <w:p>
            <w:pPr>
              <w:jc w:val="center"/>
              <w:spacing w:after="0" w:line="169" w:lineRule="exact"/>
              <w:rPr>
                <w:sz w:val="20"/>
                <w:szCs w:val="20"/>
                <w:color w:val="auto"/>
              </w:rPr>
            </w:pPr>
            <w:r>
              <w:rPr>
                <w:rFonts w:ascii="Arial" w:cs="Arial" w:eastAsia="Arial" w:hAnsi="Arial"/>
                <w:sz w:val="15"/>
                <w:szCs w:val="15"/>
                <w:color w:val="auto"/>
                <w:w w:val="95"/>
              </w:rPr>
              <w:t>118.7</w:t>
            </w:r>
          </w:p>
        </w:tc>
        <w:tc>
          <w:tcPr>
            <w:tcW w:w="280" w:type="dxa"/>
            <w:vAlign w:val="bottom"/>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Arial" w:cs="Arial" w:eastAsia="Arial" w:hAnsi="Arial"/>
                <w:sz w:val="15"/>
                <w:szCs w:val="15"/>
                <w:color w:val="auto"/>
                <w:w w:val="97"/>
              </w:rPr>
              <w:t>April 2025</w:t>
            </w:r>
          </w:p>
        </w:tc>
      </w:tr>
      <w:tr>
        <w:trPr>
          <w:trHeight w:val="169"/>
        </w:trPr>
        <w:tc>
          <w:tcPr>
            <w:tcW w:w="32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Nimiq 5</w:t>
            </w:r>
          </w:p>
        </w:tc>
        <w:tc>
          <w:tcPr>
            <w:tcW w:w="2260" w:type="dxa"/>
            <w:vAlign w:val="bottom"/>
            <w:gridSpan w:val="2"/>
            <w:shd w:val="clear" w:color="auto" w:fill="CCEEFF"/>
          </w:tcPr>
          <w:p>
            <w:pPr>
              <w:jc w:val="center"/>
              <w:ind w:right="260"/>
              <w:spacing w:after="0" w:line="169" w:lineRule="exact"/>
              <w:rPr>
                <w:sz w:val="20"/>
                <w:szCs w:val="20"/>
                <w:color w:val="auto"/>
              </w:rPr>
            </w:pPr>
            <w:r>
              <w:rPr>
                <w:rFonts w:ascii="Arial" w:cs="Arial" w:eastAsia="Arial" w:hAnsi="Arial"/>
                <w:sz w:val="15"/>
                <w:szCs w:val="15"/>
                <w:color w:val="auto"/>
                <w:w w:val="97"/>
              </w:rPr>
              <w:t>September 2009</w:t>
            </w:r>
          </w:p>
        </w:tc>
        <w:tc>
          <w:tcPr>
            <w:tcW w:w="10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72.7</w:t>
            </w: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6"/>
              </w:rPr>
              <w:t>October 2029</w:t>
            </w:r>
          </w:p>
        </w:tc>
      </w:tr>
    </w:tbl>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Satellite Under Construction</w:t>
      </w:r>
    </w:p>
    <w:p>
      <w:pPr>
        <w:spacing w:after="0" w:line="177" w:lineRule="exact"/>
        <w:rPr>
          <w:sz w:val="20"/>
          <w:szCs w:val="20"/>
          <w:color w:val="auto"/>
        </w:rPr>
      </w:pPr>
    </w:p>
    <w:p>
      <w:pPr>
        <w:ind w:left="40" w:right="159"/>
        <w:spacing w:after="0" w:line="249" w:lineRule="auto"/>
        <w:rPr>
          <w:sz w:val="20"/>
          <w:szCs w:val="20"/>
          <w:color w:val="auto"/>
        </w:rPr>
      </w:pPr>
      <w:r>
        <w:rPr>
          <w:rFonts w:ascii="Arial" w:cs="Arial" w:eastAsia="Arial" w:hAnsi="Arial"/>
          <w:sz w:val="16"/>
          <w:szCs w:val="16"/>
          <w:i w:val="1"/>
          <w:iCs w:val="1"/>
          <w:color w:val="auto"/>
        </w:rPr>
        <w:t>EchoStar XXV</w:t>
      </w:r>
      <w:r>
        <w:rPr>
          <w:rFonts w:ascii="Arial" w:cs="Arial" w:eastAsia="Arial" w:hAnsi="Arial"/>
          <w:sz w:val="16"/>
          <w:szCs w:val="16"/>
          <w:color w:val="auto"/>
        </w:rPr>
        <w:t>. On March 20, 2023, we entered into a contract with Maxar Space LLC for the construction of EchoStar XXV,</w:t>
      </w:r>
      <w:r>
        <w:rPr>
          <w:rFonts w:ascii="Arial" w:cs="Arial" w:eastAsia="Arial" w:hAnsi="Arial"/>
          <w:sz w:val="16"/>
          <w:szCs w:val="16"/>
          <w:i w:val="1"/>
          <w:iCs w:val="1"/>
          <w:color w:val="auto"/>
        </w:rPr>
        <w:t xml:space="preserve"> </w:t>
      </w:r>
      <w:r>
        <w:rPr>
          <w:rFonts w:ascii="Arial" w:cs="Arial" w:eastAsia="Arial" w:hAnsi="Arial"/>
          <w:sz w:val="16"/>
          <w:szCs w:val="16"/>
          <w:color w:val="auto"/>
        </w:rPr>
        <w:t>a DBS satellite that is capable of providing service to the continental United States (“CONUS”) and is intended to be used at the 110 degree orbital location. During the fourth quarter of 2023, we entered into an agreement with Space Exploration Technologies Corp (“SpaceX”) for launch services for this satellite, which is expected to be launched during 2026.</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7">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0" w:name="page161"/>
    <w:bookmarkEnd w:id="16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Satellites - Broadband and Satellite Services Segment</w:t>
      </w:r>
    </w:p>
    <w:p>
      <w:pPr>
        <w:spacing w:after="0" w:line="177" w:lineRule="exact"/>
        <w:rPr>
          <w:sz w:val="20"/>
          <w:szCs w:val="20"/>
          <w:color w:val="auto"/>
        </w:rPr>
      </w:pPr>
    </w:p>
    <w:p>
      <w:pPr>
        <w:ind w:left="40" w:right="399"/>
        <w:spacing w:after="0" w:line="256" w:lineRule="auto"/>
        <w:rPr>
          <w:sz w:val="20"/>
          <w:szCs w:val="20"/>
          <w:color w:val="auto"/>
        </w:rPr>
      </w:pPr>
      <w:r>
        <w:rPr>
          <w:rFonts w:ascii="Arial" w:cs="Arial" w:eastAsia="Arial" w:hAnsi="Arial"/>
          <w:sz w:val="16"/>
          <w:szCs w:val="16"/>
          <w:color w:val="auto"/>
        </w:rPr>
        <w:t xml:space="preserve">Our Broadband and Satellite Services segment currently utilizes nine satellites in </w:t>
      </w:r>
      <w:r>
        <w:rPr>
          <w:rFonts w:ascii="Arial" w:cs="Arial" w:eastAsia="Arial" w:hAnsi="Arial"/>
          <w:sz w:val="16"/>
          <w:szCs w:val="16"/>
          <w:color w:val="222222"/>
        </w:rPr>
        <w:t>geosynchronous</w:t>
      </w:r>
      <w:r>
        <w:rPr>
          <w:rFonts w:ascii="Arial" w:cs="Arial" w:eastAsia="Arial" w:hAnsi="Arial"/>
          <w:sz w:val="16"/>
          <w:szCs w:val="16"/>
          <w:color w:val="auto"/>
        </w:rPr>
        <w:t xml:space="preserve"> orbit approximately 22,300 miles above the equator, six of which we own and depreciate over their estimated useful life. We also lease three satellites from third parties, which are accounted for as finance leases and are depreciated over their economic life.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2024, our Broadband and Satellite Services segment satellite fleet consisted of the following:</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8"/>
              </w:rPr>
              <w:t>Degree</w:t>
            </w:r>
          </w:p>
        </w:tc>
        <w:tc>
          <w:tcPr>
            <w:tcW w:w="2140" w:type="dxa"/>
            <w:vAlign w:val="bottom"/>
          </w:tcPr>
          <w:p>
            <w:pPr>
              <w:jc w:val="center"/>
              <w:spacing w:after="0"/>
              <w:rPr>
                <w:sz w:val="20"/>
                <w:szCs w:val="20"/>
                <w:color w:val="auto"/>
              </w:rPr>
            </w:pPr>
            <w:r>
              <w:rPr>
                <w:rFonts w:ascii="Arial" w:cs="Arial" w:eastAsia="Arial" w:hAnsi="Arial"/>
                <w:sz w:val="15"/>
                <w:szCs w:val="15"/>
                <w:b w:val="1"/>
                <w:bCs w:val="1"/>
                <w:color w:val="auto"/>
                <w:w w:val="98"/>
              </w:rPr>
              <w:t>Lease</w:t>
            </w:r>
          </w:p>
        </w:tc>
      </w:tr>
      <w:tr>
        <w:trPr>
          <w:trHeight w:val="169"/>
        </w:trPr>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2"/>
          </w:tcPr>
          <w:p>
            <w:pPr>
              <w:jc w:val="center"/>
              <w:ind w:right="280"/>
              <w:spacing w:after="0" w:line="169" w:lineRule="exact"/>
              <w:rPr>
                <w:sz w:val="20"/>
                <w:szCs w:val="20"/>
                <w:color w:val="auto"/>
              </w:rPr>
            </w:pPr>
            <w:r>
              <w:rPr>
                <w:rFonts w:ascii="Arial" w:cs="Arial" w:eastAsia="Arial" w:hAnsi="Arial"/>
                <w:sz w:val="15"/>
                <w:szCs w:val="15"/>
                <w:b w:val="1"/>
                <w:bCs w:val="1"/>
                <w:color w:val="auto"/>
                <w:w w:val="93"/>
              </w:rPr>
              <w:t>Launch</w:t>
            </w:r>
          </w:p>
        </w:tc>
        <w:tc>
          <w:tcPr>
            <w:tcW w:w="132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5"/>
              </w:rPr>
              <w:t>Orbital</w:t>
            </w:r>
          </w:p>
        </w:tc>
        <w:tc>
          <w:tcPr>
            <w:tcW w:w="214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5"/>
              </w:rPr>
              <w:t>Termination</w:t>
            </w:r>
          </w:p>
        </w:tc>
      </w:tr>
      <w:tr>
        <w:trPr>
          <w:trHeight w:val="182"/>
        </w:trPr>
        <w:tc>
          <w:tcPr>
            <w:tcW w:w="3200" w:type="dxa"/>
            <w:vAlign w:val="bottom"/>
            <w:gridSpan w:val="2"/>
          </w:tcPr>
          <w:p>
            <w:pPr>
              <w:spacing w:after="0"/>
              <w:rPr>
                <w:sz w:val="20"/>
                <w:szCs w:val="20"/>
                <w:color w:val="auto"/>
              </w:rPr>
            </w:pPr>
            <w:r>
              <w:rPr>
                <w:rFonts w:ascii="Arial" w:cs="Arial" w:eastAsia="Arial" w:hAnsi="Arial"/>
                <w:sz w:val="15"/>
                <w:szCs w:val="15"/>
                <w:b w:val="1"/>
                <w:bCs w:val="1"/>
                <w:color w:val="auto"/>
              </w:rPr>
              <w:t>Satellites</w:t>
            </w:r>
          </w:p>
        </w:tc>
        <w:tc>
          <w:tcPr>
            <w:tcW w:w="22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Date</w:t>
            </w:r>
          </w:p>
        </w:tc>
        <w:tc>
          <w:tcPr>
            <w:tcW w:w="13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Location</w:t>
            </w:r>
          </w:p>
        </w:tc>
        <w:tc>
          <w:tcPr>
            <w:tcW w:w="2140" w:type="dxa"/>
            <w:vAlign w:val="bottom"/>
          </w:tcPr>
          <w:p>
            <w:pPr>
              <w:jc w:val="center"/>
              <w:spacing w:after="0"/>
              <w:rPr>
                <w:sz w:val="20"/>
                <w:szCs w:val="20"/>
                <w:color w:val="auto"/>
              </w:rPr>
            </w:pPr>
            <w:r>
              <w:rPr>
                <w:rFonts w:ascii="Arial" w:cs="Arial" w:eastAsia="Arial" w:hAnsi="Arial"/>
                <w:sz w:val="15"/>
                <w:szCs w:val="15"/>
                <w:b w:val="1"/>
                <w:bCs w:val="1"/>
                <w:color w:val="auto"/>
                <w:w w:val="98"/>
              </w:rPr>
              <w:t>Date</w:t>
            </w:r>
          </w:p>
        </w:tc>
      </w:tr>
      <w:tr>
        <w:trPr>
          <w:trHeight w:val="162"/>
        </w:trPr>
        <w:tc>
          <w:tcPr>
            <w:tcW w:w="29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Owned:</w:t>
            </w:r>
          </w:p>
        </w:tc>
        <w:tc>
          <w:tcPr>
            <w:tcW w:w="30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spacing w:after="0"/>
              <w:rPr>
                <w:sz w:val="14"/>
                <w:szCs w:val="14"/>
                <w:color w:val="auto"/>
              </w:rPr>
            </w:pP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5"/>
                <w:szCs w:val="15"/>
                <w:color w:val="auto"/>
              </w:rPr>
              <w:t>EchoStar IX</w:t>
            </w:r>
          </w:p>
        </w:tc>
        <w:tc>
          <w:tcPr>
            <w:tcW w:w="2260" w:type="dxa"/>
            <w:vAlign w:val="bottom"/>
            <w:gridSpan w:val="2"/>
          </w:tcPr>
          <w:p>
            <w:pPr>
              <w:jc w:val="center"/>
              <w:ind w:right="280"/>
              <w:spacing w:after="0" w:line="169" w:lineRule="exact"/>
              <w:rPr>
                <w:sz w:val="20"/>
                <w:szCs w:val="20"/>
                <w:color w:val="auto"/>
              </w:rPr>
            </w:pPr>
            <w:r>
              <w:rPr>
                <w:rFonts w:ascii="Arial" w:cs="Arial" w:eastAsia="Arial" w:hAnsi="Arial"/>
                <w:sz w:val="15"/>
                <w:szCs w:val="15"/>
                <w:color w:val="auto"/>
                <w:w w:val="97"/>
              </w:rPr>
              <w:t>August 2003</w:t>
            </w:r>
          </w:p>
        </w:tc>
        <w:tc>
          <w:tcPr>
            <w:tcW w:w="1040" w:type="dxa"/>
            <w:vAlign w:val="bottom"/>
          </w:tcPr>
          <w:p>
            <w:pPr>
              <w:jc w:val="center"/>
              <w:spacing w:after="0" w:line="169" w:lineRule="exact"/>
              <w:rPr>
                <w:sz w:val="20"/>
                <w:szCs w:val="20"/>
                <w:color w:val="auto"/>
              </w:rPr>
            </w:pPr>
            <w:r>
              <w:rPr>
                <w:rFonts w:ascii="Arial" w:cs="Arial" w:eastAsia="Arial" w:hAnsi="Arial"/>
                <w:sz w:val="15"/>
                <w:szCs w:val="15"/>
                <w:color w:val="auto"/>
                <w:w w:val="95"/>
              </w:rPr>
              <w:t>121</w:t>
            </w:r>
          </w:p>
        </w:tc>
        <w:tc>
          <w:tcPr>
            <w:tcW w:w="280" w:type="dxa"/>
            <w:vAlign w:val="bottom"/>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Arial" w:cs="Arial" w:eastAsia="Arial" w:hAnsi="Arial"/>
                <w:sz w:val="15"/>
                <w:szCs w:val="15"/>
                <w:color w:val="auto"/>
                <w:w w:val="95"/>
              </w:rPr>
              <w:t>N/A</w:t>
            </w:r>
          </w:p>
        </w:tc>
      </w:tr>
      <w:tr>
        <w:trPr>
          <w:trHeight w:val="169"/>
        </w:trPr>
        <w:tc>
          <w:tcPr>
            <w:tcW w:w="32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EchoStar XVII</w:t>
            </w:r>
          </w:p>
        </w:tc>
        <w:tc>
          <w:tcPr>
            <w:tcW w:w="2260" w:type="dxa"/>
            <w:vAlign w:val="bottom"/>
            <w:gridSpan w:val="2"/>
            <w:shd w:val="clear" w:color="auto" w:fill="CCEEFF"/>
          </w:tcPr>
          <w:p>
            <w:pPr>
              <w:jc w:val="center"/>
              <w:ind w:right="280"/>
              <w:spacing w:after="0" w:line="169" w:lineRule="exact"/>
              <w:rPr>
                <w:sz w:val="20"/>
                <w:szCs w:val="20"/>
                <w:color w:val="auto"/>
              </w:rPr>
            </w:pPr>
            <w:r>
              <w:rPr>
                <w:rFonts w:ascii="Arial" w:cs="Arial" w:eastAsia="Arial" w:hAnsi="Arial"/>
                <w:sz w:val="15"/>
                <w:szCs w:val="15"/>
                <w:color w:val="auto"/>
                <w:w w:val="96"/>
              </w:rPr>
              <w:t>July 2012</w:t>
            </w:r>
          </w:p>
        </w:tc>
        <w:tc>
          <w:tcPr>
            <w:tcW w:w="10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107</w:t>
            </w: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N/A</w:t>
            </w: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5"/>
                <w:szCs w:val="15"/>
                <w:color w:val="auto"/>
              </w:rPr>
              <w:t>EchoStar XIX</w:t>
            </w:r>
          </w:p>
        </w:tc>
        <w:tc>
          <w:tcPr>
            <w:tcW w:w="2260" w:type="dxa"/>
            <w:vAlign w:val="bottom"/>
            <w:gridSpan w:val="2"/>
          </w:tcPr>
          <w:p>
            <w:pPr>
              <w:jc w:val="center"/>
              <w:ind w:right="280"/>
              <w:spacing w:after="0" w:line="169" w:lineRule="exact"/>
              <w:rPr>
                <w:sz w:val="20"/>
                <w:szCs w:val="20"/>
                <w:color w:val="auto"/>
              </w:rPr>
            </w:pPr>
            <w:r>
              <w:rPr>
                <w:rFonts w:ascii="Arial" w:cs="Arial" w:eastAsia="Arial" w:hAnsi="Arial"/>
                <w:sz w:val="15"/>
                <w:szCs w:val="15"/>
                <w:color w:val="auto"/>
                <w:w w:val="95"/>
              </w:rPr>
              <w:t>December 2016</w:t>
            </w:r>
          </w:p>
        </w:tc>
        <w:tc>
          <w:tcPr>
            <w:tcW w:w="1040" w:type="dxa"/>
            <w:vAlign w:val="bottom"/>
          </w:tcPr>
          <w:p>
            <w:pPr>
              <w:jc w:val="center"/>
              <w:spacing w:after="0" w:line="169" w:lineRule="exact"/>
              <w:rPr>
                <w:sz w:val="20"/>
                <w:szCs w:val="20"/>
                <w:color w:val="auto"/>
              </w:rPr>
            </w:pPr>
            <w:r>
              <w:rPr>
                <w:rFonts w:ascii="Arial" w:cs="Arial" w:eastAsia="Arial" w:hAnsi="Arial"/>
                <w:sz w:val="15"/>
                <w:szCs w:val="15"/>
                <w:color w:val="auto"/>
                <w:w w:val="95"/>
              </w:rPr>
              <w:t>97.1</w:t>
            </w:r>
          </w:p>
        </w:tc>
        <w:tc>
          <w:tcPr>
            <w:tcW w:w="280" w:type="dxa"/>
            <w:vAlign w:val="bottom"/>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Arial" w:cs="Arial" w:eastAsia="Arial" w:hAnsi="Arial"/>
                <w:sz w:val="15"/>
                <w:szCs w:val="15"/>
                <w:color w:val="auto"/>
                <w:w w:val="95"/>
              </w:rPr>
              <w:t>N/A</w:t>
            </w:r>
          </w:p>
        </w:tc>
      </w:tr>
      <w:tr>
        <w:trPr>
          <w:trHeight w:val="169"/>
        </w:trPr>
        <w:tc>
          <w:tcPr>
            <w:tcW w:w="32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EchoStar XXI</w:t>
            </w:r>
          </w:p>
        </w:tc>
        <w:tc>
          <w:tcPr>
            <w:tcW w:w="2260" w:type="dxa"/>
            <w:vAlign w:val="bottom"/>
            <w:gridSpan w:val="2"/>
            <w:shd w:val="clear" w:color="auto" w:fill="CCEEFF"/>
          </w:tcPr>
          <w:p>
            <w:pPr>
              <w:jc w:val="center"/>
              <w:ind w:right="300"/>
              <w:spacing w:after="0" w:line="169" w:lineRule="exact"/>
              <w:rPr>
                <w:sz w:val="20"/>
                <w:szCs w:val="20"/>
                <w:color w:val="auto"/>
              </w:rPr>
            </w:pPr>
            <w:r>
              <w:rPr>
                <w:rFonts w:ascii="Arial" w:cs="Arial" w:eastAsia="Arial" w:hAnsi="Arial"/>
                <w:sz w:val="15"/>
                <w:szCs w:val="15"/>
                <w:color w:val="auto"/>
                <w:w w:val="97"/>
              </w:rPr>
              <w:t>June 2017</w:t>
            </w:r>
          </w:p>
        </w:tc>
        <w:tc>
          <w:tcPr>
            <w:tcW w:w="10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10.25</w:t>
            </w: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N/A</w:t>
            </w: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5"/>
                <w:szCs w:val="15"/>
                <w:color w:val="auto"/>
              </w:rPr>
              <w:t>Al Yah 3</w:t>
            </w:r>
          </w:p>
        </w:tc>
        <w:tc>
          <w:tcPr>
            <w:tcW w:w="2260" w:type="dxa"/>
            <w:vAlign w:val="bottom"/>
            <w:gridSpan w:val="2"/>
          </w:tcPr>
          <w:p>
            <w:pPr>
              <w:jc w:val="center"/>
              <w:ind w:right="300"/>
              <w:spacing w:after="0" w:line="169" w:lineRule="exact"/>
              <w:rPr>
                <w:sz w:val="20"/>
                <w:szCs w:val="20"/>
                <w:color w:val="auto"/>
              </w:rPr>
            </w:pPr>
            <w:r>
              <w:rPr>
                <w:rFonts w:ascii="Arial" w:cs="Arial" w:eastAsia="Arial" w:hAnsi="Arial"/>
                <w:sz w:val="15"/>
                <w:szCs w:val="15"/>
                <w:color w:val="auto"/>
                <w:w w:val="96"/>
              </w:rPr>
              <w:t>January 2018</w:t>
            </w:r>
          </w:p>
        </w:tc>
        <w:tc>
          <w:tcPr>
            <w:tcW w:w="1040" w:type="dxa"/>
            <w:vAlign w:val="bottom"/>
          </w:tcPr>
          <w:p>
            <w:pPr>
              <w:jc w:val="center"/>
              <w:spacing w:after="0" w:line="169" w:lineRule="exact"/>
              <w:rPr>
                <w:sz w:val="20"/>
                <w:szCs w:val="20"/>
                <w:color w:val="auto"/>
              </w:rPr>
            </w:pPr>
            <w:r>
              <w:rPr>
                <w:rFonts w:ascii="Arial" w:cs="Arial" w:eastAsia="Arial" w:hAnsi="Arial"/>
                <w:sz w:val="15"/>
                <w:szCs w:val="15"/>
                <w:color w:val="auto"/>
                <w:w w:val="95"/>
              </w:rPr>
              <w:t>20</w:t>
            </w:r>
          </w:p>
        </w:tc>
        <w:tc>
          <w:tcPr>
            <w:tcW w:w="280" w:type="dxa"/>
            <w:vAlign w:val="bottom"/>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Arial" w:cs="Arial" w:eastAsia="Arial" w:hAnsi="Arial"/>
                <w:sz w:val="15"/>
                <w:szCs w:val="15"/>
                <w:color w:val="auto"/>
                <w:w w:val="95"/>
              </w:rPr>
              <w:t>N/A</w:t>
            </w:r>
          </w:p>
        </w:tc>
      </w:tr>
      <w:tr>
        <w:trPr>
          <w:trHeight w:val="169"/>
        </w:trPr>
        <w:tc>
          <w:tcPr>
            <w:tcW w:w="32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EchoStar XXIV</w:t>
            </w:r>
          </w:p>
        </w:tc>
        <w:tc>
          <w:tcPr>
            <w:tcW w:w="2260" w:type="dxa"/>
            <w:vAlign w:val="bottom"/>
            <w:gridSpan w:val="2"/>
            <w:shd w:val="clear" w:color="auto" w:fill="CCEEFF"/>
          </w:tcPr>
          <w:p>
            <w:pPr>
              <w:jc w:val="center"/>
              <w:ind w:right="280"/>
              <w:spacing w:after="0" w:line="169" w:lineRule="exact"/>
              <w:rPr>
                <w:sz w:val="20"/>
                <w:szCs w:val="20"/>
                <w:color w:val="auto"/>
              </w:rPr>
            </w:pPr>
            <w:r>
              <w:rPr>
                <w:rFonts w:ascii="Arial" w:cs="Arial" w:eastAsia="Arial" w:hAnsi="Arial"/>
                <w:sz w:val="15"/>
                <w:szCs w:val="15"/>
                <w:color w:val="auto"/>
                <w:w w:val="96"/>
              </w:rPr>
              <w:t>July 2023</w:t>
            </w:r>
          </w:p>
        </w:tc>
        <w:tc>
          <w:tcPr>
            <w:tcW w:w="10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95.2</w:t>
            </w: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N/A</w:t>
            </w:r>
          </w:p>
        </w:tc>
      </w:tr>
      <w:tr>
        <w:trPr>
          <w:trHeight w:val="169"/>
        </w:trPr>
        <w:tc>
          <w:tcPr>
            <w:tcW w:w="2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9"/>
        </w:trPr>
        <w:tc>
          <w:tcPr>
            <w:tcW w:w="32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Leased from Other Third-Party:</w:t>
            </w:r>
          </w:p>
        </w:tc>
        <w:tc>
          <w:tcPr>
            <w:tcW w:w="19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5"/>
                <w:szCs w:val="15"/>
                <w:color w:val="auto"/>
              </w:rPr>
              <w:t>Eutelsat 65 West A</w:t>
            </w:r>
          </w:p>
        </w:tc>
        <w:tc>
          <w:tcPr>
            <w:tcW w:w="2260" w:type="dxa"/>
            <w:vAlign w:val="bottom"/>
            <w:gridSpan w:val="2"/>
          </w:tcPr>
          <w:p>
            <w:pPr>
              <w:jc w:val="center"/>
              <w:ind w:right="280"/>
              <w:spacing w:after="0" w:line="169" w:lineRule="exact"/>
              <w:rPr>
                <w:sz w:val="20"/>
                <w:szCs w:val="20"/>
                <w:color w:val="auto"/>
              </w:rPr>
            </w:pPr>
            <w:r>
              <w:rPr>
                <w:rFonts w:ascii="Arial" w:cs="Arial" w:eastAsia="Arial" w:hAnsi="Arial"/>
                <w:sz w:val="15"/>
                <w:szCs w:val="15"/>
                <w:color w:val="auto"/>
                <w:w w:val="98"/>
              </w:rPr>
              <w:t>March 2016</w:t>
            </w:r>
          </w:p>
        </w:tc>
        <w:tc>
          <w:tcPr>
            <w:tcW w:w="1040" w:type="dxa"/>
            <w:vAlign w:val="bottom"/>
          </w:tcPr>
          <w:p>
            <w:pPr>
              <w:jc w:val="center"/>
              <w:spacing w:after="0" w:line="169" w:lineRule="exact"/>
              <w:rPr>
                <w:sz w:val="20"/>
                <w:szCs w:val="20"/>
                <w:color w:val="auto"/>
              </w:rPr>
            </w:pPr>
            <w:r>
              <w:rPr>
                <w:rFonts w:ascii="Arial" w:cs="Arial" w:eastAsia="Arial" w:hAnsi="Arial"/>
                <w:sz w:val="15"/>
                <w:szCs w:val="15"/>
                <w:color w:val="auto"/>
                <w:w w:val="95"/>
              </w:rPr>
              <w:t>65</w:t>
            </w:r>
          </w:p>
        </w:tc>
        <w:tc>
          <w:tcPr>
            <w:tcW w:w="280" w:type="dxa"/>
            <w:vAlign w:val="bottom"/>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Arial" w:cs="Arial" w:eastAsia="Arial" w:hAnsi="Arial"/>
                <w:sz w:val="15"/>
                <w:szCs w:val="15"/>
                <w:color w:val="auto"/>
                <w:w w:val="96"/>
              </w:rPr>
              <w:t>July 2031</w:t>
            </w:r>
          </w:p>
        </w:tc>
      </w:tr>
      <w:tr>
        <w:trPr>
          <w:trHeight w:val="169"/>
        </w:trPr>
        <w:tc>
          <w:tcPr>
            <w:tcW w:w="32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Telesat T19V</w:t>
            </w:r>
          </w:p>
        </w:tc>
        <w:tc>
          <w:tcPr>
            <w:tcW w:w="2260" w:type="dxa"/>
            <w:vAlign w:val="bottom"/>
            <w:gridSpan w:val="2"/>
            <w:shd w:val="clear" w:color="auto" w:fill="CCEEFF"/>
          </w:tcPr>
          <w:p>
            <w:pPr>
              <w:jc w:val="center"/>
              <w:ind w:right="280"/>
              <w:spacing w:after="0" w:line="169" w:lineRule="exact"/>
              <w:rPr>
                <w:sz w:val="20"/>
                <w:szCs w:val="20"/>
                <w:color w:val="auto"/>
              </w:rPr>
            </w:pPr>
            <w:r>
              <w:rPr>
                <w:rFonts w:ascii="Arial" w:cs="Arial" w:eastAsia="Arial" w:hAnsi="Arial"/>
                <w:sz w:val="15"/>
                <w:szCs w:val="15"/>
                <w:color w:val="auto"/>
                <w:w w:val="96"/>
              </w:rPr>
              <w:t>July 2018</w:t>
            </w:r>
          </w:p>
        </w:tc>
        <w:tc>
          <w:tcPr>
            <w:tcW w:w="10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5"/>
              </w:rPr>
              <w:t>63</w:t>
            </w:r>
          </w:p>
        </w:tc>
        <w:tc>
          <w:tcPr>
            <w:tcW w:w="28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line="169" w:lineRule="exact"/>
              <w:rPr>
                <w:sz w:val="20"/>
                <w:szCs w:val="20"/>
                <w:color w:val="auto"/>
              </w:rPr>
            </w:pPr>
            <w:r>
              <w:rPr>
                <w:rFonts w:ascii="Arial" w:cs="Arial" w:eastAsia="Arial" w:hAnsi="Arial"/>
                <w:sz w:val="15"/>
                <w:szCs w:val="15"/>
                <w:color w:val="auto"/>
                <w:w w:val="97"/>
              </w:rPr>
              <w:t>August 2033</w:t>
            </w:r>
          </w:p>
        </w:tc>
      </w:tr>
      <w:tr>
        <w:trPr>
          <w:trHeight w:val="191"/>
        </w:trPr>
        <w:tc>
          <w:tcPr>
            <w:tcW w:w="3200" w:type="dxa"/>
            <w:vAlign w:val="bottom"/>
            <w:gridSpan w:val="2"/>
          </w:tcPr>
          <w:p>
            <w:pPr>
              <w:spacing w:after="0"/>
              <w:rPr>
                <w:sz w:val="20"/>
                <w:szCs w:val="20"/>
                <w:color w:val="auto"/>
              </w:rPr>
            </w:pPr>
            <w:r>
              <w:rPr>
                <w:rFonts w:ascii="Arial" w:cs="Arial" w:eastAsia="Arial" w:hAnsi="Arial"/>
                <w:sz w:val="15"/>
                <w:szCs w:val="15"/>
                <w:color w:val="auto"/>
              </w:rPr>
              <w:t>EchoStar 105/SES-11</w:t>
            </w:r>
          </w:p>
        </w:tc>
        <w:tc>
          <w:tcPr>
            <w:tcW w:w="2260" w:type="dxa"/>
            <w:vAlign w:val="bottom"/>
            <w:gridSpan w:val="2"/>
          </w:tcPr>
          <w:p>
            <w:pPr>
              <w:jc w:val="center"/>
              <w:ind w:right="300"/>
              <w:spacing w:after="0"/>
              <w:rPr>
                <w:sz w:val="20"/>
                <w:szCs w:val="20"/>
                <w:color w:val="auto"/>
              </w:rPr>
            </w:pPr>
            <w:r>
              <w:rPr>
                <w:rFonts w:ascii="Arial" w:cs="Arial" w:eastAsia="Arial" w:hAnsi="Arial"/>
                <w:sz w:val="15"/>
                <w:szCs w:val="15"/>
                <w:color w:val="auto"/>
                <w:w w:val="96"/>
              </w:rPr>
              <w:t>October 2017</w:t>
            </w:r>
          </w:p>
        </w:tc>
        <w:tc>
          <w:tcPr>
            <w:tcW w:w="1040" w:type="dxa"/>
            <w:vAlign w:val="bottom"/>
          </w:tcPr>
          <w:p>
            <w:pPr>
              <w:jc w:val="center"/>
              <w:spacing w:after="0"/>
              <w:rPr>
                <w:sz w:val="20"/>
                <w:szCs w:val="20"/>
                <w:color w:val="auto"/>
              </w:rPr>
            </w:pPr>
            <w:r>
              <w:rPr>
                <w:rFonts w:ascii="Arial" w:cs="Arial" w:eastAsia="Arial" w:hAnsi="Arial"/>
                <w:sz w:val="15"/>
                <w:szCs w:val="15"/>
                <w:color w:val="auto"/>
                <w:w w:val="95"/>
              </w:rPr>
              <w:t>105</w:t>
            </w:r>
          </w:p>
        </w:tc>
        <w:tc>
          <w:tcPr>
            <w:tcW w:w="2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5"/>
                <w:szCs w:val="15"/>
                <w:color w:val="auto"/>
                <w:w w:val="97"/>
              </w:rPr>
              <w:t>November 2029</w:t>
            </w:r>
          </w:p>
        </w:tc>
      </w:tr>
    </w:tbl>
    <w:p>
      <w:pPr>
        <w:spacing w:after="0" w:line="143" w:lineRule="exact"/>
        <w:rPr>
          <w:sz w:val="20"/>
          <w:szCs w:val="20"/>
          <w:color w:val="auto"/>
        </w:rPr>
      </w:pPr>
    </w:p>
    <w:p>
      <w:pPr>
        <w:ind w:left="40" w:right="299"/>
        <w:spacing w:after="0" w:line="275" w:lineRule="auto"/>
        <w:rPr>
          <w:sz w:val="20"/>
          <w:szCs w:val="20"/>
          <w:color w:val="auto"/>
        </w:rPr>
      </w:pPr>
      <w:r>
        <w:rPr>
          <w:rFonts w:ascii="Arial" w:cs="Arial" w:eastAsia="Arial" w:hAnsi="Arial"/>
          <w:sz w:val="16"/>
          <w:szCs w:val="16"/>
          <w:color w:val="auto"/>
        </w:rPr>
        <w:t>In addition to the satellites listed above, during 2025 we have launched and will launch certain satellites in connection with additional business opportunities.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Satellite Anomalies and Impairments</w:t>
      </w:r>
    </w:p>
    <w:p>
      <w:pPr>
        <w:spacing w:after="0" w:line="189" w:lineRule="exact"/>
        <w:rPr>
          <w:sz w:val="20"/>
          <w:szCs w:val="20"/>
          <w:color w:val="auto"/>
        </w:rPr>
      </w:pPr>
    </w:p>
    <w:p>
      <w:pPr>
        <w:jc w:val="both"/>
        <w:ind w:left="40" w:right="139"/>
        <w:spacing w:after="0" w:line="256" w:lineRule="auto"/>
        <w:rPr>
          <w:sz w:val="20"/>
          <w:szCs w:val="20"/>
          <w:color w:val="auto"/>
        </w:rPr>
      </w:pPr>
      <w:r>
        <w:rPr>
          <w:rFonts w:ascii="Arial" w:cs="Arial" w:eastAsia="Arial" w:hAnsi="Arial"/>
          <w:sz w:val="16"/>
          <w:szCs w:val="16"/>
          <w:color w:val="auto"/>
        </w:rPr>
        <w:t>Operation of our DISH TV services requires that we have adequate satellite transmission capacity for the programming that we offer. While we generally have had in-orbit satellite capacity sufficient to transmit our existing channels and some backup capacity to recover the transmission of certain critical programming, our backup capacity is limited.</w:t>
      </w:r>
    </w:p>
    <w:p>
      <w:pPr>
        <w:spacing w:after="0" w:line="137" w:lineRule="exact"/>
        <w:rPr>
          <w:sz w:val="20"/>
          <w:szCs w:val="20"/>
          <w:color w:val="auto"/>
        </w:rPr>
      </w:pPr>
    </w:p>
    <w:p>
      <w:pPr>
        <w:ind w:left="40" w:right="219"/>
        <w:spacing w:after="0" w:line="246" w:lineRule="auto"/>
        <w:rPr>
          <w:sz w:val="20"/>
          <w:szCs w:val="20"/>
          <w:color w:val="auto"/>
        </w:rPr>
      </w:pPr>
      <w:r>
        <w:rPr>
          <w:rFonts w:ascii="Arial" w:cs="Arial" w:eastAsia="Arial" w:hAnsi="Arial"/>
          <w:sz w:val="16"/>
          <w:szCs w:val="16"/>
          <w:color w:val="auto"/>
        </w:rPr>
        <w:t>In the event of a failure or loss of any of our owned or leased satellites, we may need to acquire or lease additional satellite capacity or relocate one of our other owned or leased satellites and use it as a replacement for the failed or lost satellite. Such a failure could result in a prolonged loss of critical programming or a significant delay in our plans to expand programming as necessary to remain competitive and thus may have a material adverse effect on our business, financial condition and results of operations.</w:t>
      </w:r>
    </w:p>
    <w:p>
      <w:pPr>
        <w:spacing w:after="0" w:line="146"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In the past, certain of our owned and leased satellites have experienced anomalies, some of which have had a significant adverse impact on their remaining useful life and/or commercial operation. There can be no assurance that future anomalies will not impact the remaining useful life and/or commercial operation of any of the owned and leased satellites in our fleet. See Note 2 for further information on evaluation of impairment. There can be no assurance that we can recover critical transmission capacity in the event one or more of our owned or leased in-orbit satellites were to fail. We are not aware of any anomalies with respect to our owned or leased satellites that have had any such significant adverse effect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8">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1" w:name="page162"/>
    <w:bookmarkEnd w:id="16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right="159"/>
        <w:spacing w:after="0" w:line="241" w:lineRule="auto"/>
        <w:rPr>
          <w:sz w:val="20"/>
          <w:szCs w:val="20"/>
          <w:color w:val="auto"/>
        </w:rPr>
      </w:pPr>
      <w:r>
        <w:rPr>
          <w:rFonts w:ascii="Arial" w:cs="Arial" w:eastAsia="Arial" w:hAnsi="Arial"/>
          <w:sz w:val="16"/>
          <w:szCs w:val="16"/>
          <w:color w:val="auto"/>
        </w:rPr>
        <w:t>We generally do not carry commercial in-orbit insurance on any of the satellites that we own and therefore, we will bear the risk associated with any uninsured in-orbit satellite failures. Pursuant to the terms of our joint venture agreement with Al Yah Satellite Communications Company PrJSC (“Yahsat”) in Brazil in 2019, we are required to maintain insurance for the Al Yah 3 Brazilian payload during the commercial in-orbit service of such payload, subject to certain limitations on coverage. The insurance policies were procured by Yahsat, under which we and Yahsat are the beneficiaries of any claims in proportion to their shareholdings. An insurance claim was submitted in the second quarter of 2023 for compensation with respect to the reduction in estimated useful life of the Al Yah 3 satellite. As of December 31, 2024, we have yet to receive any compensation from the insurance claim. We will continue to assess circumstances going forward and make insurance-related decisions on a case-by-case basis.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177" w:lineRule="exact"/>
        <w:rPr>
          <w:sz w:val="20"/>
          <w:szCs w:val="20"/>
          <w:color w:val="auto"/>
        </w:rPr>
      </w:pPr>
    </w:p>
    <w:p>
      <w:pPr>
        <w:ind w:left="40" w:right="599"/>
        <w:spacing w:after="0" w:line="275" w:lineRule="auto"/>
        <w:rPr>
          <w:sz w:val="20"/>
          <w:szCs w:val="20"/>
          <w:color w:val="auto"/>
        </w:rPr>
      </w:pPr>
      <w:r>
        <w:rPr>
          <w:rFonts w:ascii="Arial" w:cs="Arial" w:eastAsia="Arial" w:hAnsi="Arial"/>
          <w:sz w:val="16"/>
          <w:szCs w:val="16"/>
          <w:color w:val="auto"/>
        </w:rPr>
        <w:t>As of December 31, 2024 and 2023, our identifiable intangibles, including intangibles subject to amortization and non-amortizing intangibles, consisted of the following:</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5"/>
                <w:szCs w:val="15"/>
                <w:b w:val="1"/>
                <w:bCs w:val="1"/>
                <w:color w:val="auto"/>
              </w:rPr>
              <w:t>As of December 31,</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7"/>
              <w:spacing w:after="0" w:line="169" w:lineRule="exact"/>
              <w:rPr>
                <w:sz w:val="20"/>
                <w:szCs w:val="20"/>
                <w:color w:val="auto"/>
              </w:rPr>
            </w:pPr>
            <w:r>
              <w:rPr>
                <w:rFonts w:ascii="Arial" w:cs="Arial" w:eastAsia="Arial" w:hAnsi="Arial"/>
                <w:sz w:val="15"/>
                <w:szCs w:val="15"/>
                <w:b w:val="1"/>
                <w:bCs w:val="1"/>
                <w:color w:val="auto"/>
                <w:w w:val="89"/>
              </w:rPr>
              <w:t>2024</w:t>
            </w:r>
          </w:p>
        </w:tc>
        <w:tc>
          <w:tcPr>
            <w:tcW w:w="11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7"/>
              <w:spacing w:after="0" w:line="169" w:lineRule="exact"/>
              <w:rPr>
                <w:sz w:val="20"/>
                <w:szCs w:val="20"/>
                <w:color w:val="auto"/>
              </w:rPr>
            </w:pPr>
            <w:r>
              <w:rPr>
                <w:rFonts w:ascii="Arial" w:cs="Arial" w:eastAsia="Arial" w:hAnsi="Arial"/>
                <w:sz w:val="15"/>
                <w:szCs w:val="15"/>
                <w:b w:val="1"/>
                <w:bCs w:val="1"/>
                <w:color w:val="auto"/>
                <w:w w:val="89"/>
              </w:rPr>
              <w:t>2023</w:t>
            </w: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07"/>
              <w:spacing w:after="0" w:line="149" w:lineRule="exact"/>
              <w:rPr>
                <w:sz w:val="20"/>
                <w:szCs w:val="20"/>
                <w:color w:val="auto"/>
              </w:rPr>
            </w:pPr>
            <w:r>
              <w:rPr>
                <w:rFonts w:ascii="Arial" w:cs="Arial" w:eastAsia="Arial" w:hAnsi="Arial"/>
                <w:sz w:val="15"/>
                <w:szCs w:val="15"/>
                <w:b w:val="1"/>
                <w:bCs w:val="1"/>
                <w:color w:val="auto"/>
              </w:rPr>
              <w:t>Intangible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107"/>
              <w:spacing w:after="0" w:line="149" w:lineRule="exact"/>
              <w:rPr>
                <w:sz w:val="20"/>
                <w:szCs w:val="20"/>
                <w:color w:val="auto"/>
              </w:rPr>
            </w:pPr>
            <w:r>
              <w:rPr>
                <w:rFonts w:ascii="Arial" w:cs="Arial" w:eastAsia="Arial" w:hAnsi="Arial"/>
                <w:sz w:val="15"/>
                <w:szCs w:val="15"/>
                <w:b w:val="1"/>
                <w:bCs w:val="1"/>
                <w:color w:val="auto"/>
              </w:rPr>
              <w:t>Accumulated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07"/>
              <w:spacing w:after="0" w:line="149" w:lineRule="exact"/>
              <w:rPr>
                <w:sz w:val="20"/>
                <w:szCs w:val="20"/>
                <w:color w:val="auto"/>
              </w:rPr>
            </w:pPr>
            <w:r>
              <w:rPr>
                <w:rFonts w:ascii="Arial" w:cs="Arial" w:eastAsia="Arial" w:hAnsi="Arial"/>
                <w:sz w:val="15"/>
                <w:szCs w:val="15"/>
                <w:b w:val="1"/>
                <w:bCs w:val="1"/>
                <w:color w:val="auto"/>
              </w:rPr>
              <w:t>Intangible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127"/>
              <w:spacing w:after="0" w:line="149" w:lineRule="exact"/>
              <w:rPr>
                <w:sz w:val="20"/>
                <w:szCs w:val="20"/>
                <w:color w:val="auto"/>
              </w:rPr>
            </w:pPr>
            <w:r>
              <w:rPr>
                <w:rFonts w:ascii="Arial" w:cs="Arial" w:eastAsia="Arial" w:hAnsi="Arial"/>
                <w:sz w:val="15"/>
                <w:szCs w:val="15"/>
                <w:b w:val="1"/>
                <w:bCs w:val="1"/>
                <w:color w:val="auto"/>
              </w:rPr>
              <w:t>Accumulated</w:t>
            </w:r>
          </w:p>
        </w:tc>
        <w:tc>
          <w:tcPr>
            <w:tcW w:w="20" w:type="dxa"/>
            <w:vAlign w:val="bottom"/>
          </w:tcPr>
          <w:p>
            <w:pPr>
              <w:spacing w:after="0"/>
              <w:rPr>
                <w:sz w:val="12"/>
                <w:szCs w:val="12"/>
                <w:color w:val="auto"/>
              </w:rPr>
            </w:pPr>
          </w:p>
        </w:tc>
      </w:tr>
      <w:tr>
        <w:trPr>
          <w:trHeight w:val="182"/>
        </w:trPr>
        <w:tc>
          <w:tcPr>
            <w:tcW w:w="3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Assets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Amortization</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Assets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Amortization</w:t>
            </w:r>
          </w:p>
        </w:tc>
        <w:tc>
          <w:tcPr>
            <w:tcW w:w="20" w:type="dxa"/>
            <w:vAlign w:val="bottom"/>
          </w:tcPr>
          <w:p>
            <w:pPr>
              <w:spacing w:after="0"/>
              <w:rPr>
                <w:sz w:val="15"/>
                <w:szCs w:val="15"/>
                <w:color w:val="auto"/>
              </w:rPr>
            </w:pPr>
          </w:p>
        </w:tc>
      </w:tr>
      <w:tr>
        <w:trPr>
          <w:trHeight w:val="149"/>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4"/>
          </w:tcPr>
          <w:p>
            <w:pPr>
              <w:jc w:val="right"/>
              <w:ind w:right="827"/>
              <w:spacing w:after="0" w:line="149" w:lineRule="exact"/>
              <w:rPr>
                <w:sz w:val="20"/>
                <w:szCs w:val="20"/>
                <w:color w:val="auto"/>
              </w:rPr>
            </w:pPr>
            <w:r>
              <w:rPr>
                <w:rFonts w:ascii="Arial" w:cs="Arial" w:eastAsia="Arial" w:hAnsi="Arial"/>
                <w:sz w:val="15"/>
                <w:szCs w:val="15"/>
                <w:color w:val="auto"/>
              </w:rPr>
              <w:t>(In thousands)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9"/>
        </w:trPr>
        <w:tc>
          <w:tcPr>
            <w:tcW w:w="3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Technology-based</w:t>
            </w:r>
          </w:p>
        </w:tc>
        <w:tc>
          <w:tcPr>
            <w:tcW w:w="1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115,173</w:t>
            </w:r>
          </w:p>
        </w:tc>
        <w:tc>
          <w:tcPr>
            <w:tcW w:w="4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(112,557)</w:t>
            </w:r>
          </w:p>
        </w:tc>
        <w:tc>
          <w:tcPr>
            <w:tcW w:w="1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115,166</w:t>
            </w:r>
          </w:p>
        </w:tc>
        <w:tc>
          <w:tcPr>
            <w:tcW w:w="4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(111,989)</w:t>
            </w:r>
          </w:p>
        </w:tc>
        <w:tc>
          <w:tcPr>
            <w:tcW w:w="20" w:type="dxa"/>
            <w:vAlign w:val="bottom"/>
          </w:tcPr>
          <w:p>
            <w:pPr>
              <w:spacing w:after="0"/>
              <w:rPr>
                <w:sz w:val="14"/>
                <w:szCs w:val="14"/>
                <w:color w:val="auto"/>
              </w:rPr>
            </w:pPr>
          </w:p>
        </w:tc>
      </w:tr>
      <w:tr>
        <w:trPr>
          <w:trHeight w:val="169"/>
        </w:trPr>
        <w:tc>
          <w:tcPr>
            <w:tcW w:w="3020" w:type="dxa"/>
            <w:vAlign w:val="bottom"/>
          </w:tcPr>
          <w:p>
            <w:pPr>
              <w:spacing w:after="0" w:line="169" w:lineRule="exact"/>
              <w:rPr>
                <w:sz w:val="20"/>
                <w:szCs w:val="20"/>
                <w:color w:val="auto"/>
              </w:rPr>
            </w:pPr>
            <w:r>
              <w:rPr>
                <w:rFonts w:ascii="Arial" w:cs="Arial" w:eastAsia="Arial" w:hAnsi="Arial"/>
                <w:sz w:val="15"/>
                <w:szCs w:val="15"/>
                <w:color w:val="auto"/>
              </w:rPr>
              <w:t>Trademarks</w:t>
            </w:r>
          </w:p>
        </w:tc>
        <w:tc>
          <w:tcPr>
            <w:tcW w:w="1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164,834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(101,522)</w:t>
            </w:r>
          </w:p>
        </w:tc>
        <w:tc>
          <w:tcPr>
            <w:tcW w:w="1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164,834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(90,326)</w:t>
            </w:r>
          </w:p>
        </w:tc>
        <w:tc>
          <w:tcPr>
            <w:tcW w:w="20" w:type="dxa"/>
            <w:vAlign w:val="bottom"/>
          </w:tcPr>
          <w:p>
            <w:pPr>
              <w:spacing w:after="0"/>
              <w:rPr>
                <w:sz w:val="14"/>
                <w:szCs w:val="14"/>
                <w:color w:val="auto"/>
              </w:rPr>
            </w:pPr>
          </w:p>
        </w:tc>
      </w:tr>
      <w:tr>
        <w:trPr>
          <w:trHeight w:val="169"/>
        </w:trPr>
        <w:tc>
          <w:tcPr>
            <w:tcW w:w="3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Contract-based</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41,500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(41,500)</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41,500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(41,500)</w:t>
            </w:r>
          </w:p>
        </w:tc>
        <w:tc>
          <w:tcPr>
            <w:tcW w:w="20" w:type="dxa"/>
            <w:vAlign w:val="bottom"/>
          </w:tcPr>
          <w:p>
            <w:pPr>
              <w:spacing w:after="0"/>
              <w:rPr>
                <w:sz w:val="14"/>
                <w:szCs w:val="14"/>
                <w:color w:val="auto"/>
              </w:rPr>
            </w:pPr>
          </w:p>
        </w:tc>
      </w:tr>
      <w:tr>
        <w:trPr>
          <w:trHeight w:val="169"/>
        </w:trPr>
        <w:tc>
          <w:tcPr>
            <w:tcW w:w="3020" w:type="dxa"/>
            <w:vAlign w:val="bottom"/>
          </w:tcPr>
          <w:p>
            <w:pPr>
              <w:spacing w:after="0" w:line="169" w:lineRule="exact"/>
              <w:rPr>
                <w:sz w:val="20"/>
                <w:szCs w:val="20"/>
                <w:color w:val="auto"/>
              </w:rPr>
            </w:pPr>
            <w:r>
              <w:rPr>
                <w:rFonts w:ascii="Arial" w:cs="Arial" w:eastAsia="Arial" w:hAnsi="Arial"/>
                <w:sz w:val="15"/>
                <w:szCs w:val="15"/>
                <w:color w:val="auto"/>
              </w:rPr>
              <w:t>Customer relationships</w:t>
            </w:r>
          </w:p>
        </w:tc>
        <w:tc>
          <w:tcPr>
            <w:tcW w:w="18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902,753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(893,742)</w:t>
            </w:r>
          </w:p>
        </w:tc>
        <w:tc>
          <w:tcPr>
            <w:tcW w:w="1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902,858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(807,651)</w:t>
            </w:r>
          </w:p>
        </w:tc>
        <w:tc>
          <w:tcPr>
            <w:tcW w:w="20" w:type="dxa"/>
            <w:vAlign w:val="bottom"/>
          </w:tcPr>
          <w:p>
            <w:pPr>
              <w:spacing w:after="0"/>
              <w:rPr>
                <w:sz w:val="14"/>
                <w:szCs w:val="14"/>
                <w:color w:val="auto"/>
              </w:rPr>
            </w:pPr>
          </w:p>
        </w:tc>
      </w:tr>
      <w:tr>
        <w:trPr>
          <w:trHeight w:val="162"/>
        </w:trPr>
        <w:tc>
          <w:tcPr>
            <w:tcW w:w="302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w:t>
            </w:r>
          </w:p>
        </w:tc>
        <w:tc>
          <w:tcPr>
            <w:tcW w:w="180" w:type="dxa"/>
            <w:vAlign w:val="bottom"/>
            <w:tcBorders>
              <w:top w:val="single" w:sz="8" w:color="auto"/>
              <w:bottom w:val="single" w:sz="8" w:color="auto"/>
            </w:tcBorders>
            <w:shd w:val="clear" w:color="auto" w:fill="CCEEFF"/>
          </w:tcPr>
          <w:p>
            <w:pPr>
              <w:jc w:val="right"/>
              <w:ind w:right="27"/>
              <w:spacing w:after="0" w:line="161"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1,224,260</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(1,149,321)</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7"/>
              <w:spacing w:after="0" w:line="161"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1,224,358</w:t>
            </w: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(1,051,466)</w:t>
            </w:r>
          </w:p>
        </w:tc>
        <w:tc>
          <w:tcPr>
            <w:tcW w:w="20" w:type="dxa"/>
            <w:vAlign w:val="bottom"/>
          </w:tcPr>
          <w:p>
            <w:pPr>
              <w:spacing w:after="0"/>
              <w:rPr>
                <w:sz w:val="14"/>
                <w:szCs w:val="14"/>
                <w:color w:val="auto"/>
              </w:rPr>
            </w:pP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right="299"/>
        <w:spacing w:after="0" w:line="249" w:lineRule="auto"/>
        <w:rPr>
          <w:sz w:val="20"/>
          <w:szCs w:val="20"/>
          <w:color w:val="auto"/>
        </w:rPr>
      </w:pPr>
      <w:r>
        <w:rPr>
          <w:rFonts w:ascii="Arial" w:cs="Arial" w:eastAsia="Arial" w:hAnsi="Arial"/>
          <w:sz w:val="16"/>
          <w:szCs w:val="16"/>
          <w:color w:val="auto"/>
        </w:rPr>
        <w:t>These identifiable intangibles are included in “Intangible assets, net” on our Consolidated Balance Sheets. Amortization of these intangible assets is recorded on a straight-line basis over an average finite useful life primarily ranging from approximately two to 20 years. Amortization was $98 million, $183 million and $156 million for the years ended December 31, 2024, 2023 and 2022, respectively.</w:t>
      </w:r>
    </w:p>
    <w:p>
      <w:pPr>
        <w:spacing w:after="0" w:line="144" w:lineRule="exact"/>
        <w:rPr>
          <w:sz w:val="20"/>
          <w:szCs w:val="20"/>
          <w:color w:val="auto"/>
        </w:rPr>
      </w:pPr>
    </w:p>
    <w:p>
      <w:pPr>
        <w:ind w:left="40" w:right="619"/>
        <w:spacing w:after="0" w:line="275" w:lineRule="auto"/>
        <w:rPr>
          <w:sz w:val="20"/>
          <w:szCs w:val="20"/>
          <w:color w:val="auto"/>
        </w:rPr>
      </w:pPr>
      <w:r>
        <w:rPr>
          <w:rFonts w:ascii="Arial" w:cs="Arial" w:eastAsia="Arial" w:hAnsi="Arial"/>
          <w:sz w:val="16"/>
          <w:szCs w:val="16"/>
          <w:color w:val="auto"/>
        </w:rPr>
        <w:t>Estimated future amortization of our identifiable intangible assets as of December 31, 2024, excluding non-amortizing intangibles, is as follows:</w:t>
      </w:r>
    </w:p>
    <w:p>
      <w:pPr>
        <w:spacing w:after="0" w:line="139" w:lineRule="exact"/>
        <w:rPr>
          <w:sz w:val="20"/>
          <w:szCs w:val="20"/>
          <w:color w:val="auto"/>
        </w:rPr>
      </w:pPr>
    </w:p>
    <w:tbl>
      <w:tblPr>
        <w:tblLayout w:type="fixed"/>
        <w:tblInd w:w="940" w:type="dxa"/>
        <w:tblCellMar>
          <w:top w:w="0" w:type="dxa"/>
          <w:left w:w="0" w:type="dxa"/>
          <w:bottom w:w="0" w:type="dxa"/>
          <w:right w:w="0" w:type="dxa"/>
        </w:tblCellMar>
      </w:tblPr>
      <w:tr>
        <w:trPr>
          <w:trHeight w:val="182"/>
        </w:trPr>
        <w:tc>
          <w:tcPr>
            <w:tcW w:w="4660" w:type="dxa"/>
            <w:vAlign w:val="bottom"/>
          </w:tcPr>
          <w:p>
            <w:pPr>
              <w:spacing w:after="0"/>
              <w:rPr>
                <w:sz w:val="20"/>
                <w:szCs w:val="20"/>
                <w:color w:val="auto"/>
              </w:rPr>
            </w:pPr>
            <w:r>
              <w:rPr>
                <w:rFonts w:ascii="Arial" w:cs="Arial" w:eastAsia="Arial" w:hAnsi="Arial"/>
                <w:sz w:val="15"/>
                <w:szCs w:val="15"/>
                <w:b w:val="1"/>
                <w:bCs w:val="1"/>
                <w:color w:val="auto"/>
              </w:rPr>
              <w:t>For the Years Ending December 31,</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2"/>
          </w:tcPr>
          <w:p>
            <w:pPr>
              <w:ind w:left="520"/>
              <w:spacing w:after="0"/>
              <w:rPr>
                <w:sz w:val="20"/>
                <w:szCs w:val="20"/>
                <w:color w:val="auto"/>
              </w:rPr>
            </w:pPr>
            <w:r>
              <w:rPr>
                <w:rFonts w:ascii="Arial" w:cs="Arial" w:eastAsia="Arial" w:hAnsi="Arial"/>
                <w:sz w:val="15"/>
                <w:szCs w:val="15"/>
                <w:b w:val="1"/>
                <w:bCs w:val="1"/>
                <w:color w:val="auto"/>
              </w:rPr>
              <w:t>Total</w:t>
            </w:r>
          </w:p>
        </w:tc>
      </w:tr>
      <w:tr>
        <w:trPr>
          <w:trHeight w:val="162"/>
        </w:trPr>
        <w:tc>
          <w:tcPr>
            <w:tcW w:w="466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447"/>
              <w:spacing w:after="0" w:line="161" w:lineRule="exact"/>
              <w:rPr>
                <w:sz w:val="20"/>
                <w:szCs w:val="20"/>
                <w:color w:val="auto"/>
              </w:rPr>
            </w:pPr>
            <w:r>
              <w:rPr>
                <w:rFonts w:ascii="Arial" w:cs="Arial" w:eastAsia="Arial" w:hAnsi="Arial"/>
                <w:sz w:val="15"/>
                <w:szCs w:val="15"/>
                <w:color w:val="auto"/>
              </w:rPr>
              <w:t>(In thousands)</w:t>
            </w:r>
          </w:p>
        </w:tc>
        <w:tc>
          <w:tcPr>
            <w:tcW w:w="100" w:type="dxa"/>
            <w:vAlign w:val="bottom"/>
          </w:tcPr>
          <w:p>
            <w:pPr>
              <w:spacing w:after="0"/>
              <w:rPr>
                <w:sz w:val="14"/>
                <w:szCs w:val="14"/>
                <w:color w:val="auto"/>
              </w:rPr>
            </w:pPr>
          </w:p>
        </w:tc>
      </w:tr>
      <w:tr>
        <w:trPr>
          <w:trHeight w:val="169"/>
        </w:trPr>
        <w:tc>
          <w:tcPr>
            <w:tcW w:w="46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2025</w:t>
            </w:r>
          </w:p>
        </w:tc>
        <w:tc>
          <w:tcPr>
            <w:tcW w:w="720" w:type="dxa"/>
            <w:vAlign w:val="bottom"/>
            <w:gridSpan w:val="2"/>
            <w:shd w:val="clear" w:color="auto" w:fill="CCEEFF"/>
          </w:tcPr>
          <w:p>
            <w:pPr>
              <w:jc w:val="right"/>
              <w:ind w:right="147"/>
              <w:spacing w:after="0" w:line="169" w:lineRule="exact"/>
              <w:rPr>
                <w:sz w:val="20"/>
                <w:szCs w:val="20"/>
                <w:color w:val="auto"/>
              </w:rPr>
            </w:pPr>
            <w:r>
              <w:rPr>
                <w:rFonts w:ascii="Arial" w:cs="Arial" w:eastAsia="Arial" w:hAnsi="Arial"/>
                <w:sz w:val="15"/>
                <w:szCs w:val="15"/>
                <w:color w:val="auto"/>
              </w:rPr>
              <w:t>$</w:t>
            </w:r>
          </w:p>
        </w:tc>
        <w:tc>
          <w:tcPr>
            <w:tcW w:w="16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15,791</w:t>
            </w:r>
          </w:p>
        </w:tc>
        <w:tc>
          <w:tcPr>
            <w:tcW w:w="100" w:type="dxa"/>
            <w:vAlign w:val="bottom"/>
            <w:shd w:val="clear" w:color="auto" w:fill="CCEEFF"/>
          </w:tcPr>
          <w:p>
            <w:pPr>
              <w:spacing w:after="0"/>
              <w:rPr>
                <w:sz w:val="14"/>
                <w:szCs w:val="14"/>
                <w:color w:val="auto"/>
              </w:rPr>
            </w:pPr>
          </w:p>
        </w:tc>
      </w:tr>
      <w:tr>
        <w:trPr>
          <w:trHeight w:val="169"/>
        </w:trPr>
        <w:tc>
          <w:tcPr>
            <w:tcW w:w="4660" w:type="dxa"/>
            <w:vAlign w:val="bottom"/>
          </w:tcPr>
          <w:p>
            <w:pPr>
              <w:spacing w:after="0" w:line="169" w:lineRule="exact"/>
              <w:rPr>
                <w:sz w:val="20"/>
                <w:szCs w:val="20"/>
                <w:color w:val="auto"/>
              </w:rPr>
            </w:pPr>
            <w:r>
              <w:rPr>
                <w:rFonts w:ascii="Arial" w:cs="Arial" w:eastAsia="Arial" w:hAnsi="Arial"/>
                <w:sz w:val="15"/>
                <w:szCs w:val="15"/>
                <w:color w:val="auto"/>
              </w:rPr>
              <w:t>2026</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spacing w:after="0" w:line="169" w:lineRule="exact"/>
              <w:rPr>
                <w:sz w:val="20"/>
                <w:szCs w:val="20"/>
                <w:color w:val="auto"/>
              </w:rPr>
            </w:pPr>
            <w:r>
              <w:rPr>
                <w:rFonts w:ascii="Arial" w:cs="Arial" w:eastAsia="Arial" w:hAnsi="Arial"/>
                <w:sz w:val="15"/>
                <w:szCs w:val="15"/>
                <w:color w:val="auto"/>
              </w:rPr>
              <w:t>14,094</w:t>
            </w:r>
          </w:p>
        </w:tc>
        <w:tc>
          <w:tcPr>
            <w:tcW w:w="100" w:type="dxa"/>
            <w:vAlign w:val="bottom"/>
          </w:tcPr>
          <w:p>
            <w:pPr>
              <w:spacing w:after="0"/>
              <w:rPr>
                <w:sz w:val="14"/>
                <w:szCs w:val="14"/>
                <w:color w:val="auto"/>
              </w:rPr>
            </w:pPr>
          </w:p>
        </w:tc>
      </w:tr>
      <w:tr>
        <w:trPr>
          <w:trHeight w:val="169"/>
        </w:trPr>
        <w:tc>
          <w:tcPr>
            <w:tcW w:w="46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2027</w:t>
            </w: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12,851</w:t>
            </w:r>
          </w:p>
        </w:tc>
        <w:tc>
          <w:tcPr>
            <w:tcW w:w="100" w:type="dxa"/>
            <w:vAlign w:val="bottom"/>
            <w:shd w:val="clear" w:color="auto" w:fill="CCEEFF"/>
          </w:tcPr>
          <w:p>
            <w:pPr>
              <w:spacing w:after="0"/>
              <w:rPr>
                <w:sz w:val="14"/>
                <w:szCs w:val="14"/>
                <w:color w:val="auto"/>
              </w:rPr>
            </w:pPr>
          </w:p>
        </w:tc>
      </w:tr>
      <w:tr>
        <w:trPr>
          <w:trHeight w:val="169"/>
        </w:trPr>
        <w:tc>
          <w:tcPr>
            <w:tcW w:w="4660" w:type="dxa"/>
            <w:vAlign w:val="bottom"/>
          </w:tcPr>
          <w:p>
            <w:pPr>
              <w:spacing w:after="0" w:line="169" w:lineRule="exact"/>
              <w:rPr>
                <w:sz w:val="20"/>
                <w:szCs w:val="20"/>
                <w:color w:val="auto"/>
              </w:rPr>
            </w:pPr>
            <w:r>
              <w:rPr>
                <w:rFonts w:ascii="Arial" w:cs="Arial" w:eastAsia="Arial" w:hAnsi="Arial"/>
                <w:sz w:val="15"/>
                <w:szCs w:val="15"/>
                <w:color w:val="auto"/>
              </w:rPr>
              <w:t>2028</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spacing w:after="0" w:line="169" w:lineRule="exact"/>
              <w:rPr>
                <w:sz w:val="20"/>
                <w:szCs w:val="20"/>
                <w:color w:val="auto"/>
              </w:rPr>
            </w:pPr>
            <w:r>
              <w:rPr>
                <w:rFonts w:ascii="Arial" w:cs="Arial" w:eastAsia="Arial" w:hAnsi="Arial"/>
                <w:sz w:val="15"/>
                <w:szCs w:val="15"/>
                <w:color w:val="auto"/>
              </w:rPr>
              <w:t>12,357</w:t>
            </w:r>
          </w:p>
        </w:tc>
        <w:tc>
          <w:tcPr>
            <w:tcW w:w="100" w:type="dxa"/>
            <w:vAlign w:val="bottom"/>
          </w:tcPr>
          <w:p>
            <w:pPr>
              <w:spacing w:after="0"/>
              <w:rPr>
                <w:sz w:val="14"/>
                <w:szCs w:val="14"/>
                <w:color w:val="auto"/>
              </w:rPr>
            </w:pPr>
          </w:p>
        </w:tc>
      </w:tr>
      <w:tr>
        <w:trPr>
          <w:trHeight w:val="169"/>
        </w:trPr>
        <w:tc>
          <w:tcPr>
            <w:tcW w:w="46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2029</w:t>
            </w: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11,767</w:t>
            </w:r>
          </w:p>
        </w:tc>
        <w:tc>
          <w:tcPr>
            <w:tcW w:w="100" w:type="dxa"/>
            <w:vAlign w:val="bottom"/>
            <w:shd w:val="clear" w:color="auto" w:fill="CCEEFF"/>
          </w:tcPr>
          <w:p>
            <w:pPr>
              <w:spacing w:after="0"/>
              <w:rPr>
                <w:sz w:val="14"/>
                <w:szCs w:val="14"/>
                <w:color w:val="auto"/>
              </w:rPr>
            </w:pPr>
          </w:p>
        </w:tc>
      </w:tr>
      <w:tr>
        <w:trPr>
          <w:trHeight w:val="169"/>
        </w:trPr>
        <w:tc>
          <w:tcPr>
            <w:tcW w:w="466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Thereafter</w:t>
            </w:r>
          </w:p>
        </w:tc>
        <w:tc>
          <w:tcPr>
            <w:tcW w:w="4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7,850</w:t>
            </w:r>
          </w:p>
        </w:tc>
        <w:tc>
          <w:tcPr>
            <w:tcW w:w="100" w:type="dxa"/>
            <w:vAlign w:val="bottom"/>
            <w:tcBorders>
              <w:bottom w:val="single" w:sz="8" w:color="CCEEFF"/>
            </w:tcBorders>
          </w:tcPr>
          <w:p>
            <w:pPr>
              <w:spacing w:after="0"/>
              <w:rPr>
                <w:sz w:val="14"/>
                <w:szCs w:val="14"/>
                <w:color w:val="auto"/>
              </w:rPr>
            </w:pPr>
          </w:p>
        </w:tc>
      </w:tr>
      <w:tr>
        <w:trPr>
          <w:trHeight w:val="162"/>
        </w:trPr>
        <w:tc>
          <w:tcPr>
            <w:tcW w:w="466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w:t>
            </w:r>
          </w:p>
        </w:tc>
        <w:tc>
          <w:tcPr>
            <w:tcW w:w="4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7"/>
              <w:spacing w:after="0" w:line="161" w:lineRule="exact"/>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74,710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4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Goodwill</w:t>
      </w:r>
    </w:p>
    <w:p>
      <w:pPr>
        <w:spacing w:after="0" w:line="177"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Goodwill represents the excess of the consideration transferred over the estimated fair values of assets acquired and liabilities assumed as of the acquisition date and is not subject to amortization but is subject to impairment testing annually or whenever indicators of impairment arise.</w:t>
      </w:r>
    </w:p>
    <w:p>
      <w:pPr>
        <w:spacing w:after="0" w:line="137"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During the year ended December 31, 2023 we recorded a noncash impairment charge for goodwill of $758 million in “Impairment of long-lived assets and goodwill” on our Consolidated Statements of Operations and Comprehensive Income (Loss). See Note 2 for further information. The non-recurring measurement of fair value of goodwill is classified as Level 3 in the fair value hierarchy. As of December 31, 2024 and 2023, we have zero goodwill recorded on our Consolidated Balance Sheets.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9">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2" w:name="page163"/>
    <w:bookmarkEnd w:id="16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Regulatory Authorizations – Pay-TV and Wireless Segments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2024 and 2023, our Regulatory Authorizations with indefinite lives consisted of the following:</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40" w:type="dxa"/>
            <w:vAlign w:val="bottom"/>
            <w:gridSpan w:val="2"/>
            <w:vMerge w:val="restart"/>
          </w:tcPr>
          <w:p>
            <w:pPr>
              <w:ind w:left="660"/>
              <w:spacing w:after="0"/>
              <w:rPr>
                <w:sz w:val="20"/>
                <w:szCs w:val="20"/>
                <w:color w:val="auto"/>
              </w:rPr>
            </w:pPr>
            <w:r>
              <w:rPr>
                <w:rFonts w:ascii="Arial" w:cs="Arial" w:eastAsia="Arial" w:hAnsi="Arial"/>
                <w:sz w:val="15"/>
                <w:szCs w:val="15"/>
                <w:b w:val="1"/>
                <w:bCs w:val="1"/>
                <w:color w:val="auto"/>
              </w:rPr>
              <w:t>Segment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jc w:val="right"/>
              <w:ind w:right="747"/>
              <w:spacing w:after="0"/>
              <w:rPr>
                <w:sz w:val="20"/>
                <w:szCs w:val="20"/>
                <w:color w:val="auto"/>
              </w:rPr>
            </w:pPr>
            <w:r>
              <w:rPr>
                <w:rFonts w:ascii="Arial" w:cs="Arial" w:eastAsia="Arial" w:hAnsi="Arial"/>
                <w:sz w:val="15"/>
                <w:szCs w:val="15"/>
                <w:b w:val="1"/>
                <w:bCs w:val="1"/>
                <w:color w:val="auto"/>
              </w:rPr>
              <w:t>As of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27"/>
              <w:spacing w:after="0" w:line="169" w:lineRule="exact"/>
              <w:rPr>
                <w:sz w:val="20"/>
                <w:szCs w:val="20"/>
                <w:color w:val="auto"/>
              </w:rPr>
            </w:pPr>
            <w:r>
              <w:rPr>
                <w:rFonts w:ascii="Arial" w:cs="Arial" w:eastAsia="Arial" w:hAnsi="Arial"/>
                <w:sz w:val="15"/>
                <w:szCs w:val="15"/>
                <w:b w:val="1"/>
                <w:bCs w:val="1"/>
                <w:color w:val="auto"/>
              </w:rPr>
              <w:t>2024</w:t>
            </w:r>
          </w:p>
        </w:tc>
        <w:tc>
          <w:tcPr>
            <w:tcW w:w="2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467"/>
              <w:spacing w:after="0" w:line="169" w:lineRule="exact"/>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gridSpan w:val="4"/>
            <w:shd w:val="clear" w:color="auto" w:fill="CCEEFF"/>
          </w:tcPr>
          <w:p>
            <w:pPr>
              <w:jc w:val="right"/>
              <w:ind w:right="28"/>
              <w:spacing w:after="0" w:line="161" w:lineRule="exact"/>
              <w:rPr>
                <w:sz w:val="20"/>
                <w:szCs w:val="20"/>
                <w:color w:val="auto"/>
              </w:rPr>
            </w:pPr>
            <w:r>
              <w:rPr>
                <w:rFonts w:ascii="Arial" w:cs="Arial" w:eastAsia="Arial" w:hAnsi="Arial"/>
                <w:sz w:val="15"/>
                <w:szCs w:val="15"/>
                <w:color w:val="auto"/>
              </w:rPr>
              <w:t>(In thousands)</w:t>
            </w:r>
          </w:p>
        </w:tc>
        <w:tc>
          <w:tcPr>
            <w:tcW w:w="94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DBS Licenses</w:t>
            </w:r>
          </w:p>
        </w:tc>
        <w:tc>
          <w:tcPr>
            <w:tcW w:w="6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Pay-TV</w:t>
            </w:r>
          </w:p>
        </w:tc>
        <w:tc>
          <w:tcPr>
            <w:tcW w:w="540" w:type="dxa"/>
            <w:vAlign w:val="bottom"/>
            <w:gridSpan w:val="2"/>
          </w:tcPr>
          <w:p>
            <w:pPr>
              <w:jc w:val="right"/>
              <w:ind w:right="127"/>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677,409</w:t>
            </w:r>
          </w:p>
        </w:tc>
        <w:tc>
          <w:tcPr>
            <w:tcW w:w="260" w:type="dxa"/>
            <w:vAlign w:val="bottom"/>
          </w:tcPr>
          <w:p>
            <w:pPr>
              <w:spacing w:after="0"/>
              <w:rPr>
                <w:sz w:val="15"/>
                <w:szCs w:val="15"/>
                <w:color w:val="auto"/>
              </w:rPr>
            </w:pPr>
          </w:p>
        </w:tc>
        <w:tc>
          <w:tcPr>
            <w:tcW w:w="420" w:type="dxa"/>
            <w:vAlign w:val="bottom"/>
            <w:gridSpan w:val="2"/>
          </w:tcPr>
          <w:p>
            <w:pPr>
              <w:jc w:val="right"/>
              <w:ind w:right="288"/>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677,409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700 MHz Licenses</w:t>
            </w: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701,803</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711,871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AWS-4 Licenses</w:t>
            </w:r>
          </w:p>
        </w:tc>
        <w:tc>
          <w:tcPr>
            <w:tcW w:w="6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1,928,688</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1,940,000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 Block Licenses</w:t>
            </w: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1,671,506</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1,671,506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600 MHz Licenses</w:t>
            </w:r>
          </w:p>
        </w:tc>
        <w:tc>
          <w:tcPr>
            <w:tcW w:w="6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6,192,575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6,213,335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MVDDS Licenses</w:t>
            </w: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24,000</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24,000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28 GHz Licenses</w:t>
            </w:r>
          </w:p>
        </w:tc>
        <w:tc>
          <w:tcPr>
            <w:tcW w:w="6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2,883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2,883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24 GHz Licenses</w:t>
            </w: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11,772</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11,772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37 GHz, 39 GHz &amp; 47 GHz Licenses</w:t>
            </w:r>
          </w:p>
        </w:tc>
        <w:tc>
          <w:tcPr>
            <w:tcW w:w="6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202,392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202,533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3550-3650 MHz Licenses</w:t>
            </w: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912,200</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912,939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3.7-3.98 GHz Licenses</w:t>
            </w:r>
          </w:p>
        </w:tc>
        <w:tc>
          <w:tcPr>
            <w:tcW w:w="6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2,969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2,969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3.45-3.55 GHz Licenses</w:t>
            </w: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7,329,093</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7,327,989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1695-1710 MHz, 1755-1780 MHz and 2155-2180 MHz</w:t>
            </w:r>
          </w:p>
        </w:tc>
        <w:tc>
          <w:tcPr>
            <w:tcW w:w="6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972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972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AWS-3 (1)</w:t>
            </w: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9,829,287</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5,618,930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60" w:type="dxa"/>
            <w:vAlign w:val="bottom"/>
            <w:gridSpan w:val="2"/>
          </w:tcPr>
          <w:p>
            <w:pPr>
              <w:spacing w:after="0"/>
              <w:rPr>
                <w:sz w:val="20"/>
                <w:szCs w:val="20"/>
                <w:color w:val="auto"/>
              </w:rPr>
            </w:pPr>
            <w:r>
              <w:rPr>
                <w:rFonts w:ascii="Arial" w:cs="Arial" w:eastAsia="Arial" w:hAnsi="Arial"/>
                <w:sz w:val="15"/>
                <w:szCs w:val="15"/>
                <w:color w:val="auto"/>
              </w:rPr>
              <w:t>SNR (1)</w:t>
            </w:r>
          </w:p>
        </w:tc>
        <w:tc>
          <w:tcPr>
            <w:tcW w:w="6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color w:val="auto"/>
                <w:w w:val="97"/>
              </w:rPr>
              <w:t>Wireless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4,271,459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i w:val="1"/>
                <w:iCs w:val="1"/>
                <w:color w:val="auto"/>
              </w:rPr>
              <w:t>Subtotal</w:t>
            </w:r>
          </w:p>
        </w:tc>
        <w:tc>
          <w:tcPr>
            <w:tcW w:w="6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29,487,549</w:t>
            </w: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right w:val="single" w:sz="8" w:color="CCEEFF"/>
            </w:tcBorders>
            <w:shd w:val="clear" w:color="auto" w:fill="CCEEFF"/>
          </w:tcPr>
          <w:p>
            <w:pPr>
              <w:jc w:val="right"/>
              <w:ind w:right="27"/>
              <w:spacing w:after="0" w:line="161" w:lineRule="exact"/>
              <w:rPr>
                <w:sz w:val="20"/>
                <w:szCs w:val="20"/>
                <w:color w:val="auto"/>
              </w:rPr>
            </w:pPr>
            <w:r>
              <w:rPr>
                <w:rFonts w:ascii="Arial" w:cs="Arial" w:eastAsia="Arial" w:hAnsi="Arial"/>
                <w:sz w:val="15"/>
                <w:szCs w:val="15"/>
                <w:color w:val="auto"/>
              </w:rPr>
              <w:t>29,590,567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Capitalized Interest (1)</w:t>
            </w:r>
          </w:p>
        </w:tc>
        <w:tc>
          <w:tcPr>
            <w:tcW w:w="6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9,502,912</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righ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8,523,682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gridSpan w:val="2"/>
          </w:tcPr>
          <w:p>
            <w:pPr>
              <w:spacing w:after="0" w:line="161" w:lineRule="exact"/>
              <w:rPr>
                <w:sz w:val="20"/>
                <w:szCs w:val="20"/>
                <w:color w:val="auto"/>
              </w:rPr>
            </w:pPr>
            <w:r>
              <w:rPr>
                <w:rFonts w:ascii="Arial" w:cs="Arial" w:eastAsia="Arial" w:hAnsi="Arial"/>
                <w:sz w:val="15"/>
                <w:szCs w:val="15"/>
                <w:b w:val="1"/>
                <w:bCs w:val="1"/>
                <w:color w:val="auto"/>
              </w:rPr>
              <w:t>Total</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27"/>
              <w:spacing w:after="0" w:line="161"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38,990,461</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8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27"/>
              <w:spacing w:after="0" w:line="161" w:lineRule="exact"/>
              <w:rPr>
                <w:sz w:val="20"/>
                <w:szCs w:val="20"/>
                <w:color w:val="auto"/>
              </w:rPr>
            </w:pPr>
            <w:r>
              <w:rPr>
                <w:rFonts w:ascii="Arial" w:cs="Arial" w:eastAsia="Arial" w:hAnsi="Arial"/>
                <w:sz w:val="15"/>
                <w:szCs w:val="15"/>
                <w:color w:val="auto"/>
              </w:rPr>
              <w:t>38,114,249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See Note 2 for further information.</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Regulatory Authorizations – Broadband and Satellite Services Segment</w:t>
      </w:r>
    </w:p>
    <w:p>
      <w:pPr>
        <w:spacing w:after="0" w:line="189" w:lineRule="exact"/>
        <w:rPr>
          <w:sz w:val="20"/>
          <w:szCs w:val="20"/>
          <w:color w:val="auto"/>
        </w:rPr>
      </w:pPr>
    </w:p>
    <w:p>
      <w:pPr>
        <w:ind w:left="40" w:right="279"/>
        <w:spacing w:after="0" w:line="275" w:lineRule="auto"/>
        <w:rPr>
          <w:sz w:val="20"/>
          <w:szCs w:val="20"/>
          <w:color w:val="auto"/>
        </w:rPr>
      </w:pPr>
      <w:r>
        <w:rPr>
          <w:rFonts w:ascii="Arial" w:cs="Arial" w:eastAsia="Arial" w:hAnsi="Arial"/>
          <w:sz w:val="16"/>
          <w:szCs w:val="16"/>
          <w:color w:val="auto"/>
        </w:rPr>
        <w:t>As of December 31, 2024 and 2023, our Regulatory Authorizations for our Broadband and Satellite Services segment with indefinite lives consisted of the following:</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9"/>
              </w:rPr>
              <w:t>As of 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520" w:type="dxa"/>
            <w:vAlign w:val="bottom"/>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2024</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07"/>
              <w:spacing w:after="0" w:line="169" w:lineRule="exact"/>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4"/>
                <w:szCs w:val="14"/>
                <w:color w:val="auto"/>
              </w:rPr>
            </w:pPr>
          </w:p>
        </w:tc>
      </w:tr>
      <w:tr>
        <w:trPr>
          <w:trHeight w:val="149"/>
        </w:trPr>
        <w:tc>
          <w:tcPr>
            <w:tcW w:w="5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gridSpan w:val="3"/>
          </w:tcPr>
          <w:p>
            <w:pPr>
              <w:jc w:val="right"/>
              <w:ind w:right="167"/>
              <w:spacing w:after="0" w:line="149" w:lineRule="exact"/>
              <w:rPr>
                <w:sz w:val="20"/>
                <w:szCs w:val="20"/>
                <w:color w:val="auto"/>
              </w:rPr>
            </w:pPr>
            <w:r>
              <w:rPr>
                <w:rFonts w:ascii="Arial" w:cs="Arial" w:eastAsia="Arial" w:hAnsi="Arial"/>
                <w:sz w:val="15"/>
                <w:szCs w:val="15"/>
                <w:color w:val="auto"/>
              </w:rPr>
              <w:t>(In thousands)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2"/>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95 W</w:t>
            </w:r>
          </w:p>
        </w:tc>
        <w:tc>
          <w:tcPr>
            <w:tcW w:w="94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200,000</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w:t>
            </w:r>
          </w:p>
        </w:tc>
        <w:tc>
          <w:tcPr>
            <w:tcW w:w="80" w:type="dxa"/>
            <w:vAlign w:val="bottom"/>
            <w:shd w:val="clear" w:color="auto" w:fill="CCEEFF"/>
          </w:tcPr>
          <w:p>
            <w:pPr>
              <w:spacing w:after="0"/>
              <w:rPr>
                <w:sz w:val="15"/>
                <w:szCs w:val="15"/>
                <w:color w:val="auto"/>
              </w:rPr>
            </w:pPr>
          </w:p>
        </w:tc>
      </w:tr>
      <w:tr>
        <w:trPr>
          <w:trHeight w:val="182"/>
        </w:trPr>
        <w:tc>
          <w:tcPr>
            <w:tcW w:w="5520" w:type="dxa"/>
            <w:vAlign w:val="bottom"/>
          </w:tcPr>
          <w:p>
            <w:pPr>
              <w:spacing w:after="0"/>
              <w:rPr>
                <w:sz w:val="20"/>
                <w:szCs w:val="20"/>
                <w:color w:val="auto"/>
              </w:rPr>
            </w:pPr>
            <w:r>
              <w:rPr>
                <w:rFonts w:ascii="Arial" w:cs="Arial" w:eastAsia="Arial" w:hAnsi="Arial"/>
                <w:sz w:val="15"/>
                <w:szCs w:val="15"/>
                <w:color w:val="auto"/>
              </w:rPr>
              <w:t>107 W</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2"/>
              </w:rPr>
              <w:t>200,000</w:t>
            </w: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200,000</w:t>
            </w:r>
          </w:p>
        </w:tc>
        <w:tc>
          <w:tcPr>
            <w:tcW w:w="80" w:type="dxa"/>
            <w:vAlign w:val="bottom"/>
          </w:tcPr>
          <w:p>
            <w:pPr>
              <w:spacing w:after="0"/>
              <w:rPr>
                <w:sz w:val="15"/>
                <w:szCs w:val="15"/>
                <w:color w:val="auto"/>
              </w:rPr>
            </w:pPr>
          </w:p>
        </w:tc>
      </w:tr>
      <w:tr>
        <w:trPr>
          <w:trHeight w:val="182"/>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Sirion-1 Filing</w:t>
            </w: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39,160</w:t>
            </w:r>
          </w:p>
        </w:tc>
        <w:tc>
          <w:tcPr>
            <w:tcW w:w="3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39,160</w:t>
            </w:r>
          </w:p>
        </w:tc>
        <w:tc>
          <w:tcPr>
            <w:tcW w:w="80" w:type="dxa"/>
            <w:vAlign w:val="bottom"/>
            <w:shd w:val="clear" w:color="auto" w:fill="CCEEFF"/>
          </w:tcPr>
          <w:p>
            <w:pPr>
              <w:spacing w:after="0"/>
              <w:rPr>
                <w:sz w:val="15"/>
                <w:szCs w:val="15"/>
                <w:color w:val="auto"/>
              </w:rPr>
            </w:pPr>
          </w:p>
        </w:tc>
      </w:tr>
      <w:tr>
        <w:trPr>
          <w:trHeight w:val="202"/>
        </w:trPr>
        <w:tc>
          <w:tcPr>
            <w:tcW w:w="552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b w:val="1"/>
                <w:bCs w:val="1"/>
                <w:color w:val="auto"/>
              </w:rPr>
              <w:t>Total</w:t>
            </w:r>
          </w:p>
        </w:tc>
        <w:tc>
          <w:tcPr>
            <w:tcW w:w="940" w:type="dxa"/>
            <w:vAlign w:val="bottom"/>
            <w:tcBorders>
              <w:bottom w:val="single" w:sz="8" w:color="auto"/>
            </w:tcBorders>
          </w:tcPr>
          <w:p>
            <w:pPr>
              <w:jc w:val="right"/>
              <w:ind w:right="767"/>
              <w:spacing w:after="0" w:line="161"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92"/>
              </w:rPr>
              <w:t>439,160</w:t>
            </w:r>
          </w:p>
        </w:tc>
        <w:tc>
          <w:tcPr>
            <w:tcW w:w="3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407"/>
              <w:spacing w:after="0" w:line="161"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439,160</w:t>
            </w:r>
          </w:p>
        </w:tc>
        <w:tc>
          <w:tcPr>
            <w:tcW w:w="80" w:type="dxa"/>
            <w:vAlign w:val="bottom"/>
            <w:tcBorders>
              <w:bottom w:val="single" w:sz="8" w:color="CCEEFF"/>
            </w:tcBorders>
          </w:tcPr>
          <w:p>
            <w:pPr>
              <w:spacing w:after="0"/>
              <w:rPr>
                <w:sz w:val="17"/>
                <w:szCs w:val="17"/>
                <w:color w:val="auto"/>
              </w:rPr>
            </w:pPr>
          </w:p>
        </w:tc>
      </w:tr>
      <w:tr>
        <w:trPr>
          <w:trHeight w:val="146"/>
        </w:trPr>
        <w:tc>
          <w:tcPr>
            <w:tcW w:w="5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bl>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2024 and 2023, our Regulatory Authorizations with finite lives consisted of the following:</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580"/>
              <w:spacing w:after="0"/>
              <w:rPr>
                <w:sz w:val="20"/>
                <w:szCs w:val="20"/>
                <w:color w:val="auto"/>
              </w:rPr>
            </w:pPr>
            <w:r>
              <w:rPr>
                <w:rFonts w:ascii="Arial" w:cs="Arial" w:eastAsia="Arial" w:hAnsi="Arial"/>
                <w:sz w:val="15"/>
                <w:szCs w:val="15"/>
                <w:b w:val="1"/>
                <w:bCs w:val="1"/>
                <w:color w:val="auto"/>
              </w:rPr>
              <w:t>As of December 31,</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100"/>
              <w:spacing w:after="0" w:line="169" w:lineRule="exact"/>
              <w:rPr>
                <w:sz w:val="20"/>
                <w:szCs w:val="20"/>
                <w:color w:val="auto"/>
              </w:rPr>
            </w:pPr>
            <w:r>
              <w:rPr>
                <w:rFonts w:ascii="Arial" w:cs="Arial" w:eastAsia="Arial" w:hAnsi="Arial"/>
                <w:sz w:val="15"/>
                <w:szCs w:val="15"/>
                <w:b w:val="1"/>
                <w:bCs w:val="1"/>
                <w:color w:val="auto"/>
                <w:w w:val="95"/>
              </w:rPr>
              <w:t>2024</w:t>
            </w:r>
          </w:p>
        </w:tc>
        <w:tc>
          <w:tcPr>
            <w:tcW w:w="1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ind w:right="80"/>
              <w:spacing w:after="0" w:line="169" w:lineRule="exact"/>
              <w:rPr>
                <w:sz w:val="20"/>
                <w:szCs w:val="20"/>
                <w:color w:val="auto"/>
              </w:rPr>
            </w:pPr>
            <w:r>
              <w:rPr>
                <w:rFonts w:ascii="Arial" w:cs="Arial" w:eastAsia="Arial" w:hAnsi="Arial"/>
                <w:sz w:val="15"/>
                <w:szCs w:val="15"/>
                <w:b w:val="1"/>
                <w:bCs w:val="1"/>
                <w:color w:val="auto"/>
                <w:w w:val="95"/>
              </w:rPr>
              <w:t>2023</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47"/>
              <w:spacing w:after="0" w:line="149" w:lineRule="exact"/>
              <w:rPr>
                <w:sz w:val="20"/>
                <w:szCs w:val="20"/>
                <w:color w:val="auto"/>
              </w:rPr>
            </w:pPr>
            <w:r>
              <w:rPr>
                <w:rFonts w:ascii="Arial" w:cs="Arial" w:eastAsia="Arial" w:hAnsi="Arial"/>
                <w:sz w:val="15"/>
                <w:szCs w:val="15"/>
                <w:b w:val="1"/>
                <w:bCs w:val="1"/>
                <w:color w:val="auto"/>
                <w:w w:val="95"/>
              </w:rPr>
              <w:t>Finite Lived</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ind w:left="40"/>
              <w:spacing w:after="0" w:line="149" w:lineRule="exact"/>
              <w:rPr>
                <w:sz w:val="20"/>
                <w:szCs w:val="20"/>
                <w:color w:val="auto"/>
              </w:rPr>
            </w:pPr>
            <w:r>
              <w:rPr>
                <w:rFonts w:ascii="Arial" w:cs="Arial" w:eastAsia="Arial" w:hAnsi="Arial"/>
                <w:sz w:val="15"/>
                <w:szCs w:val="15"/>
                <w:b w:val="1"/>
                <w:bCs w:val="1"/>
                <w:color w:val="auto"/>
              </w:rPr>
              <w:t>Accumulated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67"/>
              <w:spacing w:after="0" w:line="149" w:lineRule="exact"/>
              <w:rPr>
                <w:sz w:val="20"/>
                <w:szCs w:val="20"/>
                <w:color w:val="auto"/>
              </w:rPr>
            </w:pPr>
            <w:r>
              <w:rPr>
                <w:rFonts w:ascii="Arial" w:cs="Arial" w:eastAsia="Arial" w:hAnsi="Arial"/>
                <w:sz w:val="15"/>
                <w:szCs w:val="15"/>
                <w:b w:val="1"/>
                <w:bCs w:val="1"/>
                <w:color w:val="auto"/>
                <w:w w:val="95"/>
              </w:rPr>
              <w:t>Finite Lived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ind w:left="60"/>
              <w:spacing w:after="0" w:line="149" w:lineRule="exact"/>
              <w:rPr>
                <w:sz w:val="20"/>
                <w:szCs w:val="20"/>
                <w:color w:val="auto"/>
              </w:rPr>
            </w:pPr>
            <w:r>
              <w:rPr>
                <w:rFonts w:ascii="Arial" w:cs="Arial" w:eastAsia="Arial" w:hAnsi="Arial"/>
                <w:sz w:val="15"/>
                <w:szCs w:val="15"/>
                <w:b w:val="1"/>
                <w:bCs w:val="1"/>
                <w:color w:val="auto"/>
              </w:rPr>
              <w:t>Accumulated</w:t>
            </w:r>
          </w:p>
        </w:tc>
        <w:tc>
          <w:tcPr>
            <w:tcW w:w="20" w:type="dxa"/>
            <w:vAlign w:val="bottom"/>
          </w:tcPr>
          <w:p>
            <w:pPr>
              <w:spacing w:after="0"/>
              <w:rPr>
                <w:sz w:val="12"/>
                <w:szCs w:val="12"/>
                <w:color w:val="auto"/>
              </w:rPr>
            </w:pPr>
          </w:p>
        </w:tc>
      </w:tr>
      <w:tr>
        <w:trPr>
          <w:trHeight w:val="182"/>
        </w:trPr>
        <w:tc>
          <w:tcPr>
            <w:tcW w:w="3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7"/>
              <w:spacing w:after="0"/>
              <w:rPr>
                <w:sz w:val="20"/>
                <w:szCs w:val="20"/>
                <w:color w:val="auto"/>
              </w:rPr>
            </w:pPr>
            <w:r>
              <w:rPr>
                <w:rFonts w:ascii="Arial" w:cs="Arial" w:eastAsia="Arial" w:hAnsi="Arial"/>
                <w:sz w:val="15"/>
                <w:szCs w:val="15"/>
                <w:b w:val="1"/>
                <w:bCs w:val="1"/>
                <w:color w:val="auto"/>
                <w:w w:val="97"/>
              </w:rPr>
              <w:t>Assets</w:t>
            </w:r>
          </w:p>
        </w:tc>
        <w:tc>
          <w:tcPr>
            <w:tcW w:w="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Amortization</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7"/>
              <w:spacing w:after="0"/>
              <w:rPr>
                <w:sz w:val="20"/>
                <w:szCs w:val="20"/>
                <w:color w:val="auto"/>
              </w:rPr>
            </w:pPr>
            <w:r>
              <w:rPr>
                <w:rFonts w:ascii="Arial" w:cs="Arial" w:eastAsia="Arial" w:hAnsi="Arial"/>
                <w:sz w:val="15"/>
                <w:szCs w:val="15"/>
                <w:b w:val="1"/>
                <w:bCs w:val="1"/>
                <w:color w:val="auto"/>
                <w:w w:val="97"/>
              </w:rPr>
              <w:t>Assets</w:t>
            </w:r>
          </w:p>
        </w:tc>
        <w:tc>
          <w:tcPr>
            <w:tcW w:w="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Amortization</w:t>
            </w:r>
          </w:p>
        </w:tc>
        <w:tc>
          <w:tcPr>
            <w:tcW w:w="20" w:type="dxa"/>
            <w:vAlign w:val="bottom"/>
          </w:tcPr>
          <w:p>
            <w:pPr>
              <w:spacing w:after="0"/>
              <w:rPr>
                <w:sz w:val="15"/>
                <w:szCs w:val="15"/>
                <w:color w:val="auto"/>
              </w:rPr>
            </w:pPr>
          </w:p>
        </w:tc>
      </w:tr>
      <w:tr>
        <w:trPr>
          <w:trHeight w:val="149"/>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4"/>
          </w:tcPr>
          <w:p>
            <w:pPr>
              <w:ind w:left="800"/>
              <w:spacing w:after="0" w:line="149" w:lineRule="exact"/>
              <w:rPr>
                <w:sz w:val="20"/>
                <w:szCs w:val="20"/>
                <w:color w:val="auto"/>
              </w:rPr>
            </w:pPr>
            <w:r>
              <w:rPr>
                <w:rFonts w:ascii="Arial" w:cs="Arial" w:eastAsia="Arial" w:hAnsi="Arial"/>
                <w:sz w:val="15"/>
                <w:szCs w:val="15"/>
                <w:color w:val="auto"/>
              </w:rPr>
              <w:t>(In thousands)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9"/>
        </w:trPr>
        <w:tc>
          <w:tcPr>
            <w:tcW w:w="31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53,160</w:t>
            </w:r>
          </w:p>
        </w:tc>
        <w:tc>
          <w:tcPr>
            <w:tcW w:w="44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580"/>
              <w:spacing w:after="0" w:line="169" w:lineRule="exact"/>
              <w:rPr>
                <w:sz w:val="20"/>
                <w:szCs w:val="20"/>
                <w:color w:val="auto"/>
              </w:rPr>
            </w:pPr>
            <w:r>
              <w:rPr>
                <w:rFonts w:ascii="Arial" w:cs="Arial" w:eastAsia="Arial" w:hAnsi="Arial"/>
                <w:sz w:val="15"/>
                <w:szCs w:val="15"/>
                <w:color w:val="auto"/>
              </w:rPr>
              <w:t>(40,615)</w:t>
            </w: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58,061</w:t>
            </w:r>
          </w:p>
        </w:tc>
        <w:tc>
          <w:tcPr>
            <w:tcW w:w="420" w:type="dxa"/>
            <w:vAlign w:val="bottom"/>
            <w:gridSpan w:val="3"/>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(38,490)</w:t>
            </w:r>
          </w:p>
        </w:tc>
        <w:tc>
          <w:tcPr>
            <w:tcW w:w="20" w:type="dxa"/>
            <w:vAlign w:val="bottom"/>
          </w:tcPr>
          <w:p>
            <w:pPr>
              <w:spacing w:after="0"/>
              <w:rPr>
                <w:sz w:val="14"/>
                <w:szCs w:val="14"/>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0">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3" w:name="page164"/>
    <w:bookmarkEnd w:id="16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These identifiable intangibles are included in “Regulatory Authorizations, net” on our Consolidated Balance Sheets. Amortization of these intangible assets is recorded on a straight-line basis over an average finite useful life of thirteen years. Amortization was $5 million, $5 million and $4 million for the years ended December 31, 2024, 2023 and 2022, respectively. Foreign currency translation adjustments were losses of $2 million, gains of $1 million and losses of $2 million for the years ended December 31, 2024, 2023 and 2022, respectively.</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Estimated future amortization of our Regulatory Authorizations as of December 31, 2024 is as follows (in thousands):</w:t>
      </w: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182"/>
        </w:trPr>
        <w:tc>
          <w:tcPr>
            <w:tcW w:w="47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For the Years Ending December 31,</w:t>
            </w: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b w:val="1"/>
                <w:bCs w:val="1"/>
                <w:color w:val="auto"/>
              </w:rPr>
              <w:t>Total</w:t>
            </w:r>
          </w:p>
        </w:tc>
      </w:tr>
      <w:tr>
        <w:trPr>
          <w:trHeight w:val="162"/>
        </w:trPr>
        <w:tc>
          <w:tcPr>
            <w:tcW w:w="4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467"/>
              <w:spacing w:after="0" w:line="161" w:lineRule="exact"/>
              <w:rPr>
                <w:sz w:val="20"/>
                <w:szCs w:val="20"/>
                <w:color w:val="auto"/>
              </w:rPr>
            </w:pPr>
            <w:r>
              <w:rPr>
                <w:rFonts w:ascii="Arial" w:cs="Arial" w:eastAsia="Arial" w:hAnsi="Arial"/>
                <w:sz w:val="15"/>
                <w:szCs w:val="15"/>
                <w:color w:val="auto"/>
              </w:rPr>
              <w:t>(In thousands)</w:t>
            </w:r>
          </w:p>
        </w:tc>
      </w:tr>
      <w:tr>
        <w:trPr>
          <w:trHeight w:val="169"/>
        </w:trPr>
        <w:tc>
          <w:tcPr>
            <w:tcW w:w="47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2025</w:t>
            </w:r>
          </w:p>
        </w:tc>
        <w:tc>
          <w:tcPr>
            <w:tcW w:w="720" w:type="dxa"/>
            <w:vAlign w:val="bottom"/>
            <w:gridSpan w:val="2"/>
            <w:shd w:val="clear" w:color="auto" w:fill="CCEEFF"/>
          </w:tcPr>
          <w:p>
            <w:pPr>
              <w:jc w:val="right"/>
              <w:ind w:right="167"/>
              <w:spacing w:after="0" w:line="169" w:lineRule="exact"/>
              <w:rPr>
                <w:sz w:val="20"/>
                <w:szCs w:val="20"/>
                <w:color w:val="auto"/>
              </w:rPr>
            </w:pPr>
            <w:r>
              <w:rPr>
                <w:rFonts w:ascii="Arial" w:cs="Arial" w:eastAsia="Arial" w:hAnsi="Arial"/>
                <w:sz w:val="15"/>
                <w:szCs w:val="15"/>
                <w:color w:val="auto"/>
              </w:rPr>
              <w:t>$</w:t>
            </w:r>
          </w:p>
        </w:tc>
        <w:tc>
          <w:tcPr>
            <w:tcW w:w="17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3,817</w:t>
            </w:r>
          </w:p>
        </w:tc>
      </w:tr>
      <w:tr>
        <w:trPr>
          <w:trHeight w:val="169"/>
        </w:trPr>
        <w:tc>
          <w:tcPr>
            <w:tcW w:w="4720" w:type="dxa"/>
            <w:vAlign w:val="bottom"/>
          </w:tcPr>
          <w:p>
            <w:pPr>
              <w:spacing w:after="0" w:line="169" w:lineRule="exact"/>
              <w:rPr>
                <w:sz w:val="20"/>
                <w:szCs w:val="20"/>
                <w:color w:val="auto"/>
              </w:rPr>
            </w:pPr>
            <w:r>
              <w:rPr>
                <w:rFonts w:ascii="Arial" w:cs="Arial" w:eastAsia="Arial" w:hAnsi="Arial"/>
                <w:sz w:val="15"/>
                <w:szCs w:val="15"/>
                <w:color w:val="auto"/>
              </w:rPr>
              <w:t>2026</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spacing w:after="0" w:line="169" w:lineRule="exact"/>
              <w:rPr>
                <w:sz w:val="20"/>
                <w:szCs w:val="20"/>
                <w:color w:val="auto"/>
              </w:rPr>
            </w:pPr>
            <w:r>
              <w:rPr>
                <w:rFonts w:ascii="Arial" w:cs="Arial" w:eastAsia="Arial" w:hAnsi="Arial"/>
                <w:sz w:val="15"/>
                <w:szCs w:val="15"/>
                <w:color w:val="auto"/>
              </w:rPr>
              <w:t>3,767</w:t>
            </w:r>
          </w:p>
        </w:tc>
      </w:tr>
      <w:tr>
        <w:trPr>
          <w:trHeight w:val="169"/>
        </w:trPr>
        <w:tc>
          <w:tcPr>
            <w:tcW w:w="47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2027</w:t>
            </w: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1,707</w:t>
            </w:r>
          </w:p>
        </w:tc>
      </w:tr>
      <w:tr>
        <w:trPr>
          <w:trHeight w:val="169"/>
        </w:trPr>
        <w:tc>
          <w:tcPr>
            <w:tcW w:w="4720" w:type="dxa"/>
            <w:vAlign w:val="bottom"/>
          </w:tcPr>
          <w:p>
            <w:pPr>
              <w:spacing w:after="0" w:line="169" w:lineRule="exact"/>
              <w:rPr>
                <w:sz w:val="20"/>
                <w:szCs w:val="20"/>
                <w:color w:val="auto"/>
              </w:rPr>
            </w:pPr>
            <w:r>
              <w:rPr>
                <w:rFonts w:ascii="Arial" w:cs="Arial" w:eastAsia="Arial" w:hAnsi="Arial"/>
                <w:sz w:val="15"/>
                <w:szCs w:val="15"/>
                <w:color w:val="auto"/>
              </w:rPr>
              <w:t>2028</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spacing w:after="0" w:line="169" w:lineRule="exact"/>
              <w:rPr>
                <w:sz w:val="20"/>
                <w:szCs w:val="20"/>
                <w:color w:val="auto"/>
              </w:rPr>
            </w:pPr>
            <w:r>
              <w:rPr>
                <w:rFonts w:ascii="Arial" w:cs="Arial" w:eastAsia="Arial" w:hAnsi="Arial"/>
                <w:sz w:val="15"/>
                <w:szCs w:val="15"/>
                <w:color w:val="auto"/>
              </w:rPr>
              <w:t>482</w:t>
            </w:r>
          </w:p>
        </w:tc>
      </w:tr>
      <w:tr>
        <w:trPr>
          <w:trHeight w:val="169"/>
        </w:trPr>
        <w:tc>
          <w:tcPr>
            <w:tcW w:w="47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2029</w:t>
            </w: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482</w:t>
            </w:r>
          </w:p>
        </w:tc>
      </w:tr>
      <w:tr>
        <w:trPr>
          <w:trHeight w:val="169"/>
        </w:trPr>
        <w:tc>
          <w:tcPr>
            <w:tcW w:w="472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Thereafter</w:t>
            </w:r>
          </w:p>
        </w:tc>
        <w:tc>
          <w:tcPr>
            <w:tcW w:w="4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2,290</w:t>
            </w:r>
          </w:p>
        </w:tc>
      </w:tr>
      <w:tr>
        <w:trPr>
          <w:trHeight w:val="162"/>
        </w:trPr>
        <w:tc>
          <w:tcPr>
            <w:tcW w:w="472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w:t>
            </w:r>
          </w:p>
        </w:tc>
        <w:tc>
          <w:tcPr>
            <w:tcW w:w="4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7"/>
              <w:spacing w:after="0" w:line="161" w:lineRule="exact"/>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12,545</w:t>
            </w:r>
          </w:p>
        </w:tc>
      </w:tr>
      <w:tr>
        <w:trPr>
          <w:trHeight w:val="20"/>
        </w:trPr>
        <w:tc>
          <w:tcPr>
            <w:tcW w:w="4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9.  Leases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Lessee Accounting</w:t>
      </w:r>
    </w:p>
    <w:p>
      <w:pPr>
        <w:spacing w:after="0" w:line="177" w:lineRule="exact"/>
        <w:rPr>
          <w:sz w:val="20"/>
          <w:szCs w:val="20"/>
          <w:color w:val="auto"/>
        </w:rPr>
      </w:pPr>
    </w:p>
    <w:p>
      <w:pPr>
        <w:ind w:left="40" w:right="239"/>
        <w:spacing w:after="0" w:line="243" w:lineRule="auto"/>
        <w:rPr>
          <w:sz w:val="20"/>
          <w:szCs w:val="20"/>
          <w:color w:val="auto"/>
        </w:rPr>
      </w:pPr>
      <w:r>
        <w:rPr>
          <w:rFonts w:ascii="Arial" w:cs="Arial" w:eastAsia="Arial" w:hAnsi="Arial"/>
          <w:sz w:val="16"/>
          <w:szCs w:val="16"/>
          <w:color w:val="auto"/>
        </w:rPr>
        <w:t>We enter into non-cancelable operating and finance leases for, among other things, communication towers, satellites, satellite-related ground infrastructure, data centers, office space, dark fiber and transport equipment, warehouses and distribution centers, vehicles and other equipment. Substantially all of our leases have remaining lease terms from one to 13 years, with a weighted average remaining lease term of 1.7 to 9.7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spacing w:after="0" w:line="148"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color w:val="auto"/>
        </w:rPr>
        <w:t>Our Eutelsat 65 West A, Telesat T19V and EchoStar 105/SES-11 satellites are accounted for as finance leases within our Broadband and Satellite Services segment. Through the third quarter of 2024, our Nimiq 5 satellite was accounted for as finance lease within our Pay-TV segment. However, during October 2024, we extended the Nimiq 5 lease and as a result it is currently accounted for as an operating lease. Substantially all of our remaining leases are accounted for as operating leases, including our Anik F3 satellite lease.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81">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4" w:name="page165"/>
    <w:bookmarkEnd w:id="16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components of lease expense were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147"/>
              <w:spacing w:after="0"/>
              <w:rPr>
                <w:sz w:val="20"/>
                <w:szCs w:val="20"/>
                <w:color w:val="auto"/>
              </w:rPr>
            </w:pPr>
            <w:r>
              <w:rPr>
                <w:rFonts w:ascii="Arial" w:cs="Arial" w:eastAsia="Arial" w:hAnsi="Arial"/>
                <w:sz w:val="15"/>
                <w:szCs w:val="15"/>
                <w:b w:val="1"/>
                <w:bCs w:val="1"/>
                <w:color w:val="auto"/>
                <w:w w:val="96"/>
              </w:rPr>
              <w:t>For the Years Ended December 31,</w:t>
            </w:r>
          </w:p>
        </w:tc>
        <w:tc>
          <w:tcPr>
            <w:tcW w:w="1140" w:type="dxa"/>
            <w:vAlign w:val="bottom"/>
            <w:tcBorders>
              <w:bottom w:val="single" w:sz="8" w:color="auto"/>
            </w:tcBorders>
          </w:tcPr>
          <w:p>
            <w:pPr>
              <w:spacing w:after="0"/>
              <w:rPr>
                <w:sz w:val="16"/>
                <w:szCs w:val="16"/>
                <w:color w:val="auto"/>
              </w:rPr>
            </w:pPr>
          </w:p>
        </w:tc>
      </w:tr>
      <w:tr>
        <w:trPr>
          <w:trHeight w:val="169"/>
        </w:trPr>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2024</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07"/>
              <w:spacing w:after="0" w:line="169" w:lineRule="exact"/>
              <w:rPr>
                <w:sz w:val="20"/>
                <w:szCs w:val="20"/>
                <w:color w:val="auto"/>
              </w:rPr>
            </w:pPr>
            <w:r>
              <w:rPr>
                <w:rFonts w:ascii="Arial" w:cs="Arial" w:eastAsia="Arial" w:hAnsi="Arial"/>
                <w:sz w:val="15"/>
                <w:szCs w:val="15"/>
                <w:b w:val="1"/>
                <w:bCs w:val="1"/>
                <w:color w:val="auto"/>
                <w:w w:val="95"/>
              </w:rPr>
              <w:t>2023</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7"/>
              <w:spacing w:after="0" w:line="169" w:lineRule="exact"/>
              <w:rPr>
                <w:sz w:val="20"/>
                <w:szCs w:val="20"/>
                <w:color w:val="auto"/>
              </w:rPr>
            </w:pPr>
            <w:r>
              <w:rPr>
                <w:rFonts w:ascii="Arial" w:cs="Arial" w:eastAsia="Arial" w:hAnsi="Arial"/>
                <w:sz w:val="15"/>
                <w:szCs w:val="15"/>
                <w:b w:val="1"/>
                <w:bCs w:val="1"/>
                <w:color w:val="auto"/>
              </w:rPr>
              <w:t>2022</w:t>
            </w:r>
          </w:p>
        </w:tc>
      </w:tr>
      <w:tr>
        <w:trPr>
          <w:trHeight w:val="162"/>
        </w:trPr>
        <w:tc>
          <w:tcPr>
            <w:tcW w:w="2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87"/>
              <w:spacing w:after="0" w:line="161" w:lineRule="exact"/>
              <w:rPr>
                <w:sz w:val="20"/>
                <w:szCs w:val="20"/>
                <w:color w:val="auto"/>
              </w:rPr>
            </w:pPr>
            <w:r>
              <w:rPr>
                <w:rFonts w:ascii="Arial" w:cs="Arial" w:eastAsia="Arial" w:hAnsi="Arial"/>
                <w:sz w:val="15"/>
                <w:szCs w:val="15"/>
                <w:color w:val="auto"/>
                <w:w w:val="97"/>
              </w:rPr>
              <w:t>(In thousands)</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3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lease cost (1)</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639,707</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538,805</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355,871</w:t>
            </w:r>
          </w:p>
        </w:tc>
      </w:tr>
      <w:tr>
        <w:trPr>
          <w:trHeight w:val="182"/>
        </w:trPr>
        <w:tc>
          <w:tcPr>
            <w:tcW w:w="2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3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Short-term lease cost (2)</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16,685</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4,765</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4,914</w:t>
            </w:r>
          </w:p>
        </w:tc>
      </w:tr>
      <w:tr>
        <w:trPr>
          <w:trHeight w:val="182"/>
        </w:trPr>
        <w:tc>
          <w:tcPr>
            <w:tcW w:w="2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3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Finance lease cost: (3)</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2"/>
        </w:trPr>
        <w:tc>
          <w:tcPr>
            <w:tcW w:w="3820" w:type="dxa"/>
            <w:vAlign w:val="bottom"/>
            <w:gridSpan w:val="2"/>
          </w:tcPr>
          <w:p>
            <w:pPr>
              <w:ind w:left="100"/>
              <w:spacing w:after="0"/>
              <w:rPr>
                <w:sz w:val="20"/>
                <w:szCs w:val="20"/>
                <w:color w:val="auto"/>
              </w:rPr>
            </w:pPr>
            <w:r>
              <w:rPr>
                <w:rFonts w:ascii="Arial" w:cs="Arial" w:eastAsia="Arial" w:hAnsi="Arial"/>
                <w:sz w:val="15"/>
                <w:szCs w:val="15"/>
                <w:color w:val="auto"/>
              </w:rPr>
              <w:t>Amortization of right-of-use assets</w:t>
            </w: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71,474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102,724</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57,942</w:t>
            </w:r>
          </w:p>
        </w:tc>
      </w:tr>
      <w:tr>
        <w:trPr>
          <w:trHeight w:val="182"/>
        </w:trPr>
        <w:tc>
          <w:tcPr>
            <w:tcW w:w="38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Interest on lease liabilities</w:t>
            </w:r>
          </w:p>
        </w:tc>
        <w:tc>
          <w:tcPr>
            <w:tcW w:w="9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8,799</w:t>
            </w:r>
          </w:p>
        </w:tc>
        <w:tc>
          <w:tcPr>
            <w:tcW w:w="3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14,090</w:t>
            </w:r>
          </w:p>
        </w:tc>
        <w:tc>
          <w:tcPr>
            <w:tcW w:w="3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12,151</w:t>
            </w:r>
          </w:p>
        </w:tc>
      </w:tr>
      <w:tr>
        <w:trPr>
          <w:trHeight w:val="162"/>
        </w:trPr>
        <w:tc>
          <w:tcPr>
            <w:tcW w:w="382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finance lease cost</w:t>
            </w: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80,273</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116,814</w:t>
            </w: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70,093</w:t>
            </w:r>
          </w:p>
        </w:tc>
      </w:tr>
      <w:tr>
        <w:trPr>
          <w:trHeight w:val="162"/>
        </w:trPr>
        <w:tc>
          <w:tcPr>
            <w:tcW w:w="3820" w:type="dxa"/>
            <w:vAlign w:val="bottom"/>
            <w:tcBorders>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Total lease costs</w:t>
            </w:r>
          </w:p>
        </w:tc>
        <w:tc>
          <w:tcPr>
            <w:tcW w:w="920" w:type="dxa"/>
            <w:vAlign w:val="bottom"/>
            <w:tcBorders>
              <w:bottom w:val="single" w:sz="8" w:color="auto"/>
            </w:tcBorders>
            <w:shd w:val="clear" w:color="auto" w:fill="CCEEFF"/>
          </w:tcPr>
          <w:p>
            <w:pPr>
              <w:jc w:val="right"/>
              <w:ind w:right="767"/>
              <w:spacing w:after="0" w:line="161"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92"/>
              </w:rPr>
              <w:t>736,665</w:t>
            </w:r>
          </w:p>
        </w:tc>
        <w:tc>
          <w:tcPr>
            <w:tcW w:w="3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7"/>
              <w:spacing w:after="0" w:line="161"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660,384</w:t>
            </w:r>
          </w:p>
        </w:tc>
        <w:tc>
          <w:tcPr>
            <w:tcW w:w="3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7"/>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430,878</w:t>
            </w:r>
          </w:p>
        </w:tc>
      </w:tr>
      <w:tr>
        <w:trPr>
          <w:trHeight w:val="20"/>
        </w:trPr>
        <w:tc>
          <w:tcPr>
            <w:tcW w:w="2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3"/>
        </w:trPr>
        <w:tc>
          <w:tcPr>
            <w:tcW w:w="2240" w:type="dxa"/>
            <w:vAlign w:val="bottom"/>
            <w:tcBorders>
              <w:bottom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r>
    </w:tbl>
    <w:p>
      <w:pPr>
        <w:spacing w:after="0" w:line="68" w:lineRule="exact"/>
        <w:rPr>
          <w:sz w:val="20"/>
          <w:szCs w:val="20"/>
          <w:color w:val="auto"/>
        </w:rPr>
      </w:pPr>
    </w:p>
    <w:p>
      <w:pPr>
        <w:ind w:left="340" w:hanging="298"/>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increase in operating lease cost is primarily related to communication tower leases.</w:t>
      </w:r>
    </w:p>
    <w:p>
      <w:pPr>
        <w:spacing w:after="0" w:line="13" w:lineRule="exact"/>
        <w:rPr>
          <w:rFonts w:ascii="Arial" w:cs="Arial" w:eastAsia="Arial" w:hAnsi="Arial"/>
          <w:sz w:val="16"/>
          <w:szCs w:val="16"/>
          <w:color w:val="auto"/>
        </w:rPr>
      </w:pPr>
    </w:p>
    <w:p>
      <w:pPr>
        <w:ind w:left="340" w:hanging="298"/>
        <w:spacing w:after="0" w:line="236"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Leases that have terms of 12 months or less.</w:t>
      </w:r>
    </w:p>
    <w:p>
      <w:pPr>
        <w:ind w:left="340" w:right="339" w:hanging="298"/>
        <w:spacing w:after="0" w:line="255"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increase in finance lease cost for the year ended December 31, 2023 is primarily related to equipment for our 5G Network Deployment.</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467"/>
              <w:spacing w:after="0"/>
              <w:rPr>
                <w:sz w:val="20"/>
                <w:szCs w:val="20"/>
                <w:color w:val="auto"/>
              </w:rPr>
            </w:pPr>
            <w:r>
              <w:rPr>
                <w:rFonts w:ascii="Arial" w:cs="Arial" w:eastAsia="Arial" w:hAnsi="Arial"/>
                <w:sz w:val="15"/>
                <w:szCs w:val="15"/>
                <w:b w:val="1"/>
                <w:bCs w:val="1"/>
                <w:color w:val="auto"/>
                <w:w w:val="96"/>
              </w:rPr>
              <w:t>For the Years Ended 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7"/>
              <w:spacing w:after="0" w:line="169" w:lineRule="exact"/>
              <w:rPr>
                <w:sz w:val="20"/>
                <w:szCs w:val="20"/>
                <w:color w:val="auto"/>
              </w:rPr>
            </w:pPr>
            <w:r>
              <w:rPr>
                <w:rFonts w:ascii="Arial" w:cs="Arial" w:eastAsia="Arial" w:hAnsi="Arial"/>
                <w:sz w:val="15"/>
                <w:szCs w:val="15"/>
                <w:b w:val="1"/>
                <w:bCs w:val="1"/>
                <w:color w:val="auto"/>
              </w:rPr>
              <w:t>2024</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7"/>
              <w:spacing w:after="0" w:line="169" w:lineRule="exact"/>
              <w:rPr>
                <w:sz w:val="20"/>
                <w:szCs w:val="20"/>
                <w:color w:val="auto"/>
              </w:rPr>
            </w:pPr>
            <w:r>
              <w:rPr>
                <w:rFonts w:ascii="Arial" w:cs="Arial" w:eastAsia="Arial" w:hAnsi="Arial"/>
                <w:sz w:val="15"/>
                <w:szCs w:val="15"/>
                <w:b w:val="1"/>
                <w:bCs w:val="1"/>
                <w:color w:val="auto"/>
                <w:w w:val="95"/>
              </w:rPr>
              <w:t>2023</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67"/>
              <w:spacing w:after="0" w:line="169" w:lineRule="exact"/>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7"/>
              <w:spacing w:after="0" w:line="149" w:lineRule="exact"/>
              <w:rPr>
                <w:sz w:val="20"/>
                <w:szCs w:val="20"/>
                <w:color w:val="auto"/>
              </w:rPr>
            </w:pPr>
            <w:r>
              <w:rPr>
                <w:rFonts w:ascii="Arial" w:cs="Arial" w:eastAsia="Arial" w:hAnsi="Arial"/>
                <w:sz w:val="15"/>
                <w:szCs w:val="15"/>
                <w:color w:val="auto"/>
                <w:w w:val="95"/>
              </w:rPr>
              <w:t>(In thousands)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9"/>
              </w:rPr>
              <w:t>Cash paid for amounts included in the measurement of lease liabilities:</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tcPr>
          <w:p>
            <w:pPr>
              <w:ind w:left="80"/>
              <w:spacing w:after="0" w:line="169" w:lineRule="exact"/>
              <w:rPr>
                <w:sz w:val="20"/>
                <w:szCs w:val="20"/>
                <w:color w:val="auto"/>
              </w:rPr>
            </w:pPr>
            <w:r>
              <w:rPr>
                <w:rFonts w:ascii="Arial" w:cs="Arial" w:eastAsia="Arial" w:hAnsi="Arial"/>
                <w:sz w:val="15"/>
                <w:szCs w:val="15"/>
                <w:color w:val="auto"/>
              </w:rPr>
              <w:t>Operating cash flows from operating leases</w:t>
            </w:r>
          </w:p>
        </w:tc>
        <w:tc>
          <w:tcPr>
            <w:tcW w:w="4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504,604</w:t>
            </w:r>
          </w:p>
        </w:tc>
        <w:tc>
          <w:tcPr>
            <w:tcW w:w="3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367,438</w:t>
            </w:r>
          </w:p>
        </w:tc>
        <w:tc>
          <w:tcPr>
            <w:tcW w:w="64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186,372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Operating cash flows from finance leases</w:t>
            </w:r>
          </w:p>
        </w:tc>
        <w:tc>
          <w:tcPr>
            <w:tcW w:w="4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9,094</w:t>
            </w:r>
          </w:p>
        </w:tc>
        <w:tc>
          <w:tcPr>
            <w:tcW w:w="3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13,400</w:t>
            </w:r>
          </w:p>
        </w:tc>
        <w:tc>
          <w:tcPr>
            <w:tcW w:w="64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11,060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tcPr>
          <w:p>
            <w:pPr>
              <w:ind w:left="80"/>
              <w:spacing w:after="0" w:line="169" w:lineRule="exact"/>
              <w:rPr>
                <w:sz w:val="20"/>
                <w:szCs w:val="20"/>
                <w:color w:val="auto"/>
              </w:rPr>
            </w:pPr>
            <w:r>
              <w:rPr>
                <w:rFonts w:ascii="Arial" w:cs="Arial" w:eastAsia="Arial" w:hAnsi="Arial"/>
                <w:sz w:val="15"/>
                <w:szCs w:val="15"/>
                <w:color w:val="auto"/>
              </w:rPr>
              <w:t>Financing cash flows from finance leases</w:t>
            </w:r>
          </w:p>
        </w:tc>
        <w:tc>
          <w:tcPr>
            <w:tcW w:w="4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56,459</w:t>
            </w:r>
          </w:p>
        </w:tc>
        <w:tc>
          <w:tcPr>
            <w:tcW w:w="3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53,467</w:t>
            </w:r>
          </w:p>
        </w:tc>
        <w:tc>
          <w:tcPr>
            <w:tcW w:w="64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42,740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700" w:type="dxa"/>
            <w:vAlign w:val="bottom"/>
          </w:tcPr>
          <w:p>
            <w:pPr>
              <w:spacing w:after="0" w:line="169" w:lineRule="exact"/>
              <w:rPr>
                <w:sz w:val="20"/>
                <w:szCs w:val="20"/>
                <w:color w:val="auto"/>
              </w:rPr>
            </w:pPr>
            <w:r>
              <w:rPr>
                <w:rFonts w:ascii="Arial" w:cs="Arial" w:eastAsia="Arial" w:hAnsi="Arial"/>
                <w:sz w:val="15"/>
                <w:szCs w:val="15"/>
                <w:color w:val="auto"/>
              </w:rPr>
              <w:t>Right-of-use assets obtained in exchange for lease obligations: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Operating leases</w:t>
            </w:r>
          </w:p>
        </w:tc>
        <w:tc>
          <w:tcPr>
            <w:tcW w:w="4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522,975</w:t>
            </w:r>
          </w:p>
        </w:tc>
        <w:tc>
          <w:tcPr>
            <w:tcW w:w="3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753,935</w:t>
            </w:r>
          </w:p>
        </w:tc>
        <w:tc>
          <w:tcPr>
            <w:tcW w:w="64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1,402,357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00" w:type="dxa"/>
            <w:vAlign w:val="bottom"/>
          </w:tcPr>
          <w:p>
            <w:pPr>
              <w:ind w:left="80"/>
              <w:spacing w:after="0"/>
              <w:rPr>
                <w:sz w:val="20"/>
                <w:szCs w:val="20"/>
                <w:color w:val="auto"/>
              </w:rPr>
            </w:pPr>
            <w:r>
              <w:rPr>
                <w:rFonts w:ascii="Arial" w:cs="Arial" w:eastAsia="Arial" w:hAnsi="Arial"/>
                <w:sz w:val="15"/>
                <w:szCs w:val="15"/>
                <w:color w:val="auto"/>
              </w:rPr>
              <w:t>Finance leases</w:t>
            </w:r>
          </w:p>
        </w:tc>
        <w:tc>
          <w:tcPr>
            <w:tcW w:w="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53,771</w:t>
            </w:r>
          </w:p>
        </w:tc>
        <w:tc>
          <w:tcPr>
            <w:tcW w:w="6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66,312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82">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5" w:name="page166"/>
    <w:bookmarkEnd w:id="16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5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5"/>
                <w:szCs w:val="15"/>
                <w:b w:val="1"/>
                <w:bCs w:val="1"/>
                <w:color w:val="auto"/>
              </w:rPr>
              <w:t>As of December 31,</w:t>
            </w:r>
          </w:p>
        </w:tc>
        <w:tc>
          <w:tcPr>
            <w:tcW w:w="1100" w:type="dxa"/>
            <w:vAlign w:val="bottom"/>
            <w:tcBorders>
              <w:bottom w:val="single" w:sz="8" w:color="auto"/>
            </w:tcBorders>
          </w:tcPr>
          <w:p>
            <w:pPr>
              <w:spacing w:after="0"/>
              <w:rPr>
                <w:sz w:val="15"/>
                <w:szCs w:val="15"/>
                <w:color w:val="auto"/>
              </w:rPr>
            </w:pPr>
          </w:p>
        </w:tc>
      </w:tr>
      <w:tr>
        <w:trPr>
          <w:trHeight w:val="169"/>
        </w:trPr>
        <w:tc>
          <w:tcPr>
            <w:tcW w:w="5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7"/>
              <w:spacing w:after="0" w:line="169" w:lineRule="exact"/>
              <w:rPr>
                <w:sz w:val="20"/>
                <w:szCs w:val="20"/>
                <w:color w:val="auto"/>
              </w:rPr>
            </w:pPr>
            <w:r>
              <w:rPr>
                <w:rFonts w:ascii="Arial" w:cs="Arial" w:eastAsia="Arial" w:hAnsi="Arial"/>
                <w:sz w:val="15"/>
                <w:szCs w:val="15"/>
                <w:b w:val="1"/>
                <w:bCs w:val="1"/>
                <w:color w:val="auto"/>
              </w:rPr>
              <w:t>2024</w:t>
            </w:r>
          </w:p>
        </w:tc>
        <w:tc>
          <w:tcPr>
            <w:tcW w:w="3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07"/>
              <w:spacing w:after="0" w:line="169" w:lineRule="exact"/>
              <w:rPr>
                <w:sz w:val="20"/>
                <w:szCs w:val="20"/>
                <w:color w:val="auto"/>
              </w:rPr>
            </w:pPr>
            <w:r>
              <w:rPr>
                <w:rFonts w:ascii="Arial" w:cs="Arial" w:eastAsia="Arial" w:hAnsi="Arial"/>
                <w:sz w:val="15"/>
                <w:szCs w:val="15"/>
                <w:b w:val="1"/>
                <w:bCs w:val="1"/>
                <w:color w:val="auto"/>
              </w:rPr>
              <w:t>2023</w:t>
            </w:r>
          </w:p>
        </w:tc>
      </w:tr>
      <w:tr>
        <w:trPr>
          <w:trHeight w:val="149"/>
        </w:trPr>
        <w:tc>
          <w:tcPr>
            <w:tcW w:w="5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gridSpan w:val="3"/>
          </w:tcPr>
          <w:p>
            <w:pPr>
              <w:jc w:val="right"/>
              <w:ind w:right="247"/>
              <w:spacing w:after="0" w:line="149" w:lineRule="exact"/>
              <w:rPr>
                <w:sz w:val="20"/>
                <w:szCs w:val="20"/>
                <w:color w:val="auto"/>
              </w:rPr>
            </w:pPr>
            <w:r>
              <w:rPr>
                <w:rFonts w:ascii="Arial" w:cs="Arial" w:eastAsia="Arial" w:hAnsi="Arial"/>
                <w:sz w:val="15"/>
                <w:szCs w:val="15"/>
                <w:color w:val="auto"/>
              </w:rPr>
              <w:t>(In thousands)</w:t>
            </w:r>
          </w:p>
        </w:tc>
        <w:tc>
          <w:tcPr>
            <w:tcW w:w="1100" w:type="dxa"/>
            <w:vAlign w:val="bottom"/>
          </w:tcPr>
          <w:p>
            <w:pPr>
              <w:spacing w:after="0"/>
              <w:rPr>
                <w:sz w:val="12"/>
                <w:szCs w:val="12"/>
                <w:color w:val="auto"/>
              </w:rPr>
            </w:pPr>
          </w:p>
        </w:tc>
      </w:tr>
      <w:tr>
        <w:trPr>
          <w:trHeight w:val="169"/>
        </w:trPr>
        <w:tc>
          <w:tcPr>
            <w:tcW w:w="51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Operating Leases: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9"/>
        </w:trPr>
        <w:tc>
          <w:tcPr>
            <w:tcW w:w="516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Operating lease assets</w:t>
            </w:r>
          </w:p>
        </w:tc>
        <w:tc>
          <w:tcPr>
            <w:tcW w:w="400" w:type="dxa"/>
            <w:vAlign w:val="bottom"/>
            <w:tcBorders>
              <w:bottom w:val="single" w:sz="8" w:color="auto"/>
            </w:tcBorders>
          </w:tcPr>
          <w:p>
            <w:pPr>
              <w:jc w:val="right"/>
              <w:ind w:right="247"/>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3,260,768</w:t>
            </w:r>
          </w:p>
        </w:tc>
        <w:tc>
          <w:tcPr>
            <w:tcW w:w="3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447"/>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3,065,448</w:t>
            </w:r>
          </w:p>
        </w:tc>
      </w:tr>
      <w:tr>
        <w:trPr>
          <w:trHeight w:val="146"/>
        </w:trPr>
        <w:tc>
          <w:tcPr>
            <w:tcW w:w="5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69"/>
        </w:trPr>
        <w:tc>
          <w:tcPr>
            <w:tcW w:w="5160" w:type="dxa"/>
            <w:vAlign w:val="bottom"/>
          </w:tcPr>
          <w:p>
            <w:pPr>
              <w:spacing w:after="0" w:line="169" w:lineRule="exact"/>
              <w:rPr>
                <w:sz w:val="20"/>
                <w:szCs w:val="20"/>
                <w:color w:val="auto"/>
              </w:rPr>
            </w:pPr>
            <w:r>
              <w:rPr>
                <w:rFonts w:ascii="Arial" w:cs="Arial" w:eastAsia="Arial" w:hAnsi="Arial"/>
                <w:sz w:val="15"/>
                <w:szCs w:val="15"/>
                <w:color w:val="auto"/>
              </w:rPr>
              <w:t>Other current liabilities</w:t>
            </w:r>
          </w:p>
        </w:tc>
        <w:tc>
          <w:tcPr>
            <w:tcW w:w="400" w:type="dxa"/>
            <w:vAlign w:val="bottom"/>
          </w:tcPr>
          <w:p>
            <w:pPr>
              <w:jc w:val="right"/>
              <w:ind w:right="247"/>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528,542</w:t>
            </w:r>
          </w:p>
        </w:tc>
        <w:tc>
          <w:tcPr>
            <w:tcW w:w="360" w:type="dxa"/>
            <w:vAlign w:val="bottom"/>
          </w:tcPr>
          <w:p>
            <w:pPr>
              <w:spacing w:after="0"/>
              <w:rPr>
                <w:sz w:val="14"/>
                <w:szCs w:val="14"/>
                <w:color w:val="auto"/>
              </w:rPr>
            </w:pPr>
          </w:p>
        </w:tc>
        <w:tc>
          <w:tcPr>
            <w:tcW w:w="600" w:type="dxa"/>
            <w:vAlign w:val="bottom"/>
          </w:tcPr>
          <w:p>
            <w:pPr>
              <w:jc w:val="right"/>
              <w:ind w:right="447"/>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317,395</w:t>
            </w:r>
          </w:p>
        </w:tc>
      </w:tr>
      <w:tr>
        <w:trPr>
          <w:trHeight w:val="169"/>
        </w:trPr>
        <w:tc>
          <w:tcPr>
            <w:tcW w:w="51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lease liabilities</w:t>
            </w: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3,211,407</w:t>
            </w:r>
          </w:p>
        </w:tc>
        <w:tc>
          <w:tcPr>
            <w:tcW w:w="36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3,121,307</w:t>
            </w:r>
          </w:p>
        </w:tc>
      </w:tr>
      <w:tr>
        <w:trPr>
          <w:trHeight w:val="202"/>
        </w:trPr>
        <w:tc>
          <w:tcPr>
            <w:tcW w:w="516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Total operating lease liabilities</w:t>
            </w:r>
          </w:p>
        </w:tc>
        <w:tc>
          <w:tcPr>
            <w:tcW w:w="400" w:type="dxa"/>
            <w:vAlign w:val="bottom"/>
            <w:tcBorders>
              <w:bottom w:val="single" w:sz="8" w:color="auto"/>
            </w:tcBorders>
          </w:tcPr>
          <w:p>
            <w:pPr>
              <w:jc w:val="right"/>
              <w:ind w:right="247"/>
              <w:spacing w:after="0" w:line="161"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3,739,949</w:t>
            </w:r>
          </w:p>
        </w:tc>
        <w:tc>
          <w:tcPr>
            <w:tcW w:w="36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447"/>
              <w:spacing w:after="0" w:line="161"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3,438,702</w:t>
            </w:r>
          </w:p>
        </w:tc>
      </w:tr>
      <w:tr>
        <w:trPr>
          <w:trHeight w:val="146"/>
        </w:trPr>
        <w:tc>
          <w:tcPr>
            <w:tcW w:w="5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69"/>
        </w:trPr>
        <w:tc>
          <w:tcPr>
            <w:tcW w:w="5160" w:type="dxa"/>
            <w:vAlign w:val="bottom"/>
          </w:tcPr>
          <w:p>
            <w:pPr>
              <w:spacing w:after="0" w:line="169" w:lineRule="exact"/>
              <w:rPr>
                <w:sz w:val="20"/>
                <w:szCs w:val="20"/>
                <w:color w:val="auto"/>
              </w:rPr>
            </w:pPr>
            <w:r>
              <w:rPr>
                <w:rFonts w:ascii="Arial" w:cs="Arial" w:eastAsia="Arial" w:hAnsi="Arial"/>
                <w:sz w:val="15"/>
                <w:szCs w:val="15"/>
                <w:b w:val="1"/>
                <w:bCs w:val="1"/>
                <w:color w:val="auto"/>
              </w:rPr>
              <w:t>Finance Leases: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51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Property and equipment, gross</w:t>
            </w:r>
          </w:p>
        </w:tc>
        <w:tc>
          <w:tcPr>
            <w:tcW w:w="400" w:type="dxa"/>
            <w:vAlign w:val="bottom"/>
            <w:shd w:val="clear" w:color="auto" w:fill="CCEEFF"/>
          </w:tcPr>
          <w:p>
            <w:pPr>
              <w:jc w:val="right"/>
              <w:ind w:right="247"/>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466,074</w:t>
            </w: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7"/>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833,933</w:t>
            </w:r>
          </w:p>
        </w:tc>
      </w:tr>
      <w:tr>
        <w:trPr>
          <w:trHeight w:val="169"/>
        </w:trPr>
        <w:tc>
          <w:tcPr>
            <w:tcW w:w="5160" w:type="dxa"/>
            <w:vAlign w:val="bottom"/>
          </w:tcPr>
          <w:p>
            <w:pPr>
              <w:spacing w:after="0" w:line="169" w:lineRule="exact"/>
              <w:rPr>
                <w:sz w:val="20"/>
                <w:szCs w:val="20"/>
                <w:color w:val="auto"/>
              </w:rPr>
            </w:pPr>
            <w:r>
              <w:rPr>
                <w:rFonts w:ascii="Arial" w:cs="Arial" w:eastAsia="Arial" w:hAnsi="Arial"/>
                <w:sz w:val="15"/>
                <w:szCs w:val="15"/>
                <w:color w:val="auto"/>
              </w:rPr>
              <w:t>Accumulated depreciation</w:t>
            </w:r>
          </w:p>
        </w:tc>
        <w:tc>
          <w:tcPr>
            <w:tcW w:w="400" w:type="dxa"/>
            <w:vAlign w:val="bottom"/>
          </w:tcPr>
          <w:p>
            <w:pPr>
              <w:spacing w:after="0"/>
              <w:rPr>
                <w:sz w:val="14"/>
                <w:szCs w:val="14"/>
                <w:color w:val="auto"/>
              </w:rPr>
            </w:pPr>
          </w:p>
        </w:tc>
        <w:tc>
          <w:tcPr>
            <w:tcW w:w="16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(235,001)</w:t>
            </w:r>
          </w:p>
        </w:tc>
        <w:tc>
          <w:tcPr>
            <w:tcW w:w="6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(520,344)</w:t>
            </w:r>
          </w:p>
        </w:tc>
      </w:tr>
      <w:tr>
        <w:trPr>
          <w:trHeight w:val="162"/>
        </w:trPr>
        <w:tc>
          <w:tcPr>
            <w:tcW w:w="516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Property and equipment, net</w:t>
            </w:r>
          </w:p>
        </w:tc>
        <w:tc>
          <w:tcPr>
            <w:tcW w:w="400" w:type="dxa"/>
            <w:vAlign w:val="bottom"/>
            <w:tcBorders>
              <w:top w:val="single" w:sz="8" w:color="auto"/>
              <w:bottom w:val="single" w:sz="8" w:color="auto"/>
            </w:tcBorders>
            <w:shd w:val="clear" w:color="auto" w:fill="CCEEFF"/>
          </w:tcPr>
          <w:p>
            <w:pPr>
              <w:jc w:val="right"/>
              <w:ind w:right="247"/>
              <w:spacing w:after="0" w:line="161"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231,073</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447"/>
              <w:spacing w:after="0" w:line="161" w:lineRule="exact"/>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313,589</w:t>
            </w:r>
          </w:p>
        </w:tc>
      </w:tr>
      <w:tr>
        <w:trPr>
          <w:trHeight w:val="20"/>
        </w:trPr>
        <w:tc>
          <w:tcPr>
            <w:tcW w:w="5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6"/>
        </w:trPr>
        <w:tc>
          <w:tcPr>
            <w:tcW w:w="5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9"/>
        </w:trPr>
        <w:tc>
          <w:tcPr>
            <w:tcW w:w="51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current liabilities</w:t>
            </w:r>
          </w:p>
        </w:tc>
        <w:tc>
          <w:tcPr>
            <w:tcW w:w="400" w:type="dxa"/>
            <w:vAlign w:val="bottom"/>
            <w:shd w:val="clear" w:color="auto" w:fill="CCEEFF"/>
          </w:tcPr>
          <w:p>
            <w:pPr>
              <w:jc w:val="right"/>
              <w:ind w:right="247"/>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30,381</w:t>
            </w: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7"/>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56,459</w:t>
            </w:r>
          </w:p>
        </w:tc>
      </w:tr>
      <w:tr>
        <w:trPr>
          <w:trHeight w:val="169"/>
        </w:trPr>
        <w:tc>
          <w:tcPr>
            <w:tcW w:w="516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Other long-term liabilities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36,818</w:t>
            </w:r>
          </w:p>
        </w:tc>
        <w:tc>
          <w:tcPr>
            <w:tcW w:w="3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67,199</w:t>
            </w:r>
          </w:p>
        </w:tc>
      </w:tr>
      <w:tr>
        <w:trPr>
          <w:trHeight w:val="162"/>
        </w:trPr>
        <w:tc>
          <w:tcPr>
            <w:tcW w:w="516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Total finance lease liabilities</w:t>
            </w:r>
          </w:p>
        </w:tc>
        <w:tc>
          <w:tcPr>
            <w:tcW w:w="400" w:type="dxa"/>
            <w:vAlign w:val="bottom"/>
            <w:tcBorders>
              <w:bottom w:val="single" w:sz="8" w:color="auto"/>
            </w:tcBorders>
            <w:shd w:val="clear" w:color="auto" w:fill="CCEEFF"/>
          </w:tcPr>
          <w:p>
            <w:pPr>
              <w:jc w:val="right"/>
              <w:ind w:right="247"/>
              <w:spacing w:after="0" w:line="161"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67,199</w:t>
            </w:r>
          </w:p>
        </w:tc>
        <w:tc>
          <w:tcPr>
            <w:tcW w:w="3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47"/>
              <w:spacing w:after="0" w:line="161"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123,658</w:t>
            </w:r>
          </w:p>
        </w:tc>
      </w:tr>
      <w:tr>
        <w:trPr>
          <w:trHeight w:val="20"/>
        </w:trPr>
        <w:tc>
          <w:tcPr>
            <w:tcW w:w="5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6"/>
        </w:trPr>
        <w:tc>
          <w:tcPr>
            <w:tcW w:w="5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9"/>
        </w:trPr>
        <w:tc>
          <w:tcPr>
            <w:tcW w:w="51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Weighted Average Remaining Lease Term:</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5160" w:type="dxa"/>
            <w:vAlign w:val="bottom"/>
          </w:tcPr>
          <w:p>
            <w:pPr>
              <w:ind w:left="100"/>
              <w:spacing w:after="0" w:line="169" w:lineRule="exact"/>
              <w:rPr>
                <w:sz w:val="20"/>
                <w:szCs w:val="20"/>
                <w:color w:val="auto"/>
              </w:rPr>
            </w:pPr>
            <w:r>
              <w:rPr>
                <w:rFonts w:ascii="Arial" w:cs="Arial" w:eastAsia="Arial" w:hAnsi="Arial"/>
                <w:sz w:val="15"/>
                <w:szCs w:val="15"/>
                <w:color w:val="auto"/>
              </w:rPr>
              <w:t>Operating leases</w:t>
            </w:r>
          </w:p>
        </w:tc>
        <w:tc>
          <w:tcPr>
            <w:tcW w:w="400" w:type="dxa"/>
            <w:vAlign w:val="bottom"/>
          </w:tcPr>
          <w:p>
            <w:pPr>
              <w:spacing w:after="0"/>
              <w:rPr>
                <w:sz w:val="14"/>
                <w:szCs w:val="14"/>
                <w:color w:val="auto"/>
              </w:rPr>
            </w:pPr>
          </w:p>
        </w:tc>
        <w:tc>
          <w:tcPr>
            <w:tcW w:w="166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9.7 years</w:t>
            </w:r>
          </w:p>
        </w:tc>
        <w:tc>
          <w:tcPr>
            <w:tcW w:w="6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10.6 years</w:t>
            </w:r>
          </w:p>
        </w:tc>
      </w:tr>
      <w:tr>
        <w:trPr>
          <w:trHeight w:val="169"/>
        </w:trPr>
        <w:tc>
          <w:tcPr>
            <w:tcW w:w="516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color w:val="auto"/>
              </w:rPr>
              <w:t>Finance leases</w:t>
            </w:r>
          </w:p>
        </w:tc>
        <w:tc>
          <w:tcPr>
            <w:tcW w:w="4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1.7 years</w:t>
            </w:r>
          </w:p>
        </w:tc>
        <w:tc>
          <w:tcPr>
            <w:tcW w:w="6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 years</w:t>
            </w:r>
          </w:p>
        </w:tc>
      </w:tr>
      <w:tr>
        <w:trPr>
          <w:trHeight w:val="169"/>
        </w:trPr>
        <w:tc>
          <w:tcPr>
            <w:tcW w:w="5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51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Weighted Average Discount Rate:</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9"/>
        </w:trPr>
        <w:tc>
          <w:tcPr>
            <w:tcW w:w="5160" w:type="dxa"/>
            <w:vAlign w:val="bottom"/>
          </w:tcPr>
          <w:p>
            <w:pPr>
              <w:ind w:left="100"/>
              <w:spacing w:after="0" w:line="169" w:lineRule="exact"/>
              <w:rPr>
                <w:sz w:val="20"/>
                <w:szCs w:val="20"/>
                <w:color w:val="auto"/>
              </w:rPr>
            </w:pPr>
            <w:r>
              <w:rPr>
                <w:rFonts w:ascii="Arial" w:cs="Arial" w:eastAsia="Arial" w:hAnsi="Arial"/>
                <w:sz w:val="15"/>
                <w:szCs w:val="15"/>
                <w:color w:val="auto"/>
              </w:rPr>
              <w:t>Operating leases</w:t>
            </w:r>
          </w:p>
        </w:tc>
        <w:tc>
          <w:tcPr>
            <w:tcW w:w="40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10.2%</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9.5%</w:t>
            </w:r>
          </w:p>
        </w:tc>
      </w:tr>
      <w:tr>
        <w:trPr>
          <w:trHeight w:val="169"/>
        </w:trPr>
        <w:tc>
          <w:tcPr>
            <w:tcW w:w="5160" w:type="dxa"/>
            <w:vAlign w:val="bottom"/>
            <w:shd w:val="clear" w:color="auto" w:fill="CCEEFF"/>
          </w:tcPr>
          <w:p>
            <w:pPr>
              <w:ind w:left="100"/>
              <w:spacing w:after="0" w:line="169" w:lineRule="exact"/>
              <w:rPr>
                <w:sz w:val="20"/>
                <w:szCs w:val="20"/>
                <w:color w:val="auto"/>
              </w:rPr>
            </w:pPr>
            <w:r>
              <w:rPr>
                <w:rFonts w:ascii="Arial" w:cs="Arial" w:eastAsia="Arial" w:hAnsi="Arial"/>
                <w:sz w:val="15"/>
                <w:szCs w:val="15"/>
                <w:color w:val="auto"/>
              </w:rPr>
              <w:t>Finance leases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9.3%</w:t>
            </w: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9.7%</w:t>
            </w:r>
          </w:p>
        </w:tc>
      </w:tr>
    </w:tbl>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Maturities of lease liabilities as of December 31, 2024 were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707"/>
              <w:spacing w:after="0"/>
              <w:rPr>
                <w:sz w:val="20"/>
                <w:szCs w:val="20"/>
                <w:color w:val="auto"/>
              </w:rPr>
            </w:pPr>
            <w:r>
              <w:rPr>
                <w:rFonts w:ascii="Arial" w:cs="Arial" w:eastAsia="Arial" w:hAnsi="Arial"/>
                <w:sz w:val="15"/>
                <w:szCs w:val="15"/>
                <w:b w:val="1"/>
                <w:bCs w:val="1"/>
                <w:color w:val="auto"/>
                <w:w w:val="96"/>
              </w:rPr>
              <w:t>Maturities of Lease Liabilities</w:t>
            </w:r>
          </w:p>
        </w:tc>
        <w:tc>
          <w:tcPr>
            <w:tcW w:w="960" w:type="dxa"/>
            <w:vAlign w:val="bottom"/>
            <w:tcBorders>
              <w:bottom w:val="single" w:sz="8" w:color="auto"/>
            </w:tcBorders>
          </w:tcPr>
          <w:p>
            <w:pPr>
              <w:spacing w:after="0"/>
              <w:rPr>
                <w:sz w:val="16"/>
                <w:szCs w:val="16"/>
                <w:color w:val="auto"/>
              </w:rPr>
            </w:pPr>
          </w:p>
        </w:tc>
      </w:tr>
      <w:tr>
        <w:trPr>
          <w:trHeight w:val="157"/>
        </w:trPr>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400"/>
              <w:spacing w:after="0" w:line="157" w:lineRule="exact"/>
              <w:rPr>
                <w:sz w:val="20"/>
                <w:szCs w:val="20"/>
                <w:color w:val="auto"/>
              </w:rPr>
            </w:pPr>
            <w:r>
              <w:rPr>
                <w:rFonts w:ascii="Arial" w:cs="Arial" w:eastAsia="Arial" w:hAnsi="Arial"/>
                <w:sz w:val="15"/>
                <w:szCs w:val="15"/>
                <w:b w:val="1"/>
                <w:bCs w:val="1"/>
                <w:color w:val="auto"/>
                <w:w w:val="98"/>
              </w:rPr>
              <w:t>Operating</w:t>
            </w:r>
          </w:p>
        </w:tc>
        <w:tc>
          <w:tcPr>
            <w:tcW w:w="140" w:type="dxa"/>
            <w:vAlign w:val="bottom"/>
          </w:tcPr>
          <w:p>
            <w:pPr>
              <w:spacing w:after="0"/>
              <w:rPr>
                <w:sz w:val="13"/>
                <w:szCs w:val="13"/>
                <w:color w:val="auto"/>
              </w:rPr>
            </w:pPr>
          </w:p>
        </w:tc>
        <w:tc>
          <w:tcPr>
            <w:tcW w:w="1360" w:type="dxa"/>
            <w:vAlign w:val="bottom"/>
            <w:gridSpan w:val="2"/>
          </w:tcPr>
          <w:p>
            <w:pPr>
              <w:jc w:val="center"/>
              <w:ind w:right="340"/>
              <w:spacing w:after="0" w:line="157" w:lineRule="exact"/>
              <w:rPr>
                <w:sz w:val="20"/>
                <w:szCs w:val="20"/>
                <w:color w:val="auto"/>
              </w:rPr>
            </w:pPr>
            <w:r>
              <w:rPr>
                <w:rFonts w:ascii="Arial" w:cs="Arial" w:eastAsia="Arial" w:hAnsi="Arial"/>
                <w:sz w:val="15"/>
                <w:szCs w:val="15"/>
                <w:b w:val="1"/>
                <w:bCs w:val="1"/>
                <w:color w:val="auto"/>
                <w:w w:val="95"/>
              </w:rPr>
              <w:t>Finance</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2"/>
        </w:trPr>
        <w:tc>
          <w:tcPr>
            <w:tcW w:w="4660" w:type="dxa"/>
            <w:vAlign w:val="bottom"/>
            <w:gridSpan w:val="2"/>
          </w:tcPr>
          <w:p>
            <w:pPr>
              <w:spacing w:after="0"/>
              <w:rPr>
                <w:sz w:val="20"/>
                <w:szCs w:val="20"/>
                <w:color w:val="auto"/>
              </w:rPr>
            </w:pPr>
            <w:r>
              <w:rPr>
                <w:rFonts w:ascii="Arial" w:cs="Arial" w:eastAsia="Arial" w:hAnsi="Arial"/>
                <w:sz w:val="15"/>
                <w:szCs w:val="15"/>
                <w:b w:val="1"/>
                <w:bCs w:val="1"/>
                <w:color w:val="auto"/>
              </w:rPr>
              <w:t>For the Years Ending December 31,</w:t>
            </w:r>
          </w:p>
        </w:tc>
        <w:tc>
          <w:tcPr>
            <w:tcW w:w="18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8"/>
              </w:rPr>
              <w:t>Leases</w:t>
            </w:r>
          </w:p>
        </w:tc>
        <w:tc>
          <w:tcPr>
            <w:tcW w:w="14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8"/>
              </w:rPr>
              <w:t>Leases</w:t>
            </w:r>
          </w:p>
        </w:tc>
        <w:tc>
          <w:tcPr>
            <w:tcW w:w="320" w:type="dxa"/>
            <w:vAlign w:val="bottom"/>
          </w:tcPr>
          <w:p>
            <w:pPr>
              <w:spacing w:after="0"/>
              <w:rPr>
                <w:sz w:val="15"/>
                <w:szCs w:val="15"/>
                <w:color w:val="auto"/>
              </w:rPr>
            </w:pPr>
          </w:p>
        </w:tc>
        <w:tc>
          <w:tcPr>
            <w:tcW w:w="960" w:type="dxa"/>
            <w:vAlign w:val="bottom"/>
          </w:tcPr>
          <w:p>
            <w:pPr>
              <w:jc w:val="right"/>
              <w:ind w:right="387"/>
              <w:spacing w:after="0"/>
              <w:rPr>
                <w:sz w:val="20"/>
                <w:szCs w:val="20"/>
                <w:color w:val="auto"/>
              </w:rPr>
            </w:pPr>
            <w:r>
              <w:rPr>
                <w:rFonts w:ascii="Arial" w:cs="Arial" w:eastAsia="Arial" w:hAnsi="Arial"/>
                <w:sz w:val="15"/>
                <w:szCs w:val="15"/>
                <w:b w:val="1"/>
                <w:bCs w:val="1"/>
                <w:color w:val="auto"/>
              </w:rPr>
              <w:t>Total</w:t>
            </w:r>
          </w:p>
        </w:tc>
      </w:tr>
      <w:tr>
        <w:trPr>
          <w:trHeight w:val="162"/>
        </w:trPr>
        <w:tc>
          <w:tcPr>
            <w:tcW w:w="44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47"/>
              <w:spacing w:after="0" w:line="161" w:lineRule="exact"/>
              <w:rPr>
                <w:sz w:val="20"/>
                <w:szCs w:val="20"/>
                <w:color w:val="auto"/>
              </w:rPr>
            </w:pPr>
            <w:r>
              <w:rPr>
                <w:rFonts w:ascii="Arial" w:cs="Arial" w:eastAsia="Arial" w:hAnsi="Arial"/>
                <w:sz w:val="15"/>
                <w:szCs w:val="15"/>
                <w:color w:val="auto"/>
                <w:w w:val="97"/>
              </w:rPr>
              <w:t>(In thousands)</w:t>
            </w:r>
          </w:p>
        </w:tc>
        <w:tc>
          <w:tcPr>
            <w:tcW w:w="2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169"/>
        </w:trPr>
        <w:tc>
          <w:tcPr>
            <w:tcW w:w="4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2025</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569,819</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35,392</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7"/>
              <w:spacing w:after="0" w:line="169" w:lineRule="exact"/>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605,211</w:t>
            </w:r>
          </w:p>
        </w:tc>
      </w:tr>
      <w:tr>
        <w:trPr>
          <w:trHeight w:val="169"/>
        </w:trPr>
        <w:tc>
          <w:tcPr>
            <w:tcW w:w="4420" w:type="dxa"/>
            <w:vAlign w:val="bottom"/>
          </w:tcPr>
          <w:p>
            <w:pPr>
              <w:spacing w:after="0" w:line="169" w:lineRule="exact"/>
              <w:rPr>
                <w:sz w:val="20"/>
                <w:szCs w:val="20"/>
                <w:color w:val="auto"/>
              </w:rPr>
            </w:pPr>
            <w:r>
              <w:rPr>
                <w:rFonts w:ascii="Arial" w:cs="Arial" w:eastAsia="Arial" w:hAnsi="Arial"/>
                <w:sz w:val="15"/>
                <w:szCs w:val="15"/>
                <w:color w:val="auto"/>
              </w:rPr>
              <w:t>2026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600,545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5"/>
                <w:szCs w:val="15"/>
                <w:color w:val="auto"/>
              </w:rPr>
              <w:t>36,588</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637,133</w:t>
            </w:r>
          </w:p>
        </w:tc>
      </w:tr>
      <w:tr>
        <w:trPr>
          <w:trHeight w:val="169"/>
        </w:trPr>
        <w:tc>
          <w:tcPr>
            <w:tcW w:w="4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2027</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601,316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2,574</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603,890</w:t>
            </w:r>
          </w:p>
        </w:tc>
      </w:tr>
      <w:tr>
        <w:trPr>
          <w:trHeight w:val="169"/>
        </w:trPr>
        <w:tc>
          <w:tcPr>
            <w:tcW w:w="4420" w:type="dxa"/>
            <w:vAlign w:val="bottom"/>
          </w:tcPr>
          <w:p>
            <w:pPr>
              <w:spacing w:after="0" w:line="169" w:lineRule="exact"/>
              <w:rPr>
                <w:sz w:val="20"/>
                <w:szCs w:val="20"/>
                <w:color w:val="auto"/>
              </w:rPr>
            </w:pPr>
            <w:r>
              <w:rPr>
                <w:rFonts w:ascii="Arial" w:cs="Arial" w:eastAsia="Arial" w:hAnsi="Arial"/>
                <w:sz w:val="15"/>
                <w:szCs w:val="15"/>
                <w:color w:val="auto"/>
              </w:rPr>
              <w:t>2028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556,826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556,826</w:t>
            </w:r>
          </w:p>
        </w:tc>
      </w:tr>
      <w:tr>
        <w:trPr>
          <w:trHeight w:val="169"/>
        </w:trPr>
        <w:tc>
          <w:tcPr>
            <w:tcW w:w="4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2029</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542,595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542,595</w:t>
            </w:r>
          </w:p>
        </w:tc>
      </w:tr>
      <w:tr>
        <w:trPr>
          <w:trHeight w:val="169"/>
        </w:trPr>
        <w:tc>
          <w:tcPr>
            <w:tcW w:w="4660" w:type="dxa"/>
            <w:vAlign w:val="bottom"/>
            <w:gridSpan w:val="2"/>
          </w:tcPr>
          <w:p>
            <w:pPr>
              <w:spacing w:after="0" w:line="169" w:lineRule="exact"/>
              <w:rPr>
                <w:sz w:val="20"/>
                <w:szCs w:val="20"/>
                <w:color w:val="auto"/>
              </w:rPr>
            </w:pPr>
            <w:r>
              <w:rPr>
                <w:rFonts w:ascii="Arial" w:cs="Arial" w:eastAsia="Arial" w:hAnsi="Arial"/>
                <w:sz w:val="15"/>
                <w:szCs w:val="15"/>
                <w:color w:val="auto"/>
              </w:rPr>
              <w:t>Thereafter</w:t>
            </w:r>
          </w:p>
        </w:tc>
        <w:tc>
          <w:tcPr>
            <w:tcW w:w="1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3,011,068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3,011,068</w:t>
            </w:r>
          </w:p>
        </w:tc>
      </w:tr>
      <w:tr>
        <w:trPr>
          <w:trHeight w:val="162"/>
        </w:trPr>
        <w:tc>
          <w:tcPr>
            <w:tcW w:w="466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Total lease payments</w:t>
            </w: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5,882,169</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74,554</w:t>
            </w: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5,956,723</w:t>
            </w:r>
          </w:p>
        </w:tc>
      </w:tr>
      <w:tr>
        <w:trPr>
          <w:trHeight w:val="169"/>
        </w:trPr>
        <w:tc>
          <w:tcPr>
            <w:tcW w:w="4660" w:type="dxa"/>
            <w:vAlign w:val="bottom"/>
            <w:gridSpan w:val="2"/>
          </w:tcPr>
          <w:p>
            <w:pPr>
              <w:spacing w:after="0" w:line="169" w:lineRule="exact"/>
              <w:rPr>
                <w:sz w:val="20"/>
                <w:szCs w:val="20"/>
                <w:color w:val="auto"/>
              </w:rPr>
            </w:pPr>
            <w:r>
              <w:rPr>
                <w:rFonts w:ascii="Arial" w:cs="Arial" w:eastAsia="Arial" w:hAnsi="Arial"/>
                <w:sz w:val="15"/>
                <w:szCs w:val="15"/>
                <w:color w:val="auto"/>
              </w:rPr>
              <w:t>Less: Imputed interest</w:t>
            </w:r>
          </w:p>
        </w:tc>
        <w:tc>
          <w:tcPr>
            <w:tcW w:w="180" w:type="dxa"/>
            <w:vAlign w:val="bottom"/>
          </w:tcPr>
          <w:p>
            <w:pPr>
              <w:spacing w:after="0"/>
              <w:rPr>
                <w:sz w:val="14"/>
                <w:szCs w:val="14"/>
                <w:color w:val="auto"/>
              </w:rPr>
            </w:pPr>
          </w:p>
        </w:tc>
        <w:tc>
          <w:tcPr>
            <w:tcW w:w="13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(2,142,220)</w:t>
            </w:r>
          </w:p>
        </w:tc>
        <w:tc>
          <w:tcPr>
            <w:tcW w:w="140" w:type="dxa"/>
            <w:vAlign w:val="bottom"/>
          </w:tcPr>
          <w:p>
            <w:pPr>
              <w:spacing w:after="0"/>
              <w:rPr>
                <w:sz w:val="14"/>
                <w:szCs w:val="14"/>
                <w:color w:val="auto"/>
              </w:rPr>
            </w:pPr>
          </w:p>
        </w:tc>
        <w:tc>
          <w:tcPr>
            <w:tcW w:w="13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(7,355)</w:t>
            </w:r>
          </w:p>
        </w:tc>
        <w:tc>
          <w:tcPr>
            <w:tcW w:w="32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(2,149,575)</w:t>
            </w:r>
          </w:p>
        </w:tc>
      </w:tr>
      <w:tr>
        <w:trPr>
          <w:trHeight w:val="162"/>
        </w:trPr>
        <w:tc>
          <w:tcPr>
            <w:tcW w:w="466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Total</w:t>
            </w: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3,739,949</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67,199</w:t>
            </w:r>
          </w:p>
        </w:tc>
        <w:tc>
          <w:tcPr>
            <w:tcW w:w="2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3,807,148</w:t>
            </w:r>
          </w:p>
        </w:tc>
      </w:tr>
      <w:tr>
        <w:trPr>
          <w:trHeight w:val="169"/>
        </w:trPr>
        <w:tc>
          <w:tcPr>
            <w:tcW w:w="4660" w:type="dxa"/>
            <w:vAlign w:val="bottom"/>
            <w:gridSpan w:val="2"/>
          </w:tcPr>
          <w:p>
            <w:pPr>
              <w:spacing w:after="0" w:line="169" w:lineRule="exact"/>
              <w:rPr>
                <w:sz w:val="20"/>
                <w:szCs w:val="20"/>
                <w:color w:val="auto"/>
              </w:rPr>
            </w:pPr>
            <w:r>
              <w:rPr>
                <w:rFonts w:ascii="Arial" w:cs="Arial" w:eastAsia="Arial" w:hAnsi="Arial"/>
                <w:sz w:val="15"/>
                <w:szCs w:val="15"/>
                <w:color w:val="auto"/>
              </w:rPr>
              <w:t>Less: Current portion</w:t>
            </w:r>
          </w:p>
        </w:tc>
        <w:tc>
          <w:tcPr>
            <w:tcW w:w="180" w:type="dxa"/>
            <w:vAlign w:val="bottom"/>
          </w:tcPr>
          <w:p>
            <w:pPr>
              <w:spacing w:after="0"/>
              <w:rPr>
                <w:sz w:val="14"/>
                <w:szCs w:val="14"/>
                <w:color w:val="auto"/>
              </w:rPr>
            </w:pPr>
          </w:p>
        </w:tc>
        <w:tc>
          <w:tcPr>
            <w:tcW w:w="13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(528,542)</w:t>
            </w:r>
          </w:p>
        </w:tc>
        <w:tc>
          <w:tcPr>
            <w:tcW w:w="140" w:type="dxa"/>
            <w:vAlign w:val="bottom"/>
          </w:tcPr>
          <w:p>
            <w:pPr>
              <w:spacing w:after="0"/>
              <w:rPr>
                <w:sz w:val="14"/>
                <w:szCs w:val="14"/>
                <w:color w:val="auto"/>
              </w:rPr>
            </w:pPr>
          </w:p>
        </w:tc>
        <w:tc>
          <w:tcPr>
            <w:tcW w:w="13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(30,381)</w:t>
            </w:r>
          </w:p>
        </w:tc>
        <w:tc>
          <w:tcPr>
            <w:tcW w:w="32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(558,923)</w:t>
            </w:r>
          </w:p>
        </w:tc>
      </w:tr>
      <w:tr>
        <w:trPr>
          <w:trHeight w:val="162"/>
        </w:trPr>
        <w:tc>
          <w:tcPr>
            <w:tcW w:w="4660" w:type="dxa"/>
            <w:vAlign w:val="bottom"/>
            <w:tcBorders>
              <w:top w:val="single" w:sz="8" w:color="CCEEFF"/>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Long-term portion of lease obligations</w:t>
            </w:r>
          </w:p>
        </w:tc>
        <w:tc>
          <w:tcPr>
            <w:tcW w:w="180" w:type="dxa"/>
            <w:vAlign w:val="bottom"/>
            <w:tcBorders>
              <w:top w:val="single" w:sz="8" w:color="auto"/>
              <w:bottom w:val="single" w:sz="8" w:color="auto"/>
            </w:tcBorders>
            <w:shd w:val="clear" w:color="auto" w:fill="CCEEFF"/>
          </w:tcPr>
          <w:p>
            <w:pPr>
              <w:jc w:val="right"/>
              <w:ind w:right="27"/>
              <w:spacing w:after="0" w:line="161"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3,211,407</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36,818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47"/>
              <w:spacing w:after="0" w:line="161" w:lineRule="exact"/>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3,248,225</w:t>
            </w: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83">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6" w:name="page167"/>
    <w:bookmarkEnd w:id="16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Lessor Accounting</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lease satellite capacity, communications equipment and real estate to certain of our customers.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presents our lease revenue by type of lease: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center"/>
              <w:ind w:left="147"/>
              <w:spacing w:after="0"/>
              <w:rPr>
                <w:sz w:val="20"/>
                <w:szCs w:val="20"/>
                <w:color w:val="auto"/>
              </w:rPr>
            </w:pPr>
            <w:r>
              <w:rPr>
                <w:rFonts w:ascii="Arial" w:cs="Arial" w:eastAsia="Arial" w:hAnsi="Arial"/>
                <w:sz w:val="15"/>
                <w:szCs w:val="15"/>
                <w:b w:val="1"/>
                <w:bCs w:val="1"/>
                <w:color w:val="auto"/>
                <w:w w:val="96"/>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169"/>
        </w:trPr>
        <w:tc>
          <w:tcPr>
            <w:tcW w:w="3520" w:type="dxa"/>
            <w:vAlign w:val="bottom"/>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2024</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47"/>
              <w:spacing w:after="0" w:line="169" w:lineRule="exact"/>
              <w:rPr>
                <w:sz w:val="20"/>
                <w:szCs w:val="20"/>
                <w:color w:val="auto"/>
              </w:rPr>
            </w:pPr>
            <w:r>
              <w:rPr>
                <w:rFonts w:ascii="Arial" w:cs="Arial" w:eastAsia="Arial" w:hAnsi="Arial"/>
                <w:sz w:val="15"/>
                <w:szCs w:val="15"/>
                <w:b w:val="1"/>
                <w:bCs w:val="1"/>
                <w:color w:val="auto"/>
              </w:rPr>
              <w:t>2023</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7"/>
              <w:spacing w:after="0" w:line="169" w:lineRule="exact"/>
              <w:rPr>
                <w:sz w:val="20"/>
                <w:szCs w:val="20"/>
                <w:color w:val="auto"/>
              </w:rPr>
            </w:pPr>
            <w:r>
              <w:rPr>
                <w:rFonts w:ascii="Arial" w:cs="Arial" w:eastAsia="Arial" w:hAnsi="Arial"/>
                <w:sz w:val="15"/>
                <w:szCs w:val="15"/>
                <w:b w:val="1"/>
                <w:bCs w:val="1"/>
                <w:color w:val="auto"/>
              </w:rPr>
              <w:t>2022</w:t>
            </w:r>
          </w:p>
        </w:tc>
      </w:tr>
      <w:tr>
        <w:trPr>
          <w:trHeight w:val="162"/>
        </w:trPr>
        <w:tc>
          <w:tcPr>
            <w:tcW w:w="3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27"/>
              <w:spacing w:after="0" w:line="161" w:lineRule="exact"/>
              <w:rPr>
                <w:sz w:val="20"/>
                <w:szCs w:val="20"/>
                <w:color w:val="auto"/>
              </w:rPr>
            </w:pPr>
            <w:r>
              <w:rPr>
                <w:rFonts w:ascii="Arial" w:cs="Arial" w:eastAsia="Arial" w:hAnsi="Arial"/>
                <w:sz w:val="15"/>
                <w:szCs w:val="15"/>
                <w:color w:val="auto"/>
                <w:w w:val="95"/>
              </w:rPr>
              <w:t>(In thousands)</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2"/>
        </w:trPr>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Lease revenue:</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2"/>
        </w:trPr>
        <w:tc>
          <w:tcPr>
            <w:tcW w:w="3520" w:type="dxa"/>
            <w:vAlign w:val="bottom"/>
          </w:tcPr>
          <w:p>
            <w:pPr>
              <w:ind w:left="100"/>
              <w:spacing w:after="0"/>
              <w:rPr>
                <w:sz w:val="20"/>
                <w:szCs w:val="20"/>
                <w:color w:val="auto"/>
              </w:rPr>
            </w:pPr>
            <w:r>
              <w:rPr>
                <w:rFonts w:ascii="Arial" w:cs="Arial" w:eastAsia="Arial" w:hAnsi="Arial"/>
                <w:sz w:val="15"/>
                <w:szCs w:val="15"/>
                <w:color w:val="auto"/>
              </w:rPr>
              <w:t>Sales-type lease revenue</w:t>
            </w:r>
          </w:p>
        </w:tc>
        <w:tc>
          <w:tcPr>
            <w:tcW w:w="1020" w:type="dxa"/>
            <w:vAlign w:val="bottom"/>
          </w:tcPr>
          <w:p>
            <w:pPr>
              <w:jc w:val="right"/>
              <w:ind w:right="86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10,547</w:t>
            </w:r>
          </w:p>
        </w:tc>
        <w:tc>
          <w:tcPr>
            <w:tcW w:w="32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13,431</w:t>
            </w:r>
          </w:p>
        </w:tc>
        <w:tc>
          <w:tcPr>
            <w:tcW w:w="32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8,777</w:t>
            </w:r>
          </w:p>
        </w:tc>
      </w:tr>
      <w:tr>
        <w:trPr>
          <w:trHeight w:val="182"/>
        </w:trPr>
        <w:tc>
          <w:tcPr>
            <w:tcW w:w="35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Operating lease revenue</w:t>
            </w: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14,358</w:t>
            </w:r>
          </w:p>
        </w:tc>
        <w:tc>
          <w:tcPr>
            <w:tcW w:w="3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42,565</w:t>
            </w:r>
          </w:p>
        </w:tc>
        <w:tc>
          <w:tcPr>
            <w:tcW w:w="3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44,350</w:t>
            </w:r>
          </w:p>
        </w:tc>
      </w:tr>
      <w:tr>
        <w:trPr>
          <w:trHeight w:val="162"/>
        </w:trPr>
        <w:tc>
          <w:tcPr>
            <w:tcW w:w="3520" w:type="dxa"/>
            <w:vAlign w:val="bottom"/>
          </w:tcPr>
          <w:p>
            <w:pPr>
              <w:spacing w:after="0" w:line="161" w:lineRule="exact"/>
              <w:rPr>
                <w:sz w:val="20"/>
                <w:szCs w:val="20"/>
                <w:color w:val="auto"/>
              </w:rPr>
            </w:pPr>
            <w:r>
              <w:rPr>
                <w:rFonts w:ascii="Arial" w:cs="Arial" w:eastAsia="Arial" w:hAnsi="Arial"/>
                <w:sz w:val="15"/>
                <w:szCs w:val="15"/>
                <w:color w:val="auto"/>
              </w:rPr>
              <w:t>Total lease revenue</w:t>
            </w:r>
          </w:p>
        </w:tc>
        <w:tc>
          <w:tcPr>
            <w:tcW w:w="1020" w:type="dxa"/>
            <w:vAlign w:val="bottom"/>
            <w:tcBorders>
              <w:bottom w:val="single" w:sz="8" w:color="auto"/>
            </w:tcBorders>
          </w:tcPr>
          <w:p>
            <w:pPr>
              <w:jc w:val="right"/>
              <w:ind w:right="867"/>
              <w:spacing w:after="0" w:line="161"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24,905</w:t>
            </w:r>
          </w:p>
        </w:tc>
        <w:tc>
          <w:tcPr>
            <w:tcW w:w="320" w:type="dxa"/>
            <w:vAlign w:val="bottom"/>
          </w:tcPr>
          <w:p>
            <w:pPr>
              <w:spacing w:after="0"/>
              <w:rPr>
                <w:sz w:val="14"/>
                <w:szCs w:val="14"/>
                <w:color w:val="auto"/>
              </w:rPr>
            </w:pPr>
          </w:p>
        </w:tc>
        <w:tc>
          <w:tcPr>
            <w:tcW w:w="220" w:type="dxa"/>
            <w:vAlign w:val="bottom"/>
            <w:tcBorders>
              <w:bottom w:val="single" w:sz="8" w:color="auto"/>
            </w:tcBorders>
          </w:tcPr>
          <w:p>
            <w:pPr>
              <w:jc w:val="right"/>
              <w:ind w:right="67"/>
              <w:spacing w:after="0" w:line="161" w:lineRule="exact"/>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55,996</w:t>
            </w:r>
          </w:p>
        </w:tc>
        <w:tc>
          <w:tcPr>
            <w:tcW w:w="320" w:type="dxa"/>
            <w:vAlign w:val="bottom"/>
          </w:tcPr>
          <w:p>
            <w:pPr>
              <w:spacing w:after="0"/>
              <w:rPr>
                <w:sz w:val="14"/>
                <w:szCs w:val="14"/>
                <w:color w:val="auto"/>
              </w:rPr>
            </w:pPr>
          </w:p>
        </w:tc>
        <w:tc>
          <w:tcPr>
            <w:tcW w:w="360" w:type="dxa"/>
            <w:vAlign w:val="bottom"/>
            <w:tcBorders>
              <w:bottom w:val="single" w:sz="8" w:color="auto"/>
            </w:tcBorders>
          </w:tcPr>
          <w:p>
            <w:pPr>
              <w:jc w:val="right"/>
              <w:ind w:right="207"/>
              <w:spacing w:after="0" w:line="161"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53,127</w:t>
            </w:r>
          </w:p>
        </w:tc>
      </w:tr>
      <w:tr>
        <w:trPr>
          <w:trHeight w:val="20"/>
        </w:trPr>
        <w:tc>
          <w:tcPr>
            <w:tcW w:w="3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0" w:right="139"/>
        <w:spacing w:after="0" w:line="275" w:lineRule="auto"/>
        <w:rPr>
          <w:sz w:val="20"/>
          <w:szCs w:val="20"/>
          <w:color w:val="auto"/>
        </w:rPr>
      </w:pPr>
      <w:r>
        <w:rPr>
          <w:rFonts w:ascii="Arial" w:cs="Arial" w:eastAsia="Arial" w:hAnsi="Arial"/>
          <w:sz w:val="16"/>
          <w:szCs w:val="16"/>
          <w:color w:val="auto"/>
        </w:rPr>
        <w:t>Substantially all of our net investment in sales-type leases consisted of lease receivables totaling $26 million and $30 million as of December 31, 2024 and 2023, respectively.</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presents future operating lease payments to be received as of December 31, 2024:</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880" w:type="dxa"/>
            <w:vAlign w:val="bottom"/>
            <w:gridSpan w:val="2"/>
          </w:tcPr>
          <w:p>
            <w:pPr>
              <w:spacing w:after="0"/>
              <w:rPr>
                <w:sz w:val="20"/>
                <w:szCs w:val="20"/>
                <w:color w:val="auto"/>
              </w:rPr>
            </w:pPr>
            <w:r>
              <w:rPr>
                <w:rFonts w:ascii="Arial" w:cs="Arial" w:eastAsia="Arial" w:hAnsi="Arial"/>
                <w:sz w:val="15"/>
                <w:szCs w:val="15"/>
                <w:b w:val="1"/>
                <w:bCs w:val="1"/>
                <w:color w:val="auto"/>
              </w:rPr>
              <w:t>For the Years Ending December 31,</w:t>
            </w:r>
          </w:p>
        </w:tc>
        <w:tc>
          <w:tcPr>
            <w:tcW w:w="320" w:type="dxa"/>
            <w:vAlign w:val="bottom"/>
          </w:tcPr>
          <w:p>
            <w:pPr>
              <w:spacing w:after="0"/>
              <w:rPr>
                <w:sz w:val="15"/>
                <w:szCs w:val="15"/>
                <w:color w:val="auto"/>
              </w:rPr>
            </w:pPr>
          </w:p>
        </w:tc>
        <w:tc>
          <w:tcPr>
            <w:tcW w:w="1720" w:type="dxa"/>
            <w:vAlign w:val="bottom"/>
          </w:tcPr>
          <w:p>
            <w:pPr>
              <w:jc w:val="right"/>
              <w:ind w:right="787"/>
              <w:spacing w:after="0"/>
              <w:rPr>
                <w:sz w:val="20"/>
                <w:szCs w:val="20"/>
                <w:color w:val="auto"/>
              </w:rPr>
            </w:pPr>
            <w:r>
              <w:rPr>
                <w:rFonts w:ascii="Arial" w:cs="Arial" w:eastAsia="Arial" w:hAnsi="Arial"/>
                <w:sz w:val="15"/>
                <w:szCs w:val="15"/>
                <w:b w:val="1"/>
                <w:bCs w:val="1"/>
                <w:color w:val="auto"/>
              </w:rPr>
              <w:t>Total</w:t>
            </w:r>
          </w:p>
        </w:tc>
      </w:tr>
      <w:tr>
        <w:trPr>
          <w:trHeight w:val="162"/>
        </w:trPr>
        <w:tc>
          <w:tcPr>
            <w:tcW w:w="65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right"/>
              <w:ind w:right="487"/>
              <w:spacing w:after="0" w:line="161" w:lineRule="exact"/>
              <w:rPr>
                <w:sz w:val="20"/>
                <w:szCs w:val="20"/>
                <w:color w:val="auto"/>
              </w:rPr>
            </w:pPr>
            <w:r>
              <w:rPr>
                <w:rFonts w:ascii="Arial" w:cs="Arial" w:eastAsia="Arial" w:hAnsi="Arial"/>
                <w:sz w:val="15"/>
                <w:szCs w:val="15"/>
                <w:color w:val="auto"/>
              </w:rPr>
              <w:t>(In thousands)</w:t>
            </w:r>
          </w:p>
        </w:tc>
      </w:tr>
      <w:tr>
        <w:trPr>
          <w:trHeight w:val="169"/>
        </w:trPr>
        <w:tc>
          <w:tcPr>
            <w:tcW w:w="65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2025</w:t>
            </w: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7"/>
              <w:spacing w:after="0" w:line="169" w:lineRule="exact"/>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9,322</w:t>
            </w:r>
          </w:p>
        </w:tc>
      </w:tr>
      <w:tr>
        <w:trPr>
          <w:trHeight w:val="169"/>
        </w:trPr>
        <w:tc>
          <w:tcPr>
            <w:tcW w:w="6500" w:type="dxa"/>
            <w:vAlign w:val="bottom"/>
          </w:tcPr>
          <w:p>
            <w:pPr>
              <w:spacing w:after="0" w:line="169" w:lineRule="exact"/>
              <w:rPr>
                <w:sz w:val="20"/>
                <w:szCs w:val="20"/>
                <w:color w:val="auto"/>
              </w:rPr>
            </w:pPr>
            <w:r>
              <w:rPr>
                <w:rFonts w:ascii="Arial" w:cs="Arial" w:eastAsia="Arial" w:hAnsi="Arial"/>
                <w:sz w:val="15"/>
                <w:szCs w:val="15"/>
                <w:color w:val="auto"/>
              </w:rPr>
              <w:t>2026</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spacing w:after="0" w:line="169" w:lineRule="exact"/>
              <w:rPr>
                <w:sz w:val="20"/>
                <w:szCs w:val="20"/>
                <w:color w:val="auto"/>
              </w:rPr>
            </w:pPr>
            <w:r>
              <w:rPr>
                <w:rFonts w:ascii="Arial" w:cs="Arial" w:eastAsia="Arial" w:hAnsi="Arial"/>
                <w:sz w:val="15"/>
                <w:szCs w:val="15"/>
                <w:color w:val="auto"/>
              </w:rPr>
              <w:t>5,285</w:t>
            </w:r>
          </w:p>
        </w:tc>
      </w:tr>
      <w:tr>
        <w:trPr>
          <w:trHeight w:val="169"/>
        </w:trPr>
        <w:tc>
          <w:tcPr>
            <w:tcW w:w="65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2027</w:t>
            </w: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4,093</w:t>
            </w:r>
          </w:p>
        </w:tc>
      </w:tr>
      <w:tr>
        <w:trPr>
          <w:trHeight w:val="169"/>
        </w:trPr>
        <w:tc>
          <w:tcPr>
            <w:tcW w:w="6500" w:type="dxa"/>
            <w:vAlign w:val="bottom"/>
          </w:tcPr>
          <w:p>
            <w:pPr>
              <w:spacing w:after="0" w:line="169" w:lineRule="exact"/>
              <w:rPr>
                <w:sz w:val="20"/>
                <w:szCs w:val="20"/>
                <w:color w:val="auto"/>
              </w:rPr>
            </w:pPr>
            <w:r>
              <w:rPr>
                <w:rFonts w:ascii="Arial" w:cs="Arial" w:eastAsia="Arial" w:hAnsi="Arial"/>
                <w:sz w:val="15"/>
                <w:szCs w:val="15"/>
                <w:color w:val="auto"/>
              </w:rPr>
              <w:t>2028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jc w:val="right"/>
              <w:spacing w:after="0" w:line="169" w:lineRule="exact"/>
              <w:rPr>
                <w:sz w:val="20"/>
                <w:szCs w:val="20"/>
                <w:color w:val="auto"/>
              </w:rPr>
            </w:pPr>
            <w:r>
              <w:rPr>
                <w:rFonts w:ascii="Arial" w:cs="Arial" w:eastAsia="Arial" w:hAnsi="Arial"/>
                <w:sz w:val="15"/>
                <w:szCs w:val="15"/>
                <w:color w:val="auto"/>
              </w:rPr>
              <w:t>1,379</w:t>
            </w:r>
          </w:p>
        </w:tc>
      </w:tr>
      <w:tr>
        <w:trPr>
          <w:trHeight w:val="169"/>
        </w:trPr>
        <w:tc>
          <w:tcPr>
            <w:tcW w:w="65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2029</w:t>
            </w: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1,008</w:t>
            </w:r>
          </w:p>
        </w:tc>
      </w:tr>
      <w:tr>
        <w:trPr>
          <w:trHeight w:val="169"/>
        </w:trPr>
        <w:tc>
          <w:tcPr>
            <w:tcW w:w="688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5"/>
                <w:szCs w:val="15"/>
                <w:color w:val="auto"/>
              </w:rPr>
              <w:t>Thereafter</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w:t>
            </w:r>
          </w:p>
        </w:tc>
      </w:tr>
      <w:tr>
        <w:trPr>
          <w:trHeight w:val="162"/>
        </w:trPr>
        <w:tc>
          <w:tcPr>
            <w:tcW w:w="6880" w:type="dxa"/>
            <w:vAlign w:val="bottom"/>
            <w:tcBorders>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Total lease payments to be received</w:t>
            </w:r>
          </w:p>
        </w:tc>
        <w:tc>
          <w:tcPr>
            <w:tcW w:w="320" w:type="dxa"/>
            <w:vAlign w:val="bottom"/>
            <w:tcBorders>
              <w:bottom w:val="single" w:sz="8" w:color="auto"/>
            </w:tcBorders>
            <w:shd w:val="clear" w:color="auto" w:fill="CCEEFF"/>
          </w:tcPr>
          <w:p>
            <w:pPr>
              <w:jc w:val="right"/>
              <w:ind w:right="167"/>
              <w:spacing w:after="0" w:line="161" w:lineRule="exact"/>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21,103</w:t>
            </w:r>
          </w:p>
        </w:tc>
      </w:tr>
      <w:tr>
        <w:trPr>
          <w:trHeight w:val="20"/>
        </w:trPr>
        <w:tc>
          <w:tcPr>
            <w:tcW w:w="6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84">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7" w:name="page168"/>
    <w:bookmarkEnd w:id="16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 Debt, Finance Lease and Other Obligations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Fair Value of our Debt</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the carrying amount and fair value of our debt facilities as of December 31, 2024 and 2023:</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5"/>
          </w:tcPr>
          <w:p>
            <w:pPr>
              <w:ind w:left="380"/>
              <w:spacing w:after="0"/>
              <w:rPr>
                <w:sz w:val="20"/>
                <w:szCs w:val="20"/>
                <w:color w:val="auto"/>
              </w:rPr>
            </w:pPr>
            <w:r>
              <w:rPr>
                <w:rFonts w:ascii="Arial" w:cs="Arial" w:eastAsia="Arial" w:hAnsi="Arial"/>
                <w:sz w:val="11"/>
                <w:szCs w:val="11"/>
                <w:b w:val="1"/>
                <w:bCs w:val="1"/>
                <w:color w:val="auto"/>
              </w:rPr>
              <w:t>As of December 31,</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ind w:right="69"/>
              <w:spacing w:after="0" w:line="121" w:lineRule="exact"/>
              <w:rPr>
                <w:sz w:val="20"/>
                <w:szCs w:val="20"/>
                <w:color w:val="auto"/>
              </w:rPr>
            </w:pPr>
            <w:r>
              <w:rPr>
                <w:rFonts w:ascii="Arial" w:cs="Arial" w:eastAsia="Arial" w:hAnsi="Arial"/>
                <w:sz w:val="11"/>
                <w:szCs w:val="11"/>
                <w:b w:val="1"/>
                <w:bCs w:val="1"/>
                <w:color w:val="auto"/>
              </w:rPr>
              <w:t>2024</w:t>
            </w: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44"/>
              <w:spacing w:after="0" w:line="121" w:lineRule="exact"/>
              <w:rPr>
                <w:sz w:val="20"/>
                <w:szCs w:val="20"/>
                <w:color w:val="auto"/>
              </w:rPr>
            </w:pPr>
            <w:r>
              <w:rPr>
                <w:rFonts w:ascii="Arial" w:cs="Arial" w:eastAsia="Arial" w:hAnsi="Arial"/>
                <w:sz w:val="11"/>
                <w:szCs w:val="11"/>
                <w:b w:val="1"/>
                <w:bCs w:val="1"/>
                <w:color w:val="auto"/>
              </w:rPr>
              <w:t>2023</w:t>
            </w: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rPr>
              <w:t>Issuer</w:t>
            </w:r>
          </w:p>
        </w:tc>
        <w:tc>
          <w:tcPr>
            <w:tcW w:w="1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right"/>
              <w:ind w:right="400"/>
              <w:spacing w:after="0" w:line="98" w:lineRule="exact"/>
              <w:rPr>
                <w:sz w:val="20"/>
                <w:szCs w:val="20"/>
                <w:color w:val="auto"/>
              </w:rPr>
            </w:pPr>
            <w:r>
              <w:rPr>
                <w:rFonts w:ascii="Arial" w:cs="Arial" w:eastAsia="Arial" w:hAnsi="Arial"/>
                <w:sz w:val="11"/>
                <w:szCs w:val="11"/>
                <w:b w:val="1"/>
                <w:bCs w:val="1"/>
                <w:color w:val="auto"/>
              </w:rPr>
              <w:t>Carrying</w:t>
            </w:r>
          </w:p>
        </w:tc>
        <w:tc>
          <w:tcPr>
            <w:tcW w:w="140" w:type="dxa"/>
            <w:vAlign w:val="bottom"/>
          </w:tcPr>
          <w:p>
            <w:pPr>
              <w:spacing w:after="0"/>
              <w:rPr>
                <w:sz w:val="8"/>
                <w:szCs w:val="8"/>
                <w:color w:val="auto"/>
              </w:rPr>
            </w:pPr>
          </w:p>
        </w:tc>
        <w:tc>
          <w:tcPr>
            <w:tcW w:w="800" w:type="dxa"/>
            <w:vAlign w:val="bottom"/>
            <w:vMerge w:val="restart"/>
          </w:tcPr>
          <w:p>
            <w:pPr>
              <w:jc w:val="right"/>
              <w:ind w:right="144"/>
              <w:spacing w:after="0"/>
              <w:rPr>
                <w:sz w:val="20"/>
                <w:szCs w:val="20"/>
                <w:color w:val="auto"/>
              </w:rPr>
            </w:pPr>
            <w:r>
              <w:rPr>
                <w:rFonts w:ascii="Arial" w:cs="Arial" w:eastAsia="Arial" w:hAnsi="Arial"/>
                <w:sz w:val="11"/>
                <w:szCs w:val="11"/>
                <w:b w:val="1"/>
                <w:bCs w:val="1"/>
                <w:color w:val="auto"/>
              </w:rPr>
              <w:t>Fair Value</w:t>
            </w:r>
          </w:p>
        </w:tc>
        <w:tc>
          <w:tcPr>
            <w:tcW w:w="12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1020" w:type="dxa"/>
            <w:vAlign w:val="bottom"/>
            <w:gridSpan w:val="2"/>
          </w:tcPr>
          <w:p>
            <w:pPr>
              <w:ind w:left="160"/>
              <w:spacing w:after="0" w:line="98" w:lineRule="exact"/>
              <w:rPr>
                <w:sz w:val="20"/>
                <w:szCs w:val="20"/>
                <w:color w:val="auto"/>
              </w:rPr>
            </w:pPr>
            <w:r>
              <w:rPr>
                <w:rFonts w:ascii="Arial" w:cs="Arial" w:eastAsia="Arial" w:hAnsi="Arial"/>
                <w:sz w:val="11"/>
                <w:szCs w:val="11"/>
                <w:b w:val="1"/>
                <w:bCs w:val="1"/>
                <w:color w:val="auto"/>
              </w:rPr>
              <w:t>Carrying</w:t>
            </w:r>
          </w:p>
        </w:tc>
        <w:tc>
          <w:tcPr>
            <w:tcW w:w="160" w:type="dxa"/>
            <w:vAlign w:val="bottom"/>
          </w:tcPr>
          <w:p>
            <w:pPr>
              <w:spacing w:after="0"/>
              <w:rPr>
                <w:sz w:val="8"/>
                <w:szCs w:val="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40" w:type="dxa"/>
            <w:vAlign w:val="bottom"/>
            <w:gridSpan w:val="4"/>
          </w:tcPr>
          <w:p>
            <w:pPr>
              <w:jc w:val="right"/>
              <w:ind w:right="624"/>
              <w:spacing w:after="0" w:line="101" w:lineRule="exact"/>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w w:val="97"/>
              </w:rPr>
              <w:t>2</w:t>
            </w:r>
          </w:p>
        </w:tc>
        <w:tc>
          <w:tcPr>
            <w:tcW w:w="31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1"/>
                <w:szCs w:val="11"/>
                <w:color w:val="auto"/>
              </w:rPr>
              <w:t>3/8% Convertible Notes due 2024 (1)</w:t>
            </w:r>
          </w:p>
        </w:tc>
        <w:tc>
          <w:tcPr>
            <w:tcW w:w="1320" w:type="dxa"/>
            <w:vAlign w:val="bottom"/>
            <w:gridSpan w:val="2"/>
            <w:shd w:val="clear" w:color="auto" w:fill="CCEEFF"/>
          </w:tcPr>
          <w:p>
            <w:pPr>
              <w:jc w:val="center"/>
              <w:ind w:right="220"/>
              <w:spacing w:after="0" w:line="121" w:lineRule="exact"/>
              <w:rPr>
                <w:sz w:val="20"/>
                <w:szCs w:val="20"/>
                <w:color w:val="auto"/>
              </w:rPr>
            </w:pPr>
            <w:r>
              <w:rPr>
                <w:rFonts w:ascii="Arial" w:cs="Arial" w:eastAsia="Arial" w:hAnsi="Arial"/>
                <w:sz w:val="11"/>
                <w:szCs w:val="11"/>
                <w:color w:val="auto"/>
                <w:w w:val="98"/>
              </w:rPr>
              <w:t>DISH</w:t>
            </w: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w w:val="97"/>
              </w:rPr>
              <w:t>$</w:t>
            </w:r>
          </w:p>
        </w:tc>
        <w:tc>
          <w:tcPr>
            <w:tcW w:w="10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gridSpan w:val="3"/>
            <w:shd w:val="clear" w:color="auto" w:fill="CCEEFF"/>
          </w:tcPr>
          <w:p>
            <w:pPr>
              <w:jc w:val="right"/>
              <w:spacing w:after="0" w:line="121" w:lineRule="exact"/>
              <w:rPr>
                <w:sz w:val="20"/>
                <w:szCs w:val="20"/>
                <w:color w:val="auto"/>
              </w:rPr>
            </w:pPr>
            <w:r>
              <w:rPr>
                <w:rFonts w:ascii="Arial" w:cs="Arial" w:eastAsia="Arial" w:hAnsi="Arial"/>
                <w:sz w:val="11"/>
                <w:szCs w:val="11"/>
                <w:color w:val="auto"/>
              </w:rPr>
              <w:t>—   $</w:t>
            </w:r>
          </w:p>
        </w:tc>
        <w:tc>
          <w:tcPr>
            <w:tcW w:w="9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951,168</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24"/>
              <w:spacing w:after="0" w:line="121" w:lineRule="exact"/>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944,034</w:t>
            </w:r>
          </w:p>
        </w:tc>
        <w:tc>
          <w:tcPr>
            <w:tcW w:w="0" w:type="dxa"/>
            <w:vAlign w:val="bottom"/>
          </w:tcPr>
          <w:p>
            <w:pPr>
              <w:spacing w:after="0"/>
              <w:rPr>
                <w:sz w:val="1"/>
                <w:szCs w:val="1"/>
                <w:color w:val="auto"/>
              </w:rPr>
            </w:pPr>
          </w:p>
        </w:tc>
      </w:tr>
      <w:tr>
        <w:trPr>
          <w:trHeight w:val="121"/>
        </w:trPr>
        <w:tc>
          <w:tcPr>
            <w:tcW w:w="80" w:type="dxa"/>
            <w:vAlign w:val="bottom"/>
          </w:tcPr>
          <w:p>
            <w:pPr>
              <w:spacing w:after="0" w:line="121" w:lineRule="exact"/>
              <w:rPr>
                <w:sz w:val="20"/>
                <w:szCs w:val="20"/>
                <w:color w:val="auto"/>
              </w:rPr>
            </w:pPr>
            <w:r>
              <w:rPr>
                <w:rFonts w:ascii="Arial" w:cs="Arial" w:eastAsia="Arial" w:hAnsi="Arial"/>
                <w:sz w:val="11"/>
                <w:szCs w:val="11"/>
                <w:color w:val="auto"/>
                <w:w w:val="97"/>
              </w:rPr>
              <w:t>5</w:t>
            </w:r>
          </w:p>
        </w:tc>
        <w:tc>
          <w:tcPr>
            <w:tcW w:w="318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7/8% Senior Notes due 2024 (2)</w:t>
            </w:r>
          </w:p>
        </w:tc>
        <w:tc>
          <w:tcPr>
            <w:tcW w:w="1320" w:type="dxa"/>
            <w:vAlign w:val="bottom"/>
            <w:gridSpan w:val="2"/>
          </w:tcPr>
          <w:p>
            <w:pPr>
              <w:jc w:val="center"/>
              <w:ind w:right="200"/>
              <w:spacing w:after="0" w:line="121" w:lineRule="exact"/>
              <w:rPr>
                <w:sz w:val="20"/>
                <w:szCs w:val="20"/>
                <w:color w:val="auto"/>
              </w:rPr>
            </w:pPr>
            <w:r>
              <w:rPr>
                <w:rFonts w:ascii="Arial" w:cs="Arial" w:eastAsia="Arial" w:hAnsi="Arial"/>
                <w:sz w:val="11"/>
                <w:szCs w:val="11"/>
                <w:color w:val="auto"/>
              </w:rPr>
              <w:t>DDBS</w:t>
            </w:r>
          </w:p>
        </w:tc>
        <w:tc>
          <w:tcPr>
            <w:tcW w:w="120" w:type="dxa"/>
            <w:vAlign w:val="bottom"/>
          </w:tcPr>
          <w:p>
            <w:pPr>
              <w:spacing w:after="0"/>
              <w:rPr>
                <w:sz w:val="10"/>
                <w:szCs w:val="10"/>
                <w:color w:val="auto"/>
              </w:rPr>
            </w:pPr>
          </w:p>
        </w:tc>
        <w:tc>
          <w:tcPr>
            <w:tcW w:w="102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40" w:type="dxa"/>
            <w:vAlign w:val="bottom"/>
            <w:gridSpan w:val="3"/>
          </w:tcPr>
          <w:p>
            <w:pPr>
              <w:jc w:val="right"/>
              <w:ind w:right="224"/>
              <w:spacing w:after="0" w:line="121" w:lineRule="exact"/>
              <w:rPr>
                <w:sz w:val="20"/>
                <w:szCs w:val="20"/>
                <w:color w:val="auto"/>
              </w:rPr>
            </w:pPr>
            <w:r>
              <w:rPr>
                <w:rFonts w:ascii="Arial" w:cs="Arial" w:eastAsia="Arial" w:hAnsi="Arial"/>
                <w:sz w:val="11"/>
                <w:szCs w:val="11"/>
                <w:color w:val="auto"/>
              </w:rPr>
              <w:t>—</w:t>
            </w:r>
          </w:p>
        </w:tc>
        <w:tc>
          <w:tcPr>
            <w:tcW w:w="900" w:type="dxa"/>
            <w:vAlign w:val="bottom"/>
          </w:tcPr>
          <w:p>
            <w:pPr>
              <w:jc w:val="right"/>
              <w:spacing w:after="0" w:line="121" w:lineRule="exact"/>
              <w:rPr>
                <w:sz w:val="20"/>
                <w:szCs w:val="20"/>
                <w:color w:val="auto"/>
              </w:rPr>
            </w:pPr>
            <w:r>
              <w:rPr>
                <w:rFonts w:ascii="Arial" w:cs="Arial" w:eastAsia="Arial" w:hAnsi="Arial"/>
                <w:sz w:val="11"/>
                <w:szCs w:val="11"/>
                <w:color w:val="auto"/>
              </w:rPr>
              <w:t>1,982,544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1,872,275</w:t>
            </w:r>
          </w:p>
        </w:tc>
        <w:tc>
          <w:tcPr>
            <w:tcW w:w="0" w:type="dxa"/>
            <w:vAlign w:val="bottom"/>
          </w:tcPr>
          <w:p>
            <w:pPr>
              <w:spacing w:after="0"/>
              <w:rPr>
                <w:sz w:val="1"/>
                <w:szCs w:val="1"/>
                <w:color w:val="auto"/>
              </w:rPr>
            </w:pPr>
          </w:p>
        </w:tc>
      </w:tr>
      <w:tr>
        <w:trPr>
          <w:trHeight w:val="121"/>
        </w:trPr>
        <w:tc>
          <w:tcPr>
            <w:tcW w:w="3260" w:type="dxa"/>
            <w:vAlign w:val="bottom"/>
            <w:gridSpan w:val="3"/>
            <w:shd w:val="clear" w:color="auto" w:fill="CCEEFF"/>
          </w:tcPr>
          <w:p>
            <w:pPr>
              <w:spacing w:after="0" w:line="121" w:lineRule="exact"/>
              <w:rPr>
                <w:sz w:val="20"/>
                <w:szCs w:val="20"/>
                <w:color w:val="auto"/>
              </w:rPr>
            </w:pPr>
            <w:r>
              <w:rPr>
                <w:rFonts w:ascii="Arial" w:cs="Arial" w:eastAsia="Arial" w:hAnsi="Arial"/>
                <w:sz w:val="11"/>
                <w:szCs w:val="11"/>
                <w:color w:val="auto"/>
              </w:rPr>
              <w:t>0% Convertible Notes due 2025 (3)(4)</w:t>
            </w:r>
          </w:p>
        </w:tc>
        <w:tc>
          <w:tcPr>
            <w:tcW w:w="1320" w:type="dxa"/>
            <w:vAlign w:val="bottom"/>
            <w:gridSpan w:val="2"/>
            <w:shd w:val="clear" w:color="auto" w:fill="CCEEFF"/>
          </w:tcPr>
          <w:p>
            <w:pPr>
              <w:jc w:val="center"/>
              <w:ind w:right="220"/>
              <w:spacing w:after="0" w:line="121" w:lineRule="exact"/>
              <w:rPr>
                <w:sz w:val="20"/>
                <w:szCs w:val="20"/>
                <w:color w:val="auto"/>
              </w:rPr>
            </w:pPr>
            <w:r>
              <w:rPr>
                <w:rFonts w:ascii="Arial" w:cs="Arial" w:eastAsia="Arial" w:hAnsi="Arial"/>
                <w:sz w:val="11"/>
                <w:szCs w:val="11"/>
                <w:color w:val="auto"/>
                <w:w w:val="98"/>
              </w:rPr>
              <w:t>DISH</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138,403</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124,916</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1,957,197</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1,228,141</w:t>
            </w:r>
          </w:p>
        </w:tc>
        <w:tc>
          <w:tcPr>
            <w:tcW w:w="0" w:type="dxa"/>
            <w:vAlign w:val="bottom"/>
          </w:tcPr>
          <w:p>
            <w:pPr>
              <w:spacing w:after="0"/>
              <w:rPr>
                <w:sz w:val="1"/>
                <w:szCs w:val="1"/>
                <w:color w:val="auto"/>
              </w:rPr>
            </w:pPr>
          </w:p>
        </w:tc>
      </w:tr>
      <w:tr>
        <w:trPr>
          <w:trHeight w:val="121"/>
        </w:trPr>
        <w:tc>
          <w:tcPr>
            <w:tcW w:w="3260" w:type="dxa"/>
            <w:vAlign w:val="bottom"/>
            <w:gridSpan w:val="3"/>
          </w:tcPr>
          <w:p>
            <w:pPr>
              <w:spacing w:after="0" w:line="121" w:lineRule="exact"/>
              <w:rPr>
                <w:sz w:val="20"/>
                <w:szCs w:val="20"/>
                <w:color w:val="auto"/>
              </w:rPr>
            </w:pPr>
            <w:r>
              <w:rPr>
                <w:rFonts w:ascii="Arial" w:cs="Arial" w:eastAsia="Arial" w:hAnsi="Arial"/>
                <w:sz w:val="11"/>
                <w:szCs w:val="11"/>
                <w:color w:val="auto"/>
              </w:rPr>
              <w:t>Term Loan due 2025 (5)</w:t>
            </w:r>
          </w:p>
        </w:tc>
        <w:tc>
          <w:tcPr>
            <w:tcW w:w="1320" w:type="dxa"/>
            <w:vAlign w:val="bottom"/>
            <w:gridSpan w:val="2"/>
          </w:tcPr>
          <w:p>
            <w:pPr>
              <w:jc w:val="center"/>
              <w:ind w:right="220"/>
              <w:spacing w:after="0" w:line="121" w:lineRule="exact"/>
              <w:rPr>
                <w:sz w:val="20"/>
                <w:szCs w:val="20"/>
                <w:color w:val="auto"/>
              </w:rPr>
            </w:pPr>
            <w:r>
              <w:rPr>
                <w:rFonts w:ascii="Arial" w:cs="Arial" w:eastAsia="Arial" w:hAnsi="Arial"/>
                <w:sz w:val="11"/>
                <w:szCs w:val="11"/>
                <w:color w:val="auto"/>
              </w:rPr>
              <w:t>DBS SubscriberCo</w:t>
            </w:r>
          </w:p>
        </w:tc>
        <w:tc>
          <w:tcPr>
            <w:tcW w:w="120" w:type="dxa"/>
            <w:vAlign w:val="bottom"/>
          </w:tcPr>
          <w:p>
            <w:pPr>
              <w:spacing w:after="0"/>
              <w:rPr>
                <w:sz w:val="10"/>
                <w:szCs w:val="10"/>
                <w:color w:val="auto"/>
              </w:rPr>
            </w:pPr>
          </w:p>
        </w:tc>
        <w:tc>
          <w:tcPr>
            <w:tcW w:w="880" w:type="dxa"/>
            <w:vAlign w:val="bottom"/>
          </w:tcPr>
          <w:p>
            <w:pPr>
              <w:jc w:val="right"/>
              <w:spacing w:after="0" w:line="121" w:lineRule="exact"/>
              <w:rPr>
                <w:sz w:val="20"/>
                <w:szCs w:val="20"/>
                <w:color w:val="auto"/>
              </w:rPr>
            </w:pPr>
            <w:r>
              <w:rPr>
                <w:rFonts w:ascii="Arial" w:cs="Arial" w:eastAsia="Arial" w:hAnsi="Arial"/>
                <w:sz w:val="11"/>
                <w:szCs w:val="11"/>
                <w:color w:val="auto"/>
              </w:rPr>
              <w:t>500,000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500,000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w w:val="97"/>
              </w:rPr>
              <w:t>7</w:t>
            </w:r>
          </w:p>
        </w:tc>
        <w:tc>
          <w:tcPr>
            <w:tcW w:w="31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1"/>
                <w:szCs w:val="11"/>
                <w:color w:val="auto"/>
              </w:rPr>
              <w:t>3/4% Senior Notes due 2026</w:t>
            </w:r>
          </w:p>
        </w:tc>
        <w:tc>
          <w:tcPr>
            <w:tcW w:w="132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1"/>
                <w:szCs w:val="11"/>
                <w:color w:val="auto"/>
              </w:rPr>
              <w:t>DDBS</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2,000,000</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1,678,640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2,000,000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1,388,060</w:t>
            </w:r>
          </w:p>
        </w:tc>
        <w:tc>
          <w:tcPr>
            <w:tcW w:w="0" w:type="dxa"/>
            <w:vAlign w:val="bottom"/>
          </w:tcPr>
          <w:p>
            <w:pPr>
              <w:spacing w:after="0"/>
              <w:rPr>
                <w:sz w:val="1"/>
                <w:szCs w:val="1"/>
                <w:color w:val="auto"/>
              </w:rPr>
            </w:pPr>
          </w:p>
        </w:tc>
      </w:tr>
      <w:tr>
        <w:trPr>
          <w:trHeight w:val="121"/>
        </w:trPr>
        <w:tc>
          <w:tcPr>
            <w:tcW w:w="80" w:type="dxa"/>
            <w:vAlign w:val="bottom"/>
          </w:tcPr>
          <w:p>
            <w:pPr>
              <w:spacing w:after="0" w:line="121" w:lineRule="exact"/>
              <w:rPr>
                <w:sz w:val="20"/>
                <w:szCs w:val="20"/>
                <w:color w:val="auto"/>
              </w:rPr>
            </w:pPr>
            <w:r>
              <w:rPr>
                <w:rFonts w:ascii="Arial" w:cs="Arial" w:eastAsia="Arial" w:hAnsi="Arial"/>
                <w:sz w:val="11"/>
                <w:szCs w:val="11"/>
                <w:color w:val="auto"/>
                <w:w w:val="97"/>
              </w:rPr>
              <w:t>5</w:t>
            </w:r>
          </w:p>
        </w:tc>
        <w:tc>
          <w:tcPr>
            <w:tcW w:w="318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1/4% Senior Secured Notes due 2026</w:t>
            </w:r>
          </w:p>
        </w:tc>
        <w:tc>
          <w:tcPr>
            <w:tcW w:w="1320" w:type="dxa"/>
            <w:vAlign w:val="bottom"/>
            <w:gridSpan w:val="2"/>
          </w:tcPr>
          <w:p>
            <w:pPr>
              <w:jc w:val="center"/>
              <w:ind w:right="200"/>
              <w:spacing w:after="0" w:line="121" w:lineRule="exact"/>
              <w:rPr>
                <w:sz w:val="20"/>
                <w:szCs w:val="20"/>
                <w:color w:val="auto"/>
              </w:rPr>
            </w:pPr>
            <w:r>
              <w:rPr>
                <w:rFonts w:ascii="Arial" w:cs="Arial" w:eastAsia="Arial" w:hAnsi="Arial"/>
                <w:sz w:val="11"/>
                <w:szCs w:val="11"/>
                <w:color w:val="auto"/>
              </w:rPr>
              <w:t>HSSC</w:t>
            </w:r>
          </w:p>
        </w:tc>
        <w:tc>
          <w:tcPr>
            <w:tcW w:w="120" w:type="dxa"/>
            <w:vAlign w:val="bottom"/>
          </w:tcPr>
          <w:p>
            <w:pPr>
              <w:spacing w:after="0"/>
              <w:rPr>
                <w:sz w:val="10"/>
                <w:szCs w:val="10"/>
                <w:color w:val="auto"/>
              </w:rPr>
            </w:pPr>
          </w:p>
        </w:tc>
        <w:tc>
          <w:tcPr>
            <w:tcW w:w="880" w:type="dxa"/>
            <w:vAlign w:val="bottom"/>
          </w:tcPr>
          <w:p>
            <w:pPr>
              <w:jc w:val="right"/>
              <w:spacing w:after="0" w:line="121" w:lineRule="exact"/>
              <w:rPr>
                <w:sz w:val="20"/>
                <w:szCs w:val="20"/>
                <w:color w:val="auto"/>
              </w:rPr>
            </w:pPr>
            <w:r>
              <w:rPr>
                <w:rFonts w:ascii="Arial" w:cs="Arial" w:eastAsia="Arial" w:hAnsi="Arial"/>
                <w:sz w:val="11"/>
                <w:szCs w:val="11"/>
                <w:color w:val="auto"/>
              </w:rPr>
              <w:t>750,000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686,475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line="121" w:lineRule="exact"/>
              <w:rPr>
                <w:sz w:val="20"/>
                <w:szCs w:val="20"/>
                <w:color w:val="auto"/>
              </w:rPr>
            </w:pPr>
            <w:r>
              <w:rPr>
                <w:rFonts w:ascii="Arial" w:cs="Arial" w:eastAsia="Arial" w:hAnsi="Arial"/>
                <w:sz w:val="11"/>
                <w:szCs w:val="11"/>
                <w:color w:val="auto"/>
              </w:rPr>
              <w:t>750,000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665,678</w:t>
            </w:r>
          </w:p>
        </w:tc>
        <w:tc>
          <w:tcPr>
            <w:tcW w:w="0" w:type="dxa"/>
            <w:vAlign w:val="bottom"/>
          </w:tcPr>
          <w:p>
            <w:pPr>
              <w:spacing w:after="0"/>
              <w:rPr>
                <w:sz w:val="1"/>
                <w:szCs w:val="1"/>
                <w:color w:val="auto"/>
              </w:rPr>
            </w:pPr>
          </w:p>
        </w:tc>
      </w:tr>
      <w:tr>
        <w:trPr>
          <w:trHeight w:val="121"/>
        </w:trPr>
        <w:tc>
          <w:tcPr>
            <w:tcW w:w="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w w:val="97"/>
              </w:rPr>
              <w:t>6</w:t>
            </w:r>
          </w:p>
        </w:tc>
        <w:tc>
          <w:tcPr>
            <w:tcW w:w="31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1"/>
                <w:szCs w:val="11"/>
                <w:color w:val="auto"/>
              </w:rPr>
              <w:t>5/8% Senior Notes due 2026</w:t>
            </w:r>
          </w:p>
        </w:tc>
        <w:tc>
          <w:tcPr>
            <w:tcW w:w="132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1"/>
                <w:szCs w:val="11"/>
                <w:color w:val="auto"/>
              </w:rPr>
              <w:t>HSSC</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750,000</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595,725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750,000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591,525</w:t>
            </w:r>
          </w:p>
        </w:tc>
        <w:tc>
          <w:tcPr>
            <w:tcW w:w="0" w:type="dxa"/>
            <w:vAlign w:val="bottom"/>
          </w:tcPr>
          <w:p>
            <w:pPr>
              <w:spacing w:after="0"/>
              <w:rPr>
                <w:sz w:val="1"/>
                <w:szCs w:val="1"/>
                <w:color w:val="auto"/>
              </w:rPr>
            </w:pPr>
          </w:p>
        </w:tc>
      </w:tr>
      <w:tr>
        <w:trPr>
          <w:trHeight w:val="121"/>
        </w:trPr>
        <w:tc>
          <w:tcPr>
            <w:tcW w:w="80" w:type="dxa"/>
            <w:vAlign w:val="bottom"/>
          </w:tcPr>
          <w:p>
            <w:pPr>
              <w:spacing w:after="0" w:line="121" w:lineRule="exact"/>
              <w:rPr>
                <w:sz w:val="20"/>
                <w:szCs w:val="20"/>
                <w:color w:val="auto"/>
              </w:rPr>
            </w:pPr>
            <w:r>
              <w:rPr>
                <w:rFonts w:ascii="Arial" w:cs="Arial" w:eastAsia="Arial" w:hAnsi="Arial"/>
                <w:sz w:val="11"/>
                <w:szCs w:val="11"/>
                <w:color w:val="auto"/>
                <w:w w:val="97"/>
              </w:rPr>
              <w:t>3</w:t>
            </w:r>
          </w:p>
        </w:tc>
        <w:tc>
          <w:tcPr>
            <w:tcW w:w="318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3/8% Convertible Notes due 2026 (4)</w:t>
            </w:r>
          </w:p>
        </w:tc>
        <w:tc>
          <w:tcPr>
            <w:tcW w:w="1320" w:type="dxa"/>
            <w:vAlign w:val="bottom"/>
            <w:gridSpan w:val="2"/>
          </w:tcPr>
          <w:p>
            <w:pPr>
              <w:jc w:val="center"/>
              <w:ind w:right="220"/>
              <w:spacing w:after="0" w:line="121" w:lineRule="exact"/>
              <w:rPr>
                <w:sz w:val="20"/>
                <w:szCs w:val="20"/>
                <w:color w:val="auto"/>
              </w:rPr>
            </w:pPr>
            <w:r>
              <w:rPr>
                <w:rFonts w:ascii="Arial" w:cs="Arial" w:eastAsia="Arial" w:hAnsi="Arial"/>
                <w:sz w:val="11"/>
                <w:szCs w:val="11"/>
                <w:color w:val="auto"/>
                <w:w w:val="98"/>
              </w:rPr>
              <w:t>DISH</w:t>
            </w:r>
          </w:p>
        </w:tc>
        <w:tc>
          <w:tcPr>
            <w:tcW w:w="120" w:type="dxa"/>
            <w:vAlign w:val="bottom"/>
          </w:tcPr>
          <w:p>
            <w:pPr>
              <w:spacing w:after="0"/>
              <w:rPr>
                <w:sz w:val="10"/>
                <w:szCs w:val="10"/>
                <w:color w:val="auto"/>
              </w:rPr>
            </w:pPr>
          </w:p>
        </w:tc>
        <w:tc>
          <w:tcPr>
            <w:tcW w:w="880" w:type="dxa"/>
            <w:vAlign w:val="bottom"/>
          </w:tcPr>
          <w:p>
            <w:pPr>
              <w:jc w:val="right"/>
              <w:spacing w:after="0" w:line="121" w:lineRule="exact"/>
              <w:rPr>
                <w:sz w:val="20"/>
                <w:szCs w:val="20"/>
                <w:color w:val="auto"/>
              </w:rPr>
            </w:pPr>
            <w:r>
              <w:rPr>
                <w:rFonts w:ascii="Arial" w:cs="Arial" w:eastAsia="Arial" w:hAnsi="Arial"/>
                <w:sz w:val="11"/>
                <w:szCs w:val="11"/>
                <w:color w:val="auto"/>
              </w:rPr>
              <w:t>45,209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38,495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line="121" w:lineRule="exact"/>
              <w:rPr>
                <w:sz w:val="20"/>
                <w:szCs w:val="20"/>
                <w:color w:val="auto"/>
              </w:rPr>
            </w:pPr>
            <w:r>
              <w:rPr>
                <w:rFonts w:ascii="Arial" w:cs="Arial" w:eastAsia="Arial" w:hAnsi="Arial"/>
                <w:sz w:val="11"/>
                <w:szCs w:val="11"/>
                <w:color w:val="auto"/>
              </w:rPr>
              <w:t>2,908,801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1,570,753</w:t>
            </w:r>
          </w:p>
        </w:tc>
        <w:tc>
          <w:tcPr>
            <w:tcW w:w="0" w:type="dxa"/>
            <w:vAlign w:val="bottom"/>
          </w:tcPr>
          <w:p>
            <w:pPr>
              <w:spacing w:after="0"/>
              <w:rPr>
                <w:sz w:val="1"/>
                <w:szCs w:val="1"/>
                <w:color w:val="auto"/>
              </w:rPr>
            </w:pPr>
          </w:p>
        </w:tc>
      </w:tr>
      <w:tr>
        <w:trPr>
          <w:trHeight w:val="121"/>
        </w:trPr>
        <w:tc>
          <w:tcPr>
            <w:tcW w:w="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w w:val="97"/>
              </w:rPr>
              <w:t>5</w:t>
            </w:r>
          </w:p>
        </w:tc>
        <w:tc>
          <w:tcPr>
            <w:tcW w:w="31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1"/>
                <w:szCs w:val="11"/>
                <w:color w:val="auto"/>
              </w:rPr>
              <w:t>1/4% Senior Secured Notes due 2026</w:t>
            </w:r>
          </w:p>
        </w:tc>
        <w:tc>
          <w:tcPr>
            <w:tcW w:w="132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1"/>
                <w:szCs w:val="11"/>
                <w:color w:val="auto"/>
              </w:rPr>
              <w:t>DDBS</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2,750,000</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2,507,780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2,750,000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2,366,073</w:t>
            </w:r>
          </w:p>
        </w:tc>
        <w:tc>
          <w:tcPr>
            <w:tcW w:w="0" w:type="dxa"/>
            <w:vAlign w:val="bottom"/>
          </w:tcPr>
          <w:p>
            <w:pPr>
              <w:spacing w:after="0"/>
              <w:rPr>
                <w:sz w:val="1"/>
                <w:szCs w:val="1"/>
                <w:color w:val="auto"/>
              </w:rPr>
            </w:pPr>
          </w:p>
        </w:tc>
      </w:tr>
      <w:tr>
        <w:trPr>
          <w:trHeight w:val="121"/>
        </w:trPr>
        <w:tc>
          <w:tcPr>
            <w:tcW w:w="3260" w:type="dxa"/>
            <w:vAlign w:val="bottom"/>
            <w:gridSpan w:val="3"/>
          </w:tcPr>
          <w:p>
            <w:pPr>
              <w:spacing w:after="0" w:line="121" w:lineRule="exact"/>
              <w:rPr>
                <w:sz w:val="20"/>
                <w:szCs w:val="20"/>
                <w:color w:val="auto"/>
              </w:rPr>
            </w:pPr>
            <w:r>
              <w:rPr>
                <w:rFonts w:ascii="Arial" w:cs="Arial" w:eastAsia="Arial" w:hAnsi="Arial"/>
                <w:sz w:val="11"/>
                <w:szCs w:val="11"/>
                <w:color w:val="auto"/>
              </w:rPr>
              <w:t>11 3/4% Senior Secured Notes due 2027</w:t>
            </w:r>
          </w:p>
        </w:tc>
        <w:tc>
          <w:tcPr>
            <w:tcW w:w="1320" w:type="dxa"/>
            <w:vAlign w:val="bottom"/>
            <w:gridSpan w:val="2"/>
          </w:tcPr>
          <w:p>
            <w:pPr>
              <w:jc w:val="center"/>
              <w:ind w:right="220"/>
              <w:spacing w:after="0" w:line="121" w:lineRule="exact"/>
              <w:rPr>
                <w:sz w:val="20"/>
                <w:szCs w:val="20"/>
                <w:color w:val="auto"/>
              </w:rPr>
            </w:pPr>
            <w:r>
              <w:rPr>
                <w:rFonts w:ascii="Arial" w:cs="Arial" w:eastAsia="Arial" w:hAnsi="Arial"/>
                <w:sz w:val="11"/>
                <w:szCs w:val="11"/>
                <w:color w:val="auto"/>
                <w:w w:val="98"/>
              </w:rPr>
              <w:t>DISH</w:t>
            </w:r>
          </w:p>
        </w:tc>
        <w:tc>
          <w:tcPr>
            <w:tcW w:w="120" w:type="dxa"/>
            <w:vAlign w:val="bottom"/>
          </w:tcPr>
          <w:p>
            <w:pPr>
              <w:spacing w:after="0"/>
              <w:rPr>
                <w:sz w:val="10"/>
                <w:szCs w:val="10"/>
                <w:color w:val="auto"/>
              </w:rPr>
            </w:pPr>
          </w:p>
        </w:tc>
        <w:tc>
          <w:tcPr>
            <w:tcW w:w="880" w:type="dxa"/>
            <w:vAlign w:val="bottom"/>
          </w:tcPr>
          <w:p>
            <w:pPr>
              <w:jc w:val="right"/>
              <w:spacing w:after="0" w:line="121" w:lineRule="exact"/>
              <w:rPr>
                <w:sz w:val="20"/>
                <w:szCs w:val="20"/>
                <w:color w:val="auto"/>
              </w:rPr>
            </w:pPr>
            <w:r>
              <w:rPr>
                <w:rFonts w:ascii="Arial" w:cs="Arial" w:eastAsia="Arial" w:hAnsi="Arial"/>
                <w:sz w:val="11"/>
                <w:szCs w:val="11"/>
                <w:color w:val="auto"/>
              </w:rPr>
              <w:t>3,500,000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3,708,460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line="121" w:lineRule="exact"/>
              <w:rPr>
                <w:sz w:val="20"/>
                <w:szCs w:val="20"/>
                <w:color w:val="auto"/>
              </w:rPr>
            </w:pPr>
            <w:r>
              <w:rPr>
                <w:rFonts w:ascii="Arial" w:cs="Arial" w:eastAsia="Arial" w:hAnsi="Arial"/>
                <w:sz w:val="11"/>
                <w:szCs w:val="11"/>
                <w:color w:val="auto"/>
              </w:rPr>
              <w:t>3,500,000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3,668,980</w:t>
            </w:r>
          </w:p>
        </w:tc>
        <w:tc>
          <w:tcPr>
            <w:tcW w:w="0" w:type="dxa"/>
            <w:vAlign w:val="bottom"/>
          </w:tcPr>
          <w:p>
            <w:pPr>
              <w:spacing w:after="0"/>
              <w:rPr>
                <w:sz w:val="1"/>
                <w:szCs w:val="1"/>
                <w:color w:val="auto"/>
              </w:rPr>
            </w:pPr>
          </w:p>
        </w:tc>
      </w:tr>
      <w:tr>
        <w:trPr>
          <w:trHeight w:val="121"/>
        </w:trPr>
        <w:tc>
          <w:tcPr>
            <w:tcW w:w="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w w:val="97"/>
              </w:rPr>
              <w:t>7</w:t>
            </w:r>
          </w:p>
        </w:tc>
        <w:tc>
          <w:tcPr>
            <w:tcW w:w="31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1"/>
                <w:szCs w:val="11"/>
                <w:color w:val="auto"/>
              </w:rPr>
              <w:t>3/8% Senior Notes due 2028</w:t>
            </w:r>
          </w:p>
        </w:tc>
        <w:tc>
          <w:tcPr>
            <w:tcW w:w="132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1"/>
                <w:szCs w:val="11"/>
                <w:color w:val="auto"/>
              </w:rPr>
              <w:t>DDBS</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1,000,000</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715,680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1,000,000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600,160</w:t>
            </w:r>
          </w:p>
        </w:tc>
        <w:tc>
          <w:tcPr>
            <w:tcW w:w="0" w:type="dxa"/>
            <w:vAlign w:val="bottom"/>
          </w:tcPr>
          <w:p>
            <w:pPr>
              <w:spacing w:after="0"/>
              <w:rPr>
                <w:sz w:val="1"/>
                <w:szCs w:val="1"/>
                <w:color w:val="auto"/>
              </w:rPr>
            </w:pPr>
          </w:p>
        </w:tc>
      </w:tr>
      <w:tr>
        <w:trPr>
          <w:trHeight w:val="121"/>
        </w:trPr>
        <w:tc>
          <w:tcPr>
            <w:tcW w:w="80" w:type="dxa"/>
            <w:vAlign w:val="bottom"/>
          </w:tcPr>
          <w:p>
            <w:pPr>
              <w:spacing w:after="0" w:line="121" w:lineRule="exact"/>
              <w:rPr>
                <w:sz w:val="20"/>
                <w:szCs w:val="20"/>
                <w:color w:val="auto"/>
              </w:rPr>
            </w:pPr>
            <w:r>
              <w:rPr>
                <w:rFonts w:ascii="Arial" w:cs="Arial" w:eastAsia="Arial" w:hAnsi="Arial"/>
                <w:sz w:val="11"/>
                <w:szCs w:val="11"/>
                <w:color w:val="auto"/>
                <w:w w:val="97"/>
              </w:rPr>
              <w:t>5</w:t>
            </w:r>
          </w:p>
        </w:tc>
        <w:tc>
          <w:tcPr>
            <w:tcW w:w="318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3/4% Senior Secured Notes due 2028</w:t>
            </w:r>
          </w:p>
        </w:tc>
        <w:tc>
          <w:tcPr>
            <w:tcW w:w="1320" w:type="dxa"/>
            <w:vAlign w:val="bottom"/>
            <w:gridSpan w:val="2"/>
          </w:tcPr>
          <w:p>
            <w:pPr>
              <w:jc w:val="center"/>
              <w:ind w:right="200"/>
              <w:spacing w:after="0" w:line="121" w:lineRule="exact"/>
              <w:rPr>
                <w:sz w:val="20"/>
                <w:szCs w:val="20"/>
                <w:color w:val="auto"/>
              </w:rPr>
            </w:pPr>
            <w:r>
              <w:rPr>
                <w:rFonts w:ascii="Arial" w:cs="Arial" w:eastAsia="Arial" w:hAnsi="Arial"/>
                <w:sz w:val="11"/>
                <w:szCs w:val="11"/>
                <w:color w:val="auto"/>
              </w:rPr>
              <w:t>DDBS</w:t>
            </w:r>
          </w:p>
        </w:tc>
        <w:tc>
          <w:tcPr>
            <w:tcW w:w="120" w:type="dxa"/>
            <w:vAlign w:val="bottom"/>
          </w:tcPr>
          <w:p>
            <w:pPr>
              <w:spacing w:after="0"/>
              <w:rPr>
                <w:sz w:val="10"/>
                <w:szCs w:val="10"/>
                <w:color w:val="auto"/>
              </w:rPr>
            </w:pPr>
          </w:p>
        </w:tc>
        <w:tc>
          <w:tcPr>
            <w:tcW w:w="880" w:type="dxa"/>
            <w:vAlign w:val="bottom"/>
          </w:tcPr>
          <w:p>
            <w:pPr>
              <w:jc w:val="right"/>
              <w:spacing w:after="0" w:line="121" w:lineRule="exact"/>
              <w:rPr>
                <w:sz w:val="20"/>
                <w:szCs w:val="20"/>
                <w:color w:val="auto"/>
              </w:rPr>
            </w:pPr>
            <w:r>
              <w:rPr>
                <w:rFonts w:ascii="Arial" w:cs="Arial" w:eastAsia="Arial" w:hAnsi="Arial"/>
                <w:sz w:val="11"/>
                <w:szCs w:val="11"/>
                <w:color w:val="auto"/>
              </w:rPr>
              <w:t>2,500,000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2,143,350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line="121" w:lineRule="exact"/>
              <w:rPr>
                <w:sz w:val="20"/>
                <w:szCs w:val="20"/>
                <w:color w:val="auto"/>
              </w:rPr>
            </w:pPr>
            <w:r>
              <w:rPr>
                <w:rFonts w:ascii="Arial" w:cs="Arial" w:eastAsia="Arial" w:hAnsi="Arial"/>
                <w:sz w:val="11"/>
                <w:szCs w:val="11"/>
                <w:color w:val="auto"/>
              </w:rPr>
              <w:t>2,500,000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2,013,125</w:t>
            </w:r>
          </w:p>
        </w:tc>
        <w:tc>
          <w:tcPr>
            <w:tcW w:w="0" w:type="dxa"/>
            <w:vAlign w:val="bottom"/>
          </w:tcPr>
          <w:p>
            <w:pPr>
              <w:spacing w:after="0"/>
              <w:rPr>
                <w:sz w:val="1"/>
                <w:szCs w:val="1"/>
                <w:color w:val="auto"/>
              </w:rPr>
            </w:pPr>
          </w:p>
        </w:tc>
      </w:tr>
      <w:tr>
        <w:trPr>
          <w:trHeight w:val="121"/>
        </w:trPr>
        <w:tc>
          <w:tcPr>
            <w:tcW w:w="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w w:val="97"/>
              </w:rPr>
              <w:t>5</w:t>
            </w:r>
          </w:p>
        </w:tc>
        <w:tc>
          <w:tcPr>
            <w:tcW w:w="31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1"/>
                <w:szCs w:val="11"/>
                <w:color w:val="auto"/>
              </w:rPr>
              <w:t>1/8% Senior Notes due 2029</w:t>
            </w:r>
          </w:p>
        </w:tc>
        <w:tc>
          <w:tcPr>
            <w:tcW w:w="132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1"/>
                <w:szCs w:val="11"/>
                <w:color w:val="auto"/>
              </w:rPr>
              <w:t>DDBS</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1,500,000</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959,610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1,500,000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774,600</w:t>
            </w:r>
          </w:p>
        </w:tc>
        <w:tc>
          <w:tcPr>
            <w:tcW w:w="0" w:type="dxa"/>
            <w:vAlign w:val="bottom"/>
          </w:tcPr>
          <w:p>
            <w:pPr>
              <w:spacing w:after="0"/>
              <w:rPr>
                <w:sz w:val="1"/>
                <w:szCs w:val="1"/>
                <w:color w:val="auto"/>
              </w:rPr>
            </w:pPr>
          </w:p>
        </w:tc>
      </w:tr>
      <w:tr>
        <w:trPr>
          <w:trHeight w:val="121"/>
        </w:trPr>
        <w:tc>
          <w:tcPr>
            <w:tcW w:w="3260" w:type="dxa"/>
            <w:vAlign w:val="bottom"/>
            <w:gridSpan w:val="3"/>
          </w:tcPr>
          <w:p>
            <w:pPr>
              <w:spacing w:after="0" w:line="121" w:lineRule="exact"/>
              <w:rPr>
                <w:sz w:val="20"/>
                <w:szCs w:val="20"/>
                <w:color w:val="auto"/>
              </w:rPr>
            </w:pPr>
            <w:r>
              <w:rPr>
                <w:rFonts w:ascii="Arial" w:cs="Arial" w:eastAsia="Arial" w:hAnsi="Arial"/>
                <w:sz w:val="11"/>
                <w:szCs w:val="11"/>
                <w:color w:val="auto"/>
              </w:rPr>
              <w:t>Term Loan due 2029 (5)(6)</w:t>
            </w:r>
          </w:p>
        </w:tc>
        <w:tc>
          <w:tcPr>
            <w:tcW w:w="1320" w:type="dxa"/>
            <w:vAlign w:val="bottom"/>
            <w:gridSpan w:val="2"/>
          </w:tcPr>
          <w:p>
            <w:pPr>
              <w:jc w:val="center"/>
              <w:ind w:right="220"/>
              <w:spacing w:after="0" w:line="121" w:lineRule="exact"/>
              <w:rPr>
                <w:sz w:val="20"/>
                <w:szCs w:val="20"/>
                <w:color w:val="auto"/>
              </w:rPr>
            </w:pPr>
            <w:r>
              <w:rPr>
                <w:rFonts w:ascii="Arial" w:cs="Arial" w:eastAsia="Arial" w:hAnsi="Arial"/>
                <w:sz w:val="11"/>
                <w:szCs w:val="11"/>
                <w:color w:val="auto"/>
              </w:rPr>
              <w:t>DBS SubscriberCo</w:t>
            </w:r>
          </w:p>
        </w:tc>
        <w:tc>
          <w:tcPr>
            <w:tcW w:w="120" w:type="dxa"/>
            <w:vAlign w:val="bottom"/>
          </w:tcPr>
          <w:p>
            <w:pPr>
              <w:spacing w:after="0"/>
              <w:rPr>
                <w:sz w:val="10"/>
                <w:szCs w:val="10"/>
                <w:color w:val="auto"/>
              </w:rPr>
            </w:pPr>
          </w:p>
        </w:tc>
        <w:tc>
          <w:tcPr>
            <w:tcW w:w="880" w:type="dxa"/>
            <w:vAlign w:val="bottom"/>
          </w:tcPr>
          <w:p>
            <w:pPr>
              <w:jc w:val="right"/>
              <w:spacing w:after="0" w:line="121" w:lineRule="exact"/>
              <w:rPr>
                <w:sz w:val="20"/>
                <w:szCs w:val="20"/>
                <w:color w:val="auto"/>
              </w:rPr>
            </w:pPr>
            <w:r>
              <w:rPr>
                <w:rFonts w:ascii="Arial" w:cs="Arial" w:eastAsia="Arial" w:hAnsi="Arial"/>
                <w:sz w:val="11"/>
                <w:szCs w:val="11"/>
                <w:color w:val="auto"/>
              </w:rPr>
              <w:t>1,800,000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1,800,000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260" w:type="dxa"/>
            <w:vAlign w:val="bottom"/>
            <w:gridSpan w:val="3"/>
            <w:shd w:val="clear" w:color="auto" w:fill="CCEEFF"/>
          </w:tcPr>
          <w:p>
            <w:pPr>
              <w:spacing w:after="0" w:line="121" w:lineRule="exact"/>
              <w:rPr>
                <w:sz w:val="20"/>
                <w:szCs w:val="20"/>
                <w:color w:val="auto"/>
              </w:rPr>
            </w:pPr>
            <w:r>
              <w:rPr>
                <w:rFonts w:ascii="Arial" w:cs="Arial" w:eastAsia="Arial" w:hAnsi="Arial"/>
                <w:sz w:val="11"/>
                <w:szCs w:val="11"/>
                <w:color w:val="auto"/>
              </w:rPr>
              <w:t>Mandatorily Redeemable Preferred Shares due 2029 (5)(6)(7)</w:t>
            </w:r>
          </w:p>
        </w:tc>
        <w:tc>
          <w:tcPr>
            <w:tcW w:w="1320" w:type="dxa"/>
            <w:vAlign w:val="bottom"/>
            <w:gridSpan w:val="2"/>
            <w:shd w:val="clear" w:color="auto" w:fill="CCEEFF"/>
          </w:tcPr>
          <w:p>
            <w:pPr>
              <w:jc w:val="center"/>
              <w:ind w:right="220"/>
              <w:spacing w:after="0" w:line="121" w:lineRule="exact"/>
              <w:rPr>
                <w:sz w:val="20"/>
                <w:szCs w:val="20"/>
                <w:color w:val="auto"/>
              </w:rPr>
            </w:pPr>
            <w:r>
              <w:rPr>
                <w:rFonts w:ascii="Arial" w:cs="Arial" w:eastAsia="Arial" w:hAnsi="Arial"/>
                <w:sz w:val="11"/>
                <w:szCs w:val="11"/>
                <w:color w:val="auto"/>
              </w:rPr>
              <w:t>DBS SubscriberCo</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200,000</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200,000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260" w:type="dxa"/>
            <w:vAlign w:val="bottom"/>
            <w:gridSpan w:val="3"/>
          </w:tcPr>
          <w:p>
            <w:pPr>
              <w:spacing w:after="0" w:line="121" w:lineRule="exact"/>
              <w:rPr>
                <w:sz w:val="20"/>
                <w:szCs w:val="20"/>
                <w:color w:val="auto"/>
              </w:rPr>
            </w:pPr>
            <w:r>
              <w:rPr>
                <w:rFonts w:ascii="Arial" w:cs="Arial" w:eastAsia="Arial" w:hAnsi="Arial"/>
                <w:sz w:val="11"/>
                <w:szCs w:val="11"/>
                <w:color w:val="auto"/>
              </w:rPr>
              <w:t>10 3/4% Senior Secured Notes due 2029</w:t>
            </w:r>
          </w:p>
        </w:tc>
        <w:tc>
          <w:tcPr>
            <w:tcW w:w="1320" w:type="dxa"/>
            <w:vAlign w:val="bottom"/>
            <w:gridSpan w:val="2"/>
          </w:tcPr>
          <w:p>
            <w:pPr>
              <w:jc w:val="center"/>
              <w:ind w:right="200"/>
              <w:spacing w:after="0" w:line="121" w:lineRule="exact"/>
              <w:rPr>
                <w:sz w:val="20"/>
                <w:szCs w:val="20"/>
                <w:color w:val="auto"/>
              </w:rPr>
            </w:pPr>
            <w:r>
              <w:rPr>
                <w:rFonts w:ascii="Arial" w:cs="Arial" w:eastAsia="Arial" w:hAnsi="Arial"/>
                <w:sz w:val="11"/>
                <w:szCs w:val="11"/>
                <w:color w:val="auto"/>
                <w:w w:val="97"/>
              </w:rPr>
              <w:t>SATS</w:t>
            </w:r>
          </w:p>
        </w:tc>
        <w:tc>
          <w:tcPr>
            <w:tcW w:w="120" w:type="dxa"/>
            <w:vAlign w:val="bottom"/>
          </w:tcPr>
          <w:p>
            <w:pPr>
              <w:spacing w:after="0"/>
              <w:rPr>
                <w:sz w:val="10"/>
                <w:szCs w:val="10"/>
                <w:color w:val="auto"/>
              </w:rPr>
            </w:pPr>
          </w:p>
        </w:tc>
        <w:tc>
          <w:tcPr>
            <w:tcW w:w="880" w:type="dxa"/>
            <w:vAlign w:val="bottom"/>
          </w:tcPr>
          <w:p>
            <w:pPr>
              <w:jc w:val="right"/>
              <w:spacing w:after="0" w:line="121" w:lineRule="exact"/>
              <w:rPr>
                <w:sz w:val="20"/>
                <w:szCs w:val="20"/>
                <w:color w:val="auto"/>
              </w:rPr>
            </w:pPr>
            <w:r>
              <w:rPr>
                <w:rFonts w:ascii="Arial" w:cs="Arial" w:eastAsia="Arial" w:hAnsi="Arial"/>
                <w:sz w:val="11"/>
                <w:szCs w:val="11"/>
                <w:color w:val="auto"/>
              </w:rPr>
              <w:t>5,356,000</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5,763,110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8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w w:val="97"/>
              </w:rPr>
              <w:t>3</w:t>
            </w:r>
          </w:p>
        </w:tc>
        <w:tc>
          <w:tcPr>
            <w:tcW w:w="31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1"/>
                <w:szCs w:val="11"/>
                <w:color w:val="auto"/>
              </w:rPr>
              <w:t>7/8% Convertible Secured Notes due 2030 (4)</w:t>
            </w:r>
          </w:p>
        </w:tc>
        <w:tc>
          <w:tcPr>
            <w:tcW w:w="132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1"/>
                <w:szCs w:val="11"/>
                <w:color w:val="auto"/>
                <w:w w:val="97"/>
              </w:rPr>
              <w:t>SATS</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1,906,229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2,029,715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80" w:type="dxa"/>
            <w:vAlign w:val="bottom"/>
          </w:tcPr>
          <w:p>
            <w:pPr>
              <w:spacing w:after="0" w:line="121" w:lineRule="exact"/>
              <w:rPr>
                <w:sz w:val="20"/>
                <w:szCs w:val="20"/>
                <w:color w:val="auto"/>
              </w:rPr>
            </w:pPr>
            <w:r>
              <w:rPr>
                <w:rFonts w:ascii="Arial" w:cs="Arial" w:eastAsia="Arial" w:hAnsi="Arial"/>
                <w:sz w:val="11"/>
                <w:szCs w:val="11"/>
                <w:color w:val="auto"/>
                <w:w w:val="97"/>
              </w:rPr>
              <w:t>6</w:t>
            </w:r>
          </w:p>
        </w:tc>
        <w:tc>
          <w:tcPr>
            <w:tcW w:w="3180" w:type="dxa"/>
            <w:vAlign w:val="bottom"/>
            <w:gridSpan w:val="2"/>
          </w:tcPr>
          <w:p>
            <w:pPr>
              <w:ind w:left="20"/>
              <w:spacing w:after="0" w:line="121" w:lineRule="exact"/>
              <w:rPr>
                <w:sz w:val="20"/>
                <w:szCs w:val="20"/>
                <w:color w:val="auto"/>
              </w:rPr>
            </w:pPr>
            <w:r>
              <w:rPr>
                <w:rFonts w:ascii="Arial" w:cs="Arial" w:eastAsia="Arial" w:hAnsi="Arial"/>
                <w:sz w:val="11"/>
                <w:szCs w:val="11"/>
                <w:color w:val="auto"/>
              </w:rPr>
              <w:t>3/4% Senior Secured Notes due 2030 (4)</w:t>
            </w:r>
          </w:p>
        </w:tc>
        <w:tc>
          <w:tcPr>
            <w:tcW w:w="1320" w:type="dxa"/>
            <w:vAlign w:val="bottom"/>
            <w:gridSpan w:val="2"/>
          </w:tcPr>
          <w:p>
            <w:pPr>
              <w:jc w:val="center"/>
              <w:ind w:right="200"/>
              <w:spacing w:after="0" w:line="121" w:lineRule="exact"/>
              <w:rPr>
                <w:sz w:val="20"/>
                <w:szCs w:val="20"/>
                <w:color w:val="auto"/>
              </w:rPr>
            </w:pPr>
            <w:r>
              <w:rPr>
                <w:rFonts w:ascii="Arial" w:cs="Arial" w:eastAsia="Arial" w:hAnsi="Arial"/>
                <w:sz w:val="11"/>
                <w:szCs w:val="11"/>
                <w:color w:val="auto"/>
                <w:w w:val="97"/>
              </w:rPr>
              <w:t>SATS</w:t>
            </w:r>
          </w:p>
        </w:tc>
        <w:tc>
          <w:tcPr>
            <w:tcW w:w="120" w:type="dxa"/>
            <w:vAlign w:val="bottom"/>
          </w:tcPr>
          <w:p>
            <w:pPr>
              <w:spacing w:after="0"/>
              <w:rPr>
                <w:sz w:val="10"/>
                <w:szCs w:val="10"/>
                <w:color w:val="auto"/>
              </w:rPr>
            </w:pPr>
          </w:p>
        </w:tc>
        <w:tc>
          <w:tcPr>
            <w:tcW w:w="880" w:type="dxa"/>
            <w:vAlign w:val="bottom"/>
          </w:tcPr>
          <w:p>
            <w:pPr>
              <w:jc w:val="right"/>
              <w:spacing w:after="0" w:line="121" w:lineRule="exact"/>
              <w:rPr>
                <w:sz w:val="20"/>
                <w:szCs w:val="20"/>
                <w:color w:val="auto"/>
              </w:rPr>
            </w:pPr>
            <w:r>
              <w:rPr>
                <w:rFonts w:ascii="Arial" w:cs="Arial" w:eastAsia="Arial" w:hAnsi="Arial"/>
                <w:sz w:val="11"/>
                <w:szCs w:val="11"/>
                <w:color w:val="auto"/>
              </w:rPr>
              <w:t>2,287,738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1" w:lineRule="exact"/>
              <w:rPr>
                <w:sz w:val="20"/>
                <w:szCs w:val="20"/>
                <w:color w:val="auto"/>
              </w:rPr>
            </w:pPr>
            <w:r>
              <w:rPr>
                <w:rFonts w:ascii="Arial" w:cs="Arial" w:eastAsia="Arial" w:hAnsi="Arial"/>
                <w:sz w:val="11"/>
                <w:szCs w:val="11"/>
                <w:color w:val="auto"/>
              </w:rPr>
              <w:t>2,070,952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1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260" w:type="dxa"/>
            <w:vAlign w:val="bottom"/>
            <w:gridSpan w:val="3"/>
            <w:shd w:val="clear" w:color="auto" w:fill="CCEEFF"/>
          </w:tcPr>
          <w:p>
            <w:pPr>
              <w:spacing w:after="0" w:line="121" w:lineRule="exact"/>
              <w:rPr>
                <w:sz w:val="20"/>
                <w:szCs w:val="20"/>
                <w:color w:val="auto"/>
              </w:rPr>
            </w:pPr>
            <w:r>
              <w:rPr>
                <w:rFonts w:ascii="Arial" w:cs="Arial" w:eastAsia="Arial" w:hAnsi="Arial"/>
                <w:sz w:val="11"/>
                <w:szCs w:val="11"/>
                <w:color w:val="auto"/>
              </w:rPr>
              <w:t>Other notes payable</w:t>
            </w: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108,072</w:t>
            </w:r>
          </w:p>
        </w:tc>
        <w:tc>
          <w:tcPr>
            <w:tcW w:w="1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108,072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160,158</w:t>
            </w:r>
          </w:p>
        </w:tc>
        <w:tc>
          <w:tcPr>
            <w:tcW w:w="12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160,158</w:t>
            </w:r>
          </w:p>
        </w:tc>
        <w:tc>
          <w:tcPr>
            <w:tcW w:w="0" w:type="dxa"/>
            <w:vAlign w:val="bottom"/>
          </w:tcPr>
          <w:p>
            <w:pPr>
              <w:spacing w:after="0"/>
              <w:rPr>
                <w:sz w:val="1"/>
                <w:szCs w:val="1"/>
                <w:color w:val="auto"/>
              </w:rPr>
            </w:pPr>
          </w:p>
        </w:tc>
      </w:tr>
      <w:tr>
        <w:trPr>
          <w:trHeight w:val="153"/>
        </w:trPr>
        <w:tc>
          <w:tcPr>
            <w:tcW w:w="3260" w:type="dxa"/>
            <w:vAlign w:val="bottom"/>
            <w:tcBorders>
              <w:bottom w:val="single" w:sz="8" w:color="CCEEFF"/>
            </w:tcBorders>
            <w:gridSpan w:val="3"/>
          </w:tcPr>
          <w:p>
            <w:pPr>
              <w:spacing w:after="0" w:line="113" w:lineRule="exact"/>
              <w:rPr>
                <w:sz w:val="20"/>
                <w:szCs w:val="20"/>
                <w:color w:val="auto"/>
              </w:rPr>
            </w:pPr>
            <w:r>
              <w:rPr>
                <w:rFonts w:ascii="Arial" w:cs="Arial" w:eastAsia="Arial" w:hAnsi="Arial"/>
                <w:sz w:val="11"/>
                <w:szCs w:val="11"/>
                <w:b w:val="1"/>
                <w:bCs w:val="1"/>
                <w:color w:val="auto"/>
              </w:rPr>
              <w:t>Subtotal</w:t>
            </w:r>
          </w:p>
        </w:tc>
        <w:tc>
          <w:tcPr>
            <w:tcW w:w="1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jc w:val="right"/>
              <w:spacing w:after="0" w:line="113" w:lineRule="exact"/>
              <w:rPr>
                <w:sz w:val="20"/>
                <w:szCs w:val="20"/>
                <w:color w:val="auto"/>
              </w:rPr>
            </w:pPr>
            <w:r>
              <w:rPr>
                <w:rFonts w:ascii="Arial" w:cs="Arial" w:eastAsia="Arial" w:hAnsi="Arial"/>
                <w:sz w:val="11"/>
                <w:szCs w:val="11"/>
                <w:color w:val="auto"/>
              </w:rPr>
              <w:t>27,091,651</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29"/>
              <w:spacing w:after="0" w:line="114"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25,630,980</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jc w:val="right"/>
              <w:spacing w:after="0" w:line="113" w:lineRule="exact"/>
              <w:rPr>
                <w:sz w:val="20"/>
                <w:szCs w:val="20"/>
                <w:color w:val="auto"/>
              </w:rPr>
            </w:pPr>
            <w:r>
              <w:rPr>
                <w:rFonts w:ascii="Arial" w:cs="Arial" w:eastAsia="Arial" w:hAnsi="Arial"/>
                <w:sz w:val="11"/>
                <w:szCs w:val="11"/>
                <w:color w:val="auto"/>
              </w:rPr>
              <w:t>22,709,868</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24"/>
              <w:spacing w:after="0" w:line="113" w:lineRule="exact"/>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1"/>
                <w:szCs w:val="11"/>
                <w:color w:val="auto"/>
              </w:rPr>
              <w:t>17,843,562</w:t>
            </w:r>
          </w:p>
        </w:tc>
        <w:tc>
          <w:tcPr>
            <w:tcW w:w="0" w:type="dxa"/>
            <w:vAlign w:val="bottom"/>
          </w:tcPr>
          <w:p>
            <w:pPr>
              <w:spacing w:after="0"/>
              <w:rPr>
                <w:sz w:val="1"/>
                <w:szCs w:val="1"/>
                <w:color w:val="auto"/>
              </w:rPr>
            </w:pPr>
          </w:p>
        </w:tc>
      </w:tr>
      <w:tr>
        <w:trPr>
          <w:trHeight w:val="58"/>
        </w:trPr>
        <w:tc>
          <w:tcPr>
            <w:tcW w:w="3260" w:type="dxa"/>
            <w:vAlign w:val="bottom"/>
            <w:gridSpan w:val="3"/>
            <w:shd w:val="clear" w:color="auto" w:fill="CCEEFF"/>
          </w:tcPr>
          <w:p>
            <w:pPr>
              <w:spacing w:after="0" w:line="58" w:lineRule="exact"/>
              <w:rPr>
                <w:sz w:val="20"/>
                <w:szCs w:val="20"/>
                <w:color w:val="auto"/>
              </w:rPr>
            </w:pPr>
            <w:r>
              <w:rPr>
                <w:rFonts w:ascii="Arial" w:cs="Arial" w:eastAsia="Arial" w:hAnsi="Arial"/>
                <w:sz w:val="6"/>
                <w:szCs w:val="6"/>
                <w:color w:val="auto"/>
              </w:rPr>
              <w:t>Unamortized deferred financing costs and other debt discounts,</w:t>
            </w: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32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w:t>
            </w: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(555,533)</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(69,606)</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60" w:type="dxa"/>
            <w:vAlign w:val="bottom"/>
            <w:tcBorders>
              <w:bottom w:val="single" w:sz="8" w:color="CCEEFF"/>
            </w:tcBorders>
            <w:gridSpan w:val="3"/>
          </w:tcPr>
          <w:p>
            <w:pPr>
              <w:spacing w:after="0" w:line="121" w:lineRule="exact"/>
              <w:rPr>
                <w:sz w:val="20"/>
                <w:szCs w:val="20"/>
                <w:color w:val="auto"/>
              </w:rPr>
            </w:pPr>
            <w:r>
              <w:rPr>
                <w:rFonts w:ascii="Arial" w:cs="Arial" w:eastAsia="Arial" w:hAnsi="Arial"/>
                <w:sz w:val="11"/>
                <w:szCs w:val="11"/>
                <w:color w:val="auto"/>
              </w:rPr>
              <w:t>Finance lease obligations (8)</w:t>
            </w:r>
          </w:p>
        </w:tc>
        <w:tc>
          <w:tcPr>
            <w:tcW w:w="12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67,199</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1"/>
                <w:szCs w:val="11"/>
                <w:color w:val="auto"/>
              </w:rPr>
              <w:t>123,658</w:t>
            </w:r>
          </w:p>
        </w:tc>
        <w:tc>
          <w:tcPr>
            <w:tcW w:w="1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6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b w:val="1"/>
                <w:bCs w:val="1"/>
                <w:color w:val="auto"/>
              </w:rPr>
              <w:t>Total</w:t>
            </w:r>
          </w:p>
        </w:tc>
        <w:tc>
          <w:tcPr>
            <w:tcW w:w="1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26,603,317</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22,763,920</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60" w:type="dxa"/>
            <w:vAlign w:val="bottom"/>
            <w:gridSpan w:val="3"/>
          </w:tcPr>
          <w:p>
            <w:pPr>
              <w:spacing w:after="0" w:line="121" w:lineRule="exact"/>
              <w:rPr>
                <w:sz w:val="20"/>
                <w:szCs w:val="20"/>
                <w:color w:val="auto"/>
              </w:rPr>
            </w:pPr>
            <w:r>
              <w:rPr>
                <w:rFonts w:ascii="Arial" w:cs="Arial" w:eastAsia="Arial" w:hAnsi="Arial"/>
                <w:sz w:val="11"/>
                <w:szCs w:val="11"/>
                <w:color w:val="auto"/>
              </w:rPr>
              <w:t>Less: current portion (6)</w:t>
            </w: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(943,029)</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120"/>
              <w:spacing w:after="0" w:line="121" w:lineRule="exact"/>
              <w:rPr>
                <w:sz w:val="20"/>
                <w:szCs w:val="20"/>
                <w:color w:val="auto"/>
              </w:rPr>
            </w:pPr>
            <w:r>
              <w:rPr>
                <w:rFonts w:ascii="Arial" w:cs="Arial" w:eastAsia="Arial" w:hAnsi="Arial"/>
                <w:sz w:val="11"/>
                <w:szCs w:val="11"/>
                <w:color w:val="auto"/>
              </w:rPr>
              <w:t>(3,046,654)</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260" w:type="dxa"/>
            <w:vAlign w:val="bottom"/>
            <w:tcBorders>
              <w:top w:val="single" w:sz="8" w:color="CCEEFF"/>
            </w:tcBorders>
            <w:gridSpan w:val="3"/>
            <w:shd w:val="clear" w:color="auto" w:fill="CCEEFF"/>
          </w:tcPr>
          <w:p>
            <w:pPr>
              <w:spacing w:after="0" w:line="86" w:lineRule="exact"/>
              <w:rPr>
                <w:sz w:val="20"/>
                <w:szCs w:val="20"/>
                <w:color w:val="auto"/>
              </w:rPr>
            </w:pPr>
            <w:r>
              <w:rPr>
                <w:rFonts w:ascii="Arial" w:cs="Arial" w:eastAsia="Arial" w:hAnsi="Arial"/>
                <w:sz w:val="9"/>
                <w:szCs w:val="9"/>
                <w:b w:val="1"/>
                <w:bCs w:val="1"/>
                <w:color w:val="auto"/>
              </w:rPr>
              <w:t>Total debt, finance lease and other obligations, net of</w:t>
            </w:r>
          </w:p>
        </w:tc>
        <w:tc>
          <w:tcPr>
            <w:tcW w:w="12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25,660,288</w:t>
            </w:r>
          </w:p>
        </w:tc>
        <w:tc>
          <w:tcPr>
            <w:tcW w:w="14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gridSpan w:val="2"/>
            <w:vMerge w:val="restart"/>
            <w:shd w:val="clear" w:color="auto" w:fill="CCEEFF"/>
          </w:tcPr>
          <w:p>
            <w:pPr>
              <w:spacing w:after="0"/>
              <w:rPr>
                <w:sz w:val="7"/>
                <w:szCs w:val="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19,717,266</w:t>
            </w:r>
          </w:p>
        </w:tc>
        <w:tc>
          <w:tcPr>
            <w:tcW w:w="1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260" w:type="dxa"/>
            <w:vAlign w:val="bottom"/>
            <w:tcBorders>
              <w:bottom w:val="single" w:sz="8" w:color="CCEEFF"/>
            </w:tcBorders>
            <w:gridSpan w:val="3"/>
            <w:shd w:val="clear" w:color="auto" w:fill="CCEEFF"/>
          </w:tcPr>
          <w:p>
            <w:pPr>
              <w:spacing w:after="0" w:line="124" w:lineRule="exact"/>
              <w:rPr>
                <w:sz w:val="20"/>
                <w:szCs w:val="20"/>
                <w:color w:val="auto"/>
              </w:rPr>
            </w:pPr>
            <w:r>
              <w:rPr>
                <w:rFonts w:ascii="Arial" w:cs="Arial" w:eastAsia="Arial" w:hAnsi="Arial"/>
                <w:sz w:val="11"/>
                <w:szCs w:val="11"/>
                <w:b w:val="1"/>
                <w:bCs w:val="1"/>
                <w:color w:val="auto"/>
              </w:rPr>
              <w:t>current portion</w:t>
            </w:r>
          </w:p>
        </w:tc>
        <w:tc>
          <w:tcPr>
            <w:tcW w:w="12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vMerge w:val="continue"/>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auto"/>
            </w:tcBorders>
            <w:vMerge w:val="continue"/>
            <w:shd w:val="clear" w:color="auto" w:fill="CCEEFF"/>
          </w:tcPr>
          <w:p>
            <w:pPr>
              <w:spacing w:after="0"/>
              <w:rPr>
                <w:sz w:val="10"/>
                <w:szCs w:val="10"/>
                <w:color w:val="auto"/>
              </w:rPr>
            </w:pPr>
          </w:p>
        </w:tc>
        <w:tc>
          <w:tcPr>
            <w:tcW w:w="90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168910</wp:posOffset>
            </wp:positionV>
            <wp:extent cx="142176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85">
                      <a:extLst>
                        <a:ext uri="{28A0092B-C50C-407E-A947-70E740481C1C}"/>
                      </a:extLst>
                    </a:blip>
                    <a:srcRect/>
                    <a:stretch>
                      <a:fillRect/>
                    </a:stretch>
                  </pic:blipFill>
                  <pic:spPr bwMode="auto">
                    <a:xfrm>
                      <a:off x="0" y="0"/>
                      <a:ext cx="1421765" cy="7620"/>
                    </a:xfrm>
                    <a:prstGeom prst="rect">
                      <a:avLst/>
                    </a:prstGeom>
                    <a:noFill/>
                  </pic:spPr>
                </pic:pic>
              </a:graphicData>
            </a:graphic>
          </wp:anchor>
        </w:drawing>
      </w:r>
    </w:p>
    <w:p>
      <w:pPr>
        <w:spacing w:after="0" w:line="326" w:lineRule="exact"/>
        <w:rPr>
          <w:sz w:val="20"/>
          <w:szCs w:val="20"/>
          <w:color w:val="auto"/>
        </w:rPr>
      </w:pPr>
    </w:p>
    <w:p>
      <w:pPr>
        <w:ind w:left="340" w:right="99" w:hanging="298"/>
        <w:spacing w:after="0" w:line="257"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repurchased or redeemed the principal balance of our 2 3/8% Convertible Notes due 2024 as of March 15, 2024, the instrument’s maturity date.</w:t>
      </w:r>
    </w:p>
    <w:p>
      <w:pPr>
        <w:spacing w:after="0" w:line="1" w:lineRule="exact"/>
        <w:rPr>
          <w:rFonts w:ascii="Arial" w:cs="Arial" w:eastAsia="Arial" w:hAnsi="Arial"/>
          <w:sz w:val="16"/>
          <w:szCs w:val="16"/>
          <w:color w:val="auto"/>
        </w:rPr>
      </w:pPr>
    </w:p>
    <w:p>
      <w:pPr>
        <w:ind w:left="340" w:right="139" w:hanging="298"/>
        <w:spacing w:after="0" w:line="249"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repurchased or redeemed the principal balance of our 5 7/8% Senior Notes due 2024 as of November 15, 2024, the instrument’s maturity date.</w:t>
      </w:r>
    </w:p>
    <w:p>
      <w:pPr>
        <w:spacing w:after="0" w:line="1" w:lineRule="exact"/>
        <w:rPr>
          <w:rFonts w:ascii="Arial" w:cs="Arial" w:eastAsia="Arial" w:hAnsi="Arial"/>
          <w:sz w:val="16"/>
          <w:szCs w:val="16"/>
          <w:color w:val="auto"/>
        </w:rPr>
      </w:pPr>
    </w:p>
    <w:p>
      <w:pPr>
        <w:ind w:left="340" w:right="779" w:hanging="298"/>
        <w:spacing w:after="0" w:line="23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0% Convertible Notes due 2025 have been reclassified to “Current portion of debt, finance lease and other obligations” on our Consolidated Balance Sheets as of December 31, 2024</w:t>
      </w:r>
    </w:p>
    <w:p>
      <w:pPr>
        <w:spacing w:after="0" w:line="1" w:lineRule="exact"/>
        <w:rPr>
          <w:rFonts w:ascii="Arial" w:cs="Arial" w:eastAsia="Arial" w:hAnsi="Arial"/>
          <w:sz w:val="16"/>
          <w:szCs w:val="16"/>
          <w:color w:val="auto"/>
        </w:rPr>
      </w:pPr>
    </w:p>
    <w:p>
      <w:pPr>
        <w:ind w:left="340" w:hanging="298"/>
        <w:spacing w:after="0" w:line="23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See “EchoStar Exchange Offers” below for further information.</w:t>
      </w:r>
    </w:p>
    <w:p>
      <w:pPr>
        <w:ind w:left="340" w:hanging="298"/>
        <w:spacing w:after="0" w:line="23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See “New DISH DBS Financing” below for further information.</w:t>
      </w:r>
    </w:p>
    <w:p>
      <w:pPr>
        <w:jc w:val="both"/>
        <w:ind w:left="340" w:right="279" w:hanging="298"/>
        <w:spacing w:after="0" w:line="23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 portion of the principal balance of these instruments is classified as “Current portion of debt, finance lease and other obligations” due to payment terms upon which </w:t>
      </w:r>
      <w:r>
        <w:rPr>
          <w:rFonts w:ascii="Arial" w:cs="Arial" w:eastAsia="Arial" w:hAnsi="Arial"/>
          <w:sz w:val="16"/>
          <w:szCs w:val="16"/>
          <w:color w:val="222222"/>
        </w:rPr>
        <w:t>we may pay a portion of</w:t>
      </w:r>
      <w:r>
        <w:rPr>
          <w:rFonts w:ascii="Arial" w:cs="Arial" w:eastAsia="Arial" w:hAnsi="Arial"/>
          <w:sz w:val="16"/>
          <w:szCs w:val="16"/>
          <w:color w:val="auto"/>
        </w:rPr>
        <w:t xml:space="preserve"> principal balance based on estimated </w:t>
      </w:r>
      <w:r>
        <w:rPr>
          <w:rFonts w:ascii="Arial" w:cs="Arial" w:eastAsia="Arial" w:hAnsi="Arial"/>
          <w:sz w:val="16"/>
          <w:szCs w:val="16"/>
          <w:color w:val="222222"/>
        </w:rPr>
        <w:t>variable</w:t>
      </w:r>
      <w:r>
        <w:rPr>
          <w:rFonts w:ascii="Arial" w:cs="Arial" w:eastAsia="Arial" w:hAnsi="Arial"/>
          <w:sz w:val="16"/>
          <w:szCs w:val="16"/>
          <w:color w:val="auto"/>
        </w:rPr>
        <w:t xml:space="preserve"> </w:t>
      </w:r>
      <w:r>
        <w:rPr>
          <w:rFonts w:ascii="Arial" w:cs="Arial" w:eastAsia="Arial" w:hAnsi="Arial"/>
          <w:sz w:val="16"/>
          <w:szCs w:val="16"/>
          <w:color w:val="222222"/>
        </w:rPr>
        <w:t>cash flows for certain Pay-TV business metrics which could change significantly based on actual performance.</w:t>
      </w:r>
    </w:p>
    <w:p>
      <w:pPr>
        <w:spacing w:after="0" w:line="1" w:lineRule="exact"/>
        <w:rPr>
          <w:rFonts w:ascii="Arial" w:cs="Arial" w:eastAsia="Arial" w:hAnsi="Arial"/>
          <w:sz w:val="16"/>
          <w:szCs w:val="16"/>
          <w:color w:val="auto"/>
        </w:rPr>
      </w:pPr>
    </w:p>
    <w:p>
      <w:pPr>
        <w:ind w:left="340" w:hanging="298"/>
        <w:spacing w:after="0" w:line="23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Due to the June 30, 2029 mandatory redemption feature of this instrument, it is considered a debt instrument.</w:t>
      </w:r>
    </w:p>
    <w:p>
      <w:pPr>
        <w:ind w:left="340" w:hanging="298"/>
        <w:spacing w:after="0"/>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Disclosure regarding fair value of finance leases is not required.</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estimated the fair value of our publicly traded long-term debt using market prices in less active markets (Level 2).</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8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8" w:name="page169"/>
    <w:bookmarkEnd w:id="16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DISH DBS Exchange Offers</w:t>
      </w:r>
    </w:p>
    <w:p>
      <w:pPr>
        <w:spacing w:after="0" w:line="177" w:lineRule="exact"/>
        <w:rPr>
          <w:sz w:val="20"/>
          <w:szCs w:val="20"/>
          <w:color w:val="auto"/>
        </w:rPr>
      </w:pPr>
    </w:p>
    <w:p>
      <w:pPr>
        <w:ind w:left="40" w:right="59"/>
        <w:spacing w:after="0" w:line="239" w:lineRule="auto"/>
        <w:rPr>
          <w:sz w:val="20"/>
          <w:szCs w:val="20"/>
          <w:color w:val="auto"/>
        </w:rPr>
      </w:pPr>
      <w:r>
        <w:rPr>
          <w:rFonts w:ascii="Arial" w:cs="Arial" w:eastAsia="Arial" w:hAnsi="Arial"/>
          <w:sz w:val="16"/>
          <w:szCs w:val="16"/>
          <w:color w:val="auto"/>
        </w:rPr>
        <w:t>On September 30, 2024, we announced DISH DBS, our wholly-owned, indirect subsidiary, commenced offers to exchange (the “DISH DBS Exchange Offers”) any and all of its: (a) 5 1/4% Senior Secured Notes due 2026 (the “Outstanding 2026 DBS Secured Notes”) for an equal principal amount of its new 5 1/4% First Lien Notes due 2026 (the “New 2026 DBS First Lien Notes”), (b) 5 3/4% Senior Secured Notes due 2028 (the “Outstanding 2028 DBS Secured Notes”) for an equal principal amount of its new 5 3/4% First Lien Notes due 2028 (the “New 2028 DBS First Lien Notes”), (c) 7 3/4% Senior Notes due 2026 (the “Outstanding 2026 DBS Notes”) for an equal principal amount of its new 7 3/4% Second Lien Notes due 2026 (the “New 2026 DBS Second Lien Notes”), (d) 7 3/8% Senior Notes due 2028 (the “Outstanding 2028 DBS Notes”) for an equal principal amount of its new 7 3/8% Second Lien Notes due 2028 (the “New 2028 DBS Second Lien Notes”) and (e) 5 1/8% Senior Notes due 2029 (the “Outstanding 2029 DBS Notes” and, together with the Outstanding 2026 DBS Secured Notes, the Outstanding 2028 DBS Secured Notes, the Outstanding 2026 DBS Notes and the Outstanding 2028 DBS Notes, the “Outstanding DBS Notes”) for an equal principal amount of its new 5 1/8% Second Lien Notes due 2029 (the “New 2029 DBS Second Lien Notes” and, together with the New 2026 DBS First Lien Notes, the New 2028 DBS First Lien Notes, the New 2026 DBS Second Lien Notes and the New 2028 DBS Second Lien Notes, the “New DBS Notes”), in each case, pursuant to the terms described in a confidential exchange offering memorandum and consent solicitation statement, dated September 30, 2024 (“Original Exchange Offering Memorandum”). On October 28, 2024, we announced DISH DBS, our wholly-owned, indirect subsidiary, amended certain terms of the DISH DBS Exchange Offers pursuant to the terms described in Supplement No. 1, dated October 28, 2024 (the “Supplement” and together with the Original Exchange Offering Memorandum, the “Exchange Offering Memorandum”). On November 12, 2024 (the “Exchange Offer Settlement Date”), the DISH DBS Exchange Offers expired and were terminated.</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222222"/>
        </w:rPr>
        <w:t>EchoStar Exchange Offers</w:t>
      </w:r>
    </w:p>
    <w:p>
      <w:pPr>
        <w:spacing w:after="0" w:line="177" w:lineRule="exact"/>
        <w:rPr>
          <w:sz w:val="20"/>
          <w:szCs w:val="20"/>
          <w:color w:val="auto"/>
        </w:rPr>
      </w:pPr>
    </w:p>
    <w:p>
      <w:pPr>
        <w:ind w:left="40" w:right="179"/>
        <w:spacing w:after="0" w:line="242" w:lineRule="auto"/>
        <w:rPr>
          <w:sz w:val="20"/>
          <w:szCs w:val="20"/>
          <w:color w:val="auto"/>
        </w:rPr>
      </w:pPr>
      <w:r>
        <w:rPr>
          <w:rFonts w:ascii="Arial" w:cs="Arial" w:eastAsia="Arial" w:hAnsi="Arial"/>
          <w:sz w:val="16"/>
          <w:szCs w:val="16"/>
          <w:color w:val="auto"/>
        </w:rPr>
        <w:t xml:space="preserve">On October 10, 2024, we </w:t>
      </w:r>
      <w:r>
        <w:rPr>
          <w:rFonts w:ascii="Arial" w:cs="Arial" w:eastAsia="Arial" w:hAnsi="Arial"/>
          <w:sz w:val="16"/>
          <w:szCs w:val="16"/>
          <w:color w:val="222222"/>
        </w:rPr>
        <w:t>commenced offers to exchange (the “EchoStar Exchange Offers”) the DISH Network’s 0%</w:t>
      </w:r>
      <w:r>
        <w:rPr>
          <w:rFonts w:ascii="Arial" w:cs="Arial" w:eastAsia="Arial" w:hAnsi="Arial"/>
          <w:sz w:val="16"/>
          <w:szCs w:val="16"/>
          <w:color w:val="auto"/>
        </w:rPr>
        <w:t xml:space="preserve"> </w:t>
      </w:r>
      <w:r>
        <w:rPr>
          <w:rFonts w:ascii="Arial" w:cs="Arial" w:eastAsia="Arial" w:hAnsi="Arial"/>
          <w:sz w:val="16"/>
          <w:szCs w:val="16"/>
          <w:color w:val="222222"/>
        </w:rPr>
        <w:t xml:space="preserve">Convertible Notes due 2025 (the “DISH Network 2025 Notes”) and 3 3/8% Convertible Notes due 2026 (the “DISH Network 2026 Notes” and, together with the DISH Network 2025 Notes, the “Existing DISH Convertible Notes”), with an aggregate principal amount of $4.866 billion for up to $ 2.381 billion aggregate principal amount of 6 3/4% Senior Secured Notes due 2030 (the "EchoStar Exchange Notes") and up to $ 1.950 billion aggregate principal amount of 3 7/8% Convertible Secured Notes due 2030 (the "EchoStar Convertible Notes" and together with the EchoStar Exchange Notes, the "EchoStar Notes") with an aggregate principal amount of $4.331 billion to be issued by us pursuant to the terms described in a prospectus and consent solicitation statement, dated </w:t>
      </w:r>
      <w:r>
        <w:rPr>
          <w:rFonts w:ascii="Arial" w:cs="Arial" w:eastAsia="Arial" w:hAnsi="Arial"/>
          <w:sz w:val="16"/>
          <w:szCs w:val="16"/>
          <w:color w:val="000000"/>
        </w:rPr>
        <w:t>October 10, 2024</w:t>
      </w:r>
      <w:r>
        <w:rPr>
          <w:rFonts w:ascii="Arial" w:cs="Arial" w:eastAsia="Arial" w:hAnsi="Arial"/>
          <w:sz w:val="16"/>
          <w:szCs w:val="16"/>
          <w:color w:val="222222"/>
        </w:rPr>
        <w:t xml:space="preserve"> as amended (the "Exchange Offer Prospectus").</w:t>
      </w:r>
    </w:p>
    <w:p>
      <w:pPr>
        <w:spacing w:after="0" w:line="174" w:lineRule="exact"/>
        <w:rPr>
          <w:sz w:val="20"/>
          <w:szCs w:val="20"/>
          <w:color w:val="auto"/>
        </w:rPr>
      </w:pPr>
    </w:p>
    <w:p>
      <w:pPr>
        <w:ind w:left="40" w:right="219"/>
        <w:spacing w:after="0" w:line="246" w:lineRule="auto"/>
        <w:rPr>
          <w:sz w:val="20"/>
          <w:szCs w:val="20"/>
          <w:color w:val="auto"/>
        </w:rPr>
      </w:pPr>
      <w:r>
        <w:rPr>
          <w:rFonts w:ascii="Arial" w:cs="Arial" w:eastAsia="Arial" w:hAnsi="Arial"/>
          <w:sz w:val="16"/>
          <w:szCs w:val="16"/>
          <w:color w:val="222222"/>
        </w:rPr>
        <w:t>On November 8, 2024, upon the expiration of the EchoStar Exchange Offers, $1.819 billion aggregate principal amount, or approximately 92.9%, of the DISH Network 2025 Notes and $2.863 billion aggregate principal amount, or approximately 98.5%, of the DISH Network 2026 Notes, together $4.682 billion total aggregate principal amount of the Existing DISH Convertible Notes, had been validly tendered for exchange, with a carrying value of $4.674 billion, net of deferred financing costs.</w:t>
      </w:r>
    </w:p>
    <w:p>
      <w:pPr>
        <w:spacing w:after="0" w:line="146"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color w:val="222222"/>
        </w:rPr>
        <w:t xml:space="preserve">On November 12, 2024, all of the Existing DISH Convertible Notes validly tendered were exchanged for $2.288 billion aggregate principal amount of EchoStar Exchange Notes and $1.876 billion aggregate principal amount of EchoStar Convertible Notes, together $4.164 billion total aggregate principal amount of the EchoStar Notes, </w:t>
      </w:r>
      <w:r>
        <w:rPr>
          <w:rFonts w:ascii="Arial" w:cs="Arial" w:eastAsia="Arial" w:hAnsi="Arial"/>
          <w:sz w:val="16"/>
          <w:szCs w:val="16"/>
          <w:color w:val="000000"/>
        </w:rPr>
        <w:t>with a fair value of $3.986</w:t>
      </w:r>
      <w:r>
        <w:rPr>
          <w:rFonts w:ascii="Arial" w:cs="Arial" w:eastAsia="Arial" w:hAnsi="Arial"/>
          <w:sz w:val="16"/>
          <w:szCs w:val="16"/>
          <w:color w:val="222222"/>
        </w:rPr>
        <w:t xml:space="preserve"> </w:t>
      </w:r>
      <w:r>
        <w:rPr>
          <w:rFonts w:ascii="Arial" w:cs="Arial" w:eastAsia="Arial" w:hAnsi="Arial"/>
          <w:sz w:val="16"/>
          <w:szCs w:val="16"/>
          <w:color w:val="000000"/>
        </w:rPr>
        <w:t>billion</w:t>
      </w:r>
      <w:r>
        <w:rPr>
          <w:rFonts w:ascii="Arial" w:cs="Arial" w:eastAsia="Arial" w:hAnsi="Arial"/>
          <w:sz w:val="16"/>
          <w:szCs w:val="16"/>
          <w:color w:val="222222"/>
        </w:rPr>
        <w: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87">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69" w:name="page170"/>
    <w:bookmarkEnd w:id="16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239"/>
        <w:spacing w:after="0" w:line="244" w:lineRule="auto"/>
        <w:rPr>
          <w:sz w:val="20"/>
          <w:szCs w:val="20"/>
          <w:color w:val="auto"/>
        </w:rPr>
      </w:pPr>
      <w:r>
        <w:rPr>
          <w:rFonts w:ascii="Arial" w:cs="Arial" w:eastAsia="Arial" w:hAnsi="Arial"/>
          <w:sz w:val="16"/>
          <w:szCs w:val="16"/>
          <w:color w:val="auto"/>
        </w:rPr>
        <w:t>We determined that the EchoStar Exchange Offers were debt extinguishments, which resulted in a non-cash gain on debt extinguishment of $689 million, which was recorded in “Other, net” within “Other Income (Expense)” on our Consolidated Statements of Operations and Comprehensive Income (Loss) for the year ended December 31, 2024. As a result, we recorded the EchoStar Notes at their fair values, initially recognizing a net $178 million discount, which is reflected as a reduction to the aggregate principal amounts and will be amortized to “Interest expense, net of amounts capitalized” on our Consolidated Statements of Operations and Comprehensive Income (Loss) over the term of the EchoStar Notes.</w:t>
      </w:r>
    </w:p>
    <w:p>
      <w:pPr>
        <w:spacing w:after="0" w:line="148" w:lineRule="exact"/>
        <w:rPr>
          <w:sz w:val="20"/>
          <w:szCs w:val="20"/>
          <w:color w:val="auto"/>
        </w:rPr>
      </w:pPr>
    </w:p>
    <w:p>
      <w:pPr>
        <w:ind w:left="40" w:right="419"/>
        <w:spacing w:after="0" w:line="275" w:lineRule="auto"/>
        <w:rPr>
          <w:sz w:val="20"/>
          <w:szCs w:val="20"/>
          <w:color w:val="auto"/>
        </w:rPr>
      </w:pPr>
      <w:r>
        <w:rPr>
          <w:rFonts w:ascii="Arial" w:cs="Arial" w:eastAsia="Arial" w:hAnsi="Arial"/>
          <w:sz w:val="16"/>
          <w:szCs w:val="16"/>
          <w:color w:val="222222"/>
        </w:rPr>
        <w:t>A total of $138 million aggregate principal amount of DISH Network 2025 Notes and $45 million aggregate principal amount of DISH Network 2026 Notes remain outstanding following the consummation of the EchoStar Exchange Offers.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222222"/>
        </w:rPr>
        <w:t>New DISH DBS Financing</w:t>
      </w:r>
    </w:p>
    <w:p>
      <w:pPr>
        <w:spacing w:after="0" w:line="177" w:lineRule="exact"/>
        <w:rPr>
          <w:sz w:val="20"/>
          <w:szCs w:val="20"/>
          <w:color w:val="auto"/>
        </w:rPr>
      </w:pPr>
    </w:p>
    <w:p>
      <w:pPr>
        <w:ind w:left="40" w:right="199"/>
        <w:spacing w:after="0" w:line="241" w:lineRule="auto"/>
        <w:rPr>
          <w:sz w:val="20"/>
          <w:szCs w:val="20"/>
          <w:color w:val="auto"/>
        </w:rPr>
      </w:pPr>
      <w:r>
        <w:rPr>
          <w:rFonts w:ascii="Arial" w:cs="Arial" w:eastAsia="Arial" w:hAnsi="Arial"/>
          <w:sz w:val="16"/>
          <w:szCs w:val="16"/>
          <w:color w:val="auto"/>
        </w:rPr>
        <w:t xml:space="preserve">On September 29, 2024 (the “Financing Closing Date”), we and our subsidiary, DBS SubscriberCo, received $2.5 billion in financing from TPG Angelo Gordon and other co-lenders in the form of Term Loans and Mandatorily Redeemable Preferred Shares (each as defined below and together, the </w:t>
      </w:r>
      <w:r>
        <w:rPr>
          <w:rFonts w:ascii="Arial" w:cs="Arial" w:eastAsia="Arial" w:hAnsi="Arial"/>
          <w:sz w:val="16"/>
          <w:szCs w:val="16"/>
          <w:color w:val="222222"/>
        </w:rPr>
        <w:t>“New DISH DBS Financing”). Approximately</w:t>
      </w:r>
      <w:r>
        <w:rPr>
          <w:rFonts w:ascii="Arial" w:cs="Arial" w:eastAsia="Arial" w:hAnsi="Arial"/>
          <w:sz w:val="16"/>
          <w:szCs w:val="16"/>
          <w:color w:val="auto"/>
        </w:rPr>
        <w:t xml:space="preserve"> $2.047 billion in proceeds received from the New DISH DBS Financing were used for the redemption of the principal balance and remaining interest outstanding on our 5 7/8% Senior Notes due November 15, 2024. Solely in the case that the DIRECTV Transaction is not consummated on or prior to the Outside Date (as defined in the Purchase Agreement as in effect on the Financing Closing Date and as it may be extended in accordance with the terms of the Purchase Agreement as in effect on the Financing Closing Date) and until the date that is 180 days after such Outside Date, DBS SubscriberCo may prepay the outstanding New DISH DBS Financing in whole, together with accrued interest to the date of such prepayment, without premium or penalty.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Term Loans</w:t>
      </w:r>
    </w:p>
    <w:p>
      <w:pPr>
        <w:spacing w:after="0" w:line="177" w:lineRule="exact"/>
        <w:rPr>
          <w:sz w:val="20"/>
          <w:szCs w:val="20"/>
          <w:color w:val="auto"/>
        </w:rPr>
      </w:pPr>
    </w:p>
    <w:p>
      <w:pPr>
        <w:ind w:left="40" w:right="139"/>
        <w:spacing w:after="0"/>
        <w:rPr>
          <w:sz w:val="20"/>
          <w:szCs w:val="20"/>
          <w:color w:val="auto"/>
        </w:rPr>
      </w:pPr>
      <w:r>
        <w:rPr>
          <w:rFonts w:ascii="Arial" w:cs="Arial" w:eastAsia="Arial" w:hAnsi="Arial"/>
          <w:sz w:val="16"/>
          <w:szCs w:val="16"/>
          <w:color w:val="auto"/>
        </w:rPr>
        <w:t>On the Financing Closing Date, DBS SubscriberCo, Alter Domus (US) LLC, as Administrative Agent, and the lenders party thereto, entered into a Loan and Security Agreement (together with all the exhibits, annexes and schedules thereto, the “Loan and Security Agreement”), pursuant to which, among other things and subject to the terms and conditions set forth therein, the lenders agreed to extend credit to DBS SubscriberCo in an aggregate principal amount of up to $2.3 billion secured by the assets of DBS SubscriberCo, which includes approximately three million DISH TV subscribers and their related subscription and equipment agreements (such transactions, the “Loan Financing”). The Loan Financing consists of the following: (i) initial term loans in an aggregate principal amount of $1.8 billion that mature on June 30, 2029 (the “Term Loan due 2029”), (ii) incremental term loans in an aggregate principal amount of $ 500 million that are payable in equal monthly installments which began in January 2025 and mature on September 30, 2025 (the “Term Loan due 2025”) and (iii) an additional amount of incremental term loans (the “Roll-up Incremental Term Loans” and, together with the Term Loan due 2029 and the Term Loan due 2025, the “Term Loans”). The Roll-up Incremental Term Loans may be incurred from time to time, subject to DBS SubscriberCo’s prior approval and pro forma compliance with a leverage ratio set forth in the Loan and Security Agreement, and mature on June 30, 2029.</w:t>
      </w:r>
    </w:p>
    <w:p>
      <w:pPr>
        <w:spacing w:after="0" w:line="149" w:lineRule="exact"/>
        <w:rPr>
          <w:sz w:val="20"/>
          <w:szCs w:val="20"/>
          <w:color w:val="auto"/>
        </w:rPr>
      </w:pPr>
    </w:p>
    <w:p>
      <w:pPr>
        <w:ind w:left="40" w:right="99"/>
        <w:spacing w:after="0" w:line="244" w:lineRule="auto"/>
        <w:rPr>
          <w:sz w:val="20"/>
          <w:szCs w:val="20"/>
          <w:color w:val="auto"/>
        </w:rPr>
      </w:pPr>
      <w:r>
        <w:rPr>
          <w:rFonts w:ascii="Arial" w:cs="Arial" w:eastAsia="Arial" w:hAnsi="Arial"/>
          <w:sz w:val="16"/>
          <w:szCs w:val="16"/>
          <w:color w:val="auto"/>
        </w:rPr>
        <w:t>The Roll-up Incremental Term Loans may be incurred in exchange for Outstanding DBS Notes in an aggregate principal amount equal to: (i) the price at which certain lenders acquire such notes plus (ii)(A) in the case of Outstanding 2028 DBS Notes and Outstanding 2029 DBS Notes, 15% of the difference between the aggregate principal amount of such notes and the purchase price thereof, or (B) in the case of Outstanding 2026 DBS Notes, Outstanding 2026 DBS Secured Notes and Outstanding 2028 DBS Secured Notes, 20% of the difference between the aggregate principal amount of such notes and the purchase price thereof.</w:t>
      </w:r>
    </w:p>
    <w:p>
      <w:pPr>
        <w:spacing w:after="0" w:line="148"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color w:val="auto"/>
        </w:rPr>
        <w:t>Interest on the Term Loans accrues and is payable monthly, generally in cash. The interest rate with respect to the Term Loan due 2029 is: (i) from (and including) the Financing Closing Date and until (but excluding) the date that is twelve months thereafter, 10.75% per annum; and (ii) from (and including) the date that is twelve months after the Financing Closing Date and until June 30, 2029, 11.25% per annum.</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88">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0" w:name="page171"/>
    <w:bookmarkEnd w:id="17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right="159"/>
        <w:spacing w:after="0" w:line="249" w:lineRule="auto"/>
        <w:rPr>
          <w:sz w:val="20"/>
          <w:szCs w:val="20"/>
          <w:color w:val="auto"/>
        </w:rPr>
      </w:pPr>
      <w:r>
        <w:rPr>
          <w:rFonts w:ascii="Arial" w:cs="Arial" w:eastAsia="Arial" w:hAnsi="Arial"/>
          <w:sz w:val="16"/>
          <w:szCs w:val="16"/>
          <w:color w:val="auto"/>
        </w:rPr>
        <w:t>The interest rate with respect to the Term Loan due 2025 is 11.00% per annum. The interest rate with respect to the Roll-up Incremental Term Loans is: (i) from (and including) the Financing Closing Date and until (but excluding) the date that is twelve months thereafter, 11.00% per annum; and (ii) from (and including) the date that is twelve months after the Financing Closing Date and until the Maturity Date, 11.50% per annum.</w:t>
      </w:r>
    </w:p>
    <w:p>
      <w:pPr>
        <w:spacing w:after="0" w:line="144"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The Loan and Security Agreement specifies a priority of payments for funds received by DBS SubscriberCo from subscriber payments and certain other revenue. Specifically, on each Transfer Date, as defined in the Loan and Security Agreement, payments will be made, as applicable, to the Administrative Agent for certain administrative and other fees, to DBS SubscriberCo for reimbursement of certain operating costs, to a subsidiary of DISH Network as Manager under the Loan and Security Agreement and as Servicer for DBS SubscriberCo, and to an account used to collect and remit interest on the Term Loans, preferred distributions with respect to Preferred Membership interests (as defined below) and monthly principal payments on the Term Loan due 2025. After remitting those payments, through September 30, 2025, if DBS SubscriberCo is in compliance with the terms of the Loan and Security Agreement, it will have the ability to accumulate any excess collections, subject to the terms of the Loan and Security Agreement. At its election, any such excess collections can be distributed by DBS SubscriberCo to its parent via an intercompany loan. No later than September 30, 2025, all excess collections will be used to fund the payment of the Term Loans, the Mandatorily Redeemable Preferred Shares and the associated interest and preferred distributions. If DBS SubscriberCo is not in compliance with its covenants, the entity will lose the ability to accumulate any excess collections with those proceeds being utilized to satisfy the debt obligation and associated interest.</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Mandatorily Redeemable Preferred Shares Due 2029</w:t>
      </w:r>
    </w:p>
    <w:p>
      <w:pPr>
        <w:spacing w:after="0" w:line="177"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On the Financing Closing Date, DBS SubscriberCo, entered into an amended and restated limited liability company agreement (the “SubscriberCo LLCA”), pursuant to which, among other things, DBS SubscriberCo issued to certain investors (the “Preferred Members”) redeemable preferred equity interests (the “Preferred Membership Interests”) with an aggregate liquidation preference of $200 million (the “Mandatorily Redeemable Preferred Shares”). The Mandatorily Redeemable Preferred Shares mature on June 30, 2029. Due to the mandatory redemption feature of this instrument, it is considered a debt instrument and recorded in “Long-term debt, finance lease and other obligations, net of current portion” on our Consolidated Balance Sheets.</w:t>
      </w:r>
    </w:p>
    <w:p>
      <w:pPr>
        <w:spacing w:after="0" w:line="148" w:lineRule="exact"/>
        <w:rPr>
          <w:sz w:val="20"/>
          <w:szCs w:val="20"/>
          <w:color w:val="auto"/>
        </w:rPr>
      </w:pPr>
    </w:p>
    <w:p>
      <w:pPr>
        <w:ind w:left="40" w:right="59"/>
        <w:spacing w:after="0" w:line="246" w:lineRule="auto"/>
        <w:rPr>
          <w:sz w:val="20"/>
          <w:szCs w:val="20"/>
          <w:color w:val="auto"/>
        </w:rPr>
      </w:pPr>
      <w:r>
        <w:rPr>
          <w:rFonts w:ascii="Arial" w:cs="Arial" w:eastAsia="Arial" w:hAnsi="Arial"/>
          <w:sz w:val="16"/>
          <w:szCs w:val="16"/>
          <w:color w:val="auto"/>
        </w:rPr>
        <w:t>The Preferred Membership Interests have a preferential cumulative return that accumulates daily in arrears at a rate of: (a) from (and including) the Financing Closing Date and until (but excluding) the date that is 12 months thereafter, 13.25% per annum; and (b) from (and including) the date that is 12 months after the Financing Closing Date and until June 30, 2029 (or the first business day thereafter), 13.75% per annum, payable in cash monthly and a liquidation preference equal to the issue price plus all accrued and unpaid dividends.</w:t>
      </w:r>
    </w:p>
    <w:p>
      <w:pPr>
        <w:spacing w:after="0" w:line="146"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auto"/>
        </w:rPr>
        <w:t>The Preferred Membership Interests are redeemable at DBS SubscriberCo’s option prior to the June 30, 2029 maturity date at a premium as described in the SubscriberCo LLCA. Upon the maturity date, DBS SubscriberCo is required to redeem all of the Preferred Membership Interests issued and outstanding at such time, and upon payment in full of the aggregate liquidation preference, all rights of the Preferred Members will terminate. The Preferred Members also have certain governance and economic rights set forth in the SubscriberCo LLCA.</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222222"/>
        </w:rPr>
        <w:t>Senior Notes and Convertible Notes</w:t>
      </w:r>
    </w:p>
    <w:p>
      <w:pPr>
        <w:spacing w:after="0" w:line="177" w:lineRule="exact"/>
        <w:rPr>
          <w:sz w:val="20"/>
          <w:szCs w:val="20"/>
          <w:color w:val="auto"/>
        </w:rPr>
      </w:pPr>
    </w:p>
    <w:p>
      <w:pPr>
        <w:ind w:left="40" w:right="759"/>
        <w:spacing w:after="0" w:line="275" w:lineRule="auto"/>
        <w:rPr>
          <w:sz w:val="20"/>
          <w:szCs w:val="20"/>
          <w:color w:val="auto"/>
        </w:rPr>
      </w:pPr>
      <w:r>
        <w:rPr>
          <w:rFonts w:ascii="Arial" w:cs="Arial" w:eastAsia="Arial" w:hAnsi="Arial"/>
          <w:sz w:val="16"/>
          <w:szCs w:val="16"/>
          <w:color w:val="auto"/>
        </w:rPr>
        <w:t>The below summaries are not complete and are qualified in entirety by reference to the full and complete text of the applicable indentures.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89">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1" w:name="page172"/>
    <w:bookmarkEnd w:id="17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22222"/>
        </w:rPr>
        <w:t>EchoStar Senior Secured Notes and Convertible Secured Notes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EchoStar Senior Secured Notes and Convertible Secured Notes are:</w:t>
      </w:r>
    </w:p>
    <w:p>
      <w:pPr>
        <w:spacing w:after="0" w:line="179" w:lineRule="exact"/>
        <w:rPr>
          <w:sz w:val="20"/>
          <w:szCs w:val="20"/>
          <w:color w:val="auto"/>
        </w:rPr>
      </w:pPr>
    </w:p>
    <w:p>
      <w:pPr>
        <w:ind w:left="640" w:right="299" w:hanging="284"/>
        <w:spacing w:after="0" w:line="246" w:lineRule="auto"/>
        <w:tabs>
          <w:tab w:leader="none" w:pos="64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senior unsecured obligations of EchoStar and guaranteed by the Spectrum Assets Guarantors (as defined below) and the Equity Pledge Guarantors (as defined below) on a senior secured basis;</w:t>
      </w:r>
    </w:p>
    <w:p>
      <w:pPr>
        <w:spacing w:after="0" w:line="1" w:lineRule="exact"/>
        <w:rPr>
          <w:rFonts w:ascii="Times New Roman" w:cs="Times New Roman" w:eastAsia="Times New Roman" w:hAnsi="Times New Roman"/>
          <w:sz w:val="16"/>
          <w:szCs w:val="16"/>
          <w:color w:val="auto"/>
        </w:rPr>
      </w:pPr>
    </w:p>
    <w:p>
      <w:pPr>
        <w:ind w:left="640" w:right="99" w:hanging="284"/>
        <w:spacing w:after="0" w:line="236" w:lineRule="auto"/>
        <w:tabs>
          <w:tab w:leader="none" w:pos="64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secured equally and ratably with certain other secured indebtedness on a first-priority basis, subject to permitted liens, certain exceptions, and the first lien intercreditor agreement, by: (i) a lien on all licenses, authorizations and permits issued from time to time by the FCC for use of the AWS-3 Spectrum and for the use of the AWS-4 Spectrum (the “Spectrum Assets”) held by certain of our subsidiaries that hold any Spectrum Assets (each, a “Spectrum Assets Guarantor”); (ii) the proceeds of any Spectrum Assets sale; (iii) the Spectrum Assets can be substituted for other wireless licenses (valued by third-party) of similar value; and (iv) a lien on the equity interests held by an entity that directly owns any equity interests in any Spectrum Assets Guarantor (each, a “Equity Pledge Guarantor”);</w:t>
      </w:r>
    </w:p>
    <w:p>
      <w:pPr>
        <w:spacing w:after="0" w:line="3" w:lineRule="exact"/>
        <w:rPr>
          <w:rFonts w:ascii="Times New Roman" w:cs="Times New Roman" w:eastAsia="Times New Roman" w:hAnsi="Times New Roman"/>
          <w:sz w:val="16"/>
          <w:szCs w:val="16"/>
          <w:color w:val="auto"/>
        </w:rPr>
      </w:pPr>
    </w:p>
    <w:p>
      <w:pPr>
        <w:ind w:left="640" w:right="179" w:hanging="284"/>
        <w:spacing w:after="0" w:line="236" w:lineRule="auto"/>
        <w:tabs>
          <w:tab w:leader="none" w:pos="64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ranked equally in right of payment, without giving effect to collateral arrangements, with all of our and the Spectrum Assets Guarantors’ or Equity Pledge Guarantors’ existing and future senior indebtedness;</w:t>
      </w:r>
    </w:p>
    <w:p>
      <w:pPr>
        <w:ind w:left="640" w:right="119" w:hanging="284"/>
        <w:spacing w:after="0" w:line="241" w:lineRule="auto"/>
        <w:tabs>
          <w:tab w:leader="none" w:pos="64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ranked senior in right of payment to any of our and the Spectrum Assets Guarantors or Equity Pledge Guarantors’ subordinated existing and future indebtedness and effectively senior to any of the Spectrum Assets Guarantors or Equity Pledge Guarantors unsecured indebtedness and indebtedness secured by junior liens on the collateral to the extent of the value of the collateral and effectively junior to all the existing and future obligations of any of our subsidiaries that are not Spectrum Assets Guarantors or Equity Pledge Guarantors.</w:t>
      </w:r>
    </w:p>
    <w:p>
      <w:pPr>
        <w:spacing w:after="0" w:line="149" w:lineRule="exact"/>
        <w:rPr>
          <w:sz w:val="20"/>
          <w:szCs w:val="20"/>
          <w:color w:val="auto"/>
        </w:rPr>
      </w:pPr>
    </w:p>
    <w:p>
      <w:pPr>
        <w:jc w:val="both"/>
        <w:ind w:left="40" w:right="219"/>
        <w:spacing w:after="0" w:line="256" w:lineRule="auto"/>
        <w:rPr>
          <w:sz w:val="20"/>
          <w:szCs w:val="20"/>
          <w:color w:val="auto"/>
        </w:rPr>
      </w:pPr>
      <w:r>
        <w:rPr>
          <w:rFonts w:ascii="Arial" w:cs="Arial" w:eastAsia="Arial" w:hAnsi="Arial"/>
          <w:sz w:val="16"/>
          <w:szCs w:val="16"/>
          <w:color w:val="auto"/>
        </w:rPr>
        <w:t>The indentures related to our EchoStar Senior Secured Notes and Convertible Secured Notes contain restrictive covenants that, among other things, impose limitations on the ability of EchoStar and the Spectrum Assets Guarantors and the Equity Pledge Guarantors to:</w:t>
      </w:r>
    </w:p>
    <w:p>
      <w:pPr>
        <w:spacing w:after="0" w:line="137" w:lineRule="exact"/>
        <w:rPr>
          <w:sz w:val="20"/>
          <w:szCs w:val="20"/>
          <w:color w:val="auto"/>
        </w:rPr>
      </w:pPr>
    </w:p>
    <w:p>
      <w:pPr>
        <w:ind w:left="640" w:hanging="284"/>
        <w:spacing w:after="0"/>
        <w:tabs>
          <w:tab w:leader="none" w:pos="64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incur or guarantee additional debt;</w:t>
      </w:r>
    </w:p>
    <w:p>
      <w:pPr>
        <w:spacing w:after="0" w:line="24"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make certain investments and other restricted payments;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create liens;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enter into transactions with affiliates;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merge or consolidate with another company;</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transfer or sell assets;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allow to exist certain restrictions on paying dividends or other payments; and</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guarantor engagement in new activities.</w:t>
      </w:r>
    </w:p>
    <w:p>
      <w:pPr>
        <w:spacing w:after="0" w:line="174"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Pursuant to the related indenture, we were required to appoint independent appraisers to determine the aggregate Appraised Value (as defined in the related indenture) of the Spectrum Assets within 60 days following the issue date of the EchoStar Senior Secured Notes and Convertible Secured Notes. Based on the independent appraisals and in accordance with the definition of “Appraised Value” in the related indenture, the Initial Appraisal (as defined in the related indenture) was determined to be $ 33.1 billion, with a LTV Ratio (as defined in the related indenture) of approximately 0.3 to 1.00. We will also be required to obtain a forfeiture appraisal of the Spectrum Assets (the “Spectrum Assets Forfeiture Appraisal”) within 60 days of the forfeiture date if wireless spectrum licenses that form part of the Spectrum Assets accounting for more than 10% of the aggregate MHz-POPs of all such licenses constituting the Spectrum Assets are forfeited to the FCC as a result of our failure to meet its buildout milestones with respect to such forfeited licenses.</w:t>
      </w:r>
    </w:p>
    <w:p>
      <w:pPr>
        <w:spacing w:after="0" w:line="152"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color w:val="auto"/>
        </w:rPr>
        <w:t>If the loan-to-value ratio with respect to the Spectrum Assets as of the date of the Spectrum Assets Forfeiture Appraisal is greater than 0.375 to 1.00, then within 60 days following the date of the delivery of the Spectrum Assets Forfeiture Appraisal, we will be required to add additional Spectrum Assets Guarantors and/or pledge (or cause to be pledged) cash or additional wireless spectrum licenses as Spectrum Assets to comply with the required loan-to-value ratio of 0.375 to 1.00.</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0">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2" w:name="page173"/>
    <w:bookmarkEnd w:id="17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159"/>
        <w:spacing w:after="0" w:line="244" w:lineRule="auto"/>
        <w:rPr>
          <w:sz w:val="20"/>
          <w:szCs w:val="20"/>
          <w:color w:val="auto"/>
        </w:rPr>
      </w:pPr>
      <w:r>
        <w:rPr>
          <w:rFonts w:ascii="Arial" w:cs="Arial" w:eastAsia="Arial" w:hAnsi="Arial"/>
          <w:sz w:val="16"/>
          <w:szCs w:val="16"/>
          <w:i w:val="1"/>
          <w:iCs w:val="1"/>
          <w:color w:val="auto"/>
        </w:rPr>
        <w:t xml:space="preserve">EchoStar Senior Secured Notes Special Partial Mandatory Redemption. </w:t>
      </w:r>
      <w:r>
        <w:rPr>
          <w:rFonts w:ascii="Arial" w:cs="Arial" w:eastAsia="Arial" w:hAnsi="Arial"/>
          <w:sz w:val="16"/>
          <w:szCs w:val="16"/>
          <w:color w:val="auto"/>
        </w:rPr>
        <w:t>If we fail to deliver the Spectrum Assets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Appraisal within 60 days following the date of forfeiture or we fail to add such additional Spectrum Assets Guarantors and/or pledge (or cause to be pledged) cash or additional wireless spectrum licenses as Spectrum Assets, we will be required to redeem the EchoStar Senior Secured Notes such that immediately after giving effect to such redemption, the loan-to-value ratio shall not be greater than 0.375 to 1.00 at a redemption price equal to 102% of their principal amount, plus accrued and unpaid interest to, but excluding, the redemption date.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10 3/4% Senior Secured Notes due 2029</w:t>
      </w:r>
    </w:p>
    <w:p>
      <w:pPr>
        <w:spacing w:after="0" w:line="177" w:lineRule="exact"/>
        <w:rPr>
          <w:sz w:val="20"/>
          <w:szCs w:val="20"/>
          <w:color w:val="auto"/>
        </w:rPr>
      </w:pPr>
    </w:p>
    <w:p>
      <w:pPr>
        <w:ind w:left="40" w:right="459"/>
        <w:spacing w:after="0" w:line="256" w:lineRule="auto"/>
        <w:rPr>
          <w:sz w:val="20"/>
          <w:szCs w:val="20"/>
          <w:color w:val="auto"/>
        </w:rPr>
      </w:pPr>
      <w:r>
        <w:rPr>
          <w:rFonts w:ascii="Arial" w:cs="Arial" w:eastAsia="Arial" w:hAnsi="Arial"/>
          <w:sz w:val="16"/>
          <w:szCs w:val="16"/>
          <w:color w:val="auto"/>
        </w:rPr>
        <w:t>On November 12, 2024, we issued $5.356 billion aggregate principal amount of our 10 3/4% Senior Secured Notes due November 30, 2029. Interest accrues at an annual rate of 10 3/4% and is payable semi-annually in cash, in arrears on May 30 and November 30 of each year, commencing on May 30, 2025.</w:t>
      </w:r>
    </w:p>
    <w:p>
      <w:pPr>
        <w:spacing w:after="0" w:line="137" w:lineRule="exact"/>
        <w:rPr>
          <w:sz w:val="20"/>
          <w:szCs w:val="20"/>
          <w:color w:val="auto"/>
        </w:rPr>
      </w:pPr>
    </w:p>
    <w:p>
      <w:pPr>
        <w:ind w:left="40" w:right="59"/>
        <w:spacing w:after="0" w:line="246" w:lineRule="auto"/>
        <w:rPr>
          <w:sz w:val="20"/>
          <w:szCs w:val="20"/>
          <w:color w:val="auto"/>
        </w:rPr>
      </w:pPr>
      <w:r>
        <w:rPr>
          <w:rFonts w:ascii="Arial" w:cs="Arial" w:eastAsia="Arial" w:hAnsi="Arial"/>
          <w:sz w:val="16"/>
          <w:szCs w:val="16"/>
          <w:color w:val="auto"/>
        </w:rPr>
        <w:t>The 10 3/4% Senior Secured Notes due 2029 are redeemable, in whole or in part, at any time prior to November 30, 2026 at a redemption price equal to 100% of the principal amount plus the Applicable Premium, as defined in the related indenture, together with accrued and unpaid interest, if any, to the redemption date. At any time on or after November 30, 2026, we may redeem the 10 3/4% Senior Secured Notes due 2029 at various redemption prices detailed in the related indenture, together with accrued and unpaid interest, if any, to the redemption date.</w:t>
      </w:r>
    </w:p>
    <w:p>
      <w:pPr>
        <w:spacing w:after="0" w:line="146" w:lineRule="exact"/>
        <w:rPr>
          <w:sz w:val="20"/>
          <w:szCs w:val="20"/>
          <w:color w:val="auto"/>
        </w:rPr>
      </w:pPr>
    </w:p>
    <w:p>
      <w:pPr>
        <w:ind w:left="40" w:right="139"/>
        <w:spacing w:after="0" w:line="256" w:lineRule="auto"/>
        <w:rPr>
          <w:sz w:val="20"/>
          <w:szCs w:val="20"/>
          <w:color w:val="auto"/>
        </w:rPr>
      </w:pPr>
      <w:r>
        <w:rPr>
          <w:rFonts w:ascii="Arial" w:cs="Arial" w:eastAsia="Arial" w:hAnsi="Arial"/>
          <w:sz w:val="16"/>
          <w:szCs w:val="16"/>
          <w:color w:val="auto"/>
        </w:rPr>
        <w:t>In the event of a change of control, as defined in the related indenture, we would be required to make an offer to repurchase all or any part of a holder’s 10 3/4% Senior Secured Notes due 2029 at a purchase price equal to 101% of the aggregate principal amount thereof, together with accrued and unpaid interest thereon, to the date of repurchase.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3 7/8% Convertible Secured Notes due 2030</w:t>
      </w:r>
    </w:p>
    <w:p>
      <w:pPr>
        <w:spacing w:after="0" w:line="177" w:lineRule="exact"/>
        <w:rPr>
          <w:sz w:val="20"/>
          <w:szCs w:val="20"/>
          <w:color w:val="auto"/>
        </w:rPr>
      </w:pPr>
    </w:p>
    <w:p>
      <w:pPr>
        <w:ind w:left="40" w:right="59"/>
        <w:spacing w:after="0" w:line="243" w:lineRule="auto"/>
        <w:rPr>
          <w:sz w:val="20"/>
          <w:szCs w:val="20"/>
          <w:color w:val="auto"/>
        </w:rPr>
      </w:pPr>
      <w:r>
        <w:rPr>
          <w:rFonts w:ascii="Arial" w:cs="Arial" w:eastAsia="Arial" w:hAnsi="Arial"/>
          <w:sz w:val="16"/>
          <w:szCs w:val="16"/>
          <w:color w:val="auto"/>
        </w:rPr>
        <w:t>On November 12, 2024, we issued $1.906 billion aggregate principal amount of our 3 7/8% Convertible Secured Notes due November 30, 2030. Interest accrues at an annual rate of 3 7/8% and is payable semi-annually in arrears on May 30 and November 30 of each year, commencing on May 30, 2025. Interest payments are, at our option, payable in cash or in kind for the first four interest payment periods; provided that no payment in kind interest may be paid for any interest period if the payment of interest on the Convertible Notes due 2030 or certain other indebtedness during such period is made in cash, and paid in cash thereafter. Interest payments from and including the fifth interest payment period (which will be payable on May 30, 2027) and thereafter must be paid in cash.</w:t>
      </w:r>
    </w:p>
    <w:p>
      <w:pPr>
        <w:spacing w:after="0" w:line="148"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6"/>
          <w:szCs w:val="16"/>
          <w:color w:val="auto"/>
        </w:rPr>
        <w:t>We may not redeem the Convertible Notes due 2030 prior to November 30, 2027. The Convertible Notes due 2030 are redeemable, in whole or in part, at any time on or after November 30, 2027 at the redemption prices and subject to the conversion rights and other conditions specified in the related indenture.</w:t>
      </w:r>
    </w:p>
    <w:p>
      <w:pPr>
        <w:spacing w:after="0" w:line="137" w:lineRule="exact"/>
        <w:rPr>
          <w:sz w:val="20"/>
          <w:szCs w:val="20"/>
          <w:color w:val="auto"/>
        </w:rPr>
      </w:pPr>
    </w:p>
    <w:p>
      <w:pPr>
        <w:ind w:left="40" w:right="139"/>
        <w:spacing w:after="0" w:line="249" w:lineRule="auto"/>
        <w:rPr>
          <w:sz w:val="20"/>
          <w:szCs w:val="20"/>
          <w:color w:val="auto"/>
        </w:rPr>
      </w:pPr>
      <w:r>
        <w:rPr>
          <w:rFonts w:ascii="Arial" w:cs="Arial" w:eastAsia="Arial" w:hAnsi="Arial"/>
          <w:sz w:val="16"/>
          <w:szCs w:val="16"/>
          <w:color w:val="auto"/>
        </w:rPr>
        <w:t>If a “fundamental change” (as defined in the related indenture) occurs prior to the maturity date of the Convertible Notes due 2030, holders may require us to repurchase for cash all or part of their Convertible Notes due 2030 at a specified make-whole price equal to 100% of the principal amount of such Convertible Notes due 2030, plus accrued and unpaid interest to, but not including, the fundamental change repurchase date.</w:t>
      </w:r>
    </w:p>
    <w:p>
      <w:pPr>
        <w:spacing w:after="0" w:line="144"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color w:val="auto"/>
        </w:rPr>
        <w:t>Subject to the terms of the related indenture, the Convertible Notes due 2030 may be converted at an initial conversion rate of 29.73507 shares of our Class A common stock per $1,000 principal amount of Convertible Notes due 2030 (equivalent to an initial conversion price of approximately $33.63 per share of our Class A common stock) (the “Initial Conversion Rate”), at any time on or after May 30, 2030 through the second scheduled trading day preceding the maturity date. Holders of the Convertible Notes due 2030 will also have the right to convert the Convertible Notes due 2030 at the Initial Conversion Rate prior to May 30, 2030, but only upon the occurrence of specified events described in the related indenture.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91">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3" w:name="page174"/>
    <w:bookmarkEnd w:id="17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right="399"/>
        <w:spacing w:after="0" w:line="256" w:lineRule="auto"/>
        <w:rPr>
          <w:sz w:val="20"/>
          <w:szCs w:val="20"/>
          <w:color w:val="auto"/>
        </w:rPr>
      </w:pPr>
      <w:r>
        <w:rPr>
          <w:rFonts w:ascii="Arial" w:cs="Arial" w:eastAsia="Arial" w:hAnsi="Arial"/>
          <w:sz w:val="16"/>
          <w:szCs w:val="16"/>
          <w:color w:val="auto"/>
        </w:rPr>
        <w:t>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6 3/4% Senior Secured Notes due 2030</w:t>
      </w:r>
    </w:p>
    <w:p>
      <w:pPr>
        <w:spacing w:after="0" w:line="177" w:lineRule="exact"/>
        <w:rPr>
          <w:sz w:val="20"/>
          <w:szCs w:val="20"/>
          <w:color w:val="auto"/>
        </w:rPr>
      </w:pPr>
    </w:p>
    <w:p>
      <w:pPr>
        <w:ind w:left="40" w:right="59"/>
        <w:spacing w:after="0" w:line="246" w:lineRule="auto"/>
        <w:rPr>
          <w:sz w:val="20"/>
          <w:szCs w:val="20"/>
          <w:color w:val="auto"/>
        </w:rPr>
      </w:pPr>
      <w:r>
        <w:rPr>
          <w:rFonts w:ascii="Arial" w:cs="Arial" w:eastAsia="Arial" w:hAnsi="Arial"/>
          <w:sz w:val="16"/>
          <w:szCs w:val="16"/>
          <w:color w:val="auto"/>
        </w:rPr>
        <w:t>On November 12, 2024, we issued $2.288 billion aggregate principal amount of our 6 3/4% Senior Secured Notes due November 30, 2030. Interest accrues at an annual rate of 6 3/4% and is payable semi-annually in arrears on May 30 and November 30 of each year, commencing on May 30, 2025. Interest payments are, at our option, payable in cash or in kind for the first four interest payment periods. Interest payments from and including the fifth interest payment period (which will be payable on May 30, 2027) and thereafter must be paid in cash.</w:t>
      </w:r>
    </w:p>
    <w:p>
      <w:pPr>
        <w:spacing w:after="0" w:line="146" w:lineRule="exact"/>
        <w:rPr>
          <w:sz w:val="20"/>
          <w:szCs w:val="20"/>
          <w:color w:val="auto"/>
        </w:rPr>
      </w:pPr>
    </w:p>
    <w:p>
      <w:pPr>
        <w:ind w:left="40" w:right="59"/>
        <w:spacing w:after="0" w:line="246" w:lineRule="auto"/>
        <w:rPr>
          <w:sz w:val="20"/>
          <w:szCs w:val="20"/>
          <w:color w:val="auto"/>
        </w:rPr>
      </w:pPr>
      <w:r>
        <w:rPr>
          <w:rFonts w:ascii="Arial" w:cs="Arial" w:eastAsia="Arial" w:hAnsi="Arial"/>
          <w:sz w:val="16"/>
          <w:szCs w:val="16"/>
          <w:color w:val="auto"/>
        </w:rPr>
        <w:t>The 6 3/4% Senior Secured Notes due 2030 are redeemable, in whole or in part, at any time prior to November 30, 2026 at a redemption price equal to 100% of the principal amount plus the Applicable Premium, as defined in the related indenture, together with accrued and unpaid interest, if any, to the redemption date. At any time on or after November 30, 2026, we may redeem the 6 3/4% Senior Secured Notes due 2030 at various redemption prices detailed in the related indenture, together with accrued and unpaid interest, if any, to the redemption date.</w:t>
      </w:r>
    </w:p>
    <w:p>
      <w:pPr>
        <w:spacing w:after="0" w:line="146" w:lineRule="exact"/>
        <w:rPr>
          <w:sz w:val="20"/>
          <w:szCs w:val="20"/>
          <w:color w:val="auto"/>
        </w:rPr>
      </w:pPr>
    </w:p>
    <w:p>
      <w:pPr>
        <w:ind w:left="40" w:right="139"/>
        <w:spacing w:after="0" w:line="256" w:lineRule="auto"/>
        <w:rPr>
          <w:sz w:val="20"/>
          <w:szCs w:val="20"/>
          <w:color w:val="auto"/>
        </w:rPr>
      </w:pPr>
      <w:r>
        <w:rPr>
          <w:rFonts w:ascii="Arial" w:cs="Arial" w:eastAsia="Arial" w:hAnsi="Arial"/>
          <w:sz w:val="16"/>
          <w:szCs w:val="16"/>
          <w:color w:val="auto"/>
        </w:rPr>
        <w:t>In the event of a change of control, as defined in the related indenture, we would be required to make an offer to repurchase all or any part of a holder’s 6 3/4% Senior Secured Notes due 2030 at a purchase price equal to 101% of the aggregate principal amount thereof, together with accrued and unpaid interest thereon, to the date of repurchase.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DISH DBS Unsecured Senior Notes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Senior Notes are:</w:t>
      </w:r>
    </w:p>
    <w:p>
      <w:pPr>
        <w:spacing w:after="0" w:line="179" w:lineRule="exact"/>
        <w:rPr>
          <w:sz w:val="20"/>
          <w:szCs w:val="20"/>
          <w:color w:val="auto"/>
        </w:rPr>
      </w:pPr>
    </w:p>
    <w:p>
      <w:pPr>
        <w:ind w:left="640" w:hanging="284"/>
        <w:spacing w:after="0"/>
        <w:tabs>
          <w:tab w:leader="none" w:pos="64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general unsecured senior obligations of DISH DBS Corporation (“DISH DBS”);</w:t>
      </w:r>
    </w:p>
    <w:p>
      <w:pPr>
        <w:spacing w:after="0" w:line="24" w:lineRule="exact"/>
        <w:rPr>
          <w:rFonts w:ascii="Times New Roman" w:cs="Times New Roman" w:eastAsia="Times New Roman" w:hAnsi="Times New Roman"/>
          <w:sz w:val="16"/>
          <w:szCs w:val="16"/>
          <w:color w:val="auto"/>
        </w:rPr>
      </w:pPr>
    </w:p>
    <w:p>
      <w:pPr>
        <w:ind w:left="640" w:right="319" w:hanging="284"/>
        <w:spacing w:after="0" w:line="236" w:lineRule="auto"/>
        <w:tabs>
          <w:tab w:leader="none" w:pos="64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ranked equally in right of payment with all of DISH DBS’ and the guarantors’ existing and future unsecured senior debt; and</w:t>
      </w:r>
    </w:p>
    <w:p>
      <w:pPr>
        <w:ind w:left="640" w:right="79" w:hanging="284"/>
        <w:spacing w:after="0" w:line="254" w:lineRule="auto"/>
        <w:tabs>
          <w:tab w:leader="none" w:pos="64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ranked effectively junior to our and the guarantors’ current and future secured senior indebtedness up to the value of the collateral securing such indebtedness.</w:t>
      </w:r>
    </w:p>
    <w:p>
      <w:pPr>
        <w:spacing w:after="0" w:line="138" w:lineRule="exact"/>
        <w:rPr>
          <w:sz w:val="20"/>
          <w:szCs w:val="20"/>
          <w:color w:val="auto"/>
        </w:rPr>
      </w:pPr>
    </w:p>
    <w:p>
      <w:pPr>
        <w:ind w:left="40" w:right="199"/>
        <w:spacing w:after="0" w:line="275" w:lineRule="auto"/>
        <w:rPr>
          <w:sz w:val="20"/>
          <w:szCs w:val="20"/>
          <w:color w:val="auto"/>
        </w:rPr>
      </w:pPr>
      <w:r>
        <w:rPr>
          <w:rFonts w:ascii="Arial" w:cs="Arial" w:eastAsia="Arial" w:hAnsi="Arial"/>
          <w:sz w:val="16"/>
          <w:szCs w:val="16"/>
          <w:color w:val="auto"/>
        </w:rPr>
        <w:t>The indentures related to our Senior Notes contain restrictive covenants that, among other things, impose limitations on the ability of DISH DBS and its restricted subsidiaries to:</w:t>
      </w:r>
    </w:p>
    <w:p>
      <w:pPr>
        <w:spacing w:after="0" w:line="123" w:lineRule="exact"/>
        <w:rPr>
          <w:sz w:val="20"/>
          <w:szCs w:val="20"/>
          <w:color w:val="auto"/>
        </w:rPr>
      </w:pPr>
    </w:p>
    <w:p>
      <w:pPr>
        <w:ind w:left="640" w:hanging="284"/>
        <w:spacing w:after="0"/>
        <w:tabs>
          <w:tab w:leader="none" w:pos="64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incur additional debt;</w:t>
      </w:r>
    </w:p>
    <w:p>
      <w:pPr>
        <w:spacing w:after="0" w:line="24"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pay dividends or make distributions on DISH DBS’ capital stock or repurchase DISH DBS’ capital stock;</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make certain investments;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create liens or enter into sale and leaseback transactions;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enter into transactions with affiliates;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merge or consolidate with another company; and</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transfer or sell assets.</w:t>
      </w:r>
    </w:p>
    <w:p>
      <w:pPr>
        <w:spacing w:after="0" w:line="174" w:lineRule="exact"/>
        <w:rPr>
          <w:sz w:val="20"/>
          <w:szCs w:val="20"/>
          <w:color w:val="auto"/>
        </w:rPr>
      </w:pPr>
    </w:p>
    <w:p>
      <w:pPr>
        <w:ind w:left="40" w:right="59"/>
        <w:spacing w:after="0" w:line="256" w:lineRule="auto"/>
        <w:rPr>
          <w:sz w:val="20"/>
          <w:szCs w:val="20"/>
          <w:color w:val="auto"/>
        </w:rPr>
      </w:pPr>
      <w:r>
        <w:rPr>
          <w:rFonts w:ascii="Arial" w:cs="Arial" w:eastAsia="Arial" w:hAnsi="Arial"/>
          <w:sz w:val="16"/>
          <w:szCs w:val="16"/>
          <w:color w:val="auto"/>
        </w:rPr>
        <w:t>In the event of a change of control, as defined in the related indentures, we would be required to make an offer to repurchase all or any part of a holder’s Senior Notes at a purchase price equal to 101% of the aggregate principal amount thereof, together with accrued and unpaid interest thereon, to the date of repurchase.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2">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4" w:name="page175"/>
    <w:bookmarkEnd w:id="17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7 3/4% Senior Notes due 2026</w:t>
      </w:r>
    </w:p>
    <w:p>
      <w:pPr>
        <w:spacing w:after="0" w:line="177" w:lineRule="exact"/>
        <w:rPr>
          <w:sz w:val="20"/>
          <w:szCs w:val="20"/>
          <w:color w:val="auto"/>
        </w:rPr>
      </w:pPr>
    </w:p>
    <w:p>
      <w:pPr>
        <w:ind w:left="40" w:right="179"/>
        <w:spacing w:after="0" w:line="256" w:lineRule="auto"/>
        <w:rPr>
          <w:sz w:val="20"/>
          <w:szCs w:val="20"/>
          <w:color w:val="auto"/>
        </w:rPr>
      </w:pPr>
      <w:r>
        <w:rPr>
          <w:rFonts w:ascii="Arial" w:cs="Arial" w:eastAsia="Arial" w:hAnsi="Arial"/>
          <w:sz w:val="16"/>
          <w:szCs w:val="16"/>
          <w:color w:val="auto"/>
        </w:rPr>
        <w:t>On June 13, 2016, we issued $2.0 billion aggregate principal amount of our ten-year 7 3/4% Senior Notes due July 1, 2026. Interest accrues at an annual rate of 7 3/4% and is payable semi-annually in cash, in arrears on January 1 and July 1 of each year.</w:t>
      </w:r>
    </w:p>
    <w:p>
      <w:pPr>
        <w:spacing w:after="0" w:line="137" w:lineRule="exact"/>
        <w:rPr>
          <w:sz w:val="20"/>
          <w:szCs w:val="20"/>
          <w:color w:val="auto"/>
        </w:rPr>
      </w:pPr>
    </w:p>
    <w:p>
      <w:pPr>
        <w:jc w:val="both"/>
        <w:ind w:left="40" w:right="619"/>
        <w:spacing w:after="0" w:line="256" w:lineRule="auto"/>
        <w:rPr>
          <w:sz w:val="20"/>
          <w:szCs w:val="20"/>
          <w:color w:val="auto"/>
        </w:rPr>
      </w:pPr>
      <w:r>
        <w:rPr>
          <w:rFonts w:ascii="Arial" w:cs="Arial" w:eastAsia="Arial" w:hAnsi="Arial"/>
          <w:sz w:val="16"/>
          <w:szCs w:val="16"/>
          <w:color w:val="auto"/>
        </w:rPr>
        <w:t>The 7 3/4% Senior Notes are redeemable, in whole or in part, at any time at a redemption price equal to 100% of the principal amount plus a “make-whole” premium, as defined in the related indenture, together with accrued and unpaid interest.</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7 3/8% Senior Notes due 2028</w:t>
      </w:r>
    </w:p>
    <w:p>
      <w:pPr>
        <w:spacing w:after="0" w:line="177" w:lineRule="exact"/>
        <w:rPr>
          <w:sz w:val="20"/>
          <w:szCs w:val="20"/>
          <w:color w:val="auto"/>
        </w:rPr>
      </w:pPr>
    </w:p>
    <w:p>
      <w:pPr>
        <w:ind w:left="40" w:right="259"/>
        <w:spacing w:after="0" w:line="275" w:lineRule="auto"/>
        <w:rPr>
          <w:sz w:val="20"/>
          <w:szCs w:val="20"/>
          <w:color w:val="auto"/>
        </w:rPr>
      </w:pPr>
      <w:r>
        <w:rPr>
          <w:rFonts w:ascii="Arial" w:cs="Arial" w:eastAsia="Arial" w:hAnsi="Arial"/>
          <w:sz w:val="16"/>
          <w:szCs w:val="16"/>
          <w:color w:val="auto"/>
        </w:rPr>
        <w:t>On July 1, 2020, we issued $1.0 billion aggregate principal amount of our 7 3/8% Senior Notes due July 1, 2028. Interest accrues at an annual rate of 7 3/8% and is payable semi-annually in cash, in arrears on January 1 and July 1 of each year.</w:t>
      </w:r>
    </w:p>
    <w:p>
      <w:pPr>
        <w:spacing w:after="0" w:line="123" w:lineRule="exact"/>
        <w:rPr>
          <w:sz w:val="20"/>
          <w:szCs w:val="20"/>
          <w:color w:val="auto"/>
        </w:rPr>
      </w:pPr>
    </w:p>
    <w:p>
      <w:pPr>
        <w:ind w:left="40" w:right="299"/>
        <w:spacing w:after="0" w:line="275" w:lineRule="auto"/>
        <w:rPr>
          <w:sz w:val="20"/>
          <w:szCs w:val="20"/>
          <w:color w:val="auto"/>
        </w:rPr>
      </w:pPr>
      <w:r>
        <w:rPr>
          <w:rFonts w:ascii="Arial" w:cs="Arial" w:eastAsia="Arial" w:hAnsi="Arial"/>
          <w:sz w:val="16"/>
          <w:szCs w:val="16"/>
          <w:color w:val="auto"/>
        </w:rPr>
        <w:t>The 7 3/8% Senior Notes are redeemable, in whole or in part, at any time on or after July 1, 2023 at the redemption prices specified under the related indenture, together with accrued and unpaid interest.</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5 1/8% Senior Notes due 2029</w:t>
      </w:r>
    </w:p>
    <w:p>
      <w:pPr>
        <w:spacing w:after="0" w:line="177" w:lineRule="exact"/>
        <w:rPr>
          <w:sz w:val="20"/>
          <w:szCs w:val="20"/>
          <w:color w:val="auto"/>
        </w:rPr>
      </w:pPr>
    </w:p>
    <w:p>
      <w:pPr>
        <w:ind w:left="40" w:right="219"/>
        <w:spacing w:after="0" w:line="256" w:lineRule="auto"/>
        <w:rPr>
          <w:sz w:val="20"/>
          <w:szCs w:val="20"/>
          <w:color w:val="auto"/>
        </w:rPr>
      </w:pPr>
      <w:r>
        <w:rPr>
          <w:rFonts w:ascii="Arial" w:cs="Arial" w:eastAsia="Arial" w:hAnsi="Arial"/>
          <w:sz w:val="16"/>
          <w:szCs w:val="16"/>
          <w:color w:val="auto"/>
        </w:rPr>
        <w:t>On May 24, 2021, we issued $ 1.5 billion aggregate principal amount of our 5 1/8% Senior Notes due June 1, 2029. Interest accrues at an annual rate of 5 1/8% and is payable semi-annually in cash, in arrears on June 1 and December 1 of each year.</w:t>
      </w:r>
    </w:p>
    <w:p>
      <w:pPr>
        <w:spacing w:after="0" w:line="137" w:lineRule="exact"/>
        <w:rPr>
          <w:sz w:val="20"/>
          <w:szCs w:val="20"/>
          <w:color w:val="auto"/>
        </w:rPr>
      </w:pPr>
    </w:p>
    <w:p>
      <w:pPr>
        <w:jc w:val="both"/>
        <w:ind w:left="40" w:right="619"/>
        <w:spacing w:after="0" w:line="256" w:lineRule="auto"/>
        <w:rPr>
          <w:sz w:val="20"/>
          <w:szCs w:val="20"/>
          <w:color w:val="auto"/>
        </w:rPr>
      </w:pPr>
      <w:r>
        <w:rPr>
          <w:rFonts w:ascii="Arial" w:cs="Arial" w:eastAsia="Arial" w:hAnsi="Arial"/>
          <w:sz w:val="16"/>
          <w:szCs w:val="16"/>
          <w:color w:val="auto"/>
        </w:rPr>
        <w:t>The 5 1/8% Senior Notes are redeemable, in whole or in part, at any time at a redemption price equal to 100% of the principal amount plus a “make-whole” premium, as defined in the related indenture, together with accrued and unpaid interest.</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HSSC Unsecured Senior Notes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6 5/8% Unsecured Senior Notes due 2026</w:t>
      </w:r>
    </w:p>
    <w:p>
      <w:pPr>
        <w:spacing w:after="0" w:line="177"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On July 27, 2016, our subsidiary Hughes Satellite Systems Corporation (“HSSC”) issued $750 million aggregate principal amount of 6 5/8% Senior Unsecured Notes due August 1, 2026 (the “2026 Senior Unsecured Notes”). Interest on the 2026 Senior Unsecured Notes accrues at an annual rate of 6 5/8% and is payable semi-annually in cash, in arrears, on February 1 and August 1 of each year.</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Senior Notes due 2026 are:</w:t>
      </w:r>
    </w:p>
    <w:p>
      <w:pPr>
        <w:spacing w:after="0" w:line="179" w:lineRule="exact"/>
        <w:rPr>
          <w:sz w:val="20"/>
          <w:szCs w:val="20"/>
          <w:color w:val="auto"/>
        </w:rPr>
      </w:pPr>
    </w:p>
    <w:p>
      <w:pPr>
        <w:ind w:left="640" w:hanging="284"/>
        <w:spacing w:after="0"/>
        <w:tabs>
          <w:tab w:leader="none" w:pos="64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unsecured senior obligations of HSSC;</w:t>
      </w:r>
    </w:p>
    <w:p>
      <w:pPr>
        <w:spacing w:after="0" w:line="24" w:lineRule="exact"/>
        <w:rPr>
          <w:rFonts w:ascii="Times New Roman" w:cs="Times New Roman" w:eastAsia="Times New Roman" w:hAnsi="Times New Roman"/>
          <w:sz w:val="16"/>
          <w:szCs w:val="16"/>
          <w:color w:val="auto"/>
        </w:rPr>
      </w:pPr>
    </w:p>
    <w:p>
      <w:pPr>
        <w:ind w:left="640" w:right="639" w:hanging="284"/>
        <w:spacing w:after="0" w:line="236" w:lineRule="auto"/>
        <w:tabs>
          <w:tab w:leader="none" w:pos="64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ranked equally with all existing and future unsubordinated indebtedness and effectively junior to any secured indebtedness up to the value of the assets securing such indebtedness;</w:t>
      </w:r>
    </w:p>
    <w:p>
      <w:pPr>
        <w:ind w:left="640" w:right="419" w:hanging="284"/>
        <w:spacing w:after="0" w:line="236" w:lineRule="auto"/>
        <w:tabs>
          <w:tab w:leader="none" w:pos="64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effectively junior to HSSC’s obligations that are secured to the extent of the value of the collateral securing such obligations;</w:t>
      </w:r>
    </w:p>
    <w:p>
      <w:pPr>
        <w:ind w:left="640" w:right="179" w:hanging="284"/>
        <w:spacing w:after="0" w:line="236" w:lineRule="auto"/>
        <w:tabs>
          <w:tab w:leader="none" w:pos="64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senior in right of payment to all existing and future obligations of HSSC that are expressly subordinated to the 2026 Senior Unsecured Notes;</w:t>
      </w:r>
    </w:p>
    <w:p>
      <w:pPr>
        <w:ind w:left="640" w:right="79" w:hanging="284"/>
        <w:spacing w:after="0" w:line="236" w:lineRule="auto"/>
        <w:tabs>
          <w:tab w:leader="none" w:pos="64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structurally junior to any existing and future obligations of any of HSSC’s subsidiaries that do not guarantee the 2026 Senior Unsecured Notes; and</w:t>
      </w:r>
    </w:p>
    <w:p>
      <w:pPr>
        <w:ind w:left="640" w:right="419" w:hanging="284"/>
        <w:spacing w:after="0" w:line="242" w:lineRule="auto"/>
        <w:tabs>
          <w:tab w:leader="none" w:pos="64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unconditionally guaranteed, jointly and severally, on a general senior secured basis by certain of HSSC’s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3">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5" w:name="page176"/>
    <w:bookmarkEnd w:id="17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Subject to certain exceptions, the Indentures contain restrictive covenants that, among other things, impose limitations on</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HSSC’s ability and, in certain instances, the ability of certain of HSSC’s subsidiaries to:</w:t>
      </w:r>
    </w:p>
    <w:p>
      <w:pPr>
        <w:spacing w:after="0" w:line="163" w:lineRule="exact"/>
        <w:rPr>
          <w:sz w:val="20"/>
          <w:szCs w:val="20"/>
          <w:color w:val="auto"/>
        </w:rPr>
      </w:pPr>
    </w:p>
    <w:p>
      <w:pPr>
        <w:ind w:left="640" w:hanging="284"/>
        <w:spacing w:after="0"/>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incur additional debt;</w:t>
      </w:r>
    </w:p>
    <w:p>
      <w:pPr>
        <w:spacing w:after="0" w:line="24"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pay dividends or make distributions on HSSC’s or their capital stock or repurchase HSSC’s or their capital stock;</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make certain investments;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create liens or enter into sale and leaseback transactions;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enter into transactions with affiliates;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merge or consolidate with another company;</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transfer and sell assets; and</w:t>
      </w:r>
    </w:p>
    <w:p>
      <w:pPr>
        <w:spacing w:after="0" w:line="8" w:lineRule="exact"/>
        <w:rPr>
          <w:rFonts w:ascii="Times New Roman" w:cs="Times New Roman" w:eastAsia="Times New Roman" w:hAnsi="Times New Roman"/>
          <w:sz w:val="16"/>
          <w:szCs w:val="16"/>
          <w:color w:val="auto"/>
        </w:rPr>
      </w:pPr>
    </w:p>
    <w:p>
      <w:pPr>
        <w:ind w:left="640" w:right="179" w:hanging="284"/>
        <w:spacing w:after="0" w:line="254" w:lineRule="auto"/>
        <w:tabs>
          <w:tab w:leader="none" w:pos="64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allow to exist certain restrictions on its or their ability to pay dividends, make distributions, make other payments, or transfer assets.</w:t>
      </w:r>
    </w:p>
    <w:p>
      <w:pPr>
        <w:spacing w:after="0" w:line="138" w:lineRule="exact"/>
        <w:rPr>
          <w:sz w:val="20"/>
          <w:szCs w:val="20"/>
          <w:color w:val="auto"/>
        </w:rPr>
      </w:pPr>
    </w:p>
    <w:p>
      <w:pPr>
        <w:ind w:left="40" w:right="299"/>
        <w:spacing w:after="0" w:line="256" w:lineRule="auto"/>
        <w:rPr>
          <w:sz w:val="20"/>
          <w:szCs w:val="20"/>
          <w:color w:val="auto"/>
        </w:rPr>
      </w:pPr>
      <w:r>
        <w:rPr>
          <w:rFonts w:ascii="Arial" w:cs="Arial" w:eastAsia="Arial" w:hAnsi="Arial"/>
          <w:sz w:val="16"/>
          <w:szCs w:val="16"/>
          <w:color w:val="auto"/>
        </w:rPr>
        <w:t>In the event of a change of control, as defined in the respective indenture, we would be required to make an offer to repurchase all or any part of a holder’s 2026 Senior Unsecured Notes at a purchase price equal to 101% of the aggregate principal amount thereof, together with accrued and unpaid interest thereon, to the date of repurchase.</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222222"/>
        </w:rPr>
        <w:t>Existing DISH Convertible Notes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0% Convertible Notes due 2025</w:t>
      </w:r>
    </w:p>
    <w:p>
      <w:pPr>
        <w:spacing w:after="0" w:line="177"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color w:val="auto"/>
        </w:rPr>
        <w:t>On December 21, 2020, we issued $2.0 billion aggregate principal amount of the Convertible Notes due December 15, 2025 in a private placement. These notes were part of the EchoStar Exchange Offers (as defined above) and have a remaining aggregate principal amount outstanding of $138 million. These notes will not bear interest, and the principal amount of the Notes will not accrete.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Convertible Notes due 2025 are:</w:t>
      </w:r>
    </w:p>
    <w:p>
      <w:pPr>
        <w:spacing w:after="0" w:line="179" w:lineRule="exact"/>
        <w:rPr>
          <w:sz w:val="20"/>
          <w:szCs w:val="20"/>
          <w:color w:val="auto"/>
        </w:rPr>
      </w:pPr>
    </w:p>
    <w:p>
      <w:pPr>
        <w:ind w:left="640" w:hanging="284"/>
        <w:spacing w:after="0"/>
        <w:tabs>
          <w:tab w:leader="none" w:pos="6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our general unsecured obligations;</w:t>
      </w:r>
    </w:p>
    <w:p>
      <w:pPr>
        <w:spacing w:after="0" w:line="24" w:lineRule="exact"/>
        <w:rPr>
          <w:rFonts w:ascii="Times New Roman" w:cs="Times New Roman" w:eastAsia="Times New Roman" w:hAnsi="Times New Roman"/>
          <w:sz w:val="16"/>
          <w:szCs w:val="16"/>
          <w:color w:val="auto"/>
        </w:rPr>
      </w:pPr>
    </w:p>
    <w:p>
      <w:pPr>
        <w:ind w:left="640" w:right="79" w:hanging="284"/>
        <w:spacing w:after="0" w:line="236" w:lineRule="auto"/>
        <w:tabs>
          <w:tab w:leader="none" w:pos="6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ranked senior in right of payment to any future indebtedness that is expressly subordinated in right of payment to the Convertible Notes due 2025;</w:t>
      </w:r>
    </w:p>
    <w:p>
      <w:pPr>
        <w:ind w:left="640" w:hanging="284"/>
        <w:spacing w:after="0"/>
        <w:tabs>
          <w:tab w:leader="none" w:pos="6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6"/>
          <w:szCs w:val="16"/>
          <w:color w:val="auto"/>
        </w:rPr>
      </w:pPr>
    </w:p>
    <w:p>
      <w:pPr>
        <w:ind w:left="640" w:right="499" w:hanging="284"/>
        <w:spacing w:after="0" w:line="236" w:lineRule="auto"/>
        <w:tabs>
          <w:tab w:leader="none" w:pos="6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ranked effectively junior to any of our existing and future secured indebtedness to the extent of the value of the assets securing such indebtedness;</w:t>
      </w:r>
    </w:p>
    <w:p>
      <w:pPr>
        <w:ind w:left="640" w:hanging="284"/>
        <w:spacing w:after="0"/>
        <w:tabs>
          <w:tab w:leader="none" w:pos="6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not guaranteed by our subsidiaries.</w:t>
      </w:r>
    </w:p>
    <w:p>
      <w:pPr>
        <w:spacing w:after="0" w:line="174"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We may not redeem the Convertible Notes due 2025 prior to the maturity date. If a “fundamental change” (as defined in the related indenture) occurs prior to the maturity date of the Convertible Notes due 2025, holders may require us to repurchase for cash all or part of their Convertible Notes due 2025 at a repurchase price equal to 100% of the principal amount of such Convertible Notes due 2025, plus accrued and unpaid interest to, but not including, the fundamental change repurchase date.</w:t>
      </w:r>
    </w:p>
    <w:p>
      <w:pPr>
        <w:spacing w:after="0" w:line="146" w:lineRule="exact"/>
        <w:rPr>
          <w:sz w:val="20"/>
          <w:szCs w:val="20"/>
          <w:color w:val="auto"/>
        </w:rPr>
      </w:pPr>
    </w:p>
    <w:p>
      <w:pPr>
        <w:ind w:left="40" w:right="139"/>
        <w:spacing w:after="0" w:line="256" w:lineRule="auto"/>
        <w:rPr>
          <w:sz w:val="20"/>
          <w:szCs w:val="20"/>
          <w:color w:val="auto"/>
        </w:rPr>
      </w:pPr>
      <w:r>
        <w:rPr>
          <w:rFonts w:ascii="Arial" w:cs="Arial" w:eastAsia="Arial" w:hAnsi="Arial"/>
          <w:sz w:val="16"/>
          <w:szCs w:val="16"/>
          <w:color w:val="auto"/>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94">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6" w:name="page177"/>
    <w:bookmarkEnd w:id="17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159"/>
        <w:spacing w:after="0" w:line="241" w:lineRule="auto"/>
        <w:rPr>
          <w:sz w:val="20"/>
          <w:szCs w:val="20"/>
          <w:color w:val="auto"/>
        </w:rPr>
      </w:pPr>
      <w:r>
        <w:rPr>
          <w:rFonts w:ascii="Arial" w:cs="Arial" w:eastAsia="Arial" w:hAnsi="Arial"/>
          <w:sz w:val="16"/>
          <w:szCs w:val="16"/>
          <w:color w:val="auto"/>
        </w:rPr>
        <w:t>Subject to the terms of the related indenture, the Convertible Notes due 2025 may be converted at an initial conversion rate of 8.566 shares of our Class A common stock per $ 1,000 principal amount of the Convertible Notes due 2025 (equivalent to an initial conversion price of approximately $ 116.74 per share of our Class A common stock) (the “Initial Conversion Rate”), at any time on or after July 15, 2025 through the second scheduled trading day preceding the maturity date. Holders of the Convertible Notes due 2025 will also have the right to convert the Convertible Notes due 2025 at the Initial Conversion Rate prior to July 15, 2025, but only upon the occurrence of specified events described in the related indenture. 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3 3/8% Convertible Notes due 2026</w:t>
      </w:r>
    </w:p>
    <w:p>
      <w:pPr>
        <w:spacing w:after="0" w:line="177" w:lineRule="exact"/>
        <w:rPr>
          <w:sz w:val="20"/>
          <w:szCs w:val="20"/>
          <w:color w:val="auto"/>
        </w:rPr>
      </w:pPr>
    </w:p>
    <w:p>
      <w:pPr>
        <w:ind w:left="40" w:right="79"/>
        <w:spacing w:after="0" w:line="249" w:lineRule="auto"/>
        <w:rPr>
          <w:sz w:val="20"/>
          <w:szCs w:val="20"/>
          <w:color w:val="auto"/>
        </w:rPr>
      </w:pPr>
      <w:r>
        <w:rPr>
          <w:rFonts w:ascii="Arial" w:cs="Arial" w:eastAsia="Arial" w:hAnsi="Arial"/>
          <w:sz w:val="16"/>
          <w:szCs w:val="16"/>
          <w:color w:val="auto"/>
        </w:rPr>
        <w:t>On August 8, 2016, we issued $3.0 billion aggregate principal amount of the Convertible Notes due August 15, 2026 in a private offering. These notes were part of the EchoStar Exchange Offers (as defined above) and have a remaining aggregate principal amount outstanding of $45 million. Interest accrues at an annual rate of 3 3/8% and is payable semi-annually in cash, in arrears on February 15 and August 15 of each year.</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Convertible Notes due 2026 are:</w:t>
      </w:r>
    </w:p>
    <w:p>
      <w:pPr>
        <w:spacing w:after="0" w:line="179" w:lineRule="exact"/>
        <w:rPr>
          <w:sz w:val="20"/>
          <w:szCs w:val="20"/>
          <w:color w:val="auto"/>
        </w:rPr>
      </w:pPr>
    </w:p>
    <w:p>
      <w:pPr>
        <w:ind w:left="640" w:hanging="284"/>
        <w:spacing w:after="0"/>
        <w:tabs>
          <w:tab w:leader="none" w:pos="64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our general unsecured obligations;</w:t>
      </w:r>
    </w:p>
    <w:p>
      <w:pPr>
        <w:spacing w:after="0" w:line="24" w:lineRule="exact"/>
        <w:rPr>
          <w:rFonts w:ascii="Times New Roman" w:cs="Times New Roman" w:eastAsia="Times New Roman" w:hAnsi="Times New Roman"/>
          <w:sz w:val="16"/>
          <w:szCs w:val="16"/>
          <w:color w:val="auto"/>
        </w:rPr>
      </w:pPr>
    </w:p>
    <w:p>
      <w:pPr>
        <w:ind w:left="640" w:right="79" w:hanging="284"/>
        <w:spacing w:after="0" w:line="236" w:lineRule="auto"/>
        <w:tabs>
          <w:tab w:leader="none" w:pos="64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ranked senior in right of payment to any future indebtedness that is expressly subordinated in right of payment to the Convertible Notes due 2026;</w:t>
      </w:r>
    </w:p>
    <w:p>
      <w:pPr>
        <w:ind w:left="640" w:hanging="284"/>
        <w:spacing w:after="0"/>
        <w:tabs>
          <w:tab w:leader="none" w:pos="64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6"/>
          <w:szCs w:val="16"/>
          <w:color w:val="auto"/>
        </w:rPr>
      </w:pPr>
    </w:p>
    <w:p>
      <w:pPr>
        <w:ind w:left="640" w:right="499" w:hanging="284"/>
        <w:spacing w:after="0" w:line="236" w:lineRule="auto"/>
        <w:tabs>
          <w:tab w:leader="none" w:pos="64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ranked effectively junior to any of our existing and future secured indebtedness to the extent of the value of the assets securing such indebtedness;</w:t>
      </w:r>
    </w:p>
    <w:p>
      <w:pPr>
        <w:ind w:left="640" w:hanging="284"/>
        <w:spacing w:after="0"/>
        <w:tabs>
          <w:tab w:leader="none" w:pos="64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not guaranteed by our subsidiaries.</w:t>
      </w:r>
    </w:p>
    <w:p>
      <w:pPr>
        <w:spacing w:after="0" w:line="174"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spacing w:after="0" w:line="146" w:lineRule="exact"/>
        <w:rPr>
          <w:sz w:val="20"/>
          <w:szCs w:val="20"/>
          <w:color w:val="auto"/>
        </w:rPr>
      </w:pPr>
    </w:p>
    <w:p>
      <w:pPr>
        <w:ind w:left="40" w:right="139"/>
        <w:spacing w:after="0" w:line="256" w:lineRule="auto"/>
        <w:rPr>
          <w:sz w:val="20"/>
          <w:szCs w:val="20"/>
          <w:color w:val="auto"/>
        </w:rPr>
      </w:pPr>
      <w:r>
        <w:rPr>
          <w:rFonts w:ascii="Arial" w:cs="Arial" w:eastAsia="Arial" w:hAnsi="Arial"/>
          <w:sz w:val="16"/>
          <w:szCs w:val="16"/>
          <w:color w:val="auto"/>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spacing w:after="0" w:line="137"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Subject to the terms of the related indenture, the Convertible Notes due 2026 may be converted at an initial conversion rate of 5.383 shares of our Class A common stock per $1,000 principal amount of Convertible Notes due 2026 (equivalent to an initial conversion price of approximately $185.76 per share of our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 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5">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7" w:name="page178"/>
    <w:bookmarkEnd w:id="17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Convertible Note Hedge and Warrant Transactions</w:t>
      </w:r>
    </w:p>
    <w:p>
      <w:pPr>
        <w:spacing w:after="0" w:line="177"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i w:val="1"/>
          <w:iCs w:val="1"/>
          <w:color w:val="auto"/>
        </w:rPr>
        <w:t>Merger with DISH Network</w:t>
      </w:r>
      <w:r>
        <w:rPr>
          <w:rFonts w:ascii="Arial" w:cs="Arial" w:eastAsia="Arial" w:hAnsi="Arial"/>
          <w:sz w:val="16"/>
          <w:szCs w:val="16"/>
          <w:color w:val="auto"/>
        </w:rPr>
        <w:t>. As defined and detailed in our Annual Report on Form 10-K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2023, in connection with the completion of the Merger, on December 31, 2023, we and DISH Network entered into a note hedge amendment letter agreement with each option counterparty pursuant to which, at the Effective Time, DISH Network’s right to purchase shares of DISH Class A Common Stock pursuant to the terms of the applicable convertible note hedge transactions was changed into a right to purchase shares of EchoStar Class A Common Stock.</w:t>
      </w:r>
    </w:p>
    <w:p>
      <w:pPr>
        <w:spacing w:after="0" w:line="146" w:lineRule="exact"/>
        <w:rPr>
          <w:sz w:val="20"/>
          <w:szCs w:val="20"/>
          <w:color w:val="auto"/>
        </w:rPr>
      </w:pPr>
    </w:p>
    <w:p>
      <w:pPr>
        <w:ind w:left="40" w:right="299"/>
        <w:spacing w:after="0" w:line="246" w:lineRule="auto"/>
        <w:rPr>
          <w:sz w:val="20"/>
          <w:szCs w:val="20"/>
          <w:color w:val="auto"/>
        </w:rPr>
      </w:pPr>
      <w:r>
        <w:rPr>
          <w:rFonts w:ascii="Arial" w:cs="Arial" w:eastAsia="Arial" w:hAnsi="Arial"/>
          <w:sz w:val="16"/>
          <w:szCs w:val="16"/>
          <w:color w:val="auto"/>
        </w:rPr>
        <w:t>In addition, in connection with the completion of the Merger, on December 31, 2023, we and DISH Network entered into a warrant amendment letter agreement and warrant guarantee with each option counterparty, pursuant to which, at the Effective Time, each counterparty’s right to purchase shares of DISH Network Class A Common Stock pursuant to the applicable warrant transactions was changed into a right to purchase shares of EchoStar Class A Common Stock, and we guaranteed all of DISH Network’s obligations under the applicable warrant transactions.</w:t>
      </w:r>
    </w:p>
    <w:p>
      <w:pPr>
        <w:spacing w:after="0" w:line="146" w:lineRule="exact"/>
        <w:rPr>
          <w:sz w:val="20"/>
          <w:szCs w:val="20"/>
          <w:color w:val="auto"/>
        </w:rPr>
      </w:pPr>
    </w:p>
    <w:p>
      <w:pPr>
        <w:ind w:left="40" w:right="59"/>
        <w:spacing w:after="0" w:line="243" w:lineRule="auto"/>
        <w:rPr>
          <w:sz w:val="20"/>
          <w:szCs w:val="20"/>
          <w:color w:val="auto"/>
        </w:rPr>
      </w:pPr>
      <w:r>
        <w:rPr>
          <w:rFonts w:ascii="Arial" w:cs="Arial" w:eastAsia="Arial" w:hAnsi="Arial"/>
          <w:sz w:val="16"/>
          <w:szCs w:val="16"/>
          <w:color w:val="auto"/>
        </w:rPr>
        <w:t>In connection with the offering of the Convertible Notes due 2026, we entered into convertible note hedge transactions with certain option counterparties. The convertible note hedge transactions cover, subject to anti-dilution adjustments substantially similar to those applicable to the Convertible Notes due 2026, the number of shares of DISH Network Class A Common Stock underlying the Convertible Notes due 2026, which initially gives us the option to purchase approximately 46 million shares of DISH Network Class A Common Stock at a price of approximately $65.18 per share, which in connection with the completion of the Merger converted into approximately 16 million shares of EchoStar Class A Common Stock at a price of approximately $185.76 per share. The total cost of the original convertible note hedge transactions was $635 million.</w:t>
      </w:r>
    </w:p>
    <w:p>
      <w:pPr>
        <w:spacing w:after="0" w:line="148" w:lineRule="exact"/>
        <w:rPr>
          <w:sz w:val="20"/>
          <w:szCs w:val="20"/>
          <w:color w:val="auto"/>
        </w:rPr>
      </w:pPr>
    </w:p>
    <w:p>
      <w:pPr>
        <w:ind w:left="40" w:right="179"/>
        <w:spacing w:after="0" w:line="244" w:lineRule="auto"/>
        <w:rPr>
          <w:sz w:val="20"/>
          <w:szCs w:val="20"/>
          <w:color w:val="auto"/>
        </w:rPr>
      </w:pPr>
      <w:r>
        <w:rPr>
          <w:rFonts w:ascii="Arial" w:cs="Arial" w:eastAsia="Arial" w:hAnsi="Arial"/>
          <w:sz w:val="16"/>
          <w:szCs w:val="16"/>
          <w:color w:val="auto"/>
        </w:rPr>
        <w:t>Concurrently with entering into the convertible note hedge transactions, we also entered into warrant transactions with each option counterparty whereby we sold to such option counterparty warrants to purchase, subject to customary anti-dilution adjustments, up to the same number of shares of DISH Network Class A common stock, which initially gives the option counterparties the option to purchase approximately 46 million shares of DISH Network Class A common stock at a price of approximately $86.08 per share, which in connection with the completion of the Merger converted into approximately 16 million shares of EchoStar Class A Common Stock at price ranges of approximately $185.75 to $245.33 per share.</w:t>
      </w:r>
    </w:p>
    <w:p>
      <w:pPr>
        <w:spacing w:after="0" w:line="148" w:lineRule="exact"/>
        <w:rPr>
          <w:sz w:val="20"/>
          <w:szCs w:val="20"/>
          <w:color w:val="auto"/>
        </w:rPr>
      </w:pPr>
    </w:p>
    <w:p>
      <w:pPr>
        <w:ind w:left="40" w:right="139"/>
        <w:spacing w:after="0" w:line="249" w:lineRule="auto"/>
        <w:rPr>
          <w:sz w:val="20"/>
          <w:szCs w:val="20"/>
          <w:color w:val="auto"/>
        </w:rPr>
      </w:pPr>
      <w:r>
        <w:rPr>
          <w:rFonts w:ascii="Arial" w:cs="Arial" w:eastAsia="Arial" w:hAnsi="Arial"/>
          <w:sz w:val="16"/>
          <w:szCs w:val="16"/>
          <w:color w:val="auto"/>
        </w:rPr>
        <w:t>We received $ 376 million in cash proceeds from the original sale of these warrants. In accordance with accounting guidance on hedge and warrant transactions, the net cost incurred in connection with the convertible note hedge and warrant transactions are recorded as a reduction in “Additional paid-in capital” within “Stockholders’ Equity (Deficit)” on our Consolidated Balance Sheets as of December 31, 2016.</w:t>
      </w:r>
    </w:p>
    <w:p>
      <w:pPr>
        <w:spacing w:after="0" w:line="144"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auto"/>
        </w:rPr>
        <w:t>We will not be required to make any cash payments to each option counterparty or its affiliates upon the exercise of the options that are a part of the convertible note hedge transactions, but will be entitled to receive from them a number of shares of Class A common stock, an amount of cash or a combination thereof. This consideration is generally based on the amount by which the market price per share of Class A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Class A common stock, as measured under the terms of the warrant transactions, exceeds the strike price of the warrants during the measurement period at the maturity of the warrants, we will owe each option counterparty a number of shares of Class A common stock in an amount based on the excess of such market price per share of Class A common stock over the strike price of the warrants. However, as specified under the terms of the warrant transactions, we may elect to settle the warrants in cash.</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8" w:name="page179"/>
    <w:bookmarkEnd w:id="17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DISH DBS Senior Secured Notes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DISH DBS Senior Secured Notes are:</w:t>
      </w:r>
    </w:p>
    <w:p>
      <w:pPr>
        <w:spacing w:after="0" w:line="179" w:lineRule="exact"/>
        <w:rPr>
          <w:sz w:val="20"/>
          <w:szCs w:val="20"/>
          <w:color w:val="auto"/>
        </w:rPr>
      </w:pPr>
    </w:p>
    <w:p>
      <w:pPr>
        <w:ind w:left="640" w:hanging="284"/>
        <w:spacing w:after="0"/>
        <w:tabs>
          <w:tab w:leader="none" w:pos="64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general senior secured obligations of DISH DBS Corporation (“DISH DBS”);</w:t>
      </w:r>
    </w:p>
    <w:p>
      <w:pPr>
        <w:spacing w:after="0" w:line="24" w:lineRule="exact"/>
        <w:rPr>
          <w:rFonts w:ascii="Times New Roman" w:cs="Times New Roman" w:eastAsia="Times New Roman" w:hAnsi="Times New Roman"/>
          <w:sz w:val="16"/>
          <w:szCs w:val="16"/>
          <w:color w:val="auto"/>
        </w:rPr>
      </w:pPr>
    </w:p>
    <w:p>
      <w:pPr>
        <w:ind w:left="640" w:right="179" w:hanging="284"/>
        <w:spacing w:after="0" w:line="236" w:lineRule="auto"/>
        <w:tabs>
          <w:tab w:leader="none" w:pos="64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secured by security interests in substantially all existing and future tangible and intangible assets of DISH DBS and its principal operating subsidiaries on a first priority basis, subject to certain exceptions;</w:t>
      </w:r>
    </w:p>
    <w:p>
      <w:pPr>
        <w:ind w:left="640" w:hanging="284"/>
        <w:spacing w:after="0"/>
        <w:tabs>
          <w:tab w:leader="none" w:pos="64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ranked equally in right of payment with all of DISH DBS’ and the guarantors’ existing and future senior debt;</w:t>
      </w:r>
    </w:p>
    <w:p>
      <w:pPr>
        <w:spacing w:after="0" w:line="8" w:lineRule="exact"/>
        <w:rPr>
          <w:rFonts w:ascii="Times New Roman" w:cs="Times New Roman" w:eastAsia="Times New Roman" w:hAnsi="Times New Roman"/>
          <w:sz w:val="16"/>
          <w:szCs w:val="16"/>
          <w:color w:val="auto"/>
        </w:rPr>
      </w:pPr>
    </w:p>
    <w:p>
      <w:pPr>
        <w:ind w:left="640" w:right="519" w:hanging="284"/>
        <w:spacing w:after="0" w:line="236" w:lineRule="auto"/>
        <w:tabs>
          <w:tab w:leader="none" w:pos="64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ranked senior in right of payment and effectively senior to any of DISH DBS’ and the guarantors’ junior lien or unsecured debt to the extent of the value of the pledged collateral that secures the Senior Secured Notes; and</w:t>
      </w:r>
    </w:p>
    <w:p>
      <w:pPr>
        <w:ind w:left="640" w:right="99" w:hanging="284"/>
        <w:spacing w:after="0" w:line="254" w:lineRule="auto"/>
        <w:tabs>
          <w:tab w:leader="none" w:pos="64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ranked effectively junior to DISH DBS’ and the guarantors’ obligations that are secured by assets that are not part of the pledged collateral that secures the Senior Secured Notes, to the extent of the value of such assets.</w:t>
      </w:r>
    </w:p>
    <w:p>
      <w:pPr>
        <w:spacing w:after="0" w:line="138" w:lineRule="exact"/>
        <w:rPr>
          <w:sz w:val="20"/>
          <w:szCs w:val="20"/>
          <w:color w:val="auto"/>
        </w:rPr>
      </w:pPr>
    </w:p>
    <w:p>
      <w:pPr>
        <w:ind w:left="40" w:right="79"/>
        <w:spacing w:after="0" w:line="275" w:lineRule="auto"/>
        <w:rPr>
          <w:sz w:val="20"/>
          <w:szCs w:val="20"/>
          <w:color w:val="auto"/>
        </w:rPr>
      </w:pPr>
      <w:r>
        <w:rPr>
          <w:rFonts w:ascii="Arial" w:cs="Arial" w:eastAsia="Arial" w:hAnsi="Arial"/>
          <w:sz w:val="16"/>
          <w:szCs w:val="16"/>
          <w:color w:val="auto"/>
        </w:rPr>
        <w:t>The indenture related to our DISH DBS Senior Secured Notes contain restrictive covenants that, among other things, impose limitations on the ability of DISH DBS and its restricted subsidiaries to:</w:t>
      </w:r>
    </w:p>
    <w:p>
      <w:pPr>
        <w:spacing w:after="0" w:line="123" w:lineRule="exact"/>
        <w:rPr>
          <w:sz w:val="20"/>
          <w:szCs w:val="20"/>
          <w:color w:val="auto"/>
        </w:rPr>
      </w:pPr>
    </w:p>
    <w:p>
      <w:pPr>
        <w:ind w:left="640" w:hanging="284"/>
        <w:spacing w:after="0"/>
        <w:tabs>
          <w:tab w:leader="none" w:pos="6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incur additional debt;</w:t>
      </w:r>
    </w:p>
    <w:p>
      <w:pPr>
        <w:spacing w:after="0" w:line="24"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pay dividends or make distributions on DISH DBS’ capital stock or repurchase DISH DBS’ capital stock;</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make certain investments;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create liens or enter into sale and leaseback transactions;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enter into transactions with affiliates;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merge or consolidate with another company; and</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transfer or sell assets.</w:t>
      </w:r>
    </w:p>
    <w:p>
      <w:pPr>
        <w:spacing w:after="0" w:line="174" w:lineRule="exact"/>
        <w:rPr>
          <w:sz w:val="20"/>
          <w:szCs w:val="20"/>
          <w:color w:val="auto"/>
        </w:rPr>
      </w:pPr>
    </w:p>
    <w:p>
      <w:pPr>
        <w:ind w:left="40" w:right="59"/>
        <w:spacing w:after="0" w:line="256" w:lineRule="auto"/>
        <w:rPr>
          <w:sz w:val="20"/>
          <w:szCs w:val="20"/>
          <w:color w:val="auto"/>
        </w:rPr>
      </w:pPr>
      <w:r>
        <w:rPr>
          <w:rFonts w:ascii="Arial" w:cs="Arial" w:eastAsia="Arial" w:hAnsi="Arial"/>
          <w:sz w:val="16"/>
          <w:szCs w:val="16"/>
          <w:color w:val="auto"/>
        </w:rPr>
        <w:t>In the event of a change of control, as defined in the related indentures, we would be required to make an offer to repurchase all or any part of a holder’s Senior Secured Notes at a purchase price equal to 101% of the aggregate principal amount thereof, together with accrued and unpaid interest thereon, to the date of repurchase.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5 1/4% Senior Secured Notes due 2026</w:t>
      </w:r>
    </w:p>
    <w:p>
      <w:pPr>
        <w:spacing w:after="0" w:line="177" w:lineRule="exact"/>
        <w:rPr>
          <w:sz w:val="20"/>
          <w:szCs w:val="20"/>
          <w:color w:val="auto"/>
        </w:rPr>
      </w:pPr>
    </w:p>
    <w:p>
      <w:pPr>
        <w:ind w:left="40" w:right="219"/>
        <w:spacing w:after="0" w:line="256" w:lineRule="auto"/>
        <w:rPr>
          <w:sz w:val="20"/>
          <w:szCs w:val="20"/>
          <w:color w:val="auto"/>
        </w:rPr>
      </w:pPr>
      <w:r>
        <w:rPr>
          <w:rFonts w:ascii="Arial" w:cs="Arial" w:eastAsia="Arial" w:hAnsi="Arial"/>
          <w:sz w:val="16"/>
          <w:szCs w:val="16"/>
          <w:color w:val="auto"/>
        </w:rPr>
        <w:t>On November 26, 2021, we issued $2.750 billion aggregate principal amount of our 5 1/4% Senior Secured Notes due December 1, 2026. Interest accrues at an annual rate of 5 1/4% and is payable semi-annually in cash, in arrears on June 1 and December 1 of each year.</w:t>
      </w:r>
    </w:p>
    <w:p>
      <w:pPr>
        <w:spacing w:after="0" w:line="137"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auto"/>
        </w:rPr>
        <w:t>The 5 1/4% Senior Secured Notes due 2026 are redeemable, in whole or in part, at any time prior to June 1, 2026 (the “2026 Par Call Date”) at a redemption price equal to 100% of the principal amount plus a “make-whole” premium, as defined in the related indenture, together with accrued and unpaid interest. At any time on or after the 2026 Par Call Date, we may redeem the 5 1/4% Senior Secured Notes due 2026, in whole at any time or in part from time to time, at a price equal to 100% of the principal amount thereof, plus accrued and unpaid interest, if any, to the redemption date. Prior to December 1, 2024, we may also redeem up to 35% of the 5 1/4% Senior Secured Notes due 2026 at a specified premium with the net cash proceeds from certain equity offerings or capital contributions. At any time and from time to time during the 36-month period following the issue date of the 5 1/4% Senior Secured Notes due 2026,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7">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79" w:name="page180"/>
    <w:bookmarkEnd w:id="17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5 3/4% Senior Secured Notes due 2028</w:t>
      </w:r>
    </w:p>
    <w:p>
      <w:pPr>
        <w:spacing w:after="0" w:line="177" w:lineRule="exact"/>
        <w:rPr>
          <w:sz w:val="20"/>
          <w:szCs w:val="20"/>
          <w:color w:val="auto"/>
        </w:rPr>
      </w:pPr>
    </w:p>
    <w:p>
      <w:pPr>
        <w:ind w:left="40" w:right="219"/>
        <w:spacing w:after="0" w:line="256" w:lineRule="auto"/>
        <w:rPr>
          <w:sz w:val="20"/>
          <w:szCs w:val="20"/>
          <w:color w:val="auto"/>
        </w:rPr>
      </w:pPr>
      <w:r>
        <w:rPr>
          <w:rFonts w:ascii="Arial" w:cs="Arial" w:eastAsia="Arial" w:hAnsi="Arial"/>
          <w:sz w:val="16"/>
          <w:szCs w:val="16"/>
          <w:color w:val="auto"/>
        </w:rPr>
        <w:t>On November 26, 2021, we issued $2.5 billion aggregate principal amount of our 5 3/4% Senior Secured Notes due December 1, 2028. Interest accrues at an annual rate of 5 3/4% and is payable semi-annually in cash, in arrears on June 1 and December 1 of each year.</w:t>
      </w:r>
    </w:p>
    <w:p>
      <w:pPr>
        <w:spacing w:after="0" w:line="137" w:lineRule="exact"/>
        <w:rPr>
          <w:sz w:val="20"/>
          <w:szCs w:val="20"/>
          <w:color w:val="auto"/>
        </w:rPr>
      </w:pPr>
    </w:p>
    <w:p>
      <w:pPr>
        <w:ind w:left="40" w:right="139"/>
        <w:spacing w:after="0" w:line="241" w:lineRule="auto"/>
        <w:rPr>
          <w:sz w:val="20"/>
          <w:szCs w:val="20"/>
          <w:color w:val="auto"/>
        </w:rPr>
      </w:pPr>
      <w:r>
        <w:rPr>
          <w:rFonts w:ascii="Arial" w:cs="Arial" w:eastAsia="Arial" w:hAnsi="Arial"/>
          <w:sz w:val="16"/>
          <w:szCs w:val="16"/>
          <w:color w:val="auto"/>
        </w:rPr>
        <w:t>The 5 3/4% Senior Secured Notes due 2028 are redeemable, in whole or in part, at any time prior to December 1, 2027 (the “2028 Par Call Date”) at a redemption price equal to 100% of the principal amount plus a “make-whole” premium, as defined in the related indenture, together with accrued and unpaid interest. At any time on or after the 2028 Par Call Date, we may redeem the 5 3/4% Senior Secured Notes due 2028, in whole at any time or in part from time to time, at a price equal to 100% of the principal amount thereof, plus accrued and unpaid interest, if any, to the redemption date. Prior to December 1, 2024, we may also redeem up to 35% of the 5 3/4% Senior Secured Notes due 2028 at a specified premium with the net cash proceeds from certain equity offerings or capital contributions. At any time and from time to time during the 36-month period following the issue date of the 5 3/4% Senior Secured Notes due 2028, we may redeem up to 10% of the aggregate principal amount during each twelve-month period commencing with the issue date at a redemption price of 103% of the aggregate principal amount thereof plus accrued and unpaid interest, if any, to, but excluding, the redemption date.</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DISH Network Senior Secured Notes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DISH Network Senior Secured Notes are:</w:t>
      </w:r>
    </w:p>
    <w:p>
      <w:pPr>
        <w:spacing w:after="0" w:line="179" w:lineRule="exact"/>
        <w:rPr>
          <w:sz w:val="20"/>
          <w:szCs w:val="20"/>
          <w:color w:val="auto"/>
        </w:rPr>
      </w:pPr>
    </w:p>
    <w:p>
      <w:pPr>
        <w:ind w:left="640" w:right="79" w:hanging="284"/>
        <w:spacing w:after="0" w:line="246" w:lineRule="auto"/>
        <w:tabs>
          <w:tab w:leader="none" w:pos="6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senior unsecured obligations and guaranteed by certain restricted subsidiaries on a senior secured basis and certain other material subsidiaries;</w:t>
      </w:r>
    </w:p>
    <w:p>
      <w:pPr>
        <w:spacing w:after="0" w:line="1" w:lineRule="exact"/>
        <w:rPr>
          <w:rFonts w:ascii="Times New Roman" w:cs="Times New Roman" w:eastAsia="Times New Roman" w:hAnsi="Times New Roman"/>
          <w:sz w:val="16"/>
          <w:szCs w:val="16"/>
          <w:color w:val="auto"/>
        </w:rPr>
      </w:pPr>
    </w:p>
    <w:p>
      <w:pPr>
        <w:ind w:left="640" w:right="119" w:hanging="284"/>
        <w:spacing w:after="0" w:line="236" w:lineRule="auto"/>
        <w:tabs>
          <w:tab w:leader="none" w:pos="6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secured on a first priority basis by security interests, in favor of the secured parties, in the collateral, which consists primarily of interests in wireless spectrum licenses within the 600 MHz band (“the Spectrum Collateral”) owned by one of the secured guarantors and any additional subsidiaries of ours that may be added as guarantors from time to time and equity interests in the Spectrum Collateral guarantor(s) and DISH DBS;</w:t>
      </w:r>
    </w:p>
    <w:p>
      <w:pPr>
        <w:spacing w:after="0" w:line="1"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ranked equally in right of payment with all of our and the guarantor’s existing and future senior indebtedness;</w:t>
      </w:r>
    </w:p>
    <w:p>
      <w:pPr>
        <w:spacing w:after="0" w:line="8" w:lineRule="exact"/>
        <w:rPr>
          <w:rFonts w:ascii="Times New Roman" w:cs="Times New Roman" w:eastAsia="Times New Roman" w:hAnsi="Times New Roman"/>
          <w:sz w:val="16"/>
          <w:szCs w:val="16"/>
          <w:color w:val="auto"/>
        </w:rPr>
      </w:pPr>
    </w:p>
    <w:p>
      <w:pPr>
        <w:ind w:left="640" w:right="99" w:hanging="284"/>
        <w:spacing w:after="0" w:line="236" w:lineRule="auto"/>
        <w:tabs>
          <w:tab w:leader="none" w:pos="6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ranked senior in right of payment to any of our and the guarantors’ subordinated indebtedness and effectively senior to any of the Secured Guarantors unsecured indebtedness and indebtedness secured by junior liens on the collateral to the extent of the value of the collateral and effectively junior to all the existing and future obligations of any of our subsidiaries that are not Guarantors.</w:t>
      </w:r>
    </w:p>
    <w:p>
      <w:pPr>
        <w:spacing w:after="0" w:line="1" w:lineRule="exact"/>
        <w:rPr>
          <w:rFonts w:ascii="Times New Roman" w:cs="Times New Roman" w:eastAsia="Times New Roman" w:hAnsi="Times New Roman"/>
          <w:sz w:val="16"/>
          <w:szCs w:val="16"/>
          <w:color w:val="auto"/>
        </w:rPr>
      </w:pPr>
    </w:p>
    <w:p>
      <w:pPr>
        <w:ind w:left="640" w:right="279" w:hanging="284"/>
        <w:spacing w:after="0" w:line="254" w:lineRule="auto"/>
        <w:tabs>
          <w:tab w:leader="none" w:pos="6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ranked effectively junior to our obligations and the obligations of the guarantors that are secured by assets that do not constitute collateral to the extent of the value of such assets;</w:t>
      </w:r>
    </w:p>
    <w:p>
      <w:pPr>
        <w:spacing w:after="0" w:line="138" w:lineRule="exact"/>
        <w:rPr>
          <w:sz w:val="20"/>
          <w:szCs w:val="20"/>
          <w:color w:val="auto"/>
        </w:rPr>
      </w:pPr>
    </w:p>
    <w:p>
      <w:pPr>
        <w:ind w:left="40" w:right="379"/>
        <w:spacing w:after="0" w:line="275" w:lineRule="auto"/>
        <w:rPr>
          <w:sz w:val="20"/>
          <w:szCs w:val="20"/>
          <w:color w:val="auto"/>
        </w:rPr>
      </w:pPr>
      <w:r>
        <w:rPr>
          <w:rFonts w:ascii="Arial" w:cs="Arial" w:eastAsia="Arial" w:hAnsi="Arial"/>
          <w:sz w:val="16"/>
          <w:szCs w:val="16"/>
          <w:color w:val="auto"/>
        </w:rPr>
        <w:t>The indenture related to our DISH Network Senior Secured Notes contain restrictive covenants that, among other things, impose limitations on our ability and certain of our subsidiaries to:</w:t>
      </w:r>
    </w:p>
    <w:p>
      <w:pPr>
        <w:spacing w:after="0" w:line="123" w:lineRule="exact"/>
        <w:rPr>
          <w:sz w:val="20"/>
          <w:szCs w:val="20"/>
          <w:color w:val="auto"/>
        </w:rPr>
      </w:pPr>
    </w:p>
    <w:p>
      <w:pPr>
        <w:ind w:left="640" w:hanging="284"/>
        <w:spacing w:after="0"/>
        <w:tabs>
          <w:tab w:leader="none" w:pos="64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incur additional debt;</w:t>
      </w:r>
    </w:p>
    <w:p>
      <w:pPr>
        <w:spacing w:after="0" w:line="24"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pay dividends or make distributions on our capital stock or repurchase our capital stock;</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make certain investments of Spectrum Collateral;</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create liens or enter into sale and leaseback transactions;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enter into transactions with affiliates;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merge or consolidate with another company; and</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transfer or sell assets.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8">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0" w:name="page181"/>
    <w:bookmarkEnd w:id="18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jc w:val="both"/>
        <w:ind w:left="40" w:right="59"/>
        <w:spacing w:after="0" w:line="256" w:lineRule="auto"/>
        <w:rPr>
          <w:sz w:val="20"/>
          <w:szCs w:val="20"/>
          <w:color w:val="auto"/>
        </w:rPr>
      </w:pPr>
      <w:r>
        <w:rPr>
          <w:rFonts w:ascii="Arial" w:cs="Arial" w:eastAsia="Arial" w:hAnsi="Arial"/>
          <w:sz w:val="16"/>
          <w:szCs w:val="16"/>
          <w:color w:val="auto"/>
        </w:rPr>
        <w:t>In the event of a change of control, as defined in the related indentures, we would be required to make an offer to repurchase all or any part of a holder’s DISH Senior Secured Notes at a purchase price equal to 101% of the aggregate principal amount thereof, together with accrued and unpaid interest thereon, to the date of repurchase.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11 3/4% Senior Secured Notes due 2027</w:t>
      </w:r>
    </w:p>
    <w:p>
      <w:pPr>
        <w:spacing w:after="0" w:line="177" w:lineRule="exact"/>
        <w:rPr>
          <w:sz w:val="20"/>
          <w:szCs w:val="20"/>
          <w:color w:val="auto"/>
        </w:rPr>
      </w:pPr>
    </w:p>
    <w:p>
      <w:pPr>
        <w:ind w:left="40" w:right="179"/>
        <w:spacing w:after="0" w:line="256" w:lineRule="auto"/>
        <w:rPr>
          <w:sz w:val="20"/>
          <w:szCs w:val="20"/>
          <w:color w:val="auto"/>
        </w:rPr>
      </w:pPr>
      <w:r>
        <w:rPr>
          <w:rFonts w:ascii="Arial" w:cs="Arial" w:eastAsia="Arial" w:hAnsi="Arial"/>
          <w:sz w:val="16"/>
          <w:szCs w:val="16"/>
          <w:color w:val="auto"/>
        </w:rPr>
        <w:t>On November 15, 2022 and January 26, 2023, we issued $2.0 billion and $1.5 billion, respectively, aggregate principal amount of our 11 3/4% Senior Secured Notes due November 15, 2027. Interest accrues at an annual rate of 11 3/4% and is payable semi-annually in cash, in arrears on May 15 and November 15 of each year.</w:t>
      </w:r>
    </w:p>
    <w:p>
      <w:pPr>
        <w:spacing w:after="0" w:line="137" w:lineRule="exact"/>
        <w:rPr>
          <w:sz w:val="20"/>
          <w:szCs w:val="20"/>
          <w:color w:val="auto"/>
        </w:rPr>
      </w:pPr>
    </w:p>
    <w:p>
      <w:pPr>
        <w:ind w:left="40" w:right="199"/>
        <w:spacing w:after="0" w:line="246" w:lineRule="auto"/>
        <w:rPr>
          <w:sz w:val="20"/>
          <w:szCs w:val="20"/>
          <w:color w:val="auto"/>
        </w:rPr>
      </w:pPr>
      <w:r>
        <w:rPr>
          <w:rFonts w:ascii="Arial" w:cs="Arial" w:eastAsia="Arial" w:hAnsi="Arial"/>
          <w:sz w:val="16"/>
          <w:szCs w:val="16"/>
          <w:color w:val="auto"/>
        </w:rPr>
        <w:t>The 11 3/4% Senior Secured Notes due 2027 are redeemable, in whole or in part, at any time prior to May 15, 2025 at a redemption price equal to 100% of their principal amount plus a “make-whole” premium, as defined in the related indenture, together with accrued and unpaid interest. At any time on or after May 15, 2025, we may redeem the 11 3/4% Senior Secured Notes due 2027, in whole at any time or in part from time to time, at the redemption prices specified in the related indenture, together with accrued and unpaid interest, if any, to the redemption date.</w:t>
      </w:r>
    </w:p>
    <w:p>
      <w:pPr>
        <w:spacing w:after="0" w:line="146"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color w:val="auto"/>
        </w:rPr>
        <w:t>Prior to May 15, 2025, we may also redeem up to 40% of the 11 3/4% Senior Secured Notes due 2027 at a redemption price equal to 111.750% of the aggregate principal amount of the 11 3/4% Senior Secured Notes due 2027 redeemed, together with accrued and unpaid interest to such redemption date, with the net cash proceeds from certain equity offerings or capital contributions.</w:t>
      </w:r>
    </w:p>
    <w:p>
      <w:pPr>
        <w:spacing w:after="0" w:line="144"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Pursuant to the related indenture, we were required to obtain an initial appraisal of the Spectrum Collateral by an independent appraiser (the “Initial Appraisal”) within 120 days following the issue date of the 11 3/4% Senior Secured Notes due 2027. As of January 17, 2023, the Initial Appraisal certified we had satisfied the requirements under the loan-to-value ratio (as defined in the Indenture). Based on the independent appraisal, the loan-to-value ratio was not greater than 0.35 to 1.00 and the fair market value of the Spectrum Collateral was $10.04 billion. We will also be required to obtain a second appraisal of the Spectrum Collateral (a “Second Appraisal”) within 120 days of the date if wireless spectrum licenses that form part of the Spectrum Collateral accounting for more than 10% of the aggregate MHz-POPs of all such licenses constituting the Spectrum Collateral are forfeited to the FCC as a result of our failure to meet its buildout milestones with respect to such forfeited licenses. If we fail to deliver the Second Appraisal within 120 days following the date of forfeiture, then we will be required to redeem all of the 11 3/4% Senior Secured Notes due 2027 at a redemption price equal to 102% of their principal amount, plus accrued and unpaid interest to, but excluding, the redemption date.</w:t>
      </w:r>
    </w:p>
    <w:p>
      <w:pPr>
        <w:spacing w:after="0" w:line="154" w:lineRule="exact"/>
        <w:rPr>
          <w:sz w:val="20"/>
          <w:szCs w:val="20"/>
          <w:color w:val="auto"/>
        </w:rPr>
      </w:pPr>
    </w:p>
    <w:p>
      <w:pPr>
        <w:ind w:left="40" w:right="159"/>
        <w:spacing w:after="0" w:line="242" w:lineRule="auto"/>
        <w:rPr>
          <w:sz w:val="20"/>
          <w:szCs w:val="20"/>
          <w:color w:val="auto"/>
        </w:rPr>
      </w:pPr>
      <w:r>
        <w:rPr>
          <w:rFonts w:ascii="Arial" w:cs="Arial" w:eastAsia="Arial" w:hAnsi="Arial"/>
          <w:sz w:val="16"/>
          <w:szCs w:val="16"/>
          <w:color w:val="auto"/>
        </w:rPr>
        <w:t>If the loan-to-value ratio with respect to the Spectrum Collateral, as of the date of the Second Appraisal, is greater than 0.35 to 1.00, then within 90 days following the date of the delivery of the Second Appraisal we will be required to add additional Spectrum Collateral guarantors and/or pledge (or cause to be pledged) cash or interests in additional wireless spectrum licenses as Spectrum Collateral to comply with the required loan-to-value ratio of 0.35 to 1.00. If we fail to add such additional Spectrum Collateral and/or pledge (or cause to be pledged) cash or interests in additional wireless spectrum licenses, we will be required to redeem an amount of 11 3/4% Senior Secured Notes due 2027 such that immediately after giving effect to such redemption, the loan-to-value ratio shall not be greater than 0.35 to 1.00 at a redemption price equal to 102% of their principal amount, plus accrued and unpaid interest to, but excluding, the redemption date.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9">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1" w:name="page182"/>
    <w:bookmarkEnd w:id="18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HSSC Secured Senior Notes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5 1/4% Senior Secured Notes due 2026</w:t>
      </w:r>
    </w:p>
    <w:p>
      <w:pPr>
        <w:spacing w:after="0" w:line="177"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color w:val="auto"/>
        </w:rPr>
        <w:t>On July 27, 2016, our subsidiary Hughes Satellite Systems Corporation (“HSSC”) issued $750.0 million aggregate principal amount of 5 1/4% Senior Secured Notes due August 1, 2026 (the “2026 Senior Secured Notes”). Interest on the 2026 Senior Secured Notes accrues at an annual rate of 5 1/4% and is payable semi-annually in cash, in arrears, on February 1 and August 1 of each year.</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Senior Notes due 2026 are:</w:t>
      </w:r>
    </w:p>
    <w:p>
      <w:pPr>
        <w:spacing w:after="0" w:line="179" w:lineRule="exact"/>
        <w:rPr>
          <w:sz w:val="20"/>
          <w:szCs w:val="20"/>
          <w:color w:val="auto"/>
        </w:rPr>
      </w:pPr>
    </w:p>
    <w:p>
      <w:pPr>
        <w:ind w:left="640" w:hanging="284"/>
        <w:spacing w:after="0"/>
        <w:tabs>
          <w:tab w:leader="none" w:pos="64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secured obligations of HSSC;</w:t>
      </w:r>
    </w:p>
    <w:p>
      <w:pPr>
        <w:spacing w:after="0" w:line="24" w:lineRule="exact"/>
        <w:rPr>
          <w:rFonts w:ascii="Times New Roman" w:cs="Times New Roman" w:eastAsia="Times New Roman" w:hAnsi="Times New Roman"/>
          <w:sz w:val="16"/>
          <w:szCs w:val="16"/>
          <w:color w:val="auto"/>
        </w:rPr>
      </w:pPr>
    </w:p>
    <w:p>
      <w:pPr>
        <w:ind w:left="640" w:right="499" w:hanging="284"/>
        <w:spacing w:after="0" w:line="236" w:lineRule="auto"/>
        <w:tabs>
          <w:tab w:leader="none" w:pos="64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secured by security interests in substantially all existing and future tangible and intangible assets of HSSC and certain of its subsidiaries on a first priority basis, subject to certain exceptions;</w:t>
      </w:r>
    </w:p>
    <w:p>
      <w:pPr>
        <w:ind w:left="640" w:right="159" w:hanging="284"/>
        <w:spacing w:after="0" w:line="236" w:lineRule="auto"/>
        <w:tabs>
          <w:tab w:leader="none" w:pos="64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effectively junior to HSSC’s obligations that are secured by assets that are not part of the collateral that secures the 2026 Senior Secured Notes to the extent of the value of the collateral securing such obligations;</w:t>
      </w:r>
    </w:p>
    <w:p>
      <w:pPr>
        <w:jc w:val="both"/>
        <w:ind w:left="640" w:right="459" w:hanging="284"/>
        <w:spacing w:after="0" w:line="236" w:lineRule="auto"/>
        <w:tabs>
          <w:tab w:leader="none" w:pos="64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effectively senior to HSSC’s existing and future unsecured obligations to the extent of the value of the collateral securing the 2026 Senior Secured Notes, after giving effect to permitted liens as provided in the 2016 Secured Indenture;</w:t>
      </w:r>
    </w:p>
    <w:p>
      <w:pPr>
        <w:spacing w:after="0" w:line="1" w:lineRule="exact"/>
        <w:rPr>
          <w:rFonts w:ascii="Times New Roman" w:cs="Times New Roman" w:eastAsia="Times New Roman" w:hAnsi="Times New Roman"/>
          <w:sz w:val="16"/>
          <w:szCs w:val="16"/>
          <w:color w:val="auto"/>
        </w:rPr>
      </w:pPr>
    </w:p>
    <w:p>
      <w:pPr>
        <w:ind w:left="640" w:right="179" w:hanging="284"/>
        <w:spacing w:after="0" w:line="236" w:lineRule="auto"/>
        <w:tabs>
          <w:tab w:leader="none" w:pos="64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senior in right of payment to all existing and future obligations of HSSC that are expressly subordinated to the 2026 Senior Secured Notes;</w:t>
      </w:r>
    </w:p>
    <w:p>
      <w:pPr>
        <w:ind w:left="640" w:right="79" w:hanging="284"/>
        <w:spacing w:after="0" w:line="236" w:lineRule="auto"/>
        <w:tabs>
          <w:tab w:leader="none" w:pos="64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structurally junior to any existing and future obligations of any of HSSC’s subsidiaries that do not guarantee the 2026 Senior Secured Notes; and</w:t>
      </w:r>
    </w:p>
    <w:p>
      <w:pPr>
        <w:ind w:left="640" w:right="279" w:hanging="284"/>
        <w:spacing w:after="0" w:line="242" w:lineRule="auto"/>
        <w:tabs>
          <w:tab w:leader="none" w:pos="64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unconditionally guaranteed, jointly and severally, on a general senior secured basis by certain of our HSSC’s subsidiaries, which guarantees rank equally with all of the guarantors’ existing and future unsubordinated indebtedness and effectively senior to such guarantors’ existing and future obligations to the extent of the value of the assets securing the 2026 Senior Secured Notes.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Subject to certain exceptions, the Indentures contain restrictive covenants that, among other things, impose limitations on</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HSSC’s ability and, in certain instances, the ability of certain of HSSC’s subsidiaries to:</w:t>
      </w:r>
    </w:p>
    <w:p>
      <w:pPr>
        <w:spacing w:after="0" w:line="163" w:lineRule="exact"/>
        <w:rPr>
          <w:sz w:val="20"/>
          <w:szCs w:val="20"/>
          <w:color w:val="auto"/>
        </w:rPr>
      </w:pPr>
    </w:p>
    <w:p>
      <w:pPr>
        <w:ind w:left="640" w:hanging="284"/>
        <w:spacing w:after="0"/>
        <w:tabs>
          <w:tab w:leader="none" w:pos="64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incur additional debt;</w:t>
      </w:r>
    </w:p>
    <w:p>
      <w:pPr>
        <w:spacing w:after="0" w:line="24"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pay dividends or make distributions on HSSC’s or their capital stock or repurchase HSSC’s or their capital stock;</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make certain investments;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create liens or enter into sale and leaseback transactions;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enter into transactions with affiliates;</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merge or consolidate with another company;</w:t>
      </w:r>
    </w:p>
    <w:p>
      <w:pPr>
        <w:spacing w:after="0" w:line="8" w:lineRule="exact"/>
        <w:rPr>
          <w:rFonts w:ascii="Times New Roman" w:cs="Times New Roman" w:eastAsia="Times New Roman" w:hAnsi="Times New Roman"/>
          <w:sz w:val="16"/>
          <w:szCs w:val="16"/>
          <w:color w:val="auto"/>
        </w:rPr>
      </w:pPr>
    </w:p>
    <w:p>
      <w:pPr>
        <w:ind w:left="640" w:hanging="284"/>
        <w:spacing w:after="0"/>
        <w:tabs>
          <w:tab w:leader="none" w:pos="64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transfer and sell assets; and</w:t>
      </w:r>
    </w:p>
    <w:p>
      <w:pPr>
        <w:spacing w:after="0" w:line="8" w:lineRule="exact"/>
        <w:rPr>
          <w:rFonts w:ascii="Times New Roman" w:cs="Times New Roman" w:eastAsia="Times New Roman" w:hAnsi="Times New Roman"/>
          <w:sz w:val="16"/>
          <w:szCs w:val="16"/>
          <w:color w:val="auto"/>
        </w:rPr>
      </w:pPr>
    </w:p>
    <w:p>
      <w:pPr>
        <w:ind w:left="640" w:right="179" w:hanging="284"/>
        <w:spacing w:after="0" w:line="254" w:lineRule="auto"/>
        <w:tabs>
          <w:tab w:leader="none" w:pos="64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allow to exist certain restrictions on its or their ability to pay dividends, make distributions, make other payments, or transfer assets.</w:t>
      </w:r>
    </w:p>
    <w:p>
      <w:pPr>
        <w:spacing w:after="0" w:line="138" w:lineRule="exact"/>
        <w:rPr>
          <w:sz w:val="20"/>
          <w:szCs w:val="20"/>
          <w:color w:val="auto"/>
        </w:rPr>
      </w:pPr>
    </w:p>
    <w:p>
      <w:pPr>
        <w:ind w:left="40" w:right="479"/>
        <w:spacing w:after="0" w:line="256" w:lineRule="auto"/>
        <w:rPr>
          <w:sz w:val="20"/>
          <w:szCs w:val="20"/>
          <w:color w:val="auto"/>
        </w:rPr>
      </w:pPr>
      <w:r>
        <w:rPr>
          <w:rFonts w:ascii="Arial" w:cs="Arial" w:eastAsia="Arial" w:hAnsi="Arial"/>
          <w:sz w:val="16"/>
          <w:szCs w:val="16"/>
          <w:color w:val="auto"/>
        </w:rPr>
        <w:t>In the event of a change of control, as defined in the respective indenture, we would be required to make an offer to repurchase all or any part of a holder’s 2026 Senior Secured Notes at a purchase price equal to 101% of the aggregate principal amount thereof, together with accrued and unpaid interest thereon, to the date of repurchase.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0">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2" w:name="page183"/>
    <w:bookmarkEnd w:id="18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Intercompany Loans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DISH 2021 Intercompany Loan</w:t>
      </w:r>
    </w:p>
    <w:p>
      <w:pPr>
        <w:spacing w:after="0" w:line="177"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color w:val="auto"/>
        </w:rPr>
        <w:t>The net proceeds from the offering of our 5 1/4% Senior Secured Notes due 2026 and our 5 3/4% Senior Secured Notes due 2028 (the “Senior Secured Notes”) issued on November 26, 2021 were used by DISH DBS to make an intercompany loan to DISH Network pursuant to a Loan and Security Agreement dated November 26, 2021 (together with potential future advances to DISH Network, the “DISH 2021 Intercompany Loan”) between DISH DBS and DISH Network in order to finance the purchase of wireless spectrum licenses and for general corporate purposes, including our 5G Network Deployment. The DISH 2021 Intercompany Loan matures in two tranches, with the first tranche maturing on December 1, 2026 (the “DISH 2021 Intercompany Loan 2026 Tranche”) and the second tranche maturing on December 1, 2028 (the “DISH 2021 Intercompany Loan 2028 Tranche”). DISH DBS may make additional advances to DISH Network under the DISH 2021 Intercompany Loan, and on February 11, 2022, DISH DBS advanced an additional $1.5 billion to DISH Network under the DISH 2021 Intercompany Loan 2026 Tranche.</w:t>
      </w:r>
    </w:p>
    <w:p>
      <w:pPr>
        <w:spacing w:after="0" w:line="149"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Interest accrues and is payable semiannually, and interest payments with respect to the DISH 2021 Intercompany Loan were, at our option, payable in kind for the first two years from the issuance date of November 2021. In the third year post issuance date, a minimum of 50% of each interest payment due with respect to each tranche of the DISH 2021 Intercompany Loan were required to be paid in cash. Currently, interest payments must be paid in cash. Interest accrues: (a) when paid in cash, at a fixed rate of 0.25% per annum in excess of the interest rate applicable to, in the case of the DISH 2021 Intercompany Loan 2026 Tranche, the 5 1/4% Senior Secured Notes due 2026, and in the case of the DISH 2021 Intercompany Loan 2028 Tranche, the 5 3/4% Senior Secured Notes due 2028 (each, the “Cash Accrual Rate” with respect to the applicable tranche); and (b) when paid in kind, at a rate of 0.75% per annum in excess of the Cash Accrual Rate for the applicable tranche.</w:t>
      </w:r>
    </w:p>
    <w:p>
      <w:pPr>
        <w:spacing w:after="0" w:line="337" w:lineRule="exact"/>
        <w:rPr>
          <w:sz w:val="20"/>
          <w:szCs w:val="20"/>
          <w:color w:val="auto"/>
        </w:rPr>
      </w:pPr>
    </w:p>
    <w:p>
      <w:pPr>
        <w:ind w:left="40" w:right="119"/>
        <w:spacing w:after="0" w:line="256" w:lineRule="auto"/>
        <w:rPr>
          <w:sz w:val="20"/>
          <w:szCs w:val="20"/>
          <w:color w:val="auto"/>
        </w:rPr>
      </w:pPr>
      <w:r>
        <w:rPr>
          <w:rFonts w:ascii="Arial" w:cs="Arial" w:eastAsia="Arial" w:hAnsi="Arial"/>
          <w:sz w:val="16"/>
          <w:szCs w:val="16"/>
          <w:color w:val="auto"/>
        </w:rPr>
        <w:t>As of December 31, 2024, the total DISH 2021 Intercompany Loan amount outstanding plus interest paid in kind was $7.612 billion. During the year ended December 31, 2024, interest payments for the Intercompany Loan paid in cash totaled $323 million.</w:t>
      </w:r>
    </w:p>
    <w:p>
      <w:pPr>
        <w:spacing w:after="0" w:line="137" w:lineRule="exact"/>
        <w:rPr>
          <w:sz w:val="20"/>
          <w:szCs w:val="20"/>
          <w:color w:val="auto"/>
        </w:rPr>
      </w:pPr>
    </w:p>
    <w:p>
      <w:pPr>
        <w:ind w:left="40" w:right="59" w:hanging="6"/>
        <w:spacing w:after="0" w:line="243" w:lineRule="auto"/>
        <w:rPr>
          <w:sz w:val="20"/>
          <w:szCs w:val="20"/>
          <w:color w:val="auto"/>
        </w:rPr>
      </w:pPr>
      <w:r>
        <w:rPr>
          <w:rFonts w:ascii="Arial" w:cs="Arial" w:eastAsia="Arial" w:hAnsi="Arial"/>
          <w:sz w:val="16"/>
          <w:szCs w:val="16"/>
          <w:i w:val="1"/>
          <w:iCs w:val="1"/>
          <w:color w:val="auto"/>
        </w:rPr>
        <w:t xml:space="preserve">DISH 2021 Intercompany Loan 2026 Tranche. </w:t>
      </w:r>
      <w:r>
        <w:rPr>
          <w:rFonts w:ascii="Arial" w:cs="Arial" w:eastAsia="Arial" w:hAnsi="Arial"/>
          <w:sz w:val="16"/>
          <w:szCs w:val="16"/>
          <w:color w:val="auto"/>
        </w:rPr>
        <w:t>In January 2024, we completed a series of assignments resulting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of the receivable in respect to the DISH 2021 Intercompany Loan 2026 Tranche of $4.7 billion from DISH DBS to EchoStar Intercompany Receivable Company L.L.C., our direct wholly-owned subsidiary, such that amounts owed in respect of the DISH 2021 Intercompany Loan 2026 Tranche will now be paid by DISH Network to EchoStar Intercompany Receivable Company L.L.C. As of December 31, 2024, the total DISH 2021 Intercompany Loan 2026 Tranche amount outstanding plus interest paid in kind was $4.767 billion. During the year ended December 31, 2024, interest payments for the DISH 2021 Intercompany Loan 2026 Tranche paid in cash totaled $196 million.</w:t>
      </w:r>
    </w:p>
    <w:p>
      <w:pPr>
        <w:spacing w:after="0" w:line="148" w:lineRule="exact"/>
        <w:rPr>
          <w:sz w:val="20"/>
          <w:szCs w:val="20"/>
          <w:color w:val="auto"/>
        </w:rPr>
      </w:pPr>
    </w:p>
    <w:p>
      <w:pPr>
        <w:ind w:left="40" w:right="179"/>
        <w:spacing w:after="0" w:line="243" w:lineRule="auto"/>
        <w:rPr>
          <w:sz w:val="20"/>
          <w:szCs w:val="20"/>
          <w:color w:val="auto"/>
        </w:rPr>
      </w:pPr>
      <w:r>
        <w:rPr>
          <w:rFonts w:ascii="Arial" w:cs="Arial" w:eastAsia="Arial" w:hAnsi="Arial"/>
          <w:sz w:val="16"/>
          <w:szCs w:val="16"/>
          <w:color w:val="auto"/>
        </w:rPr>
        <w:t>The DISH 2021 Intercompany Loan is secured by Weminuche’s (DISH Network’s indirect wholly-owned subsidiary) interest in the wireless spectrum licenses for the 3.45-3.55 GHz Licenses up to the total loan amount outstanding including interest paid in kind. Pursuant to the terms of the 2021 Intercompany Loan, under certain circumstances, DISH Network wireless spectrum licenses (valued based upon a third-party valuation) may be substituted for the collateral. The DISH 2021 Intercompany Loan is not included as collateral for the Senior Secured Notes, and the Senior Secured Notes are subordinated to DISH DBS’s existing and certain future unsecured notes with respect to certain realizations under the DISH 2021 Intercompany Loan and any collateral pledged as security for the DISH 2021 Intercompany Loan.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01">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3" w:name="page184"/>
    <w:bookmarkEnd w:id="18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DISH Q2 2024 Intercompany Loan</w:t>
      </w:r>
    </w:p>
    <w:p>
      <w:pPr>
        <w:spacing w:after="0" w:line="177" w:lineRule="exact"/>
        <w:rPr>
          <w:sz w:val="20"/>
          <w:szCs w:val="20"/>
          <w:color w:val="auto"/>
        </w:rPr>
      </w:pPr>
    </w:p>
    <w:p>
      <w:pPr>
        <w:ind w:left="60" w:right="79" w:hanging="10"/>
        <w:spacing w:after="0" w:line="244" w:lineRule="auto"/>
        <w:rPr>
          <w:sz w:val="20"/>
          <w:szCs w:val="20"/>
          <w:color w:val="auto"/>
        </w:rPr>
      </w:pPr>
      <w:r>
        <w:rPr>
          <w:rFonts w:ascii="Arial" w:cs="Arial" w:eastAsia="Arial" w:hAnsi="Arial"/>
          <w:sz w:val="16"/>
          <w:szCs w:val="16"/>
          <w:color w:val="auto"/>
        </w:rPr>
        <w:t>In June 2024, DISH Network entered into an intercompany loan with DISH DBS (the “DISH Q2 2024 Intercompany Loan”) for an initial principal amount of $1.508 billion. The DISH Q2 2024 Intercompany Loan matures on August 13, 2028. Interest accrues and is payable monthly and interest payments are payable in kind. The interest rate with respect to the DISH Q2 2024 Intercompany Loan is at a variable rate, subject to adjustments based on, among other things, the weighted average cost of borrowing for DISH DBS. As of December 31, 2024, the total DISH Q2 2024 Intercompany Loan amount outstanding plus interest paid in kind was $1.577 billion.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DISH Q3 2024 Intercompany Loan</w:t>
      </w:r>
    </w:p>
    <w:p>
      <w:pPr>
        <w:spacing w:after="0" w:line="177" w:lineRule="exact"/>
        <w:rPr>
          <w:sz w:val="20"/>
          <w:szCs w:val="20"/>
          <w:color w:val="auto"/>
        </w:rPr>
      </w:pPr>
    </w:p>
    <w:p>
      <w:pPr>
        <w:ind w:left="60" w:right="79" w:hanging="10"/>
        <w:spacing w:after="0" w:line="244" w:lineRule="auto"/>
        <w:rPr>
          <w:sz w:val="20"/>
          <w:szCs w:val="20"/>
          <w:color w:val="auto"/>
        </w:rPr>
      </w:pPr>
      <w:r>
        <w:rPr>
          <w:rFonts w:ascii="Arial" w:cs="Arial" w:eastAsia="Arial" w:hAnsi="Arial"/>
          <w:sz w:val="16"/>
          <w:szCs w:val="16"/>
          <w:color w:val="auto"/>
        </w:rPr>
        <w:t>In September 2024, DISH Network entered into an intercompany loan with DISH DBS (the “DISH Q3 2024 Intercompany Loan”) for an initial principal amount of $ 481 million. The DISH Q3 2024 Intercompany Loan matures on November 13, 2028. Interest accrues and is payable monthly and interest payments are payable in kind. The interest rate with respect to the DISH Q3 2024 Intercompany Loan is at a variable rate, subject to adjustments based on, among other things, the weighted average cost of borrowing for DISH DBS. As of December 31, 2024, the total DISH Q3 2024 Intercompany Loan amount outstanding plus interest paid in kind was $493 million.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EchoStar 2024 Intercompany Loan</w:t>
      </w:r>
    </w:p>
    <w:p>
      <w:pPr>
        <w:spacing w:after="0" w:line="177" w:lineRule="exact"/>
        <w:rPr>
          <w:sz w:val="20"/>
          <w:szCs w:val="20"/>
          <w:color w:val="auto"/>
        </w:rPr>
      </w:pPr>
    </w:p>
    <w:p>
      <w:pPr>
        <w:ind w:left="60" w:right="79" w:hanging="10"/>
        <w:spacing w:after="0" w:line="243" w:lineRule="auto"/>
        <w:rPr>
          <w:sz w:val="20"/>
          <w:szCs w:val="20"/>
          <w:color w:val="auto"/>
        </w:rPr>
      </w:pPr>
      <w:r>
        <w:rPr>
          <w:rFonts w:ascii="Arial" w:cs="Arial" w:eastAsia="Arial" w:hAnsi="Arial"/>
          <w:sz w:val="16"/>
          <w:szCs w:val="16"/>
          <w:color w:val="auto"/>
        </w:rPr>
        <w:t>In November 2024, EchoStar Financing L.L.C., our subsidiary, entered into an intercompany loan with DISH Wireless L.L.C., a subsidiary of DISH Network, (the “EchoStar 2024 Intercompany Loan”) for a borrowing principal amount of up to $4.500 billion. The EchoStar 2024 Intercompany Loan matures on November 30, 2030. Interest accrues at an annual rate of 11.50% and is payable monthly. Interest payments are payable in kind. DISH Wireless L.L.C., at its option, may elect to repay the EchoStar 2024 Intercompany Loan amount outstanding prior to maturity in cash or assets at a redemption price equal to 100% of the principal amount. As of December 31, 2024, the total EchoStar 2024 Intercompany Loan amount outstanding plus interest paid in kind was $1.015 billion.</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on Long-Term Debt</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1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8"/>
              </w:rPr>
              <w:t>Annual</w:t>
            </w:r>
          </w:p>
        </w:tc>
      </w:tr>
      <w:tr>
        <w:trPr>
          <w:trHeight w:val="169"/>
        </w:trPr>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5"/>
              </w:rPr>
              <w:t>Semi-Annual</w:t>
            </w:r>
          </w:p>
        </w:tc>
        <w:tc>
          <w:tcPr>
            <w:tcW w:w="140" w:type="dxa"/>
            <w:vAlign w:val="bottom"/>
          </w:tcPr>
          <w:p>
            <w:pPr>
              <w:spacing w:after="0"/>
              <w:rPr>
                <w:sz w:val="14"/>
                <w:szCs w:val="14"/>
                <w:color w:val="auto"/>
              </w:rPr>
            </w:pPr>
          </w:p>
        </w:tc>
        <w:tc>
          <w:tcPr>
            <w:tcW w:w="1480" w:type="dxa"/>
            <w:vAlign w:val="bottom"/>
            <w:gridSpan w:val="2"/>
          </w:tcPr>
          <w:p>
            <w:pPr>
              <w:jc w:val="center"/>
              <w:ind w:right="200"/>
              <w:spacing w:after="0" w:line="169" w:lineRule="exact"/>
              <w:rPr>
                <w:sz w:val="20"/>
                <w:szCs w:val="20"/>
                <w:color w:val="auto"/>
              </w:rPr>
            </w:pPr>
            <w:r>
              <w:rPr>
                <w:rFonts w:ascii="Arial" w:cs="Arial" w:eastAsia="Arial" w:hAnsi="Arial"/>
                <w:sz w:val="15"/>
                <w:szCs w:val="15"/>
                <w:b w:val="1"/>
                <w:bCs w:val="1"/>
                <w:color w:val="auto"/>
                <w:w w:val="96"/>
              </w:rPr>
              <w:t>Debt Service</w:t>
            </w:r>
          </w:p>
        </w:tc>
      </w:tr>
      <w:tr>
        <w:trPr>
          <w:trHeight w:val="182"/>
        </w:trPr>
        <w:tc>
          <w:tcPr>
            <w:tcW w:w="1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Issuer</w:t>
            </w:r>
          </w:p>
        </w:tc>
        <w:tc>
          <w:tcPr>
            <w:tcW w:w="24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Payment Dates</w:t>
            </w:r>
          </w:p>
        </w:tc>
        <w:tc>
          <w:tcPr>
            <w:tcW w:w="140" w:type="dxa"/>
            <w:vAlign w:val="bottom"/>
          </w:tcPr>
          <w:p>
            <w:pPr>
              <w:spacing w:after="0"/>
              <w:rPr>
                <w:sz w:val="15"/>
                <w:szCs w:val="15"/>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6"/>
              </w:rPr>
              <w:t>Requirements (1)</w:t>
            </w:r>
          </w:p>
        </w:tc>
      </w:tr>
      <w:tr>
        <w:trPr>
          <w:trHeight w:val="162"/>
        </w:trPr>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67"/>
              <w:spacing w:after="0" w:line="161" w:lineRule="exact"/>
              <w:rPr>
                <w:sz w:val="20"/>
                <w:szCs w:val="20"/>
                <w:color w:val="auto"/>
              </w:rPr>
            </w:pPr>
            <w:r>
              <w:rPr>
                <w:rFonts w:ascii="Arial" w:cs="Arial" w:eastAsia="Arial" w:hAnsi="Arial"/>
                <w:sz w:val="15"/>
                <w:szCs w:val="15"/>
                <w:color w:val="auto"/>
                <w:w w:val="95"/>
              </w:rPr>
              <w:t>(In thousands)</w:t>
            </w:r>
          </w:p>
        </w:tc>
        <w:tc>
          <w:tcPr>
            <w:tcW w:w="60" w:type="dxa"/>
            <w:vAlign w:val="bottom"/>
          </w:tcPr>
          <w:p>
            <w:pPr>
              <w:spacing w:after="0"/>
              <w:rPr>
                <w:sz w:val="14"/>
                <w:szCs w:val="14"/>
                <w:color w:val="auto"/>
              </w:rPr>
            </w:pPr>
          </w:p>
        </w:tc>
      </w:tr>
      <w:tr>
        <w:trPr>
          <w:trHeight w:val="182"/>
        </w:trPr>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7</w:t>
            </w:r>
          </w:p>
        </w:tc>
        <w:tc>
          <w:tcPr>
            <w:tcW w:w="3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3/4% Senior Notes due 2026</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5"/>
              </w:rPr>
              <w:t>DDBS</w:t>
            </w:r>
          </w:p>
        </w:tc>
        <w:tc>
          <w:tcPr>
            <w:tcW w:w="248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6"/>
              </w:rPr>
              <w:t>January 1 and July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155,000</w:t>
            </w:r>
          </w:p>
        </w:tc>
        <w:tc>
          <w:tcPr>
            <w:tcW w:w="60" w:type="dxa"/>
            <w:vAlign w:val="bottom"/>
            <w:shd w:val="clear" w:color="auto" w:fill="CCEEFF"/>
          </w:tcPr>
          <w:p>
            <w:pPr>
              <w:spacing w:after="0"/>
              <w:rPr>
                <w:sz w:val="15"/>
                <w:szCs w:val="15"/>
                <w:color w:val="auto"/>
              </w:rPr>
            </w:pPr>
          </w:p>
        </w:tc>
      </w:tr>
      <w:tr>
        <w:trPr>
          <w:trHeight w:val="182"/>
        </w:trPr>
        <w:tc>
          <w:tcPr>
            <w:tcW w:w="100" w:type="dxa"/>
            <w:vAlign w:val="bottom"/>
          </w:tcPr>
          <w:p>
            <w:pPr>
              <w:spacing w:after="0"/>
              <w:rPr>
                <w:sz w:val="20"/>
                <w:szCs w:val="20"/>
                <w:color w:val="auto"/>
              </w:rPr>
            </w:pPr>
            <w:r>
              <w:rPr>
                <w:rFonts w:ascii="Arial" w:cs="Arial" w:eastAsia="Arial" w:hAnsi="Arial"/>
                <w:sz w:val="15"/>
                <w:szCs w:val="15"/>
                <w:color w:val="auto"/>
                <w:w w:val="95"/>
              </w:rPr>
              <w:t>5</w:t>
            </w:r>
          </w:p>
        </w:tc>
        <w:tc>
          <w:tcPr>
            <w:tcW w:w="3740" w:type="dxa"/>
            <w:vAlign w:val="bottom"/>
          </w:tcPr>
          <w:p>
            <w:pPr>
              <w:ind w:left="20"/>
              <w:spacing w:after="0"/>
              <w:rPr>
                <w:sz w:val="20"/>
                <w:szCs w:val="20"/>
                <w:color w:val="auto"/>
              </w:rPr>
            </w:pPr>
            <w:r>
              <w:rPr>
                <w:rFonts w:ascii="Arial" w:cs="Arial" w:eastAsia="Arial" w:hAnsi="Arial"/>
                <w:sz w:val="15"/>
                <w:szCs w:val="15"/>
                <w:color w:val="auto"/>
              </w:rPr>
              <w:t>1/4% Senior Secured Notes due 2026</w:t>
            </w:r>
          </w:p>
        </w:tc>
        <w:tc>
          <w:tcPr>
            <w:tcW w:w="980" w:type="dxa"/>
            <w:vAlign w:val="bottom"/>
            <w:gridSpan w:val="2"/>
          </w:tcPr>
          <w:p>
            <w:pPr>
              <w:jc w:val="center"/>
              <w:ind w:right="260"/>
              <w:spacing w:after="0"/>
              <w:rPr>
                <w:sz w:val="20"/>
                <w:szCs w:val="20"/>
                <w:color w:val="auto"/>
              </w:rPr>
            </w:pPr>
            <w:r>
              <w:rPr>
                <w:rFonts w:ascii="Arial" w:cs="Arial" w:eastAsia="Arial" w:hAnsi="Arial"/>
                <w:sz w:val="15"/>
                <w:szCs w:val="15"/>
                <w:color w:val="auto"/>
                <w:w w:val="95"/>
              </w:rPr>
              <w:t>HSSC</w:t>
            </w:r>
          </w:p>
        </w:tc>
        <w:tc>
          <w:tcPr>
            <w:tcW w:w="2480" w:type="dxa"/>
            <w:vAlign w:val="bottom"/>
            <w:gridSpan w:val="2"/>
          </w:tcPr>
          <w:p>
            <w:pPr>
              <w:jc w:val="center"/>
              <w:ind w:right="240"/>
              <w:spacing w:after="0"/>
              <w:rPr>
                <w:sz w:val="20"/>
                <w:szCs w:val="20"/>
                <w:color w:val="auto"/>
              </w:rPr>
            </w:pPr>
            <w:r>
              <w:rPr>
                <w:rFonts w:ascii="Arial" w:cs="Arial" w:eastAsia="Arial" w:hAnsi="Arial"/>
                <w:sz w:val="15"/>
                <w:szCs w:val="15"/>
                <w:color w:val="auto"/>
                <w:w w:val="96"/>
              </w:rPr>
              <w:t>February 1 and August 1</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39,375</w:t>
            </w:r>
          </w:p>
        </w:tc>
        <w:tc>
          <w:tcPr>
            <w:tcW w:w="60" w:type="dxa"/>
            <w:vAlign w:val="bottom"/>
          </w:tcPr>
          <w:p>
            <w:pPr>
              <w:spacing w:after="0"/>
              <w:rPr>
                <w:sz w:val="15"/>
                <w:szCs w:val="15"/>
                <w:color w:val="auto"/>
              </w:rPr>
            </w:pPr>
          </w:p>
        </w:tc>
      </w:tr>
      <w:tr>
        <w:trPr>
          <w:trHeight w:val="182"/>
        </w:trPr>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6</w:t>
            </w:r>
          </w:p>
        </w:tc>
        <w:tc>
          <w:tcPr>
            <w:tcW w:w="3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5/8% Senior Notes due 2026</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5"/>
              </w:rPr>
              <w:t>HSSC</w:t>
            </w:r>
          </w:p>
        </w:tc>
        <w:tc>
          <w:tcPr>
            <w:tcW w:w="248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96"/>
              </w:rPr>
              <w:t>February 1 and August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49,688</w:t>
            </w:r>
          </w:p>
        </w:tc>
        <w:tc>
          <w:tcPr>
            <w:tcW w:w="60" w:type="dxa"/>
            <w:vAlign w:val="bottom"/>
            <w:shd w:val="clear" w:color="auto" w:fill="CCEEFF"/>
          </w:tcPr>
          <w:p>
            <w:pPr>
              <w:spacing w:after="0"/>
              <w:rPr>
                <w:sz w:val="15"/>
                <w:szCs w:val="15"/>
                <w:color w:val="auto"/>
              </w:rPr>
            </w:pPr>
          </w:p>
        </w:tc>
      </w:tr>
      <w:tr>
        <w:trPr>
          <w:trHeight w:val="182"/>
        </w:trPr>
        <w:tc>
          <w:tcPr>
            <w:tcW w:w="100" w:type="dxa"/>
            <w:vAlign w:val="bottom"/>
          </w:tcPr>
          <w:p>
            <w:pPr>
              <w:spacing w:after="0"/>
              <w:rPr>
                <w:sz w:val="20"/>
                <w:szCs w:val="20"/>
                <w:color w:val="auto"/>
              </w:rPr>
            </w:pPr>
            <w:r>
              <w:rPr>
                <w:rFonts w:ascii="Arial" w:cs="Arial" w:eastAsia="Arial" w:hAnsi="Arial"/>
                <w:sz w:val="15"/>
                <w:szCs w:val="15"/>
                <w:color w:val="auto"/>
                <w:w w:val="95"/>
              </w:rPr>
              <w:t>3</w:t>
            </w:r>
          </w:p>
        </w:tc>
        <w:tc>
          <w:tcPr>
            <w:tcW w:w="3740" w:type="dxa"/>
            <w:vAlign w:val="bottom"/>
          </w:tcPr>
          <w:p>
            <w:pPr>
              <w:ind w:left="20"/>
              <w:spacing w:after="0"/>
              <w:rPr>
                <w:sz w:val="20"/>
                <w:szCs w:val="20"/>
                <w:color w:val="auto"/>
              </w:rPr>
            </w:pPr>
            <w:r>
              <w:rPr>
                <w:rFonts w:ascii="Arial" w:cs="Arial" w:eastAsia="Arial" w:hAnsi="Arial"/>
                <w:sz w:val="15"/>
                <w:szCs w:val="15"/>
                <w:color w:val="auto"/>
              </w:rPr>
              <w:t>3/8% Convertible Notes due 2026 (2)</w:t>
            </w:r>
          </w:p>
        </w:tc>
        <w:tc>
          <w:tcPr>
            <w:tcW w:w="98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DISH</w:t>
            </w:r>
          </w:p>
        </w:tc>
        <w:tc>
          <w:tcPr>
            <w:tcW w:w="2480" w:type="dxa"/>
            <w:vAlign w:val="bottom"/>
            <w:gridSpan w:val="2"/>
          </w:tcPr>
          <w:p>
            <w:pPr>
              <w:jc w:val="center"/>
              <w:ind w:right="240"/>
              <w:spacing w:after="0"/>
              <w:rPr>
                <w:sz w:val="20"/>
                <w:szCs w:val="20"/>
                <w:color w:val="auto"/>
              </w:rPr>
            </w:pPr>
            <w:r>
              <w:rPr>
                <w:rFonts w:ascii="Arial" w:cs="Arial" w:eastAsia="Arial" w:hAnsi="Arial"/>
                <w:sz w:val="15"/>
                <w:szCs w:val="15"/>
                <w:color w:val="auto"/>
                <w:w w:val="96"/>
              </w:rPr>
              <w:t>February 15 and August 15</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1,526</w:t>
            </w:r>
          </w:p>
        </w:tc>
        <w:tc>
          <w:tcPr>
            <w:tcW w:w="60" w:type="dxa"/>
            <w:vAlign w:val="bottom"/>
          </w:tcPr>
          <w:p>
            <w:pPr>
              <w:spacing w:after="0"/>
              <w:rPr>
                <w:sz w:val="15"/>
                <w:szCs w:val="15"/>
                <w:color w:val="auto"/>
              </w:rPr>
            </w:pPr>
          </w:p>
        </w:tc>
      </w:tr>
      <w:tr>
        <w:trPr>
          <w:trHeight w:val="182"/>
        </w:trPr>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5</w:t>
            </w:r>
          </w:p>
        </w:tc>
        <w:tc>
          <w:tcPr>
            <w:tcW w:w="3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1/4% Senior Secured Notes due 2026</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5"/>
              </w:rPr>
              <w:t>DDBS</w:t>
            </w:r>
          </w:p>
        </w:tc>
        <w:tc>
          <w:tcPr>
            <w:tcW w:w="248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97"/>
              </w:rPr>
              <w:t>June 1 and December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144,375</w:t>
            </w:r>
          </w:p>
        </w:tc>
        <w:tc>
          <w:tcPr>
            <w:tcW w:w="60" w:type="dxa"/>
            <w:vAlign w:val="bottom"/>
            <w:shd w:val="clear" w:color="auto" w:fill="CCEEFF"/>
          </w:tcPr>
          <w:p>
            <w:pPr>
              <w:spacing w:after="0"/>
              <w:rPr>
                <w:sz w:val="15"/>
                <w:szCs w:val="15"/>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5"/>
                <w:szCs w:val="15"/>
                <w:color w:val="auto"/>
              </w:rPr>
              <w:t>11 3/4% Senior Secured Notes due 2027</w:t>
            </w:r>
          </w:p>
        </w:tc>
        <w:tc>
          <w:tcPr>
            <w:tcW w:w="98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DISH</w:t>
            </w:r>
          </w:p>
        </w:tc>
        <w:tc>
          <w:tcPr>
            <w:tcW w:w="2480" w:type="dxa"/>
            <w:vAlign w:val="bottom"/>
            <w:gridSpan w:val="2"/>
          </w:tcPr>
          <w:p>
            <w:pPr>
              <w:jc w:val="center"/>
              <w:ind w:right="240"/>
              <w:spacing w:after="0"/>
              <w:rPr>
                <w:sz w:val="20"/>
                <w:szCs w:val="20"/>
                <w:color w:val="auto"/>
              </w:rPr>
            </w:pPr>
            <w:r>
              <w:rPr>
                <w:rFonts w:ascii="Arial" w:cs="Arial" w:eastAsia="Arial" w:hAnsi="Arial"/>
                <w:sz w:val="15"/>
                <w:szCs w:val="15"/>
                <w:color w:val="auto"/>
                <w:w w:val="97"/>
              </w:rPr>
              <w:t>May 15 and November 15</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411,250</w:t>
            </w:r>
          </w:p>
        </w:tc>
        <w:tc>
          <w:tcPr>
            <w:tcW w:w="60" w:type="dxa"/>
            <w:vAlign w:val="bottom"/>
          </w:tcPr>
          <w:p>
            <w:pPr>
              <w:spacing w:after="0"/>
              <w:rPr>
                <w:sz w:val="15"/>
                <w:szCs w:val="15"/>
                <w:color w:val="auto"/>
              </w:rPr>
            </w:pPr>
          </w:p>
        </w:tc>
      </w:tr>
      <w:tr>
        <w:trPr>
          <w:trHeight w:val="182"/>
        </w:trPr>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7</w:t>
            </w:r>
          </w:p>
        </w:tc>
        <w:tc>
          <w:tcPr>
            <w:tcW w:w="3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3/8% Senior Notes due 2028</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5"/>
              </w:rPr>
              <w:t>DDBS</w:t>
            </w:r>
          </w:p>
        </w:tc>
        <w:tc>
          <w:tcPr>
            <w:tcW w:w="248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6"/>
              </w:rPr>
              <w:t>January 1 and July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73,750</w:t>
            </w:r>
          </w:p>
        </w:tc>
        <w:tc>
          <w:tcPr>
            <w:tcW w:w="60" w:type="dxa"/>
            <w:vAlign w:val="bottom"/>
            <w:shd w:val="clear" w:color="auto" w:fill="CCEEFF"/>
          </w:tcPr>
          <w:p>
            <w:pPr>
              <w:spacing w:after="0"/>
              <w:rPr>
                <w:sz w:val="15"/>
                <w:szCs w:val="15"/>
                <w:color w:val="auto"/>
              </w:rPr>
            </w:pPr>
          </w:p>
        </w:tc>
      </w:tr>
      <w:tr>
        <w:trPr>
          <w:trHeight w:val="182"/>
        </w:trPr>
        <w:tc>
          <w:tcPr>
            <w:tcW w:w="100" w:type="dxa"/>
            <w:vAlign w:val="bottom"/>
          </w:tcPr>
          <w:p>
            <w:pPr>
              <w:spacing w:after="0"/>
              <w:rPr>
                <w:sz w:val="20"/>
                <w:szCs w:val="20"/>
                <w:color w:val="auto"/>
              </w:rPr>
            </w:pPr>
            <w:r>
              <w:rPr>
                <w:rFonts w:ascii="Arial" w:cs="Arial" w:eastAsia="Arial" w:hAnsi="Arial"/>
                <w:sz w:val="15"/>
                <w:szCs w:val="15"/>
                <w:color w:val="auto"/>
                <w:w w:val="95"/>
              </w:rPr>
              <w:t>5</w:t>
            </w:r>
          </w:p>
        </w:tc>
        <w:tc>
          <w:tcPr>
            <w:tcW w:w="3740" w:type="dxa"/>
            <w:vAlign w:val="bottom"/>
          </w:tcPr>
          <w:p>
            <w:pPr>
              <w:ind w:left="20"/>
              <w:spacing w:after="0"/>
              <w:rPr>
                <w:sz w:val="20"/>
                <w:szCs w:val="20"/>
                <w:color w:val="auto"/>
              </w:rPr>
            </w:pPr>
            <w:r>
              <w:rPr>
                <w:rFonts w:ascii="Arial" w:cs="Arial" w:eastAsia="Arial" w:hAnsi="Arial"/>
                <w:sz w:val="15"/>
                <w:szCs w:val="15"/>
                <w:color w:val="auto"/>
              </w:rPr>
              <w:t>3/4% Senior Secured Notes due 2028</w:t>
            </w:r>
          </w:p>
        </w:tc>
        <w:tc>
          <w:tcPr>
            <w:tcW w:w="980" w:type="dxa"/>
            <w:vAlign w:val="bottom"/>
            <w:gridSpan w:val="2"/>
          </w:tcPr>
          <w:p>
            <w:pPr>
              <w:jc w:val="center"/>
              <w:ind w:right="260"/>
              <w:spacing w:after="0"/>
              <w:rPr>
                <w:sz w:val="20"/>
                <w:szCs w:val="20"/>
                <w:color w:val="auto"/>
              </w:rPr>
            </w:pPr>
            <w:r>
              <w:rPr>
                <w:rFonts w:ascii="Arial" w:cs="Arial" w:eastAsia="Arial" w:hAnsi="Arial"/>
                <w:sz w:val="15"/>
                <w:szCs w:val="15"/>
                <w:color w:val="auto"/>
                <w:w w:val="95"/>
              </w:rPr>
              <w:t>DDBS</w:t>
            </w:r>
          </w:p>
        </w:tc>
        <w:tc>
          <w:tcPr>
            <w:tcW w:w="2480" w:type="dxa"/>
            <w:vAlign w:val="bottom"/>
            <w:gridSpan w:val="2"/>
          </w:tcPr>
          <w:p>
            <w:pPr>
              <w:jc w:val="center"/>
              <w:ind w:right="240"/>
              <w:spacing w:after="0"/>
              <w:rPr>
                <w:sz w:val="20"/>
                <w:szCs w:val="20"/>
                <w:color w:val="auto"/>
              </w:rPr>
            </w:pPr>
            <w:r>
              <w:rPr>
                <w:rFonts w:ascii="Arial" w:cs="Arial" w:eastAsia="Arial" w:hAnsi="Arial"/>
                <w:sz w:val="15"/>
                <w:szCs w:val="15"/>
                <w:color w:val="auto"/>
                <w:w w:val="97"/>
              </w:rPr>
              <w:t>June 1 and December 1</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143,750</w:t>
            </w:r>
          </w:p>
        </w:tc>
        <w:tc>
          <w:tcPr>
            <w:tcW w:w="60" w:type="dxa"/>
            <w:vAlign w:val="bottom"/>
          </w:tcPr>
          <w:p>
            <w:pPr>
              <w:spacing w:after="0"/>
              <w:rPr>
                <w:sz w:val="15"/>
                <w:szCs w:val="15"/>
                <w:color w:val="auto"/>
              </w:rPr>
            </w:pPr>
          </w:p>
        </w:tc>
      </w:tr>
      <w:tr>
        <w:trPr>
          <w:trHeight w:val="182"/>
        </w:trPr>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5</w:t>
            </w:r>
          </w:p>
        </w:tc>
        <w:tc>
          <w:tcPr>
            <w:tcW w:w="3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1/8% Senior Notes due 2029</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5"/>
              </w:rPr>
              <w:t>DDBS</w:t>
            </w:r>
          </w:p>
        </w:tc>
        <w:tc>
          <w:tcPr>
            <w:tcW w:w="248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97"/>
              </w:rPr>
              <w:t>June 1 and December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76,875</w:t>
            </w:r>
          </w:p>
        </w:tc>
        <w:tc>
          <w:tcPr>
            <w:tcW w:w="60" w:type="dxa"/>
            <w:vAlign w:val="bottom"/>
            <w:shd w:val="clear" w:color="auto" w:fill="CCEEFF"/>
          </w:tcPr>
          <w:p>
            <w:pPr>
              <w:spacing w:after="0"/>
              <w:rPr>
                <w:sz w:val="15"/>
                <w:szCs w:val="15"/>
                <w:color w:val="auto"/>
              </w:rPr>
            </w:pPr>
          </w:p>
        </w:tc>
      </w:tr>
      <w:tr>
        <w:trPr>
          <w:trHeight w:val="182"/>
        </w:trPr>
        <w:tc>
          <w:tcPr>
            <w:tcW w:w="3840" w:type="dxa"/>
            <w:vAlign w:val="bottom"/>
            <w:gridSpan w:val="2"/>
          </w:tcPr>
          <w:p>
            <w:pPr>
              <w:spacing w:after="0"/>
              <w:rPr>
                <w:sz w:val="20"/>
                <w:szCs w:val="20"/>
                <w:color w:val="auto"/>
              </w:rPr>
            </w:pPr>
            <w:r>
              <w:rPr>
                <w:rFonts w:ascii="Arial" w:cs="Arial" w:eastAsia="Arial" w:hAnsi="Arial"/>
                <w:sz w:val="15"/>
                <w:szCs w:val="15"/>
                <w:color w:val="auto"/>
              </w:rPr>
              <w:t>10 3/4% Senior Secured Notes due 2029</w:t>
            </w:r>
          </w:p>
        </w:tc>
        <w:tc>
          <w:tcPr>
            <w:tcW w:w="980" w:type="dxa"/>
            <w:vAlign w:val="bottom"/>
            <w:gridSpan w:val="2"/>
          </w:tcPr>
          <w:p>
            <w:pPr>
              <w:jc w:val="center"/>
              <w:ind w:right="240"/>
              <w:spacing w:after="0"/>
              <w:rPr>
                <w:sz w:val="20"/>
                <w:szCs w:val="20"/>
                <w:color w:val="auto"/>
              </w:rPr>
            </w:pPr>
            <w:r>
              <w:rPr>
                <w:rFonts w:ascii="Arial" w:cs="Arial" w:eastAsia="Arial" w:hAnsi="Arial"/>
                <w:sz w:val="15"/>
                <w:szCs w:val="15"/>
                <w:color w:val="auto"/>
                <w:w w:val="96"/>
              </w:rPr>
              <w:t>SATS</w:t>
            </w:r>
          </w:p>
        </w:tc>
        <w:tc>
          <w:tcPr>
            <w:tcW w:w="2480" w:type="dxa"/>
            <w:vAlign w:val="bottom"/>
            <w:gridSpan w:val="2"/>
          </w:tcPr>
          <w:p>
            <w:pPr>
              <w:jc w:val="center"/>
              <w:ind w:right="240"/>
              <w:spacing w:after="0"/>
              <w:rPr>
                <w:sz w:val="20"/>
                <w:szCs w:val="20"/>
                <w:color w:val="auto"/>
              </w:rPr>
            </w:pPr>
            <w:r>
              <w:rPr>
                <w:rFonts w:ascii="Arial" w:cs="Arial" w:eastAsia="Arial" w:hAnsi="Arial"/>
                <w:sz w:val="15"/>
                <w:szCs w:val="15"/>
                <w:color w:val="auto"/>
                <w:w w:val="97"/>
              </w:rPr>
              <w:t>May 30 and November 30</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575,770</w:t>
            </w:r>
          </w:p>
        </w:tc>
        <w:tc>
          <w:tcPr>
            <w:tcW w:w="60" w:type="dxa"/>
            <w:vAlign w:val="bottom"/>
          </w:tcPr>
          <w:p>
            <w:pPr>
              <w:spacing w:after="0"/>
              <w:rPr>
                <w:sz w:val="15"/>
                <w:szCs w:val="15"/>
                <w:color w:val="auto"/>
              </w:rPr>
            </w:pPr>
          </w:p>
        </w:tc>
      </w:tr>
      <w:tr>
        <w:trPr>
          <w:trHeight w:val="182"/>
        </w:trPr>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3</w:t>
            </w:r>
          </w:p>
        </w:tc>
        <w:tc>
          <w:tcPr>
            <w:tcW w:w="3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7/8% Convertible Secured Notes due 2030 (3)</w:t>
            </w: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96"/>
              </w:rPr>
              <w:t>SATS</w:t>
            </w:r>
          </w:p>
        </w:tc>
        <w:tc>
          <w:tcPr>
            <w:tcW w:w="248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97"/>
              </w:rPr>
              <w:t>May 30 and November 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73,866</w:t>
            </w:r>
          </w:p>
        </w:tc>
        <w:tc>
          <w:tcPr>
            <w:tcW w:w="60" w:type="dxa"/>
            <w:vAlign w:val="bottom"/>
            <w:shd w:val="clear" w:color="auto" w:fill="CCEEFF"/>
          </w:tcPr>
          <w:p>
            <w:pPr>
              <w:spacing w:after="0"/>
              <w:rPr>
                <w:sz w:val="15"/>
                <w:szCs w:val="15"/>
                <w:color w:val="auto"/>
              </w:rPr>
            </w:pPr>
          </w:p>
        </w:tc>
      </w:tr>
      <w:tr>
        <w:trPr>
          <w:trHeight w:val="191"/>
        </w:trPr>
        <w:tc>
          <w:tcPr>
            <w:tcW w:w="100" w:type="dxa"/>
            <w:vAlign w:val="bottom"/>
          </w:tcPr>
          <w:p>
            <w:pPr>
              <w:spacing w:after="0"/>
              <w:rPr>
                <w:sz w:val="20"/>
                <w:szCs w:val="20"/>
                <w:color w:val="auto"/>
              </w:rPr>
            </w:pPr>
            <w:r>
              <w:rPr>
                <w:rFonts w:ascii="Arial" w:cs="Arial" w:eastAsia="Arial" w:hAnsi="Arial"/>
                <w:sz w:val="15"/>
                <w:szCs w:val="15"/>
                <w:color w:val="auto"/>
                <w:w w:val="95"/>
              </w:rPr>
              <w:t>6</w:t>
            </w:r>
          </w:p>
        </w:tc>
        <w:tc>
          <w:tcPr>
            <w:tcW w:w="3740" w:type="dxa"/>
            <w:vAlign w:val="bottom"/>
          </w:tcPr>
          <w:p>
            <w:pPr>
              <w:ind w:left="20"/>
              <w:spacing w:after="0"/>
              <w:rPr>
                <w:sz w:val="20"/>
                <w:szCs w:val="20"/>
                <w:color w:val="auto"/>
              </w:rPr>
            </w:pPr>
            <w:r>
              <w:rPr>
                <w:rFonts w:ascii="Arial" w:cs="Arial" w:eastAsia="Arial" w:hAnsi="Arial"/>
                <w:sz w:val="15"/>
                <w:szCs w:val="15"/>
                <w:color w:val="auto"/>
              </w:rPr>
              <w:t>3/4% Senior Secured Notes due 2030 (3)</w:t>
            </w:r>
          </w:p>
        </w:tc>
        <w:tc>
          <w:tcPr>
            <w:tcW w:w="980" w:type="dxa"/>
            <w:vAlign w:val="bottom"/>
            <w:gridSpan w:val="2"/>
          </w:tcPr>
          <w:p>
            <w:pPr>
              <w:jc w:val="center"/>
              <w:ind w:right="240"/>
              <w:spacing w:after="0"/>
              <w:rPr>
                <w:sz w:val="20"/>
                <w:szCs w:val="20"/>
                <w:color w:val="auto"/>
              </w:rPr>
            </w:pPr>
            <w:r>
              <w:rPr>
                <w:rFonts w:ascii="Arial" w:cs="Arial" w:eastAsia="Arial" w:hAnsi="Arial"/>
                <w:sz w:val="15"/>
                <w:szCs w:val="15"/>
                <w:color w:val="auto"/>
                <w:w w:val="96"/>
              </w:rPr>
              <w:t>SATS</w:t>
            </w:r>
          </w:p>
        </w:tc>
        <w:tc>
          <w:tcPr>
            <w:tcW w:w="2480" w:type="dxa"/>
            <w:vAlign w:val="bottom"/>
            <w:gridSpan w:val="2"/>
          </w:tcPr>
          <w:p>
            <w:pPr>
              <w:jc w:val="center"/>
              <w:ind w:right="240"/>
              <w:spacing w:after="0"/>
              <w:rPr>
                <w:sz w:val="20"/>
                <w:szCs w:val="20"/>
                <w:color w:val="auto"/>
              </w:rPr>
            </w:pPr>
            <w:r>
              <w:rPr>
                <w:rFonts w:ascii="Arial" w:cs="Arial" w:eastAsia="Arial" w:hAnsi="Arial"/>
                <w:sz w:val="15"/>
                <w:szCs w:val="15"/>
                <w:color w:val="auto"/>
                <w:w w:val="97"/>
              </w:rPr>
              <w:t>May 30 and November 30</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154,422</w:t>
            </w: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55245</wp:posOffset>
            </wp:positionV>
            <wp:extent cx="142176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02">
                      <a:extLst>
                        <a:ext uri="{28A0092B-C50C-407E-A947-70E740481C1C}"/>
                      </a:extLst>
                    </a:blip>
                    <a:srcRect/>
                    <a:stretch>
                      <a:fillRect/>
                    </a:stretch>
                  </pic:blipFill>
                  <pic:spPr bwMode="auto">
                    <a:xfrm>
                      <a:off x="0" y="0"/>
                      <a:ext cx="1421765" cy="7620"/>
                    </a:xfrm>
                    <a:prstGeom prst="rect">
                      <a:avLst/>
                    </a:prstGeom>
                    <a:noFill/>
                  </pic:spPr>
                </pic:pic>
              </a:graphicData>
            </a:graphic>
          </wp:anchor>
        </w:drawing>
      </w:r>
    </w:p>
    <w:p>
      <w:pPr>
        <w:spacing w:after="0" w:line="147" w:lineRule="exact"/>
        <w:rPr>
          <w:sz w:val="20"/>
          <w:szCs w:val="20"/>
          <w:color w:val="auto"/>
        </w:rPr>
      </w:pPr>
    </w:p>
    <w:p>
      <w:pPr>
        <w:ind w:left="340" w:hanging="298"/>
        <w:spacing w:after="0"/>
        <w:tabs>
          <w:tab w:leader="none" w:pos="340" w:val="left"/>
        </w:tabs>
        <w:numPr>
          <w:ilvl w:val="0"/>
          <w:numId w:val="79"/>
        </w:numPr>
        <w:rPr>
          <w:rFonts w:ascii="Arial" w:cs="Arial" w:eastAsia="Arial" w:hAnsi="Arial"/>
          <w:sz w:val="16"/>
          <w:szCs w:val="16"/>
          <w:color w:val="222222"/>
        </w:rPr>
      </w:pPr>
      <w:r>
        <w:rPr>
          <w:rFonts w:ascii="Arial" w:cs="Arial" w:eastAsia="Arial" w:hAnsi="Arial"/>
          <w:sz w:val="16"/>
          <w:szCs w:val="16"/>
          <w:color w:val="222222"/>
        </w:rPr>
        <w:t>Annual debt service requirements exclude the interest on the New DISH DBS Financing, discussed below.</w:t>
      </w:r>
    </w:p>
    <w:p>
      <w:pPr>
        <w:spacing w:after="0" w:line="13" w:lineRule="exact"/>
        <w:rPr>
          <w:rFonts w:ascii="Arial" w:cs="Arial" w:eastAsia="Arial" w:hAnsi="Arial"/>
          <w:sz w:val="16"/>
          <w:szCs w:val="16"/>
          <w:color w:val="222222"/>
        </w:rPr>
      </w:pPr>
    </w:p>
    <w:p>
      <w:pPr>
        <w:ind w:left="340" w:right="379" w:hanging="298"/>
        <w:spacing w:after="0" w:line="255" w:lineRule="auto"/>
        <w:tabs>
          <w:tab w:leader="none" w:pos="340" w:val="left"/>
        </w:tabs>
        <w:numPr>
          <w:ilvl w:val="0"/>
          <w:numId w:val="79"/>
        </w:numPr>
        <w:rPr>
          <w:rFonts w:ascii="Arial" w:cs="Arial" w:eastAsia="Arial" w:hAnsi="Arial"/>
          <w:sz w:val="16"/>
          <w:szCs w:val="16"/>
          <w:color w:val="222222"/>
        </w:rPr>
      </w:pPr>
      <w:r>
        <w:rPr>
          <w:rFonts w:ascii="Arial" w:cs="Arial" w:eastAsia="Arial" w:hAnsi="Arial"/>
          <w:sz w:val="16"/>
          <w:szCs w:val="16"/>
          <w:color w:val="222222"/>
        </w:rPr>
        <w:t xml:space="preserve">As of December 31, 2024, a total of $45 million aggregate principal amount of </w:t>
      </w:r>
      <w:r>
        <w:rPr>
          <w:rFonts w:ascii="Arial" w:cs="Arial" w:eastAsia="Arial" w:hAnsi="Arial"/>
          <w:sz w:val="16"/>
          <w:szCs w:val="16"/>
          <w:color w:val="000000"/>
        </w:rPr>
        <w:t>3 3/8% Convertible Notes due 2026</w:t>
      </w:r>
      <w:r>
        <w:rPr>
          <w:rFonts w:ascii="Arial" w:cs="Arial" w:eastAsia="Arial" w:hAnsi="Arial"/>
          <w:sz w:val="16"/>
          <w:szCs w:val="16"/>
          <w:color w:val="222222"/>
        </w:rPr>
        <w:t xml:space="preserve"> remain outstanding following the consummation of the EchoStar Exchange Offers. See above for further information.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03">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4" w:name="page185"/>
    <w:bookmarkEnd w:id="18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color w:val="222222"/>
        </w:rPr>
        <w:t xml:space="preserve">(3) Includes interest payments </w:t>
      </w:r>
      <w:r>
        <w:rPr>
          <w:rFonts w:ascii="Arial" w:cs="Arial" w:eastAsia="Arial" w:hAnsi="Arial"/>
          <w:sz w:val="16"/>
          <w:szCs w:val="16"/>
          <w:color w:val="000000"/>
        </w:rPr>
        <w:t>that are, at our option, payable in cash or in kind.</w:t>
      </w:r>
      <w:r>
        <w:rPr>
          <w:rFonts w:ascii="Arial" w:cs="Arial" w:eastAsia="Arial" w:hAnsi="Arial"/>
          <w:sz w:val="16"/>
          <w:szCs w:val="16"/>
          <w:color w:val="222222"/>
        </w:rPr>
        <w:t xml:space="preserve"> See above for further information.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on the New DISH DBS Financing</w:t>
      </w:r>
    </w:p>
    <w:p>
      <w:pPr>
        <w:spacing w:after="0" w:line="177"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222222"/>
        </w:rPr>
        <w:t xml:space="preserve">The </w:t>
      </w:r>
      <w:r>
        <w:rPr>
          <w:rFonts w:ascii="Arial" w:cs="Arial" w:eastAsia="Arial" w:hAnsi="Arial"/>
          <w:sz w:val="16"/>
          <w:szCs w:val="16"/>
          <w:color w:val="000000"/>
        </w:rPr>
        <w:t>Term Loans and the Mandatorily Redeemable Preferred Shares due 2029 have variable interest rates and payment</w:t>
      </w:r>
      <w:r>
        <w:rPr>
          <w:rFonts w:ascii="Arial" w:cs="Arial" w:eastAsia="Arial" w:hAnsi="Arial"/>
          <w:sz w:val="16"/>
          <w:szCs w:val="16"/>
          <w:color w:val="222222"/>
        </w:rPr>
        <w:t xml:space="preserve"> </w:t>
      </w:r>
      <w:r>
        <w:rPr>
          <w:rFonts w:ascii="Arial" w:cs="Arial" w:eastAsia="Arial" w:hAnsi="Arial"/>
          <w:sz w:val="16"/>
          <w:szCs w:val="16"/>
          <w:color w:val="000000"/>
        </w:rPr>
        <w:t xml:space="preserve">terms upon which </w:t>
      </w:r>
      <w:r>
        <w:rPr>
          <w:rFonts w:ascii="Arial" w:cs="Arial" w:eastAsia="Arial" w:hAnsi="Arial"/>
          <w:sz w:val="16"/>
          <w:szCs w:val="16"/>
          <w:color w:val="222222"/>
        </w:rPr>
        <w:t>we may pay a portion of</w:t>
      </w:r>
      <w:r>
        <w:rPr>
          <w:rFonts w:ascii="Arial" w:cs="Arial" w:eastAsia="Arial" w:hAnsi="Arial"/>
          <w:sz w:val="16"/>
          <w:szCs w:val="16"/>
          <w:color w:val="000000"/>
        </w:rPr>
        <w:t xml:space="preserve"> principal balance based on estimated </w:t>
      </w:r>
      <w:r>
        <w:rPr>
          <w:rFonts w:ascii="Arial" w:cs="Arial" w:eastAsia="Arial" w:hAnsi="Arial"/>
          <w:sz w:val="16"/>
          <w:szCs w:val="16"/>
          <w:color w:val="222222"/>
        </w:rPr>
        <w:t>variable cash flows for certain Pay-TV</w:t>
      </w:r>
      <w:r>
        <w:rPr>
          <w:rFonts w:ascii="Arial" w:cs="Arial" w:eastAsia="Arial" w:hAnsi="Arial"/>
          <w:sz w:val="16"/>
          <w:szCs w:val="16"/>
          <w:color w:val="000000"/>
        </w:rPr>
        <w:t xml:space="preserve"> </w:t>
      </w:r>
      <w:r>
        <w:rPr>
          <w:rFonts w:ascii="Arial" w:cs="Arial" w:eastAsia="Arial" w:hAnsi="Arial"/>
          <w:sz w:val="16"/>
          <w:szCs w:val="16"/>
          <w:color w:val="222222"/>
        </w:rPr>
        <w:t xml:space="preserve">business metrics which could change significantly based on actual performance. </w:t>
      </w:r>
      <w:r>
        <w:rPr>
          <w:rFonts w:ascii="Arial" w:cs="Arial" w:eastAsia="Arial" w:hAnsi="Arial"/>
          <w:sz w:val="16"/>
          <w:szCs w:val="16"/>
          <w:color w:val="000000"/>
        </w:rPr>
        <w:t>The estimated annual interest requirement</w:t>
      </w:r>
      <w:r>
        <w:rPr>
          <w:rFonts w:ascii="Arial" w:cs="Arial" w:eastAsia="Arial" w:hAnsi="Arial"/>
          <w:sz w:val="16"/>
          <w:szCs w:val="16"/>
          <w:color w:val="222222"/>
        </w:rPr>
        <w:t xml:space="preserve"> </w:t>
      </w:r>
      <w:r>
        <w:rPr>
          <w:rFonts w:ascii="Arial" w:cs="Arial" w:eastAsia="Arial" w:hAnsi="Arial"/>
          <w:sz w:val="16"/>
          <w:szCs w:val="16"/>
          <w:color w:val="000000"/>
        </w:rPr>
        <w:t>for the Term Loans and the Mandatorily Redeemable Preferred Shares due 2029 for the year ended December 31, 2025 is approximately $245 million.</w:t>
      </w:r>
    </w:p>
    <w:p>
      <w:pPr>
        <w:spacing w:after="0" w:line="146" w:lineRule="exact"/>
        <w:rPr>
          <w:sz w:val="20"/>
          <w:szCs w:val="20"/>
          <w:color w:val="auto"/>
        </w:rPr>
      </w:pPr>
    </w:p>
    <w:p>
      <w:pPr>
        <w:ind w:left="40" w:right="579"/>
        <w:spacing w:after="0" w:line="275" w:lineRule="auto"/>
        <w:rPr>
          <w:sz w:val="20"/>
          <w:szCs w:val="20"/>
          <w:color w:val="auto"/>
        </w:rPr>
      </w:pPr>
      <w:r>
        <w:rPr>
          <w:rFonts w:ascii="Arial" w:cs="Arial" w:eastAsia="Arial" w:hAnsi="Arial"/>
          <w:sz w:val="16"/>
          <w:szCs w:val="16"/>
          <w:color w:val="auto"/>
        </w:rPr>
        <w:t>Our ability to meet our debt service requirements will depend on, among other factors, the successful execution of our business strategy, which is subject to uncertainties and contingencies beyond our control.</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 Debt, Finance Lease and Other Obligations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debt, finance lease and other obligations consisted of the following:</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54"/>
        </w:trPr>
        <w:tc>
          <w:tcPr>
            <w:tcW w:w="6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As of December 31,</w:t>
            </w:r>
          </w:p>
        </w:tc>
      </w:tr>
      <w:tr>
        <w:trPr>
          <w:trHeight w:val="145"/>
        </w:trPr>
        <w:tc>
          <w:tcPr>
            <w:tcW w:w="64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25"/>
              <w:spacing w:after="0" w:line="146" w:lineRule="exact"/>
              <w:rPr>
                <w:sz w:val="20"/>
                <w:szCs w:val="20"/>
                <w:color w:val="auto"/>
              </w:rPr>
            </w:pPr>
            <w:r>
              <w:rPr>
                <w:rFonts w:ascii="Arial" w:cs="Arial" w:eastAsia="Arial" w:hAnsi="Arial"/>
                <w:sz w:val="13"/>
                <w:szCs w:val="13"/>
                <w:b w:val="1"/>
                <w:bCs w:val="1"/>
                <w:color w:val="auto"/>
              </w:rPr>
              <w:t>2024</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02"/>
              <w:spacing w:after="0" w:line="146" w:lineRule="exact"/>
              <w:rPr>
                <w:sz w:val="20"/>
                <w:szCs w:val="20"/>
                <w:color w:val="auto"/>
              </w:rPr>
            </w:pPr>
            <w:r>
              <w:rPr>
                <w:rFonts w:ascii="Arial" w:cs="Arial" w:eastAsia="Arial" w:hAnsi="Arial"/>
                <w:sz w:val="13"/>
                <w:szCs w:val="13"/>
                <w:b w:val="1"/>
                <w:bCs w:val="1"/>
                <w:color w:val="auto"/>
              </w:rPr>
              <w:t>2023</w:t>
            </w:r>
          </w:p>
        </w:tc>
        <w:tc>
          <w:tcPr>
            <w:tcW w:w="60" w:type="dxa"/>
            <w:vAlign w:val="bottom"/>
          </w:tcPr>
          <w:p>
            <w:pPr>
              <w:spacing w:after="0"/>
              <w:rPr>
                <w:sz w:val="12"/>
                <w:szCs w:val="12"/>
                <w:color w:val="auto"/>
              </w:rPr>
            </w:pPr>
          </w:p>
        </w:tc>
      </w:tr>
      <w:tr>
        <w:trPr>
          <w:trHeight w:val="125"/>
        </w:trPr>
        <w:tc>
          <w:tcPr>
            <w:tcW w:w="6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right"/>
              <w:spacing w:after="0" w:line="126" w:lineRule="exact"/>
              <w:rPr>
                <w:sz w:val="20"/>
                <w:szCs w:val="20"/>
                <w:color w:val="auto"/>
              </w:rPr>
            </w:pPr>
            <w:r>
              <w:rPr>
                <w:rFonts w:ascii="Arial" w:cs="Arial" w:eastAsia="Arial" w:hAnsi="Arial"/>
                <w:sz w:val="13"/>
                <w:szCs w:val="13"/>
                <w:color w:val="auto"/>
              </w:rPr>
              <w:t>(In thousands)</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2"/>
        </w:trPr>
        <w:tc>
          <w:tcPr>
            <w:tcW w:w="64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Satellites and other finance lease obligations</w:t>
            </w:r>
          </w:p>
        </w:tc>
        <w:tc>
          <w:tcPr>
            <w:tcW w:w="260" w:type="dxa"/>
            <w:vAlign w:val="bottom"/>
            <w:shd w:val="clear" w:color="auto" w:fill="CCEEFF"/>
          </w:tcPr>
          <w:p>
            <w:pPr>
              <w:jc w:val="right"/>
              <w:ind w:right="79"/>
              <w:spacing w:after="0" w:line="181"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67,199</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59"/>
              <w:spacing w:after="0" w:line="181"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123,658</w:t>
            </w:r>
          </w:p>
        </w:tc>
        <w:tc>
          <w:tcPr>
            <w:tcW w:w="60" w:type="dxa"/>
            <w:vAlign w:val="bottom"/>
            <w:shd w:val="clear" w:color="auto" w:fill="CCEEFF"/>
          </w:tcPr>
          <w:p>
            <w:pPr>
              <w:spacing w:after="0"/>
              <w:rPr>
                <w:sz w:val="15"/>
                <w:szCs w:val="15"/>
                <w:color w:val="auto"/>
              </w:rPr>
            </w:pPr>
          </w:p>
        </w:tc>
      </w:tr>
      <w:tr>
        <w:trPr>
          <w:trHeight w:val="165"/>
        </w:trPr>
        <w:tc>
          <w:tcPr>
            <w:tcW w:w="6480" w:type="dxa"/>
            <w:vAlign w:val="bottom"/>
          </w:tcPr>
          <w:p>
            <w:pPr>
              <w:spacing w:after="0" w:line="165" w:lineRule="exact"/>
              <w:rPr>
                <w:sz w:val="20"/>
                <w:szCs w:val="20"/>
                <w:color w:val="auto"/>
              </w:rPr>
            </w:pPr>
            <w:r>
              <w:rPr>
                <w:rFonts w:ascii="Arial" w:cs="Arial" w:eastAsia="Arial" w:hAnsi="Arial"/>
                <w:sz w:val="16"/>
                <w:szCs w:val="16"/>
                <w:color w:val="auto"/>
              </w:rPr>
              <w:t>Notes payable related to satellite vendor financing and other debt payable in</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8"/>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installments through 2032 with interest rates ranging from approximately 4% to 10%</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108,072</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160,158</w:t>
            </w:r>
          </w:p>
        </w:tc>
        <w:tc>
          <w:tcPr>
            <w:tcW w:w="60" w:type="dxa"/>
            <w:vAlign w:val="bottom"/>
            <w:tcBorders>
              <w:bottom w:val="single" w:sz="8" w:color="CCEEFF"/>
            </w:tcBorders>
          </w:tcPr>
          <w:p>
            <w:pPr>
              <w:spacing w:after="0"/>
              <w:rPr>
                <w:sz w:val="17"/>
                <w:szCs w:val="17"/>
                <w:color w:val="auto"/>
              </w:rPr>
            </w:pPr>
          </w:p>
        </w:tc>
      </w:tr>
      <w:tr>
        <w:trPr>
          <w:trHeight w:val="174"/>
        </w:trPr>
        <w:tc>
          <w:tcPr>
            <w:tcW w:w="6480" w:type="dxa"/>
            <w:vAlign w:val="bottom"/>
            <w:shd w:val="clear" w:color="auto" w:fill="CCEEFF"/>
          </w:tcPr>
          <w:p>
            <w:pPr>
              <w:spacing w:after="0" w:line="174" w:lineRule="exact"/>
              <w:rPr>
                <w:sz w:val="20"/>
                <w:szCs w:val="20"/>
                <w:color w:val="auto"/>
              </w:rPr>
            </w:pPr>
            <w:r>
              <w:rPr>
                <w:rFonts w:ascii="Arial" w:cs="Arial" w:eastAsia="Arial" w:hAnsi="Arial"/>
                <w:sz w:val="16"/>
                <w:szCs w:val="16"/>
                <w:b w:val="1"/>
                <w:bCs w:val="1"/>
                <w:color w:val="auto"/>
              </w:rPr>
              <w:t>Total</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175,271</w:t>
            </w: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4" w:lineRule="exact"/>
              <w:rPr>
                <w:sz w:val="20"/>
                <w:szCs w:val="20"/>
                <w:color w:val="auto"/>
              </w:rPr>
            </w:pPr>
            <w:r>
              <w:rPr>
                <w:rFonts w:ascii="Arial" w:cs="Arial" w:eastAsia="Arial" w:hAnsi="Arial"/>
                <w:sz w:val="16"/>
                <w:szCs w:val="16"/>
                <w:color w:val="auto"/>
              </w:rPr>
              <w:t>283,816</w:t>
            </w:r>
          </w:p>
        </w:tc>
        <w:tc>
          <w:tcPr>
            <w:tcW w:w="60" w:type="dxa"/>
            <w:vAlign w:val="bottom"/>
            <w:shd w:val="clear" w:color="auto" w:fill="CCEEFF"/>
          </w:tcPr>
          <w:p>
            <w:pPr>
              <w:spacing w:after="0"/>
              <w:rPr>
                <w:sz w:val="15"/>
                <w:szCs w:val="15"/>
                <w:color w:val="auto"/>
              </w:rPr>
            </w:pPr>
          </w:p>
        </w:tc>
      </w:tr>
      <w:tr>
        <w:trPr>
          <w:trHeight w:val="182"/>
        </w:trPr>
        <w:tc>
          <w:tcPr>
            <w:tcW w:w="6480" w:type="dxa"/>
            <w:vAlign w:val="bottom"/>
          </w:tcPr>
          <w:p>
            <w:pPr>
              <w:spacing w:after="0" w:line="181" w:lineRule="exact"/>
              <w:rPr>
                <w:sz w:val="20"/>
                <w:szCs w:val="20"/>
                <w:color w:val="auto"/>
              </w:rPr>
            </w:pPr>
            <w:r>
              <w:rPr>
                <w:rFonts w:ascii="Arial" w:cs="Arial" w:eastAsia="Arial" w:hAnsi="Arial"/>
                <w:sz w:val="16"/>
                <w:szCs w:val="16"/>
                <w:color w:val="auto"/>
              </w:rPr>
              <w:t>Less: current portion</w:t>
            </w:r>
          </w:p>
        </w:tc>
        <w:tc>
          <w:tcPr>
            <w:tcW w:w="260" w:type="dxa"/>
            <w:vAlign w:val="bottom"/>
          </w:tcPr>
          <w:p>
            <w:pPr>
              <w:spacing w:after="0"/>
              <w:rPr>
                <w:sz w:val="15"/>
                <w:szCs w:val="15"/>
                <w:color w:val="auto"/>
              </w:rPr>
            </w:pPr>
          </w:p>
        </w:tc>
        <w:tc>
          <w:tcPr>
            <w:tcW w:w="106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(69,496)</w:t>
            </w:r>
          </w:p>
        </w:tc>
        <w:tc>
          <w:tcPr>
            <w:tcW w:w="340" w:type="dxa"/>
            <w:vAlign w:val="bottom"/>
          </w:tcPr>
          <w:p>
            <w:pPr>
              <w:spacing w:after="0"/>
              <w:rPr>
                <w:sz w:val="15"/>
                <w:szCs w:val="15"/>
                <w:color w:val="auto"/>
              </w:rPr>
            </w:pPr>
          </w:p>
        </w:tc>
        <w:tc>
          <w:tcPr>
            <w:tcW w:w="7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(112,942)</w:t>
            </w:r>
          </w:p>
        </w:tc>
      </w:tr>
      <w:tr>
        <w:trPr>
          <w:trHeight w:val="174"/>
        </w:trPr>
        <w:tc>
          <w:tcPr>
            <w:tcW w:w="6480" w:type="dxa"/>
            <w:vAlign w:val="bottom"/>
            <w:tcBorders>
              <w:top w:val="single" w:sz="8" w:color="CCEEFF"/>
              <w:bottom w:val="single" w:sz="8" w:color="CCEEFF"/>
            </w:tcBorders>
            <w:shd w:val="clear" w:color="auto" w:fill="CCEEFF"/>
          </w:tcPr>
          <w:p>
            <w:pPr>
              <w:spacing w:after="0" w:line="174" w:lineRule="exact"/>
              <w:rPr>
                <w:sz w:val="20"/>
                <w:szCs w:val="20"/>
                <w:color w:val="auto"/>
              </w:rPr>
            </w:pPr>
            <w:r>
              <w:rPr>
                <w:rFonts w:ascii="Arial" w:cs="Arial" w:eastAsia="Arial" w:hAnsi="Arial"/>
                <w:sz w:val="16"/>
                <w:szCs w:val="16"/>
                <w:b w:val="1"/>
                <w:bCs w:val="1"/>
                <w:color w:val="auto"/>
              </w:rPr>
              <w:t>Other long-term debt, finance lease and other obligations, net of current portion</w:t>
            </w:r>
          </w:p>
        </w:tc>
        <w:tc>
          <w:tcPr>
            <w:tcW w:w="260" w:type="dxa"/>
            <w:vAlign w:val="bottom"/>
            <w:tcBorders>
              <w:top w:val="single" w:sz="8" w:color="auto"/>
              <w:bottom w:val="single" w:sz="8" w:color="auto"/>
            </w:tcBorders>
            <w:shd w:val="clear" w:color="auto" w:fill="CCEEFF"/>
          </w:tcPr>
          <w:p>
            <w:pPr>
              <w:jc w:val="right"/>
              <w:ind w:right="79"/>
              <w:spacing w:after="0" w:line="174"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105,775</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9"/>
              <w:spacing w:after="0" w:line="174" w:lineRule="exact"/>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170,874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4">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5" w:name="page186"/>
    <w:bookmarkEnd w:id="18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Finance Lease Obligations</w:t>
      </w:r>
    </w:p>
    <w:p>
      <w:pPr>
        <w:spacing w:after="0" w:line="177" w:lineRule="exact"/>
        <w:rPr>
          <w:sz w:val="20"/>
          <w:szCs w:val="20"/>
          <w:color w:val="auto"/>
        </w:rPr>
      </w:pPr>
    </w:p>
    <w:p>
      <w:pPr>
        <w:ind w:left="40" w:right="179"/>
        <w:spacing w:after="0" w:line="249" w:lineRule="auto"/>
        <w:rPr>
          <w:sz w:val="20"/>
          <w:szCs w:val="20"/>
          <w:color w:val="auto"/>
        </w:rPr>
      </w:pPr>
      <w:r>
        <w:rPr>
          <w:rFonts w:ascii="Arial" w:cs="Arial" w:eastAsia="Arial" w:hAnsi="Arial"/>
          <w:sz w:val="16"/>
          <w:szCs w:val="16"/>
          <w:i w:val="1"/>
          <w:iCs w:val="1"/>
          <w:color w:val="auto"/>
        </w:rPr>
        <w:t xml:space="preserve">Anik F3. </w:t>
      </w:r>
      <w:r>
        <w:rPr>
          <w:rFonts w:ascii="Arial" w:cs="Arial" w:eastAsia="Arial" w:hAnsi="Arial"/>
          <w:sz w:val="16"/>
          <w:szCs w:val="16"/>
          <w:color w:val="auto"/>
        </w:rPr>
        <w:t>Anik F3, an FSS satellite, was launched and commenced commercial operation in April 2007. This satellite was</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accounted for as a finance lease and depreciated over the term of the satellite service agreement. We leased 100% of the Ku-band capacity on Anik F3 for an initial period of 15 years. During April 2022, we extended the Anik F3 lease and as a result it is currently accounted for as an operating lease.</w:t>
      </w:r>
    </w:p>
    <w:p>
      <w:pPr>
        <w:spacing w:after="0" w:line="144" w:lineRule="exact"/>
        <w:rPr>
          <w:sz w:val="20"/>
          <w:szCs w:val="20"/>
          <w:color w:val="auto"/>
        </w:rPr>
      </w:pPr>
    </w:p>
    <w:p>
      <w:pPr>
        <w:ind w:left="40" w:right="119"/>
        <w:spacing w:after="0" w:line="244" w:lineRule="auto"/>
        <w:rPr>
          <w:sz w:val="20"/>
          <w:szCs w:val="20"/>
          <w:color w:val="auto"/>
        </w:rPr>
      </w:pPr>
      <w:r>
        <w:rPr>
          <w:rFonts w:ascii="Arial" w:cs="Arial" w:eastAsia="Arial" w:hAnsi="Arial"/>
          <w:sz w:val="16"/>
          <w:szCs w:val="16"/>
          <w:i w:val="1"/>
          <w:iCs w:val="1"/>
          <w:color w:val="auto"/>
        </w:rPr>
        <w:t>Nimiq 5</w:t>
      </w:r>
      <w:r>
        <w:rPr>
          <w:rFonts w:ascii="Arial" w:cs="Arial" w:eastAsia="Arial" w:hAnsi="Arial"/>
          <w:sz w:val="16"/>
          <w:szCs w:val="16"/>
          <w:color w:val="auto"/>
        </w:rPr>
        <w:t>. On May 19, 2019, we entered into a Master Transaction Agreement pursuant to which, on September 10, 2019, the</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service agreement for Nimiq 5 was transferred to us. Nimiq 5 was launched in September 2009 and commenced commercial operation at the 72.7 degree west longitude orbital location during October 2009. This satellite was previously accounted for as a finance lease and depreciated over the term of the satellite service agreement. We leased 100% of the capacity on Nimiq 5 for an initial period of 15 years. During October 2024, we extended the Nimiq 5 lease and, as a result of the new terms, it is currently accounted for as an operating lease.</w:t>
      </w:r>
    </w:p>
    <w:p>
      <w:pPr>
        <w:spacing w:after="0" w:line="148" w:lineRule="exact"/>
        <w:rPr>
          <w:sz w:val="20"/>
          <w:szCs w:val="20"/>
          <w:color w:val="auto"/>
        </w:rPr>
      </w:pPr>
    </w:p>
    <w:p>
      <w:pPr>
        <w:ind w:left="40" w:right="179"/>
        <w:spacing w:after="0" w:line="275" w:lineRule="auto"/>
        <w:rPr>
          <w:sz w:val="20"/>
          <w:szCs w:val="20"/>
          <w:color w:val="auto"/>
        </w:rPr>
      </w:pPr>
      <w:r>
        <w:rPr>
          <w:rFonts w:ascii="Arial" w:cs="Arial" w:eastAsia="Arial" w:hAnsi="Arial"/>
          <w:sz w:val="16"/>
          <w:szCs w:val="16"/>
          <w:i w:val="1"/>
          <w:iCs w:val="1"/>
          <w:color w:val="auto"/>
        </w:rPr>
        <w:t xml:space="preserve">Dell Finance Lease. </w:t>
      </w:r>
      <w:r>
        <w:rPr>
          <w:rFonts w:ascii="Arial" w:cs="Arial" w:eastAsia="Arial" w:hAnsi="Arial"/>
          <w:sz w:val="16"/>
          <w:szCs w:val="16"/>
          <w:color w:val="auto"/>
        </w:rPr>
        <w:t>On July 17, 2020, we entered into a master agreement with Dell to lease certain components of our 5G</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Deployment infrastructure, including certain equipment.</w:t>
      </w:r>
    </w:p>
    <w:p>
      <w:pPr>
        <w:spacing w:after="0" w:line="123"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The summary of future maturities of our outstanding debt as of December 31, 2024 is included in the commitments table in Note 15.</w:t>
      </w:r>
    </w:p>
    <w:p>
      <w:pPr>
        <w:spacing w:after="0" w:line="123" w:lineRule="exact"/>
        <w:rPr>
          <w:sz w:val="20"/>
          <w:szCs w:val="20"/>
          <w:color w:val="auto"/>
        </w:rPr>
      </w:pPr>
    </w:p>
    <w:p>
      <w:pPr>
        <w:ind w:left="40" w:right="3839"/>
        <w:spacing w:after="0" w:line="473" w:lineRule="auto"/>
        <w:rPr>
          <w:sz w:val="20"/>
          <w:szCs w:val="20"/>
          <w:color w:val="auto"/>
        </w:rPr>
      </w:pPr>
      <w:r>
        <w:rPr>
          <w:rFonts w:ascii="Arial" w:cs="Arial" w:eastAsia="Arial" w:hAnsi="Arial"/>
          <w:sz w:val="16"/>
          <w:szCs w:val="16"/>
          <w:b w:val="1"/>
          <w:bCs w:val="1"/>
          <w:color w:val="auto"/>
        </w:rPr>
        <w:t xml:space="preserve">11. Income Taxes and Accounting for Uncertainty in Income Taxes </w:t>
      </w:r>
      <w:r>
        <w:rPr>
          <w:rFonts w:ascii="Arial" w:cs="Arial" w:eastAsia="Arial" w:hAnsi="Arial"/>
          <w:sz w:val="16"/>
          <w:szCs w:val="16"/>
          <w:b w:val="1"/>
          <w:bCs w:val="1"/>
          <w:i w:val="1"/>
          <w:iCs w:val="1"/>
          <w:color w:val="auto"/>
        </w:rPr>
        <w:t>Income Taxes</w:t>
      </w:r>
    </w:p>
    <w:p>
      <w:pPr>
        <w:spacing w:after="0" w:line="1" w:lineRule="exact"/>
        <w:rPr>
          <w:sz w:val="20"/>
          <w:szCs w:val="20"/>
          <w:color w:val="auto"/>
        </w:rPr>
      </w:pPr>
    </w:p>
    <w:p>
      <w:pPr>
        <w:ind w:left="40" w:right="79"/>
        <w:spacing w:after="0" w:line="244" w:lineRule="auto"/>
        <w:rPr>
          <w:sz w:val="20"/>
          <w:szCs w:val="20"/>
          <w:color w:val="auto"/>
        </w:rPr>
      </w:pPr>
      <w:r>
        <w:rPr>
          <w:rFonts w:ascii="Arial" w:cs="Arial" w:eastAsia="Arial" w:hAnsi="Arial"/>
          <w:sz w:val="16"/>
          <w:szCs w:val="16"/>
          <w:color w:val="auto"/>
        </w:rPr>
        <w:t>Our income tax policy is to record the estimated future tax effects of temporary differences between the tax bases of assets and liabilities and amounts reported on our Consolidated Balance Sheets, as well as probable operating loss, tax credit and other carryforwards. Deferred tax assets are offset by valuation allowances when we believe it is more likely than not that net deferred tax assets will not be realized. We periodically evaluate our need for a valuation allowance. Determining necessary valuation allowances requires us to make assessments about historical financial information as well as the timing of future events, including the probability of expected future taxable income and available tax planning opportunities.</w:t>
      </w:r>
    </w:p>
    <w:p>
      <w:pPr>
        <w:spacing w:after="0" w:line="148" w:lineRule="exact"/>
        <w:rPr>
          <w:sz w:val="20"/>
          <w:szCs w:val="20"/>
          <w:color w:val="auto"/>
        </w:rPr>
      </w:pPr>
    </w:p>
    <w:p>
      <w:pPr>
        <w:jc w:val="both"/>
        <w:ind w:left="40" w:right="219"/>
        <w:spacing w:after="0" w:line="256" w:lineRule="auto"/>
        <w:rPr>
          <w:sz w:val="20"/>
          <w:szCs w:val="20"/>
          <w:color w:val="auto"/>
        </w:rPr>
      </w:pPr>
      <w:r>
        <w:rPr>
          <w:rFonts w:ascii="Arial" w:cs="Arial" w:eastAsia="Arial" w:hAnsi="Arial"/>
          <w:sz w:val="16"/>
          <w:szCs w:val="16"/>
          <w:color w:val="auto"/>
        </w:rPr>
        <w:t>We file consolidated tax returns in the United States. The income taxes of domestic and foreign subsidiaries not included in the United States tax group are presented in our consolidated financial statements on a separate return basis for each tax paying entity.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05">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6" w:name="page187"/>
    <w:bookmarkEnd w:id="18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279"/>
        <w:spacing w:after="0" w:line="249" w:lineRule="auto"/>
        <w:rPr>
          <w:sz w:val="20"/>
          <w:szCs w:val="20"/>
          <w:color w:val="auto"/>
        </w:rPr>
      </w:pPr>
      <w:r>
        <w:rPr>
          <w:rFonts w:ascii="Arial" w:cs="Arial" w:eastAsia="Arial" w:hAnsi="Arial"/>
          <w:sz w:val="16"/>
          <w:szCs w:val="16"/>
          <w:color w:val="auto"/>
        </w:rPr>
        <w:t>As of December 31, 2024, we had $543 million net operating loss carryforwards (“NOLs”) for federal income tax purposes, $277 million of NOL carryforwards for state income tax purposes and $201 million of foreign NOL carryfowards which are partially offset by a valuation allowance. In addition, there are $389 million of tax benefits related to credit carryforwards which are partially offset by a valuation allowance. Portions of the state NOL and credit carryforwards expired in 2024.</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components of the (benefit from) provision for income taxes were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center"/>
              <w:ind w:left="627"/>
              <w:spacing w:after="0"/>
              <w:rPr>
                <w:sz w:val="20"/>
                <w:szCs w:val="20"/>
                <w:color w:val="auto"/>
              </w:rPr>
            </w:pPr>
            <w:r>
              <w:rPr>
                <w:rFonts w:ascii="Arial" w:cs="Arial" w:eastAsia="Arial" w:hAnsi="Arial"/>
                <w:sz w:val="15"/>
                <w:szCs w:val="15"/>
                <w:b w:val="1"/>
                <w:bCs w:val="1"/>
                <w:color w:val="auto"/>
                <w:w w:val="96"/>
              </w:rPr>
              <w:t>For the Years Ended December 31,</w:t>
            </w:r>
          </w:p>
        </w:tc>
        <w:tc>
          <w:tcPr>
            <w:tcW w:w="1000" w:type="dxa"/>
            <w:vAlign w:val="bottom"/>
            <w:tcBorders>
              <w:bottom w:val="single" w:sz="8" w:color="auto"/>
            </w:tcBorders>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7"/>
              <w:spacing w:after="0" w:line="169" w:lineRule="exact"/>
              <w:rPr>
                <w:sz w:val="20"/>
                <w:szCs w:val="20"/>
                <w:color w:val="auto"/>
              </w:rPr>
            </w:pPr>
            <w:r>
              <w:rPr>
                <w:rFonts w:ascii="Arial" w:cs="Arial" w:eastAsia="Arial" w:hAnsi="Arial"/>
                <w:sz w:val="15"/>
                <w:szCs w:val="15"/>
                <w:b w:val="1"/>
                <w:bCs w:val="1"/>
                <w:color w:val="auto"/>
              </w:rPr>
              <w:t>2024</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7"/>
              <w:spacing w:after="0" w:line="169" w:lineRule="exact"/>
              <w:rPr>
                <w:sz w:val="20"/>
                <w:szCs w:val="20"/>
                <w:color w:val="auto"/>
              </w:rPr>
            </w:pPr>
            <w:r>
              <w:rPr>
                <w:rFonts w:ascii="Arial" w:cs="Arial" w:eastAsia="Arial" w:hAnsi="Arial"/>
                <w:sz w:val="15"/>
                <w:szCs w:val="15"/>
                <w:b w:val="1"/>
                <w:bCs w:val="1"/>
                <w:color w:val="auto"/>
                <w:w w:val="95"/>
              </w:rPr>
              <w:t>2023</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7"/>
              <w:spacing w:after="0" w:line="169" w:lineRule="exact"/>
              <w:rPr>
                <w:sz w:val="20"/>
                <w:szCs w:val="20"/>
                <w:color w:val="auto"/>
              </w:rPr>
            </w:pPr>
            <w:r>
              <w:rPr>
                <w:rFonts w:ascii="Arial" w:cs="Arial" w:eastAsia="Arial" w:hAnsi="Arial"/>
                <w:sz w:val="15"/>
                <w:szCs w:val="15"/>
                <w:b w:val="1"/>
                <w:bCs w:val="1"/>
                <w:color w:val="auto"/>
              </w:rPr>
              <w:t>2022</w:t>
            </w:r>
          </w:p>
        </w:tc>
      </w:tr>
      <w:tr>
        <w:trPr>
          <w:trHeight w:val="149"/>
        </w:trPr>
        <w:tc>
          <w:tcPr>
            <w:tcW w:w="4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7"/>
              <w:spacing w:after="0" w:line="149" w:lineRule="exact"/>
              <w:rPr>
                <w:sz w:val="20"/>
                <w:szCs w:val="20"/>
                <w:color w:val="auto"/>
              </w:rPr>
            </w:pPr>
            <w:r>
              <w:rPr>
                <w:rFonts w:ascii="Arial" w:cs="Arial" w:eastAsia="Arial" w:hAnsi="Arial"/>
                <w:sz w:val="15"/>
                <w:szCs w:val="15"/>
                <w:color w:val="auto"/>
                <w:w w:val="95"/>
              </w:rPr>
              <w:t>(In thousands)</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9"/>
        </w:trPr>
        <w:tc>
          <w:tcPr>
            <w:tcW w:w="424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Current (benefit) provision:</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9"/>
        </w:trPr>
        <w:tc>
          <w:tcPr>
            <w:tcW w:w="4240" w:type="dxa"/>
            <w:vAlign w:val="bottom"/>
          </w:tcPr>
          <w:p>
            <w:pPr>
              <w:spacing w:after="0" w:line="169" w:lineRule="exact"/>
              <w:rPr>
                <w:sz w:val="20"/>
                <w:szCs w:val="20"/>
                <w:color w:val="auto"/>
              </w:rPr>
            </w:pPr>
            <w:r>
              <w:rPr>
                <w:rFonts w:ascii="Arial" w:cs="Arial" w:eastAsia="Arial" w:hAnsi="Arial"/>
                <w:sz w:val="15"/>
                <w:szCs w:val="15"/>
                <w:color w:val="auto"/>
              </w:rPr>
              <w:t>Federal</w:t>
            </w:r>
          </w:p>
        </w:tc>
        <w:tc>
          <w:tcPr>
            <w:tcW w:w="320" w:type="dxa"/>
            <w:vAlign w:val="bottom"/>
          </w:tcPr>
          <w:p>
            <w:pPr>
              <w:jc w:val="right"/>
              <w:ind w:right="147"/>
              <w:spacing w:after="0" w:line="169" w:lineRule="exact"/>
              <w:rPr>
                <w:sz w:val="20"/>
                <w:szCs w:val="20"/>
                <w:color w:val="auto"/>
              </w:rPr>
            </w:pPr>
            <w:r>
              <w:rPr>
                <w:rFonts w:ascii="Arial" w:cs="Arial" w:eastAsia="Arial" w:hAnsi="Arial"/>
                <w:sz w:val="15"/>
                <w:szCs w:val="15"/>
                <w:color w:val="auto"/>
                <w:w w:val="95"/>
              </w:rPr>
              <w:t>$</w:t>
            </w:r>
          </w:p>
        </w:tc>
        <w:tc>
          <w:tcPr>
            <w:tcW w:w="13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(20,241)</w:t>
            </w: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(7,484)</w:t>
            </w:r>
          </w:p>
        </w:tc>
        <w:tc>
          <w:tcPr>
            <w:tcW w:w="380" w:type="dxa"/>
            <w:vAlign w:val="bottom"/>
          </w:tcPr>
          <w:p>
            <w:pPr>
              <w:jc w:val="right"/>
              <w:ind w:right="227"/>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(1,283)</w:t>
            </w:r>
          </w:p>
        </w:tc>
      </w:tr>
      <w:tr>
        <w:trPr>
          <w:trHeight w:val="169"/>
        </w:trPr>
        <w:tc>
          <w:tcPr>
            <w:tcW w:w="4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State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23,007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39,441</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70,707</w:t>
            </w:r>
          </w:p>
        </w:tc>
      </w:tr>
      <w:tr>
        <w:trPr>
          <w:trHeight w:val="169"/>
        </w:trPr>
        <w:tc>
          <w:tcPr>
            <w:tcW w:w="424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Foreign</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17,898</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8,405</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(601)</w:t>
            </w:r>
          </w:p>
        </w:tc>
      </w:tr>
      <w:tr>
        <w:trPr>
          <w:trHeight w:val="162"/>
        </w:trPr>
        <w:tc>
          <w:tcPr>
            <w:tcW w:w="424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current (benefit) provision</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20,664</w:t>
            </w: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40,362</w:t>
            </w:r>
          </w:p>
        </w:tc>
        <w:tc>
          <w:tcPr>
            <w:tcW w:w="2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68,823</w:t>
            </w:r>
          </w:p>
        </w:tc>
      </w:tr>
      <w:tr>
        <w:trPr>
          <w:trHeight w:val="162"/>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9"/>
        </w:trPr>
        <w:tc>
          <w:tcPr>
            <w:tcW w:w="424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Deferred (benefit) provision:</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9"/>
        </w:trPr>
        <w:tc>
          <w:tcPr>
            <w:tcW w:w="4240" w:type="dxa"/>
            <w:vAlign w:val="bottom"/>
          </w:tcPr>
          <w:p>
            <w:pPr>
              <w:spacing w:after="0" w:line="169" w:lineRule="exact"/>
              <w:rPr>
                <w:sz w:val="20"/>
                <w:szCs w:val="20"/>
                <w:color w:val="auto"/>
              </w:rPr>
            </w:pPr>
            <w:r>
              <w:rPr>
                <w:rFonts w:ascii="Arial" w:cs="Arial" w:eastAsia="Arial" w:hAnsi="Arial"/>
                <w:sz w:val="15"/>
                <w:szCs w:val="15"/>
                <w:color w:val="auto"/>
              </w:rPr>
              <w:t>Federal</w:t>
            </w:r>
          </w:p>
        </w:tc>
        <w:tc>
          <w:tcPr>
            <w:tcW w:w="320" w:type="dxa"/>
            <w:vAlign w:val="bottom"/>
          </w:tcPr>
          <w:p>
            <w:pPr>
              <w:spacing w:after="0"/>
              <w:rPr>
                <w:sz w:val="14"/>
                <w:szCs w:val="14"/>
                <w:color w:val="auto"/>
              </w:rPr>
            </w:pPr>
          </w:p>
        </w:tc>
        <w:tc>
          <w:tcPr>
            <w:tcW w:w="13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(35,837)</w:t>
            </w:r>
          </w:p>
        </w:tc>
        <w:tc>
          <w:tcPr>
            <w:tcW w:w="140" w:type="dxa"/>
            <w:vAlign w:val="bottom"/>
          </w:tcPr>
          <w:p>
            <w:pPr>
              <w:spacing w:after="0"/>
              <w:rPr>
                <w:sz w:val="14"/>
                <w:szCs w:val="14"/>
                <w:color w:val="auto"/>
              </w:rPr>
            </w:pPr>
          </w:p>
        </w:tc>
        <w:tc>
          <w:tcPr>
            <w:tcW w:w="150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(308,917)</w:t>
            </w:r>
          </w:p>
        </w:tc>
        <w:tc>
          <w:tcPr>
            <w:tcW w:w="38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638,077</w:t>
            </w:r>
          </w:p>
        </w:tc>
      </w:tr>
      <w:tr>
        <w:trPr>
          <w:trHeight w:val="169"/>
        </w:trPr>
        <w:tc>
          <w:tcPr>
            <w:tcW w:w="4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State</w:t>
            </w:r>
          </w:p>
        </w:tc>
        <w:tc>
          <w:tcPr>
            <w:tcW w:w="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(60,930)</w:t>
            </w: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(150,108)</w:t>
            </w: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93,755</w:t>
            </w:r>
          </w:p>
        </w:tc>
      </w:tr>
      <w:tr>
        <w:trPr>
          <w:trHeight w:val="169"/>
        </w:trPr>
        <w:tc>
          <w:tcPr>
            <w:tcW w:w="4240" w:type="dxa"/>
            <w:vAlign w:val="bottom"/>
          </w:tcPr>
          <w:p>
            <w:pPr>
              <w:spacing w:after="0" w:line="169" w:lineRule="exact"/>
              <w:rPr>
                <w:sz w:val="20"/>
                <w:szCs w:val="20"/>
                <w:color w:val="auto"/>
              </w:rPr>
            </w:pPr>
            <w:r>
              <w:rPr>
                <w:rFonts w:ascii="Arial" w:cs="Arial" w:eastAsia="Arial" w:hAnsi="Arial"/>
                <w:sz w:val="15"/>
                <w:szCs w:val="15"/>
                <w:color w:val="auto"/>
              </w:rPr>
              <w:t>Foreign</w:t>
            </w:r>
          </w:p>
        </w:tc>
        <w:tc>
          <w:tcPr>
            <w:tcW w:w="320" w:type="dxa"/>
            <w:vAlign w:val="bottom"/>
          </w:tcPr>
          <w:p>
            <w:pPr>
              <w:spacing w:after="0"/>
              <w:rPr>
                <w:sz w:val="14"/>
                <w:szCs w:val="14"/>
                <w:color w:val="auto"/>
              </w:rPr>
            </w:pPr>
          </w:p>
        </w:tc>
        <w:tc>
          <w:tcPr>
            <w:tcW w:w="13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(23,653)</w:t>
            </w:r>
          </w:p>
        </w:tc>
        <w:tc>
          <w:tcPr>
            <w:tcW w:w="140" w:type="dxa"/>
            <w:vAlign w:val="bottom"/>
          </w:tcPr>
          <w:p>
            <w:pPr>
              <w:spacing w:after="0"/>
              <w:rPr>
                <w:sz w:val="14"/>
                <w:szCs w:val="14"/>
                <w:color w:val="auto"/>
              </w:rPr>
            </w:pPr>
          </w:p>
        </w:tc>
        <w:tc>
          <w:tcPr>
            <w:tcW w:w="150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(45,006)</w:t>
            </w:r>
          </w:p>
        </w:tc>
        <w:tc>
          <w:tcPr>
            <w:tcW w:w="38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(20,965)</w:t>
            </w:r>
          </w:p>
        </w:tc>
      </w:tr>
      <w:tr>
        <w:trPr>
          <w:trHeight w:val="169"/>
        </w:trPr>
        <w:tc>
          <w:tcPr>
            <w:tcW w:w="4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Increase (decrease) in valuation allowance</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148,701</w:t>
            </w:r>
          </w:p>
        </w:tc>
        <w:tc>
          <w:tcPr>
            <w:tcW w:w="2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166,809</w:t>
            </w:r>
          </w:p>
        </w:tc>
        <w:tc>
          <w:tcPr>
            <w:tcW w:w="2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18,720</w:t>
            </w:r>
          </w:p>
        </w:tc>
      </w:tr>
      <w:tr>
        <w:trPr>
          <w:trHeight w:val="162"/>
        </w:trPr>
        <w:tc>
          <w:tcPr>
            <w:tcW w:w="424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b w:val="1"/>
                <w:bCs w:val="1"/>
                <w:color w:val="auto"/>
              </w:rPr>
              <w:t>Total deferred (benefit) provision</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28,281</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(337,222)</w:t>
            </w: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729,587</w:t>
            </w:r>
          </w:p>
        </w:tc>
      </w:tr>
      <w:tr>
        <w:trPr>
          <w:trHeight w:val="162"/>
        </w:trPr>
        <w:tc>
          <w:tcPr>
            <w:tcW w:w="424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(benefit) provision</w:t>
            </w:r>
          </w:p>
        </w:tc>
        <w:tc>
          <w:tcPr>
            <w:tcW w:w="320" w:type="dxa"/>
            <w:vAlign w:val="bottom"/>
            <w:tcBorders>
              <w:bottom w:val="single" w:sz="8" w:color="auto"/>
            </w:tcBorders>
            <w:shd w:val="clear" w:color="auto" w:fill="CCEEFF"/>
          </w:tcPr>
          <w:p>
            <w:pPr>
              <w:jc w:val="right"/>
              <w:ind w:right="147"/>
              <w:spacing w:after="0" w:line="161"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48,945</w:t>
            </w:r>
          </w:p>
        </w:tc>
        <w:tc>
          <w:tcPr>
            <w:tcW w:w="2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(296,860)</w:t>
            </w:r>
          </w:p>
        </w:tc>
        <w:tc>
          <w:tcPr>
            <w:tcW w:w="2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7"/>
              <w:spacing w:after="0" w:line="161"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798,410</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0" w:right="1079"/>
        <w:spacing w:after="0" w:line="275" w:lineRule="auto"/>
        <w:rPr>
          <w:sz w:val="20"/>
          <w:szCs w:val="20"/>
          <w:color w:val="auto"/>
        </w:rPr>
      </w:pPr>
      <w:r>
        <w:rPr>
          <w:rFonts w:ascii="Arial" w:cs="Arial" w:eastAsia="Arial" w:hAnsi="Arial"/>
          <w:sz w:val="16"/>
          <w:szCs w:val="16"/>
          <w:color w:val="auto"/>
        </w:rPr>
        <w:t>Our $76 million loss of “Income (loss) before income taxes” on our Consolidated Statements of Operations and Comprehensive Income (Loss) included a loss of $103 million related to our foreign operations.</w:t>
      </w:r>
    </w:p>
    <w:p>
      <w:pPr>
        <w:spacing w:after="0" w:line="123" w:lineRule="exact"/>
        <w:rPr>
          <w:sz w:val="20"/>
          <w:szCs w:val="20"/>
          <w:color w:val="auto"/>
        </w:rPr>
      </w:pPr>
    </w:p>
    <w:p>
      <w:pPr>
        <w:ind w:left="40" w:right="379"/>
        <w:spacing w:after="0" w:line="275" w:lineRule="auto"/>
        <w:rPr>
          <w:sz w:val="20"/>
          <w:szCs w:val="20"/>
          <w:color w:val="auto"/>
        </w:rPr>
      </w:pPr>
      <w:r>
        <w:rPr>
          <w:rFonts w:ascii="Arial" w:cs="Arial" w:eastAsia="Arial" w:hAnsi="Arial"/>
          <w:sz w:val="16"/>
          <w:szCs w:val="16"/>
          <w:color w:val="auto"/>
        </w:rPr>
        <w:t>The following table shows the principal reasons for the difference between the effective income tax rate and the statutory federal tax rate:</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00" w:type="dxa"/>
            <w:vAlign w:val="bottom"/>
            <w:tcBorders>
              <w:bottom w:val="single" w:sz="8" w:color="auto"/>
            </w:tcBorders>
            <w:gridSpan w:val="5"/>
          </w:tcPr>
          <w:p>
            <w:pPr>
              <w:ind w:left="700"/>
              <w:spacing w:after="0"/>
              <w:rPr>
                <w:sz w:val="20"/>
                <w:szCs w:val="20"/>
                <w:color w:val="auto"/>
              </w:rPr>
            </w:pPr>
            <w:r>
              <w:rPr>
                <w:rFonts w:ascii="Arial" w:cs="Arial" w:eastAsia="Arial" w:hAnsi="Arial"/>
                <w:sz w:val="15"/>
                <w:szCs w:val="15"/>
                <w:b w:val="1"/>
                <w:bCs w:val="1"/>
                <w:color w:val="auto"/>
                <w:w w:val="96"/>
              </w:rPr>
              <w:t>For the Years Ended December 31,</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1060" w:type="dxa"/>
            <w:vAlign w:val="bottom"/>
            <w:tcBorders>
              <w:bottom w:val="single" w:sz="8" w:color="auto"/>
            </w:tcBorders>
          </w:tcPr>
          <w:p>
            <w:pPr>
              <w:jc w:val="right"/>
              <w:ind w:right="287"/>
              <w:spacing w:after="0" w:line="169" w:lineRule="exact"/>
              <w:rPr>
                <w:sz w:val="20"/>
                <w:szCs w:val="20"/>
                <w:color w:val="auto"/>
              </w:rPr>
            </w:pPr>
            <w:r>
              <w:rPr>
                <w:rFonts w:ascii="Arial" w:cs="Arial" w:eastAsia="Arial" w:hAnsi="Arial"/>
                <w:sz w:val="15"/>
                <w:szCs w:val="15"/>
                <w:b w:val="1"/>
                <w:bCs w:val="1"/>
                <w:color w:val="auto"/>
              </w:rPr>
              <w:t>2024</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w w:val="86"/>
              </w:rPr>
              <w:t>% of</w:t>
            </w:r>
          </w:p>
        </w:tc>
        <w:tc>
          <w:tcPr>
            <w:tcW w:w="1100" w:type="dxa"/>
            <w:vAlign w:val="bottom"/>
            <w:tcBorders>
              <w:bottom w:val="single" w:sz="8" w:color="auto"/>
            </w:tcBorders>
          </w:tcPr>
          <w:p>
            <w:pPr>
              <w:jc w:val="right"/>
              <w:ind w:right="307"/>
              <w:spacing w:after="0" w:line="169" w:lineRule="exact"/>
              <w:rPr>
                <w:sz w:val="20"/>
                <w:szCs w:val="20"/>
                <w:color w:val="auto"/>
              </w:rPr>
            </w:pPr>
            <w:r>
              <w:rPr>
                <w:rFonts w:ascii="Arial" w:cs="Arial" w:eastAsia="Arial" w:hAnsi="Arial"/>
                <w:sz w:val="15"/>
                <w:szCs w:val="15"/>
                <w:b w:val="1"/>
                <w:bCs w:val="1"/>
                <w:color w:val="auto"/>
              </w:rPr>
              <w:t>2023</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7"/>
              <w:spacing w:after="0" w:line="169" w:lineRule="exact"/>
              <w:rPr>
                <w:sz w:val="20"/>
                <w:szCs w:val="20"/>
                <w:color w:val="auto"/>
              </w:rPr>
            </w:pPr>
            <w:r>
              <w:rPr>
                <w:rFonts w:ascii="Arial" w:cs="Arial" w:eastAsia="Arial" w:hAnsi="Arial"/>
                <w:sz w:val="15"/>
                <w:szCs w:val="15"/>
                <w:b w:val="1"/>
                <w:bCs w:val="1"/>
                <w:color w:val="auto"/>
                <w:w w:val="89"/>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5"/>
                <w:szCs w:val="15"/>
                <w:color w:val="auto"/>
                <w:w w:val="97"/>
              </w:rPr>
              <w:t>pre-tax income/(loss)</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Statutory rate</w:t>
            </w: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21.0</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21.0</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line="169" w:lineRule="exact"/>
              <w:rPr>
                <w:sz w:val="20"/>
                <w:szCs w:val="20"/>
                <w:color w:val="auto"/>
              </w:rPr>
            </w:pPr>
            <w:r>
              <w:rPr>
                <w:rFonts w:ascii="Arial" w:cs="Arial" w:eastAsia="Arial" w:hAnsi="Arial"/>
                <w:sz w:val="15"/>
                <w:szCs w:val="15"/>
                <w:color w:val="auto"/>
              </w:rPr>
              <w:t>State income taxes, net of federal benefit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62.9</w:t>
            </w:r>
          </w:p>
        </w:tc>
        <w:tc>
          <w:tcPr>
            <w:tcW w:w="2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3.6</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Rates different than statutory</w:t>
            </w:r>
          </w:p>
        </w:tc>
        <w:tc>
          <w:tcPr>
            <w:tcW w:w="1340" w:type="dxa"/>
            <w:vAlign w:val="bottom"/>
            <w:gridSpan w:val="2"/>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rPr>
              <w:t>(8.6)</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69"/>
        </w:trPr>
        <w:tc>
          <w:tcPr>
            <w:tcW w:w="5040" w:type="dxa"/>
            <w:vAlign w:val="bottom"/>
          </w:tcPr>
          <w:p>
            <w:pPr>
              <w:spacing w:after="0" w:line="169" w:lineRule="exact"/>
              <w:rPr>
                <w:sz w:val="20"/>
                <w:szCs w:val="20"/>
                <w:color w:val="auto"/>
              </w:rPr>
            </w:pPr>
            <w:r>
              <w:rPr>
                <w:rFonts w:ascii="Arial" w:cs="Arial" w:eastAsia="Arial" w:hAnsi="Arial"/>
                <w:sz w:val="15"/>
                <w:szCs w:val="15"/>
                <w:color w:val="auto"/>
              </w:rPr>
              <w:t>Increase (decrease) in valuation allowance</w:t>
            </w:r>
          </w:p>
        </w:tc>
        <w:tc>
          <w:tcPr>
            <w:tcW w:w="1340" w:type="dxa"/>
            <w:vAlign w:val="bottom"/>
            <w:gridSpan w:val="2"/>
          </w:tcPr>
          <w:p>
            <w:pPr>
              <w:jc w:val="right"/>
              <w:ind w:right="187"/>
              <w:spacing w:after="0" w:line="169" w:lineRule="exact"/>
              <w:rPr>
                <w:sz w:val="20"/>
                <w:szCs w:val="20"/>
                <w:color w:val="auto"/>
              </w:rPr>
            </w:pPr>
            <w:r>
              <w:rPr>
                <w:rFonts w:ascii="Arial" w:cs="Arial" w:eastAsia="Arial" w:hAnsi="Arial"/>
                <w:sz w:val="15"/>
                <w:szCs w:val="15"/>
                <w:color w:val="auto"/>
              </w:rPr>
              <w:t>(196.8)</w:t>
            </w:r>
          </w:p>
        </w:tc>
        <w:tc>
          <w:tcPr>
            <w:tcW w:w="13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(8.6)</w:t>
            </w:r>
          </w:p>
        </w:tc>
        <w:tc>
          <w:tcPr>
            <w:tcW w:w="38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Tax credits</w:t>
            </w: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62.5</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69"/>
        </w:trPr>
        <w:tc>
          <w:tcPr>
            <w:tcW w:w="5040" w:type="dxa"/>
            <w:vAlign w:val="bottom"/>
          </w:tcPr>
          <w:p>
            <w:pPr>
              <w:spacing w:after="0" w:line="169" w:lineRule="exact"/>
              <w:rPr>
                <w:sz w:val="20"/>
                <w:szCs w:val="20"/>
                <w:color w:val="auto"/>
              </w:rPr>
            </w:pPr>
            <w:r>
              <w:rPr>
                <w:rFonts w:ascii="Arial" w:cs="Arial" w:eastAsia="Arial" w:hAnsi="Arial"/>
                <w:sz w:val="15"/>
                <w:szCs w:val="15"/>
                <w:color w:val="auto"/>
              </w:rPr>
              <w:t>Impairments</w:t>
            </w:r>
          </w:p>
        </w:tc>
        <w:tc>
          <w:tcPr>
            <w:tcW w:w="1340" w:type="dxa"/>
            <w:vAlign w:val="bottom"/>
            <w:gridSpan w:val="2"/>
          </w:tcPr>
          <w:p>
            <w:pPr>
              <w:jc w:val="right"/>
              <w:ind w:right="247"/>
              <w:spacing w:after="0" w:line="169" w:lineRule="exact"/>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(6.0)</w:t>
            </w:r>
          </w:p>
        </w:tc>
        <w:tc>
          <w:tcPr>
            <w:tcW w:w="380" w:type="dxa"/>
            <w:vAlign w:val="bottom"/>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net</w:t>
            </w:r>
          </w:p>
        </w:tc>
        <w:tc>
          <w:tcPr>
            <w:tcW w:w="1340" w:type="dxa"/>
            <w:vAlign w:val="bottom"/>
            <w:gridSpan w:val="2"/>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rPr>
              <w:t>(5.8)</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0.5</w:t>
            </w: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line="161" w:lineRule="exact"/>
              <w:rPr>
                <w:sz w:val="20"/>
                <w:szCs w:val="20"/>
                <w:color w:val="auto"/>
              </w:rPr>
            </w:pPr>
            <w:r>
              <w:rPr>
                <w:rFonts w:ascii="Arial" w:cs="Arial" w:eastAsia="Arial" w:hAnsi="Arial"/>
                <w:sz w:val="15"/>
                <w:szCs w:val="15"/>
                <w:b w:val="1"/>
                <w:bCs w:val="1"/>
                <w:color w:val="auto"/>
              </w:rPr>
              <w:t>Total (benefit) provision for income taxes</w:t>
            </w:r>
          </w:p>
        </w:tc>
        <w:tc>
          <w:tcPr>
            <w:tcW w:w="10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(64.8)</w:t>
            </w:r>
          </w:p>
        </w:tc>
        <w:tc>
          <w:tcPr>
            <w:tcW w:w="2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15.4</w:t>
            </w:r>
          </w:p>
        </w:tc>
        <w:tc>
          <w:tcPr>
            <w:tcW w:w="2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7" w:name="page188"/>
    <w:bookmarkEnd w:id="18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right="679"/>
        <w:spacing w:after="0" w:line="275" w:lineRule="auto"/>
        <w:rPr>
          <w:sz w:val="20"/>
          <w:szCs w:val="20"/>
          <w:color w:val="auto"/>
        </w:rPr>
      </w:pPr>
      <w:r>
        <w:rPr>
          <w:rFonts w:ascii="Arial" w:cs="Arial" w:eastAsia="Arial" w:hAnsi="Arial"/>
          <w:sz w:val="16"/>
          <w:szCs w:val="16"/>
          <w:color w:val="auto"/>
        </w:rPr>
        <w:t>Deferred taxes arise because of the differences in the book and tax bases of certain assets and liabilities. Significant components of deferred tax assets and liabilities were as follows: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jc w:val="right"/>
              <w:ind w:right="780"/>
              <w:spacing w:after="0"/>
              <w:rPr>
                <w:sz w:val="20"/>
                <w:szCs w:val="20"/>
                <w:color w:val="auto"/>
              </w:rPr>
            </w:pPr>
            <w:r>
              <w:rPr>
                <w:rFonts w:ascii="Arial" w:cs="Arial" w:eastAsia="Arial" w:hAnsi="Arial"/>
                <w:sz w:val="15"/>
                <w:szCs w:val="15"/>
                <w:b w:val="1"/>
                <w:bCs w:val="1"/>
                <w:color w:val="auto"/>
              </w:rPr>
              <w:t>As of December 31,</w:t>
            </w:r>
          </w:p>
        </w:tc>
      </w:tr>
      <w:tr>
        <w:trPr>
          <w:trHeight w:val="169"/>
        </w:trPr>
        <w:tc>
          <w:tcPr>
            <w:tcW w:w="22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07"/>
              <w:spacing w:after="0" w:line="169" w:lineRule="exact"/>
              <w:rPr>
                <w:sz w:val="20"/>
                <w:szCs w:val="20"/>
                <w:color w:val="auto"/>
              </w:rPr>
            </w:pPr>
            <w:r>
              <w:rPr>
                <w:rFonts w:ascii="Arial" w:cs="Arial" w:eastAsia="Arial" w:hAnsi="Arial"/>
                <w:sz w:val="15"/>
                <w:szCs w:val="15"/>
                <w:b w:val="1"/>
                <w:bCs w:val="1"/>
                <w:color w:val="auto"/>
              </w:rPr>
              <w:t>2024</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87"/>
              <w:spacing w:after="0" w:line="169" w:lineRule="exact"/>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14"/>
                <w:szCs w:val="14"/>
                <w:color w:val="auto"/>
              </w:rPr>
            </w:pPr>
          </w:p>
        </w:tc>
      </w:tr>
      <w:tr>
        <w:trPr>
          <w:trHeight w:val="149"/>
        </w:trPr>
        <w:tc>
          <w:tcPr>
            <w:tcW w:w="22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3"/>
          </w:tcPr>
          <w:p>
            <w:pPr>
              <w:jc w:val="right"/>
              <w:ind w:right="7"/>
              <w:spacing w:after="0" w:line="149" w:lineRule="exact"/>
              <w:rPr>
                <w:sz w:val="20"/>
                <w:szCs w:val="20"/>
                <w:color w:val="auto"/>
              </w:rPr>
            </w:pPr>
            <w:r>
              <w:rPr>
                <w:rFonts w:ascii="Arial" w:cs="Arial" w:eastAsia="Arial" w:hAnsi="Arial"/>
                <w:sz w:val="15"/>
                <w:szCs w:val="15"/>
                <w:color w:val="auto"/>
              </w:rPr>
              <w:t>(In thousands)</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9"/>
        </w:trPr>
        <w:tc>
          <w:tcPr>
            <w:tcW w:w="60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Deferred tax assets: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6040" w:type="dxa"/>
            <w:vAlign w:val="bottom"/>
            <w:gridSpan w:val="2"/>
          </w:tcPr>
          <w:p>
            <w:pPr>
              <w:spacing w:after="0" w:line="169" w:lineRule="exact"/>
              <w:rPr>
                <w:sz w:val="20"/>
                <w:szCs w:val="20"/>
                <w:color w:val="auto"/>
              </w:rPr>
            </w:pPr>
            <w:r>
              <w:rPr>
                <w:rFonts w:ascii="Arial" w:cs="Arial" w:eastAsia="Arial" w:hAnsi="Arial"/>
                <w:sz w:val="15"/>
                <w:szCs w:val="15"/>
                <w:color w:val="auto"/>
              </w:rPr>
              <w:t>NOL, interest, credit and other carryforwards</w:t>
            </w:r>
          </w:p>
        </w:tc>
        <w:tc>
          <w:tcPr>
            <w:tcW w:w="280" w:type="dxa"/>
            <w:vAlign w:val="bottom"/>
          </w:tcPr>
          <w:p>
            <w:pPr>
              <w:jc w:val="right"/>
              <w:ind w:right="107"/>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1,986,276</w:t>
            </w:r>
          </w:p>
        </w:tc>
        <w:tc>
          <w:tcPr>
            <w:tcW w:w="260" w:type="dxa"/>
            <w:vAlign w:val="bottom"/>
          </w:tcPr>
          <w:p>
            <w:pPr>
              <w:spacing w:after="0"/>
              <w:rPr>
                <w:sz w:val="14"/>
                <w:szCs w:val="14"/>
                <w:color w:val="auto"/>
              </w:rPr>
            </w:pPr>
          </w:p>
        </w:tc>
        <w:tc>
          <w:tcPr>
            <w:tcW w:w="420" w:type="dxa"/>
            <w:vAlign w:val="bottom"/>
          </w:tcPr>
          <w:p>
            <w:pPr>
              <w:jc w:val="right"/>
              <w:ind w:right="247"/>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1,322,706</w:t>
            </w:r>
          </w:p>
        </w:tc>
        <w:tc>
          <w:tcPr>
            <w:tcW w:w="60" w:type="dxa"/>
            <w:vAlign w:val="bottom"/>
          </w:tcPr>
          <w:p>
            <w:pPr>
              <w:spacing w:after="0"/>
              <w:rPr>
                <w:sz w:val="14"/>
                <w:szCs w:val="14"/>
                <w:color w:val="auto"/>
              </w:rPr>
            </w:pPr>
          </w:p>
        </w:tc>
      </w:tr>
      <w:tr>
        <w:trPr>
          <w:trHeight w:val="169"/>
        </w:trPr>
        <w:tc>
          <w:tcPr>
            <w:tcW w:w="60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Accrued and prepaid expenses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1,013,457</w:t>
            </w: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966,445</w:t>
            </w:r>
          </w:p>
        </w:tc>
        <w:tc>
          <w:tcPr>
            <w:tcW w:w="60" w:type="dxa"/>
            <w:vAlign w:val="bottom"/>
            <w:shd w:val="clear" w:color="auto" w:fill="CCEEFF"/>
          </w:tcPr>
          <w:p>
            <w:pPr>
              <w:spacing w:after="0"/>
              <w:rPr>
                <w:sz w:val="14"/>
                <w:szCs w:val="14"/>
                <w:color w:val="auto"/>
              </w:rPr>
            </w:pPr>
          </w:p>
        </w:tc>
      </w:tr>
      <w:tr>
        <w:trPr>
          <w:trHeight w:val="169"/>
        </w:trPr>
        <w:tc>
          <w:tcPr>
            <w:tcW w:w="6040" w:type="dxa"/>
            <w:vAlign w:val="bottom"/>
            <w:gridSpan w:val="2"/>
          </w:tcPr>
          <w:p>
            <w:pPr>
              <w:spacing w:after="0" w:line="169" w:lineRule="exact"/>
              <w:rPr>
                <w:sz w:val="20"/>
                <w:szCs w:val="20"/>
                <w:color w:val="auto"/>
              </w:rPr>
            </w:pPr>
            <w:r>
              <w:rPr>
                <w:rFonts w:ascii="Arial" w:cs="Arial" w:eastAsia="Arial" w:hAnsi="Arial"/>
                <w:sz w:val="15"/>
                <w:szCs w:val="15"/>
                <w:color w:val="auto"/>
              </w:rPr>
              <w:t>Stock-based compensation</w:t>
            </w:r>
          </w:p>
        </w:tc>
        <w:tc>
          <w:tcPr>
            <w:tcW w:w="28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31,061</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29,387</w:t>
            </w:r>
          </w:p>
        </w:tc>
        <w:tc>
          <w:tcPr>
            <w:tcW w:w="60" w:type="dxa"/>
            <w:vAlign w:val="bottom"/>
          </w:tcPr>
          <w:p>
            <w:pPr>
              <w:spacing w:after="0"/>
              <w:rPr>
                <w:sz w:val="14"/>
                <w:szCs w:val="14"/>
                <w:color w:val="auto"/>
              </w:rPr>
            </w:pPr>
          </w:p>
        </w:tc>
      </w:tr>
      <w:tr>
        <w:trPr>
          <w:trHeight w:val="169"/>
        </w:trPr>
        <w:tc>
          <w:tcPr>
            <w:tcW w:w="60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Unrealized (gains) losses on available for sale and other investments (1)</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58,587</w:t>
            </w: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222,769</w:t>
            </w:r>
          </w:p>
        </w:tc>
        <w:tc>
          <w:tcPr>
            <w:tcW w:w="60" w:type="dxa"/>
            <w:vAlign w:val="bottom"/>
            <w:shd w:val="clear" w:color="auto" w:fill="CCEEFF"/>
          </w:tcPr>
          <w:p>
            <w:pPr>
              <w:spacing w:after="0"/>
              <w:rPr>
                <w:sz w:val="14"/>
                <w:szCs w:val="14"/>
                <w:color w:val="auto"/>
              </w:rPr>
            </w:pPr>
          </w:p>
        </w:tc>
      </w:tr>
      <w:tr>
        <w:trPr>
          <w:trHeight w:val="169"/>
        </w:trPr>
        <w:tc>
          <w:tcPr>
            <w:tcW w:w="6040" w:type="dxa"/>
            <w:vAlign w:val="bottom"/>
            <w:gridSpan w:val="2"/>
          </w:tcPr>
          <w:p>
            <w:pPr>
              <w:spacing w:after="0" w:line="169" w:lineRule="exact"/>
              <w:rPr>
                <w:sz w:val="20"/>
                <w:szCs w:val="20"/>
                <w:color w:val="auto"/>
              </w:rPr>
            </w:pPr>
            <w:r>
              <w:rPr>
                <w:rFonts w:ascii="Arial" w:cs="Arial" w:eastAsia="Arial" w:hAnsi="Arial"/>
                <w:sz w:val="15"/>
                <w:szCs w:val="15"/>
                <w:color w:val="auto"/>
              </w:rPr>
              <w:t>Discount on convertible notes and convertible note hedge transaction, net</w:t>
            </w:r>
          </w:p>
        </w:tc>
        <w:tc>
          <w:tcPr>
            <w:tcW w:w="28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696</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46,636</w:t>
            </w:r>
          </w:p>
        </w:tc>
        <w:tc>
          <w:tcPr>
            <w:tcW w:w="60" w:type="dxa"/>
            <w:vAlign w:val="bottom"/>
          </w:tcPr>
          <w:p>
            <w:pPr>
              <w:spacing w:after="0"/>
              <w:rPr>
                <w:sz w:val="14"/>
                <w:szCs w:val="14"/>
                <w:color w:val="auto"/>
              </w:rPr>
            </w:pPr>
          </w:p>
        </w:tc>
      </w:tr>
      <w:tr>
        <w:trPr>
          <w:trHeight w:val="169"/>
        </w:trPr>
        <w:tc>
          <w:tcPr>
            <w:tcW w:w="60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Deferred revenue</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6,369</w:t>
            </w: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10,748</w:t>
            </w:r>
          </w:p>
        </w:tc>
        <w:tc>
          <w:tcPr>
            <w:tcW w:w="60" w:type="dxa"/>
            <w:vAlign w:val="bottom"/>
            <w:shd w:val="clear" w:color="auto" w:fill="CCEEFF"/>
          </w:tcPr>
          <w:p>
            <w:pPr>
              <w:spacing w:after="0"/>
              <w:rPr>
                <w:sz w:val="14"/>
                <w:szCs w:val="14"/>
                <w:color w:val="auto"/>
              </w:rPr>
            </w:pPr>
          </w:p>
        </w:tc>
      </w:tr>
      <w:tr>
        <w:trPr>
          <w:trHeight w:val="169"/>
        </w:trPr>
        <w:tc>
          <w:tcPr>
            <w:tcW w:w="604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3,602</w:t>
            </w: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10,096</w:t>
            </w:r>
          </w:p>
        </w:tc>
        <w:tc>
          <w:tcPr>
            <w:tcW w:w="60" w:type="dxa"/>
            <w:vAlign w:val="bottom"/>
            <w:tcBorders>
              <w:bottom w:val="single" w:sz="8" w:color="CCEEFF"/>
            </w:tcBorders>
          </w:tcPr>
          <w:p>
            <w:pPr>
              <w:spacing w:after="0"/>
              <w:rPr>
                <w:sz w:val="14"/>
                <w:szCs w:val="14"/>
                <w:color w:val="auto"/>
              </w:rPr>
            </w:pPr>
          </w:p>
        </w:tc>
      </w:tr>
      <w:tr>
        <w:trPr>
          <w:trHeight w:val="162"/>
        </w:trPr>
        <w:tc>
          <w:tcPr>
            <w:tcW w:w="604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deferred tax assets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3,100,048</w:t>
            </w: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2,608,787</w:t>
            </w:r>
          </w:p>
        </w:tc>
        <w:tc>
          <w:tcPr>
            <w:tcW w:w="60" w:type="dxa"/>
            <w:vAlign w:val="bottom"/>
            <w:shd w:val="clear" w:color="auto" w:fill="CCEEFF"/>
          </w:tcPr>
          <w:p>
            <w:pPr>
              <w:spacing w:after="0"/>
              <w:rPr>
                <w:sz w:val="14"/>
                <w:szCs w:val="14"/>
                <w:color w:val="auto"/>
              </w:rPr>
            </w:pPr>
          </w:p>
        </w:tc>
      </w:tr>
      <w:tr>
        <w:trPr>
          <w:trHeight w:val="169"/>
        </w:trPr>
        <w:tc>
          <w:tcPr>
            <w:tcW w:w="6040" w:type="dxa"/>
            <w:vAlign w:val="bottom"/>
            <w:gridSpan w:val="2"/>
          </w:tcPr>
          <w:p>
            <w:pPr>
              <w:spacing w:after="0" w:line="169" w:lineRule="exact"/>
              <w:rPr>
                <w:sz w:val="20"/>
                <w:szCs w:val="20"/>
                <w:color w:val="auto"/>
              </w:rPr>
            </w:pPr>
            <w:r>
              <w:rPr>
                <w:rFonts w:ascii="Arial" w:cs="Arial" w:eastAsia="Arial" w:hAnsi="Arial"/>
                <w:sz w:val="15"/>
                <w:szCs w:val="15"/>
                <w:color w:val="auto"/>
              </w:rPr>
              <w:t>Valuation allowance</w:t>
            </w:r>
          </w:p>
        </w:tc>
        <w:tc>
          <w:tcPr>
            <w:tcW w:w="280" w:type="dxa"/>
            <w:vAlign w:val="bottom"/>
          </w:tcPr>
          <w:p>
            <w:pPr>
              <w:spacing w:after="0"/>
              <w:rPr>
                <w:sz w:val="14"/>
                <w:szCs w:val="14"/>
                <w:color w:val="auto"/>
              </w:rPr>
            </w:pPr>
          </w:p>
        </w:tc>
        <w:tc>
          <w:tcPr>
            <w:tcW w:w="126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(564,306)</w:t>
            </w:r>
          </w:p>
        </w:tc>
        <w:tc>
          <w:tcPr>
            <w:tcW w:w="420" w:type="dxa"/>
            <w:vAlign w:val="bottom"/>
          </w:tcPr>
          <w:p>
            <w:pPr>
              <w:spacing w:after="0"/>
              <w:rPr>
                <w:sz w:val="14"/>
                <w:szCs w:val="14"/>
                <w:color w:val="auto"/>
              </w:rPr>
            </w:pPr>
          </w:p>
        </w:tc>
        <w:tc>
          <w:tcPr>
            <w:tcW w:w="9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(492,340)</w:t>
            </w:r>
          </w:p>
        </w:tc>
      </w:tr>
      <w:tr>
        <w:trPr>
          <w:trHeight w:val="162"/>
        </w:trPr>
        <w:tc>
          <w:tcPr>
            <w:tcW w:w="604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Deferred tax asset after valuation allowance</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2,535,742</w:t>
            </w:r>
          </w:p>
        </w:tc>
        <w:tc>
          <w:tcPr>
            <w:tcW w:w="2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2,116,447</w:t>
            </w: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0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Deferred tax liabilities: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6040" w:type="dxa"/>
            <w:vAlign w:val="bottom"/>
            <w:gridSpan w:val="2"/>
          </w:tcPr>
          <w:p>
            <w:pPr>
              <w:spacing w:after="0" w:line="169" w:lineRule="exact"/>
              <w:rPr>
                <w:sz w:val="20"/>
                <w:szCs w:val="20"/>
                <w:color w:val="auto"/>
              </w:rPr>
            </w:pPr>
            <w:r>
              <w:rPr>
                <w:rFonts w:ascii="Arial" w:cs="Arial" w:eastAsia="Arial" w:hAnsi="Arial"/>
                <w:sz w:val="15"/>
                <w:szCs w:val="15"/>
                <w:color w:val="auto"/>
              </w:rPr>
              <w:t>Depreciation</w:t>
            </w:r>
          </w:p>
        </w:tc>
        <w:tc>
          <w:tcPr>
            <w:tcW w:w="280" w:type="dxa"/>
            <w:vAlign w:val="bottom"/>
          </w:tcPr>
          <w:p>
            <w:pPr>
              <w:spacing w:after="0"/>
              <w:rPr>
                <w:sz w:val="14"/>
                <w:szCs w:val="14"/>
                <w:color w:val="auto"/>
              </w:rPr>
            </w:pPr>
          </w:p>
        </w:tc>
        <w:tc>
          <w:tcPr>
            <w:tcW w:w="126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(1,996,186)</w:t>
            </w:r>
          </w:p>
        </w:tc>
        <w:tc>
          <w:tcPr>
            <w:tcW w:w="420" w:type="dxa"/>
            <w:vAlign w:val="bottom"/>
          </w:tcPr>
          <w:p>
            <w:pPr>
              <w:spacing w:after="0"/>
              <w:rPr>
                <w:sz w:val="14"/>
                <w:szCs w:val="14"/>
                <w:color w:val="auto"/>
              </w:rPr>
            </w:pPr>
          </w:p>
        </w:tc>
        <w:tc>
          <w:tcPr>
            <w:tcW w:w="9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(1,961,227)</w:t>
            </w:r>
          </w:p>
        </w:tc>
      </w:tr>
      <w:tr>
        <w:trPr>
          <w:trHeight w:val="169"/>
        </w:trPr>
        <w:tc>
          <w:tcPr>
            <w:tcW w:w="60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Regulatory authorizations and other intangible amortization</w:t>
            </w:r>
          </w:p>
        </w:tc>
        <w:tc>
          <w:tcPr>
            <w:tcW w:w="2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(4,187,034)</w:t>
            </w:r>
          </w:p>
        </w:tc>
        <w:tc>
          <w:tcPr>
            <w:tcW w:w="4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(3,960,608)</w:t>
            </w:r>
          </w:p>
        </w:tc>
      </w:tr>
      <w:tr>
        <w:trPr>
          <w:trHeight w:val="169"/>
        </w:trPr>
        <w:tc>
          <w:tcPr>
            <w:tcW w:w="6040" w:type="dxa"/>
            <w:vAlign w:val="bottom"/>
            <w:gridSpan w:val="2"/>
          </w:tcPr>
          <w:p>
            <w:pPr>
              <w:spacing w:after="0" w:line="169" w:lineRule="exact"/>
              <w:rPr>
                <w:sz w:val="20"/>
                <w:szCs w:val="20"/>
                <w:color w:val="auto"/>
              </w:rPr>
            </w:pPr>
            <w:r>
              <w:rPr>
                <w:rFonts w:ascii="Arial" w:cs="Arial" w:eastAsia="Arial" w:hAnsi="Arial"/>
                <w:sz w:val="15"/>
                <w:szCs w:val="15"/>
                <w:color w:val="auto"/>
              </w:rPr>
              <w:t>Bases differences in partnerships and cost method investments (2)</w:t>
            </w:r>
          </w:p>
        </w:tc>
        <w:tc>
          <w:tcPr>
            <w:tcW w:w="280" w:type="dxa"/>
            <w:vAlign w:val="bottom"/>
          </w:tcPr>
          <w:p>
            <w:pPr>
              <w:spacing w:after="0"/>
              <w:rPr>
                <w:sz w:val="14"/>
                <w:szCs w:val="14"/>
                <w:color w:val="auto"/>
              </w:rPr>
            </w:pPr>
          </w:p>
        </w:tc>
        <w:tc>
          <w:tcPr>
            <w:tcW w:w="126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(1,312,328)</w:t>
            </w:r>
          </w:p>
        </w:tc>
        <w:tc>
          <w:tcPr>
            <w:tcW w:w="420" w:type="dxa"/>
            <w:vAlign w:val="bottom"/>
          </w:tcPr>
          <w:p>
            <w:pPr>
              <w:spacing w:after="0"/>
              <w:rPr>
                <w:sz w:val="14"/>
                <w:szCs w:val="14"/>
                <w:color w:val="auto"/>
              </w:rPr>
            </w:pPr>
          </w:p>
        </w:tc>
        <w:tc>
          <w:tcPr>
            <w:tcW w:w="9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(1,179,418)</w:t>
            </w:r>
          </w:p>
        </w:tc>
      </w:tr>
      <w:tr>
        <w:trPr>
          <w:trHeight w:val="169"/>
        </w:trPr>
        <w:tc>
          <w:tcPr>
            <w:tcW w:w="60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Other liabilities</w:t>
            </w:r>
          </w:p>
        </w:tc>
        <w:tc>
          <w:tcPr>
            <w:tcW w:w="2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(21,752)</w:t>
            </w:r>
          </w:p>
        </w:tc>
        <w:tc>
          <w:tcPr>
            <w:tcW w:w="4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(21,227)</w:t>
            </w:r>
          </w:p>
        </w:tc>
      </w:tr>
      <w:tr>
        <w:trPr>
          <w:trHeight w:val="162"/>
        </w:trPr>
        <w:tc>
          <w:tcPr>
            <w:tcW w:w="604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b w:val="1"/>
                <w:bCs w:val="1"/>
                <w:color w:val="auto"/>
              </w:rPr>
              <w:t>Total deferred tax liabilities</w:t>
            </w: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(7,517,300)</w:t>
            </w:r>
          </w:p>
        </w:tc>
        <w:tc>
          <w:tcPr>
            <w:tcW w:w="26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(7,122,480)</w:t>
            </w:r>
          </w:p>
        </w:tc>
        <w:tc>
          <w:tcPr>
            <w:tcW w:w="60" w:type="dxa"/>
            <w:vAlign w:val="bottom"/>
            <w:tcBorders>
              <w:bottom w:val="single" w:sz="8" w:color="CCEEFF"/>
            </w:tcBorders>
          </w:tcPr>
          <w:p>
            <w:pPr>
              <w:spacing w:after="0"/>
              <w:rPr>
                <w:sz w:val="14"/>
                <w:szCs w:val="14"/>
                <w:color w:val="auto"/>
              </w:rPr>
            </w:pPr>
          </w:p>
        </w:tc>
      </w:tr>
      <w:tr>
        <w:trPr>
          <w:trHeight w:val="162"/>
        </w:trPr>
        <w:tc>
          <w:tcPr>
            <w:tcW w:w="6040" w:type="dxa"/>
            <w:vAlign w:val="bottom"/>
            <w:tcBorders>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Net deferred tax asset (liability) (3)</w:t>
            </w:r>
          </w:p>
        </w:tc>
        <w:tc>
          <w:tcPr>
            <w:tcW w:w="280" w:type="dxa"/>
            <w:vAlign w:val="bottom"/>
            <w:tcBorders>
              <w:bottom w:val="single" w:sz="8" w:color="auto"/>
            </w:tcBorders>
            <w:shd w:val="clear" w:color="auto" w:fill="CCEEFF"/>
          </w:tcPr>
          <w:p>
            <w:pPr>
              <w:jc w:val="right"/>
              <w:ind w:right="107"/>
              <w:spacing w:after="0" w:line="161" w:lineRule="exact"/>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(4,981,558)</w:t>
            </w:r>
          </w:p>
        </w:tc>
        <w:tc>
          <w:tcPr>
            <w:tcW w:w="2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47"/>
              <w:spacing w:after="0" w:line="161" w:lineRule="exact"/>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(5,006,033)</w:t>
            </w:r>
          </w:p>
        </w:tc>
        <w:tc>
          <w:tcPr>
            <w:tcW w:w="60" w:type="dxa"/>
            <w:vAlign w:val="bottom"/>
            <w:tcBorders>
              <w:bottom w:val="single" w:sz="8" w:color="CCEEFF"/>
            </w:tcBorders>
            <w:shd w:val="clear" w:color="auto" w:fill="CCEEFF"/>
          </w:tcPr>
          <w:p>
            <w:pPr>
              <w:spacing w:after="0"/>
              <w:rPr>
                <w:sz w:val="14"/>
                <w:szCs w:val="14"/>
                <w:color w:val="auto"/>
              </w:rPr>
            </w:pPr>
          </w:p>
        </w:tc>
      </w:tr>
      <w:tr>
        <w:trPr>
          <w:trHeight w:val="20"/>
        </w:trPr>
        <w:tc>
          <w:tcPr>
            <w:tcW w:w="2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3"/>
        </w:trPr>
        <w:tc>
          <w:tcPr>
            <w:tcW w:w="224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68" w:lineRule="exact"/>
        <w:rPr>
          <w:sz w:val="20"/>
          <w:szCs w:val="20"/>
          <w:color w:val="auto"/>
        </w:rPr>
      </w:pPr>
    </w:p>
    <w:p>
      <w:pPr>
        <w:ind w:left="340" w:right="119" w:hanging="298"/>
        <w:spacing w:after="0" w:line="243"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Included in this line item are deferred taxes related to, among other things, changes in the probability weighted fair value of our option to purchase certain of T-Mobile’s 800 MHz spectrum licenses during the year ended December 31, 2023. See Note 6 for further information.</w:t>
      </w:r>
    </w:p>
    <w:p>
      <w:pPr>
        <w:spacing w:after="0" w:line="1" w:lineRule="exact"/>
        <w:rPr>
          <w:rFonts w:ascii="Arial" w:cs="Arial" w:eastAsia="Arial" w:hAnsi="Arial"/>
          <w:sz w:val="16"/>
          <w:szCs w:val="16"/>
          <w:color w:val="auto"/>
        </w:rPr>
      </w:pPr>
    </w:p>
    <w:p>
      <w:pPr>
        <w:ind w:left="340" w:right="119" w:hanging="298"/>
        <w:spacing w:after="0" w:line="236"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Included in this line item are deferred taxes related to, among other things, our noncontrolling investments in Northstar Spectrum and SNR HoldCo, including deferred taxes created by the tax amortization of the Northstar Licenses and SNR Licenses. See Note 2 for further information.</w:t>
      </w:r>
    </w:p>
    <w:p>
      <w:pPr>
        <w:spacing w:after="0" w:line="1" w:lineRule="exact"/>
        <w:rPr>
          <w:rFonts w:ascii="Arial" w:cs="Arial" w:eastAsia="Arial" w:hAnsi="Arial"/>
          <w:sz w:val="16"/>
          <w:szCs w:val="16"/>
          <w:color w:val="auto"/>
        </w:rPr>
      </w:pPr>
    </w:p>
    <w:p>
      <w:pPr>
        <w:ind w:left="340" w:right="99" w:hanging="298"/>
        <w:spacing w:after="0" w:line="242"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The presentation of net deferred tax liability </w:t>
      </w:r>
      <w:r>
        <w:rPr>
          <w:rFonts w:ascii="Arial" w:cs="Arial" w:eastAsia="Arial" w:hAnsi="Arial"/>
          <w:sz w:val="16"/>
          <w:szCs w:val="16"/>
          <w:color w:val="222222"/>
        </w:rPr>
        <w:t>includes both deferred tax liabilities and deferred tax assets.</w:t>
      </w:r>
      <w:r>
        <w:rPr>
          <w:rFonts w:ascii="Arial" w:cs="Arial" w:eastAsia="Arial" w:hAnsi="Arial"/>
          <w:sz w:val="16"/>
          <w:szCs w:val="16"/>
          <w:color w:val="auto"/>
        </w:rPr>
        <w:t xml:space="preserve"> Certain foreign deferred tax assets are presented as part of “Other noncurrent assets, net” on our Consolidated Balance Sheets and our deferred tax liabilities related to all other jurisdictions are reported separately as “Deferred tax liabilities, net” on our Consolidated Balance Sheets.</w:t>
      </w:r>
    </w:p>
    <w:p>
      <w:pPr>
        <w:spacing w:after="0" w:line="150" w:lineRule="exact"/>
        <w:rPr>
          <w:sz w:val="20"/>
          <w:szCs w:val="20"/>
          <w:color w:val="auto"/>
        </w:rPr>
      </w:pPr>
    </w:p>
    <w:p>
      <w:pPr>
        <w:ind w:left="40" w:right="259"/>
        <w:spacing w:after="0" w:line="249" w:lineRule="auto"/>
        <w:rPr>
          <w:sz w:val="20"/>
          <w:szCs w:val="20"/>
          <w:color w:val="auto"/>
        </w:rPr>
      </w:pPr>
      <w:r>
        <w:rPr>
          <w:rFonts w:ascii="Arial" w:cs="Arial" w:eastAsia="Arial" w:hAnsi="Arial"/>
          <w:sz w:val="16"/>
          <w:szCs w:val="16"/>
          <w:color w:val="auto"/>
        </w:rPr>
        <w:t>As of December 31, 2024,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Accounting for Uncertainty in Income Taxes</w:t>
      </w:r>
    </w:p>
    <w:p>
      <w:pPr>
        <w:spacing w:after="0" w:line="177"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color w:val="auto"/>
        </w:rPr>
        <w:t>In addition to filing federal income tax returns, we and one or more of our subsidiaries file income tax returns in all states that impose an income tax. We are subject to United States federal, state and local income tax examinations by tax authorities for the years as early as tax year 2008. We are currently under a federal income tax examination for years 2008 through 2011, 2013 through 2016, and 2018 through 2019. We also file income tax returns in the United Kingdom, Germany, Brazil, India and a number of other foreign jurisdictions. We generally are open to income tax examination in these foreign jurisdictions for taxable years beginning in 2004.</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7">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8" w:name="page189"/>
    <w:bookmarkEnd w:id="18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right="279"/>
        <w:spacing w:after="0" w:line="275" w:lineRule="auto"/>
        <w:rPr>
          <w:sz w:val="20"/>
          <w:szCs w:val="20"/>
          <w:color w:val="auto"/>
        </w:rPr>
      </w:pPr>
      <w:r>
        <w:rPr>
          <w:rFonts w:ascii="Arial" w:cs="Arial" w:eastAsia="Arial" w:hAnsi="Arial"/>
          <w:sz w:val="16"/>
          <w:szCs w:val="16"/>
          <w:color w:val="auto"/>
        </w:rPr>
        <w:t>A reconciliation of the beginning and ending amount of unrecognized tax benefits included in “Long-term deferred revenue and other long-term liabilities” on our Consolidated Balance Sheets was as follows: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Unrecognized tax benefit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8"/>
          </w:tcPr>
          <w:p>
            <w:pPr>
              <w:jc w:val="center"/>
              <w:ind w:right="260"/>
              <w:spacing w:after="0"/>
              <w:rPr>
                <w:sz w:val="20"/>
                <w:szCs w:val="20"/>
                <w:color w:val="auto"/>
              </w:rPr>
            </w:pPr>
            <w:r>
              <w:rPr>
                <w:rFonts w:ascii="Arial" w:cs="Arial" w:eastAsia="Arial" w:hAnsi="Arial"/>
                <w:sz w:val="15"/>
                <w:szCs w:val="15"/>
                <w:b w:val="1"/>
                <w:bCs w:val="1"/>
                <w:color w:val="auto"/>
                <w:w w:val="96"/>
              </w:rPr>
              <w:t>For the Years Ended December 31,</w:t>
            </w:r>
          </w:p>
        </w:tc>
        <w:tc>
          <w:tcPr>
            <w:tcW w:w="0" w:type="dxa"/>
            <w:vAlign w:val="bottom"/>
          </w:tcPr>
          <w:p>
            <w:pPr>
              <w:spacing w:after="0"/>
              <w:rPr>
                <w:sz w:val="1"/>
                <w:szCs w:val="1"/>
                <w:color w:val="auto"/>
              </w:rPr>
            </w:pPr>
          </w:p>
        </w:tc>
      </w:tr>
      <w:tr>
        <w:trPr>
          <w:trHeight w:val="169"/>
        </w:trPr>
        <w:tc>
          <w:tcPr>
            <w:tcW w:w="5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67"/>
              <w:spacing w:after="0" w:line="169" w:lineRule="exact"/>
              <w:rPr>
                <w:sz w:val="20"/>
                <w:szCs w:val="20"/>
                <w:color w:val="auto"/>
              </w:rPr>
            </w:pPr>
            <w:r>
              <w:rPr>
                <w:rFonts w:ascii="Arial" w:cs="Arial" w:eastAsia="Arial" w:hAnsi="Arial"/>
                <w:sz w:val="15"/>
                <w:szCs w:val="15"/>
                <w:b w:val="1"/>
                <w:bCs w:val="1"/>
                <w:color w:val="auto"/>
              </w:rPr>
              <w:t>2024</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right="147"/>
              <w:spacing w:after="0" w:line="169" w:lineRule="exact"/>
              <w:rPr>
                <w:sz w:val="20"/>
                <w:szCs w:val="20"/>
                <w:color w:val="auto"/>
              </w:rPr>
            </w:pPr>
            <w:r>
              <w:rPr>
                <w:rFonts w:ascii="Arial" w:cs="Arial" w:eastAsia="Arial" w:hAnsi="Arial"/>
                <w:sz w:val="15"/>
                <w:szCs w:val="15"/>
                <w:b w:val="1"/>
                <w:bCs w:val="1"/>
                <w:color w:val="auto"/>
              </w:rPr>
              <w:t>2023</w:t>
            </w: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67"/>
              <w:spacing w:after="0" w:line="169" w:lineRule="exact"/>
              <w:rPr>
                <w:sz w:val="20"/>
                <w:szCs w:val="20"/>
                <w:color w:val="auto"/>
              </w:rPr>
            </w:pPr>
            <w:r>
              <w:rPr>
                <w:rFonts w:ascii="Arial" w:cs="Arial" w:eastAsia="Arial" w:hAnsi="Arial"/>
                <w:sz w:val="15"/>
                <w:szCs w:val="15"/>
                <w:b w:val="1"/>
                <w:bCs w:val="1"/>
                <w:color w:val="auto"/>
              </w:rPr>
              <w:t>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top w:val="single" w:sz="8" w:color="auto"/>
            </w:tcBorders>
            <w:gridSpan w:val="2"/>
          </w:tcPr>
          <w:p>
            <w:pPr>
              <w:jc w:val="center"/>
              <w:spacing w:after="0" w:line="161" w:lineRule="exact"/>
              <w:rPr>
                <w:sz w:val="20"/>
                <w:szCs w:val="20"/>
                <w:color w:val="auto"/>
              </w:rPr>
            </w:pPr>
            <w:r>
              <w:rPr>
                <w:rFonts w:ascii="Arial" w:cs="Arial" w:eastAsia="Arial" w:hAnsi="Arial"/>
                <w:sz w:val="15"/>
                <w:szCs w:val="15"/>
                <w:color w:val="auto"/>
                <w:w w:val="95"/>
              </w:rPr>
              <w:t>(In thousands)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Balance, beginning of period</w:t>
            </w:r>
          </w:p>
        </w:tc>
        <w:tc>
          <w:tcPr>
            <w:tcW w:w="420" w:type="dxa"/>
            <w:vAlign w:val="bottom"/>
            <w:gridSpan w:val="2"/>
            <w:shd w:val="clear" w:color="auto" w:fill="CCEEFF"/>
          </w:tcPr>
          <w:p>
            <w:pPr>
              <w:jc w:val="right"/>
              <w:ind w:right="88"/>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609,543</w:t>
            </w:r>
          </w:p>
        </w:tc>
        <w:tc>
          <w:tcPr>
            <w:tcW w:w="400" w:type="dxa"/>
            <w:vAlign w:val="bottom"/>
            <w:gridSpan w:val="2"/>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569,601</w:t>
            </w:r>
          </w:p>
        </w:tc>
        <w:tc>
          <w:tcPr>
            <w:tcW w:w="400" w:type="dxa"/>
            <w:vAlign w:val="bottom"/>
            <w:gridSpan w:val="2"/>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539,113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Pr>
          <w:p>
            <w:pPr>
              <w:spacing w:after="0" w:line="169" w:lineRule="exact"/>
              <w:rPr>
                <w:sz w:val="20"/>
                <w:szCs w:val="20"/>
                <w:color w:val="auto"/>
              </w:rPr>
            </w:pPr>
            <w:r>
              <w:rPr>
                <w:rFonts w:ascii="Arial" w:cs="Arial" w:eastAsia="Arial" w:hAnsi="Arial"/>
                <w:sz w:val="15"/>
                <w:szCs w:val="15"/>
                <w:color w:val="auto"/>
              </w:rPr>
              <w:t>Additions based on tax positions related to the current year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251,296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9,210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36,587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Additions based on tax positions related to prior years</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23,794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41,522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16,369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Pr>
          <w:p>
            <w:pPr>
              <w:spacing w:after="0" w:line="169" w:lineRule="exact"/>
              <w:rPr>
                <w:sz w:val="20"/>
                <w:szCs w:val="20"/>
                <w:color w:val="auto"/>
              </w:rPr>
            </w:pPr>
            <w:r>
              <w:rPr>
                <w:rFonts w:ascii="Arial" w:cs="Arial" w:eastAsia="Arial" w:hAnsi="Arial"/>
                <w:sz w:val="15"/>
                <w:szCs w:val="15"/>
                <w:color w:val="auto"/>
              </w:rPr>
              <w:t>Reductions based on tax positions related to prior 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(24,996)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(7,219)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(21,541)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9"/>
              </w:rPr>
              <w:t>Reductions based on tax positions related to settlements with taxing authorities</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(3,219)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6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w w:val="97"/>
              </w:rPr>
              <w:t>Reductions based on tax positions related to the lapse of the statute of limitations</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(310)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(927)</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Balance, end of period</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859,327</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7"/>
              <w:spacing w:after="0" w:line="161"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609,543</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7"/>
              <w:spacing w:after="0" w:line="161"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569,601</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right="59"/>
        <w:spacing w:after="0" w:line="243" w:lineRule="auto"/>
        <w:rPr>
          <w:sz w:val="20"/>
          <w:szCs w:val="20"/>
          <w:color w:val="auto"/>
        </w:rPr>
      </w:pPr>
      <w:r>
        <w:rPr>
          <w:rFonts w:ascii="Arial" w:cs="Arial" w:eastAsia="Arial" w:hAnsi="Arial"/>
          <w:sz w:val="16"/>
          <w:szCs w:val="16"/>
          <w:color w:val="auto"/>
        </w:rPr>
        <w:t>We have $812 million in unrecognized tax benefits that, if recognized, could favorably affect our effective tax rate. We do not expect any material portion of this amount to be paid or settled within the next 12 months. Accrued interest and penalties on uncertain tax positions are recorded as a component of “Interest expense, net of amounts capitalized” and “Other, net,” respectively, on our Consolidated Statements of Operations and Comprehensive Income (Loss). During the years ended December 31, 2024, 2023 and 2022, we recorded $52 million, $39 million and $22 million in net interest and penalty expense to earnings, respectively. Accrued interest and penalties were $216 million and $165 million at December 31, 2024 and 2023, respectively. The above table excludes these amounts.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12.  Stockholders’ Equity (Deficit)</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Capital Stock</w:t>
      </w:r>
    </w:p>
    <w:p>
      <w:pPr>
        <w:spacing w:after="0" w:line="177" w:lineRule="exact"/>
        <w:rPr>
          <w:sz w:val="20"/>
          <w:szCs w:val="20"/>
          <w:color w:val="auto"/>
        </w:rPr>
      </w:pPr>
    </w:p>
    <w:p>
      <w:pPr>
        <w:ind w:left="40" w:right="139"/>
        <w:spacing w:after="0" w:line="246" w:lineRule="auto"/>
        <w:rPr>
          <w:sz w:val="20"/>
          <w:szCs w:val="20"/>
          <w:color w:val="auto"/>
        </w:rPr>
      </w:pPr>
      <w:r>
        <w:rPr>
          <w:rFonts w:ascii="Arial" w:cs="Arial" w:eastAsia="Arial" w:hAnsi="Arial"/>
          <w:sz w:val="16"/>
          <w:szCs w:val="16"/>
          <w:color w:val="auto"/>
        </w:rPr>
        <w:t>Our certificate of incorporation authorizes the following capital stock: (i) 1,600,000,000 shares of Class A common stock, par value $ 0.001 per share; (ii) 800,000,000 shares of Class B common stock, par value $0.001 per share; (iii) 800,000,000 shares of Class C common stock, par value $0.001 per share; (iv) 800,000,000 shares of Class D common stock, par value $0.001 per share; and (v) 20,000,000 shares of preferred stock, par value $ 0.001 per share. As of December 31, 2024 and 2023, there were no outstanding shares of Class C common stock, Class D common stock or preferred stock.</w:t>
      </w:r>
    </w:p>
    <w:p>
      <w:pPr>
        <w:spacing w:after="0" w:line="146" w:lineRule="exact"/>
        <w:rPr>
          <w:sz w:val="20"/>
          <w:szCs w:val="20"/>
          <w:color w:val="auto"/>
        </w:rPr>
      </w:pPr>
    </w:p>
    <w:p>
      <w:pPr>
        <w:ind w:left="40" w:right="139"/>
        <w:spacing w:after="0" w:line="249" w:lineRule="auto"/>
        <w:rPr>
          <w:sz w:val="20"/>
          <w:szCs w:val="20"/>
          <w:color w:val="auto"/>
        </w:rPr>
      </w:pPr>
      <w:r>
        <w:rPr>
          <w:rFonts w:ascii="Arial" w:cs="Arial" w:eastAsia="Arial" w:hAnsi="Arial"/>
          <w:sz w:val="16"/>
          <w:szCs w:val="16"/>
          <w:color w:val="auto"/>
        </w:rPr>
        <w:t>Our Board of Directors is authorized to issue preferred stock and may divide such preferred stock into series and, with respect to each series, to determine the preferences and rights and the qualifications, limitations or restrictions of the series, including, but not limited to, the dividend rights, conversion rights, voting rights, redemption rights and terms, liquidation preferences, sinking fund provisions, the number of shares constituting the series and the designation of such series.</w:t>
      </w:r>
    </w:p>
    <w:p>
      <w:pPr>
        <w:spacing w:after="0" w:line="144" w:lineRule="exact"/>
        <w:rPr>
          <w:sz w:val="20"/>
          <w:szCs w:val="20"/>
          <w:color w:val="auto"/>
        </w:rPr>
      </w:pPr>
    </w:p>
    <w:p>
      <w:pPr>
        <w:ind w:left="40" w:right="279"/>
        <w:spacing w:after="0" w:line="256" w:lineRule="auto"/>
        <w:rPr>
          <w:sz w:val="20"/>
          <w:szCs w:val="20"/>
          <w:color w:val="auto"/>
        </w:rPr>
      </w:pPr>
      <w:r>
        <w:rPr>
          <w:rFonts w:ascii="Arial" w:cs="Arial" w:eastAsia="Arial" w:hAnsi="Arial"/>
          <w:sz w:val="16"/>
          <w:szCs w:val="16"/>
          <w:color w:val="auto"/>
        </w:rPr>
        <w:t>Our Board of Directors may, without stockholder approval, issue additional preferred stock of existing or new series with voting and other rights that could adversely affect the voting power of the holders of common stock and could have certain anti-takeover effects.</w:t>
      </w:r>
    </w:p>
    <w:p>
      <w:pPr>
        <w:spacing w:after="0" w:line="137" w:lineRule="exact"/>
        <w:rPr>
          <w:sz w:val="20"/>
          <w:szCs w:val="20"/>
          <w:color w:val="auto"/>
        </w:rPr>
      </w:pPr>
    </w:p>
    <w:p>
      <w:pPr>
        <w:ind w:left="40" w:right="119"/>
        <w:spacing w:after="0" w:line="243" w:lineRule="auto"/>
        <w:rPr>
          <w:sz w:val="20"/>
          <w:szCs w:val="20"/>
          <w:color w:val="auto"/>
        </w:rPr>
      </w:pPr>
      <w:r>
        <w:rPr>
          <w:rFonts w:ascii="Arial" w:cs="Arial" w:eastAsia="Arial" w:hAnsi="Arial"/>
          <w:sz w:val="16"/>
          <w:szCs w:val="16"/>
          <w:color w:val="auto"/>
        </w:rPr>
        <w:t>Our Class A, Class B, and Class C common stock are equivalent except for voting rights. Holders of Class A and Class C common stock are entitled to one vote per share and holders of Class B common stock are entitled to 10 votes per share. Each share of Class B and Class C common stock is convertible, at the option of the holder, into one share of Class A common stock. Our Class A common stock is publicly traded on the Nasdaq Global Select Market under the symbol “SATS.” Upon a change in control of EchoStar, each holder of outstanding shares of Class C common stock is entitled to 10 votes for each share of Class C common stock held. Charles W. Ergen, our Chairman, and certain entities established for the benefit of his family beneficially own all outstanding Class B common stock.</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8">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89" w:name="page190"/>
    <w:bookmarkEnd w:id="18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jc w:val="both"/>
        <w:ind w:left="40" w:right="119"/>
        <w:spacing w:after="0" w:line="256" w:lineRule="auto"/>
        <w:rPr>
          <w:sz w:val="20"/>
          <w:szCs w:val="20"/>
          <w:color w:val="auto"/>
        </w:rPr>
      </w:pPr>
      <w:r>
        <w:rPr>
          <w:rFonts w:ascii="Arial" w:cs="Arial" w:eastAsia="Arial" w:hAnsi="Arial"/>
          <w:sz w:val="16"/>
          <w:szCs w:val="16"/>
          <w:color w:val="auto"/>
        </w:rPr>
        <w:t>Our principal stockholder and certain entities established by him for the benefit of his family beneficially own all outstanding Class B common stock. Together with all other stockholders, he also owns outstanding Class A common stock. There are no shares of Class C common stock outstanding.</w:t>
      </w:r>
    </w:p>
    <w:p>
      <w:pPr>
        <w:spacing w:after="0" w:line="137" w:lineRule="exact"/>
        <w:rPr>
          <w:sz w:val="20"/>
          <w:szCs w:val="20"/>
          <w:color w:val="auto"/>
        </w:rPr>
      </w:pPr>
    </w:p>
    <w:p>
      <w:pPr>
        <w:ind w:left="40" w:right="459"/>
        <w:spacing w:after="0" w:line="275" w:lineRule="auto"/>
        <w:rPr>
          <w:sz w:val="20"/>
          <w:szCs w:val="20"/>
          <w:color w:val="auto"/>
        </w:rPr>
      </w:pPr>
      <w:r>
        <w:rPr>
          <w:rFonts w:ascii="Arial" w:cs="Arial" w:eastAsia="Arial" w:hAnsi="Arial"/>
          <w:sz w:val="16"/>
          <w:szCs w:val="16"/>
          <w:color w:val="auto"/>
        </w:rPr>
        <w:t>Any holder of Class D common stock is not entitled to a vote on any matter or to convert the shares of Class D common stock into any other class of common stock.</w:t>
      </w:r>
    </w:p>
    <w:p>
      <w:pPr>
        <w:spacing w:after="0" w:line="123" w:lineRule="exact"/>
        <w:rPr>
          <w:sz w:val="20"/>
          <w:szCs w:val="20"/>
          <w:color w:val="auto"/>
        </w:rPr>
      </w:pPr>
    </w:p>
    <w:p>
      <w:pPr>
        <w:ind w:left="40" w:right="399"/>
        <w:spacing w:after="0" w:line="275" w:lineRule="auto"/>
        <w:rPr>
          <w:sz w:val="20"/>
          <w:szCs w:val="20"/>
          <w:color w:val="auto"/>
        </w:rPr>
      </w:pPr>
      <w:r>
        <w:rPr>
          <w:rFonts w:ascii="Arial" w:cs="Arial" w:eastAsia="Arial" w:hAnsi="Arial"/>
          <w:sz w:val="16"/>
          <w:szCs w:val="16"/>
          <w:color w:val="auto"/>
        </w:rPr>
        <w:t>Each share of common stock is entitled to receive its pro rata share, based upon the number of shares of common stock held, of dividends and distributions upon liquidation.</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Common Stock Repurchase Program</w:t>
      </w:r>
    </w:p>
    <w:p>
      <w:pPr>
        <w:spacing w:after="0" w:line="189" w:lineRule="exact"/>
        <w:rPr>
          <w:sz w:val="20"/>
          <w:szCs w:val="20"/>
          <w:color w:val="auto"/>
        </w:rPr>
      </w:pPr>
    </w:p>
    <w:p>
      <w:pPr>
        <w:ind w:left="40" w:right="299"/>
        <w:spacing w:after="0" w:line="244" w:lineRule="auto"/>
        <w:rPr>
          <w:sz w:val="20"/>
          <w:szCs w:val="20"/>
          <w:color w:val="auto"/>
        </w:rPr>
      </w:pPr>
      <w:r>
        <w:rPr>
          <w:rFonts w:ascii="Arial" w:cs="Arial" w:eastAsia="Arial" w:hAnsi="Arial"/>
          <w:sz w:val="16"/>
          <w:szCs w:val="16"/>
          <w:color w:val="auto"/>
        </w:rPr>
        <w:t>Our Board of Directors previously authorized stock repurchases of up to $500 million of our outstanding Class A common stock. On October 20, 2022, our Board of Directors extended this authorization to repurchase up to $ 500 million of our outstanding Class A common stock through and including December 31, 2023. This program expired December 31, 2023. On October 25, 2024, our Board of Directors authorized stock repurchases of up to $1.0 billion of our outstanding Class A common stock through and including December 31, 2025. During the year ended December 31, 2024 there were no repurchases of our Class A common stock.</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13.  Employee Benefit Plans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177"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color w:val="auto"/>
        </w:rPr>
        <w:t>Our employees may participate in the EchoStar employee stock purchase plan (the “ESPP”), in which we are authorized to issue up to 8.0 million shares of Class A common stock. At December 31, 2024, we had 3.4 million shares of Class A common stock which remain available for issuance under the ESPP. Substantially all full-time employees who have been employed by us for at least one calendar quarter are eligible to participate in the ESPP. Employee stock purchases are made through payroll deductions. Under the terms of the ESPP, employees may not deduct an amount which would permit such employee to purchase our capital stock under all of our stock purchase plans at a rate which would exceed $25,000 in fair value of capital stock in any one year. The purchase price of the stock is 85% of the closing price of the Class A common stock on the last business day of each calendar quarter in which such shares of Class A common stock are deemed sold to an employee under the ESPP and such shares must be held for a minimum of 180 days from the purchase date.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401(k) Employee Savings Plans</w:t>
      </w:r>
    </w:p>
    <w:p>
      <w:pPr>
        <w:spacing w:after="0" w:line="177" w:lineRule="exact"/>
        <w:rPr>
          <w:sz w:val="20"/>
          <w:szCs w:val="20"/>
          <w:color w:val="auto"/>
        </w:rPr>
      </w:pPr>
    </w:p>
    <w:p>
      <w:pPr>
        <w:ind w:left="40" w:right="99"/>
        <w:spacing w:after="0" w:line="242" w:lineRule="auto"/>
        <w:rPr>
          <w:sz w:val="20"/>
          <w:szCs w:val="20"/>
          <w:color w:val="auto"/>
        </w:rPr>
      </w:pPr>
      <w:r>
        <w:rPr>
          <w:rFonts w:ascii="Arial" w:cs="Arial" w:eastAsia="Arial" w:hAnsi="Arial"/>
          <w:sz w:val="16"/>
          <w:szCs w:val="16"/>
          <w:color w:val="auto"/>
        </w:rPr>
        <w:t>We sponsor the DISH Network 401(k) Employee Savings Plan (the “DISH Network 401(k) Plan”) and the EchoStar 401(k) Employee Savings Plan (the “EchoStar 401(k) Plan”) (collectively referred to as the “401(k) Plans”) for eligible employees. Voluntary employee contributions to the 401(k) Plans may be matched 50% by us and under the EchoStar 401(k) Plan, subject to a maximum annual contribution of $7,500 per employee participating in the EchoStar 401(k) Plan and $5,000 per employee participating in the DISH Network 401(k) Plan. Forfeitures of unvested participant balances which are retained by the 401(k) Plans may be used to fund matching and discretionary contributions. Our Board of Directors may also authorize an annual discretionary contribution to the 401(k) plans, subject to the maximum deductible limit provided by the Internal Revenue Code of 1986, as amended. These contributions may be made in cash or in our stock.</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the expense associated with our matching contributions and discretionary contributions: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4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Expense Recognized Related to the 401(k) Plan</w:t>
            </w:r>
          </w:p>
        </w:tc>
        <w:tc>
          <w:tcPr>
            <w:tcW w:w="2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567"/>
              <w:spacing w:after="0"/>
              <w:rPr>
                <w:sz w:val="20"/>
                <w:szCs w:val="20"/>
                <w:color w:val="auto"/>
              </w:rPr>
            </w:pPr>
            <w:r>
              <w:rPr>
                <w:rFonts w:ascii="Arial" w:cs="Arial" w:eastAsia="Arial" w:hAnsi="Arial"/>
                <w:sz w:val="15"/>
                <w:szCs w:val="15"/>
                <w:b w:val="1"/>
                <w:bCs w:val="1"/>
                <w:color w:val="auto"/>
                <w:w w:val="96"/>
              </w:rPr>
              <w:t>For the Years Ended December 31,</w:t>
            </w: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07"/>
              <w:spacing w:after="0" w:line="169" w:lineRule="exact"/>
              <w:rPr>
                <w:sz w:val="20"/>
                <w:szCs w:val="20"/>
                <w:color w:val="auto"/>
              </w:rPr>
            </w:pPr>
            <w:r>
              <w:rPr>
                <w:rFonts w:ascii="Arial" w:cs="Arial" w:eastAsia="Arial" w:hAnsi="Arial"/>
                <w:sz w:val="15"/>
                <w:szCs w:val="15"/>
                <w:b w:val="1"/>
                <w:bCs w:val="1"/>
                <w:color w:val="auto"/>
              </w:rPr>
              <w:t>2024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47"/>
              <w:spacing w:after="0" w:line="169" w:lineRule="exact"/>
              <w:rPr>
                <w:sz w:val="20"/>
                <w:szCs w:val="20"/>
                <w:color w:val="auto"/>
              </w:rPr>
            </w:pPr>
            <w:r>
              <w:rPr>
                <w:rFonts w:ascii="Arial" w:cs="Arial" w:eastAsia="Arial" w:hAnsi="Arial"/>
                <w:sz w:val="15"/>
                <w:szCs w:val="15"/>
                <w:b w:val="1"/>
                <w:bCs w:val="1"/>
                <w:color w:val="auto"/>
                <w:w w:val="95"/>
              </w:rPr>
              <w:t>2023</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407"/>
              <w:spacing w:after="0" w:line="169" w:lineRule="exact"/>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47"/>
              <w:spacing w:after="0" w:line="161" w:lineRule="exact"/>
              <w:rPr>
                <w:sz w:val="20"/>
                <w:szCs w:val="20"/>
                <w:color w:val="auto"/>
              </w:rPr>
            </w:pPr>
            <w:r>
              <w:rPr>
                <w:rFonts w:ascii="Arial" w:cs="Arial" w:eastAsia="Arial" w:hAnsi="Arial"/>
                <w:sz w:val="15"/>
                <w:szCs w:val="15"/>
                <w:color w:val="auto"/>
                <w:w w:val="95"/>
              </w:rPr>
              <w:t>(In thousands)</w:t>
            </w:r>
          </w:p>
        </w:tc>
        <w:tc>
          <w:tcPr>
            <w:tcW w:w="2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60" w:type="dxa"/>
            <w:vAlign w:val="bottom"/>
            <w:tcBorders>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rPr>
              <w:t>Matching contributions, net of forfeitures</w:t>
            </w:r>
          </w:p>
        </w:tc>
        <w:tc>
          <w:tcPr>
            <w:tcW w:w="280" w:type="dxa"/>
            <w:vAlign w:val="bottom"/>
            <w:tcBorders>
              <w:bottom w:val="single" w:sz="8" w:color="auto"/>
            </w:tcBorders>
            <w:shd w:val="clear" w:color="auto" w:fill="CCEEFF"/>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23,386</w:t>
            </w: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20,379</w:t>
            </w:r>
          </w:p>
        </w:tc>
        <w:tc>
          <w:tcPr>
            <w:tcW w:w="2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7"/>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18,275</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5"/>
                <w:szCs w:val="15"/>
                <w:color w:val="auto"/>
              </w:rPr>
              <w:t>Discretionary stock contributions, net of forfeitures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460" w:type="dxa"/>
            <w:vAlign w:val="bottom"/>
            <w:gridSpan w:val="2"/>
            <w:vMerge w:val="continue"/>
          </w:tcPr>
          <w:p>
            <w:pPr>
              <w:spacing w:after="0"/>
              <w:rPr>
                <w:sz w:val="12"/>
                <w:szCs w:val="12"/>
                <w:color w:val="auto"/>
              </w:rPr>
            </w:pPr>
          </w:p>
        </w:tc>
        <w:tc>
          <w:tcPr>
            <w:tcW w:w="280" w:type="dxa"/>
            <w:vAlign w:val="bottom"/>
            <w:tcBorders>
              <w:bottom w:val="single" w:sz="8" w:color="auto"/>
            </w:tcBorders>
          </w:tcPr>
          <w:p>
            <w:pPr>
              <w:jc w:val="right"/>
              <w:ind w:right="127"/>
              <w:spacing w:after="0" w:line="146"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11,491</w:t>
            </w:r>
          </w:p>
        </w:tc>
        <w:tc>
          <w:tcPr>
            <w:tcW w:w="2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5,491</w:t>
            </w:r>
          </w:p>
        </w:tc>
        <w:tc>
          <w:tcPr>
            <w:tcW w:w="280" w:type="dxa"/>
            <w:vAlign w:val="bottom"/>
          </w:tcPr>
          <w:p>
            <w:pPr>
              <w:spacing w:after="0"/>
              <w:rPr>
                <w:sz w:val="12"/>
                <w:szCs w:val="12"/>
                <w:color w:val="auto"/>
              </w:rPr>
            </w:pPr>
          </w:p>
        </w:tc>
        <w:tc>
          <w:tcPr>
            <w:tcW w:w="380" w:type="dxa"/>
            <w:vAlign w:val="bottom"/>
            <w:tcBorders>
              <w:bottom w:val="single" w:sz="8" w:color="auto"/>
            </w:tcBorders>
          </w:tcPr>
          <w:p>
            <w:pPr>
              <w:jc w:val="right"/>
              <w:ind w:right="227"/>
              <w:spacing w:after="0" w:line="146"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21,606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9">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0" w:name="page191"/>
    <w:bookmarkEnd w:id="19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14.  Stock-Based Compensation</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Stock Incentive Plans</w:t>
      </w:r>
    </w:p>
    <w:p>
      <w:pPr>
        <w:spacing w:after="0" w:line="177"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We maintain stock incentive plans to attract and retain officers, directors and key employees. Stock awards under these plans include both performance/market and non-performance based stock incentives. As of December 31, 2024, we had outstanding under these plans stock options to acquire 13.6 million shares of our Class A common stock and 91 thousand restricted stock units and awards. Stock options granted on or prior to December 31, 2024 were granted with exercise prices equal to or greater than the market value of our Class A common stock at the date of grant and with a maximum term of approximately ten years. We account for forfeitures as they are incurred. While historically we have issued stock awards subject to vesting, typically at the rate of 20% per year, certain stock awards have been granted with immediate vesting and certain other stock awards vest only upon the achievement of certain company-specific subscriber, operational and/or financial goals. In addition, the Ergen 2020 Performance Award is subject to the achievement of specified stock price targets. As of December 31, 2024, we had 21.7 million shares of our Class A common stock available for future grant under the stock incentive plans.</w:t>
      </w:r>
    </w:p>
    <w:p>
      <w:pPr>
        <w:spacing w:after="0" w:line="154" w:lineRule="exact"/>
        <w:rPr>
          <w:sz w:val="20"/>
          <w:szCs w:val="20"/>
          <w:color w:val="auto"/>
        </w:rPr>
      </w:pPr>
    </w:p>
    <w:p>
      <w:pPr>
        <w:ind w:left="40" w:right="119"/>
        <w:spacing w:after="0" w:line="243" w:lineRule="auto"/>
        <w:rPr>
          <w:sz w:val="20"/>
          <w:szCs w:val="20"/>
          <w:color w:val="auto"/>
        </w:rPr>
      </w:pPr>
      <w:r>
        <w:rPr>
          <w:rFonts w:ascii="Arial" w:cs="Arial" w:eastAsia="Arial" w:hAnsi="Arial"/>
          <w:sz w:val="16"/>
          <w:szCs w:val="16"/>
          <w:i w:val="1"/>
          <w:iCs w:val="1"/>
          <w:color w:val="auto"/>
        </w:rPr>
        <w:t xml:space="preserve">Exchange Offer. </w:t>
      </w:r>
      <w:r>
        <w:rPr>
          <w:rFonts w:ascii="Arial" w:cs="Arial" w:eastAsia="Arial" w:hAnsi="Arial"/>
          <w:sz w:val="16"/>
          <w:szCs w:val="16"/>
          <w:color w:val="auto"/>
        </w:rPr>
        <w:t>On March 4, 2024, we commenced a tender offer to eligible employees (which excludes our co-founders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non-employee members of our Board of Directors) to exchange eligible stock options (which excludes the Ergen 2020 Performance Award) for new options as detailed in our Schedule TO filed March 4, 2024 with the Securities and Exchange Commission (the “Exchange Offer”), to, among other things, further align employee incentives with the current market. The Exchange Offer expired on April 1, 2024 and we accepted for exchange approximately 7 million stock options. As a result of the Exchange Offer, during the second quarter of 2024, the exercise price of approximately 6 million new stock options, affecting approximately 1,000 eligible employees, was adjusted to $14.04.</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Stock Award Activity</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stock option activity was as follows: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460" w:type="dxa"/>
            <w:vAlign w:val="bottom"/>
            <w:tcBorders>
              <w:bottom w:val="single" w:sz="8" w:color="auto"/>
            </w:tcBorders>
            <w:gridSpan w:val="8"/>
          </w:tcPr>
          <w:p>
            <w:pPr>
              <w:jc w:val="right"/>
              <w:ind w:right="827"/>
              <w:spacing w:after="0"/>
              <w:rPr>
                <w:sz w:val="20"/>
                <w:szCs w:val="20"/>
                <w:color w:val="auto"/>
              </w:rPr>
            </w:pPr>
            <w:r>
              <w:rPr>
                <w:rFonts w:ascii="Arial" w:cs="Arial" w:eastAsia="Arial" w:hAnsi="Arial"/>
                <w:sz w:val="15"/>
                <w:szCs w:val="15"/>
                <w:b w:val="1"/>
                <w:bCs w:val="1"/>
                <w:color w:val="auto"/>
              </w:rPr>
              <w:t>For the Year Ended December 31, 2024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spacing w:after="0" w:line="157" w:lineRule="exact"/>
              <w:rPr>
                <w:sz w:val="20"/>
                <w:szCs w:val="20"/>
                <w:color w:val="auto"/>
              </w:rPr>
            </w:pPr>
            <w:r>
              <w:rPr>
                <w:rFonts w:ascii="Arial" w:cs="Arial" w:eastAsia="Arial" w:hAnsi="Arial"/>
                <w:sz w:val="15"/>
                <w:szCs w:val="15"/>
                <w:b w:val="1"/>
                <w:bCs w:val="1"/>
                <w:color w:val="auto"/>
                <w:w w:val="99"/>
              </w:rPr>
              <w:t>Weighted-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tcPr>
          <w:p>
            <w:pPr>
              <w:jc w:val="center"/>
              <w:ind w:left="47"/>
              <w:spacing w:after="0" w:line="157" w:lineRule="exact"/>
              <w:rPr>
                <w:sz w:val="20"/>
                <w:szCs w:val="20"/>
                <w:color w:val="auto"/>
              </w:rPr>
            </w:pPr>
            <w:r>
              <w:rPr>
                <w:rFonts w:ascii="Arial" w:cs="Arial" w:eastAsia="Arial" w:hAnsi="Arial"/>
                <w:sz w:val="15"/>
                <w:szCs w:val="15"/>
                <w:b w:val="1"/>
                <w:bCs w:val="1"/>
                <w:color w:val="auto"/>
                <w:w w:val="96"/>
              </w:rPr>
              <w:t>Weighted-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7"/>
              <w:spacing w:after="0" w:line="169" w:lineRule="exact"/>
              <w:rPr>
                <w:sz w:val="20"/>
                <w:szCs w:val="20"/>
                <w:color w:val="auto"/>
              </w:rPr>
            </w:pPr>
            <w:r>
              <w:rPr>
                <w:rFonts w:ascii="Arial" w:cs="Arial" w:eastAsia="Arial" w:hAnsi="Arial"/>
                <w:sz w:val="15"/>
                <w:szCs w:val="15"/>
                <w:b w:val="1"/>
                <w:bCs w:val="1"/>
                <w:color w:val="auto"/>
                <w:w w:val="94"/>
              </w:rPr>
              <w:t>Average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87"/>
              <w:spacing w:after="0" w:line="169" w:lineRule="exact"/>
              <w:rPr>
                <w:sz w:val="20"/>
                <w:szCs w:val="20"/>
                <w:color w:val="auto"/>
              </w:rPr>
            </w:pPr>
            <w:r>
              <w:rPr>
                <w:rFonts w:ascii="Arial" w:cs="Arial" w:eastAsia="Arial" w:hAnsi="Arial"/>
                <w:sz w:val="15"/>
                <w:szCs w:val="15"/>
                <w:b w:val="1"/>
                <w:bCs w:val="1"/>
                <w:color w:val="auto"/>
                <w:w w:val="99"/>
              </w:rPr>
              <w:t>Aggregate</w:t>
            </w:r>
          </w:p>
        </w:tc>
        <w:tc>
          <w:tcPr>
            <w:tcW w:w="1220" w:type="dxa"/>
            <w:vAlign w:val="bottom"/>
          </w:tcPr>
          <w:p>
            <w:pPr>
              <w:jc w:val="center"/>
              <w:ind w:left="27"/>
              <w:spacing w:after="0" w:line="169" w:lineRule="exact"/>
              <w:rPr>
                <w:sz w:val="20"/>
                <w:szCs w:val="20"/>
                <w:color w:val="auto"/>
              </w:rPr>
            </w:pPr>
            <w:r>
              <w:rPr>
                <w:rFonts w:ascii="Arial" w:cs="Arial" w:eastAsia="Arial" w:hAnsi="Arial"/>
                <w:sz w:val="15"/>
                <w:szCs w:val="15"/>
                <w:b w:val="1"/>
                <w:bCs w:val="1"/>
                <w:color w:val="auto"/>
                <w:w w:val="94"/>
              </w:rPr>
              <w:t>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7"/>
              <w:spacing w:after="0" w:line="169" w:lineRule="exact"/>
              <w:rPr>
                <w:sz w:val="20"/>
                <w:szCs w:val="20"/>
                <w:color w:val="auto"/>
              </w:rPr>
            </w:pPr>
            <w:r>
              <w:rPr>
                <w:rFonts w:ascii="Arial" w:cs="Arial" w:eastAsia="Arial" w:hAnsi="Arial"/>
                <w:sz w:val="15"/>
                <w:szCs w:val="15"/>
                <w:b w:val="1"/>
                <w:bCs w:val="1"/>
                <w:color w:val="auto"/>
                <w:w w:val="97"/>
              </w:rPr>
              <w:t>Exercise</w:t>
            </w:r>
          </w:p>
        </w:tc>
        <w:tc>
          <w:tcPr>
            <w:tcW w:w="200" w:type="dxa"/>
            <w:vAlign w:val="bottom"/>
          </w:tcPr>
          <w:p>
            <w:pPr>
              <w:spacing w:after="0"/>
              <w:rPr>
                <w:sz w:val="14"/>
                <w:szCs w:val="14"/>
                <w:color w:val="auto"/>
              </w:rPr>
            </w:pPr>
          </w:p>
        </w:tc>
        <w:tc>
          <w:tcPr>
            <w:tcW w:w="1140" w:type="dxa"/>
            <w:vAlign w:val="bottom"/>
            <w:gridSpan w:val="2"/>
          </w:tcPr>
          <w:p>
            <w:pPr>
              <w:jc w:val="right"/>
              <w:ind w:right="47"/>
              <w:spacing w:after="0" w:line="169" w:lineRule="exact"/>
              <w:rPr>
                <w:sz w:val="20"/>
                <w:szCs w:val="20"/>
                <w:color w:val="auto"/>
              </w:rPr>
            </w:pPr>
            <w:r>
              <w:rPr>
                <w:rFonts w:ascii="Arial" w:cs="Arial" w:eastAsia="Arial" w:hAnsi="Arial"/>
                <w:sz w:val="15"/>
                <w:szCs w:val="15"/>
                <w:b w:val="1"/>
                <w:bCs w:val="1"/>
                <w:color w:val="auto"/>
                <w:w w:val="97"/>
              </w:rPr>
              <w:t>Intrinsic Value</w:t>
            </w:r>
          </w:p>
        </w:tc>
        <w:tc>
          <w:tcPr>
            <w:tcW w:w="1220" w:type="dxa"/>
            <w:vAlign w:val="bottom"/>
          </w:tcPr>
          <w:p>
            <w:pPr>
              <w:jc w:val="center"/>
              <w:ind w:left="27"/>
              <w:spacing w:after="0" w:line="169" w:lineRule="exact"/>
              <w:rPr>
                <w:sz w:val="20"/>
                <w:szCs w:val="20"/>
                <w:color w:val="auto"/>
              </w:rPr>
            </w:pPr>
            <w:r>
              <w:rPr>
                <w:rFonts w:ascii="Arial" w:cs="Arial" w:eastAsia="Arial" w:hAnsi="Arial"/>
                <w:sz w:val="15"/>
                <w:szCs w:val="15"/>
                <w:b w:val="1"/>
                <w:bCs w:val="1"/>
                <w:color w:val="auto"/>
                <w:w w:val="99"/>
              </w:rPr>
              <w:t>Remaining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Options</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7"/>
              <w:spacing w:after="0"/>
              <w:rPr>
                <w:sz w:val="20"/>
                <w:szCs w:val="20"/>
                <w:color w:val="auto"/>
              </w:rPr>
            </w:pPr>
            <w:r>
              <w:rPr>
                <w:rFonts w:ascii="Arial" w:cs="Arial" w:eastAsia="Arial" w:hAnsi="Arial"/>
                <w:sz w:val="15"/>
                <w:szCs w:val="15"/>
                <w:b w:val="1"/>
                <w:bCs w:val="1"/>
                <w:color w:val="auto"/>
                <w:w w:val="97"/>
              </w:rPr>
              <w:t>Price</w:t>
            </w:r>
          </w:p>
        </w:tc>
        <w:tc>
          <w:tcPr>
            <w:tcW w:w="2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(in thousands)</w:t>
            </w:r>
          </w:p>
        </w:tc>
        <w:tc>
          <w:tcPr>
            <w:tcW w:w="1220" w:type="dxa"/>
            <w:vAlign w:val="bottom"/>
            <w:tcBorders>
              <w:bottom w:val="single" w:sz="8" w:color="auto"/>
            </w:tcBorders>
          </w:tcPr>
          <w:p>
            <w:pPr>
              <w:jc w:val="center"/>
              <w:ind w:left="27"/>
              <w:spacing w:after="0"/>
              <w:rPr>
                <w:sz w:val="20"/>
                <w:szCs w:val="20"/>
                <w:color w:val="auto"/>
              </w:rPr>
            </w:pPr>
            <w:r>
              <w:rPr>
                <w:rFonts w:ascii="Arial" w:cs="Arial" w:eastAsia="Arial" w:hAnsi="Arial"/>
                <w:sz w:val="15"/>
                <w:szCs w:val="15"/>
                <w:b w:val="1"/>
                <w:bCs w:val="1"/>
                <w:color w:val="auto"/>
                <w:w w:val="98"/>
              </w:rPr>
              <w:t>Contractual Life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Total options outstanding, beginning of period (1)</w:t>
            </w:r>
          </w:p>
        </w:tc>
        <w:tc>
          <w:tcPr>
            <w:tcW w:w="9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16,087,146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55.48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40" w:type="dxa"/>
            <w:vAlign w:val="bottom"/>
            <w:gridSpan w:val="2"/>
          </w:tcPr>
          <w:p>
            <w:pPr>
              <w:spacing w:after="0" w:line="169" w:lineRule="exact"/>
              <w:rPr>
                <w:sz w:val="20"/>
                <w:szCs w:val="20"/>
                <w:color w:val="auto"/>
              </w:rPr>
            </w:pPr>
            <w:r>
              <w:rPr>
                <w:rFonts w:ascii="Arial" w:cs="Arial" w:eastAsia="Arial" w:hAnsi="Arial"/>
                <w:sz w:val="15"/>
                <w:szCs w:val="15"/>
                <w:color w:val="auto"/>
              </w:rPr>
              <w:t>Granted (2)</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7,055,206</w:t>
            </w:r>
          </w:p>
        </w:tc>
        <w:tc>
          <w:tcPr>
            <w:tcW w:w="2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14.43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Exercised</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(315,595)</w:t>
            </w: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14.16</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4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5"/>
                <w:szCs w:val="15"/>
                <w:color w:val="auto"/>
              </w:rPr>
              <w:t>Forfeited and cancelled (3)</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(9,267,724)</w:t>
            </w:r>
          </w:p>
        </w:tc>
        <w:tc>
          <w:tcPr>
            <w:tcW w:w="280" w:type="dxa"/>
            <w:vAlign w:val="bottom"/>
            <w:tcBorders>
              <w:bottom w:val="single" w:sz="8" w:color="CCEEFF"/>
            </w:tcBorders>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tcPr>
          <w:p>
            <w:pPr>
              <w:jc w:val="right"/>
              <w:spacing w:after="0" w:line="169" w:lineRule="exact"/>
              <w:rPr>
                <w:sz w:val="20"/>
                <w:szCs w:val="20"/>
                <w:color w:val="auto"/>
              </w:rPr>
            </w:pPr>
            <w:r>
              <w:rPr>
                <w:rFonts w:ascii="Arial" w:cs="Arial" w:eastAsia="Arial" w:hAnsi="Arial"/>
                <w:sz w:val="15"/>
                <w:szCs w:val="15"/>
                <w:color w:val="auto"/>
              </w:rPr>
              <w:t>41.58</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Borders>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options outstanding, end of period</w:t>
            </w:r>
          </w:p>
        </w:tc>
        <w:tc>
          <w:tcPr>
            <w:tcW w:w="9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13,559,033</w:t>
            </w:r>
          </w:p>
        </w:tc>
        <w:tc>
          <w:tcPr>
            <w:tcW w:w="280" w:type="dxa"/>
            <w:vAlign w:val="bottom"/>
            <w:tcBorders>
              <w:bottom w:val="single" w:sz="8" w:color="CCEEFF"/>
            </w:tcBorders>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700" w:type="dxa"/>
            <w:vAlign w:val="bottom"/>
            <w:tcBorders>
              <w:bottom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44.58</w:t>
            </w:r>
          </w:p>
        </w:tc>
        <w:tc>
          <w:tcPr>
            <w:tcW w:w="320" w:type="dxa"/>
            <w:vAlign w:val="bottom"/>
            <w:tcBorders>
              <w:bottom w:val="single" w:sz="8" w:color="CCEEFF"/>
            </w:tcBorders>
            <w:gridSpan w:val="2"/>
            <w:shd w:val="clear" w:color="auto" w:fill="CCEEFF"/>
          </w:tcPr>
          <w:p>
            <w:pPr>
              <w:ind w:left="200"/>
              <w:spacing w:after="0" w:line="161"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CCEEFF"/>
            </w:tcBorders>
            <w:shd w:val="clear" w:color="auto" w:fill="CCEEFF"/>
          </w:tcPr>
          <w:p>
            <w:pPr>
              <w:jc w:val="right"/>
              <w:ind w:right="87"/>
              <w:spacing w:after="0" w:line="161" w:lineRule="exact"/>
              <w:rPr>
                <w:sz w:val="20"/>
                <w:szCs w:val="20"/>
                <w:color w:val="auto"/>
              </w:rPr>
            </w:pPr>
            <w:r>
              <w:rPr>
                <w:rFonts w:ascii="Arial" w:cs="Arial" w:eastAsia="Arial" w:hAnsi="Arial"/>
                <w:sz w:val="15"/>
                <w:szCs w:val="15"/>
                <w:color w:val="auto"/>
              </w:rPr>
              <w:t>59,949</w:t>
            </w:r>
          </w:p>
        </w:tc>
        <w:tc>
          <w:tcPr>
            <w:tcW w:w="1220" w:type="dxa"/>
            <w:vAlign w:val="bottom"/>
            <w:tcBorders>
              <w:bottom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gridSpan w:val="2"/>
            <w:vMerge w:val="restart"/>
          </w:tcPr>
          <w:p>
            <w:pPr>
              <w:spacing w:after="0" w:line="149" w:lineRule="exact"/>
              <w:rPr>
                <w:sz w:val="20"/>
                <w:szCs w:val="20"/>
                <w:color w:val="auto"/>
              </w:rPr>
            </w:pPr>
            <w:r>
              <w:rPr>
                <w:rFonts w:ascii="Arial" w:cs="Arial" w:eastAsia="Arial" w:hAnsi="Arial"/>
                <w:sz w:val="15"/>
                <w:szCs w:val="15"/>
                <w:b w:val="1"/>
                <w:bCs w:val="1"/>
                <w:color w:val="auto"/>
              </w:rPr>
              <w:t>Performance/market based options outstanding, end of</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4440" w:type="dxa"/>
            <w:vAlign w:val="bottom"/>
            <w:gridSpan w:val="2"/>
            <w:vMerge w:val="continue"/>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4,300,088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460" w:type="dxa"/>
            <w:vAlign w:val="bottom"/>
            <w:gridSpan w:val="3"/>
          </w:tcPr>
          <w:p>
            <w:pPr>
              <w:spacing w:after="0" w:line="170" w:lineRule="exact"/>
              <w:rPr>
                <w:sz w:val="20"/>
                <w:szCs w:val="20"/>
                <w:color w:val="auto"/>
              </w:rPr>
            </w:pPr>
            <w:r>
              <w:rPr>
                <w:rFonts w:ascii="Arial" w:cs="Arial" w:eastAsia="Arial" w:hAnsi="Arial"/>
                <w:sz w:val="15"/>
                <w:szCs w:val="15"/>
                <w:b w:val="1"/>
                <w:bCs w:val="1"/>
                <w:color w:val="auto"/>
              </w:rPr>
              <w:t>period (4)</w:t>
            </w:r>
          </w:p>
        </w:tc>
        <w:tc>
          <w:tcPr>
            <w:tcW w:w="920" w:type="dxa"/>
            <w:vAlign w:val="bottom"/>
            <w:tcBorders>
              <w:bottom w:val="single" w:sz="8" w:color="auto"/>
            </w:tcBorders>
            <w:vMerge w:val="continue"/>
          </w:tcPr>
          <w:p>
            <w:pPr>
              <w:spacing w:after="0"/>
              <w:rPr>
                <w:sz w:val="18"/>
                <w:szCs w:val="18"/>
                <w:color w:val="auto"/>
              </w:rPr>
            </w:pPr>
          </w:p>
        </w:tc>
        <w:tc>
          <w:tcPr>
            <w:tcW w:w="2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70" w:lineRule="exact"/>
              <w:rPr>
                <w:sz w:val="20"/>
                <w:szCs w:val="20"/>
                <w:color w:val="auto"/>
              </w:rPr>
            </w:pPr>
            <w:r>
              <w:rPr>
                <w:rFonts w:ascii="Arial" w:cs="Arial" w:eastAsia="Arial" w:hAnsi="Arial"/>
                <w:sz w:val="15"/>
                <w:szCs w:val="15"/>
                <w:color w:val="auto"/>
              </w:rPr>
              <w:t>84.39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40" w:type="dxa"/>
            <w:vAlign w:val="bottom"/>
            <w:tcBorders>
              <w:top w:val="single" w:sz="8" w:color="CCEEFF"/>
              <w:bottom w:val="single" w:sz="8" w:color="CCEEFF"/>
            </w:tcBorders>
            <w:gridSpan w:val="2"/>
            <w:shd w:val="clear" w:color="auto" w:fill="CCEEFF"/>
          </w:tcPr>
          <w:p>
            <w:pPr>
              <w:spacing w:after="0" w:line="146" w:lineRule="exact"/>
              <w:rPr>
                <w:sz w:val="20"/>
                <w:szCs w:val="20"/>
                <w:color w:val="auto"/>
              </w:rPr>
            </w:pPr>
            <w:r>
              <w:rPr>
                <w:rFonts w:ascii="Arial" w:cs="Arial" w:eastAsia="Arial" w:hAnsi="Arial"/>
                <w:sz w:val="15"/>
                <w:szCs w:val="15"/>
                <w:b w:val="1"/>
                <w:bCs w:val="1"/>
                <w:color w:val="auto"/>
              </w:rPr>
              <w:t>Exercisable, end of period</w:t>
            </w:r>
          </w:p>
        </w:tc>
        <w:tc>
          <w:tcPr>
            <w:tcW w:w="92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5"/>
                <w:szCs w:val="15"/>
                <w:color w:val="auto"/>
              </w:rPr>
              <w:t>3,606,304</w:t>
            </w:r>
          </w:p>
        </w:tc>
        <w:tc>
          <w:tcPr>
            <w:tcW w:w="280" w:type="dxa"/>
            <w:vAlign w:val="bottom"/>
            <w:tcBorders>
              <w:top w:val="single" w:sz="8" w:color="CCEEFF"/>
              <w:bottom w:val="single" w:sz="8" w:color="CCEEFF"/>
            </w:tcBorders>
            <w:gridSpan w:val="2"/>
            <w:shd w:val="clear" w:color="auto" w:fill="CCEEFF"/>
          </w:tcPr>
          <w:p>
            <w:pPr>
              <w:jc w:val="right"/>
              <w:spacing w:after="0" w:line="146" w:lineRule="exact"/>
              <w:rPr>
                <w:sz w:val="20"/>
                <w:szCs w:val="20"/>
                <w:color w:val="auto"/>
              </w:rPr>
            </w:pPr>
            <w:r>
              <w:rPr>
                <w:rFonts w:ascii="Arial" w:cs="Arial" w:eastAsia="Arial" w:hAnsi="Arial"/>
                <w:sz w:val="15"/>
                <w:szCs w:val="15"/>
                <w:color w:val="auto"/>
              </w:rPr>
              <w:t>$</w:t>
            </w:r>
          </w:p>
        </w:tc>
        <w:tc>
          <w:tcPr>
            <w:tcW w:w="700" w:type="dxa"/>
            <w:vAlign w:val="bottom"/>
            <w:tcBorders>
              <w:top w:val="single" w:sz="8" w:color="CCEEFF"/>
              <w:bottom w:val="single" w:sz="8" w:color="CCEEFF"/>
            </w:tcBorders>
            <w:shd w:val="clear" w:color="auto" w:fill="CCEEFF"/>
          </w:tcPr>
          <w:p>
            <w:pPr>
              <w:jc w:val="right"/>
              <w:spacing w:after="0" w:line="146" w:lineRule="exact"/>
              <w:rPr>
                <w:sz w:val="20"/>
                <w:szCs w:val="20"/>
                <w:color w:val="auto"/>
              </w:rPr>
            </w:pPr>
            <w:r>
              <w:rPr>
                <w:rFonts w:ascii="Arial" w:cs="Arial" w:eastAsia="Arial" w:hAnsi="Arial"/>
                <w:sz w:val="15"/>
                <w:szCs w:val="15"/>
                <w:color w:val="auto"/>
              </w:rPr>
              <w:t>43.15</w:t>
            </w:r>
          </w:p>
        </w:tc>
        <w:tc>
          <w:tcPr>
            <w:tcW w:w="320" w:type="dxa"/>
            <w:vAlign w:val="bottom"/>
            <w:tcBorders>
              <w:top w:val="single" w:sz="8" w:color="CCEEFF"/>
              <w:bottom w:val="single" w:sz="8" w:color="CCEEFF"/>
            </w:tcBorders>
            <w:gridSpan w:val="2"/>
            <w:shd w:val="clear" w:color="auto" w:fill="CCEEFF"/>
          </w:tcPr>
          <w:p>
            <w:pPr>
              <w:ind w:left="200"/>
              <w:spacing w:after="0" w:line="146"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CCEEFF"/>
              <w:bottom w:val="single" w:sz="8" w:color="CCEEFF"/>
            </w:tcBorders>
            <w:shd w:val="clear" w:color="auto" w:fill="CCEEFF"/>
          </w:tcPr>
          <w:p>
            <w:pPr>
              <w:jc w:val="right"/>
              <w:ind w:right="87"/>
              <w:spacing w:after="0" w:line="146" w:lineRule="exact"/>
              <w:rPr>
                <w:sz w:val="20"/>
                <w:szCs w:val="20"/>
                <w:color w:val="auto"/>
              </w:rPr>
            </w:pPr>
            <w:r>
              <w:rPr>
                <w:rFonts w:ascii="Arial" w:cs="Arial" w:eastAsia="Arial" w:hAnsi="Arial"/>
                <w:sz w:val="15"/>
                <w:szCs w:val="15"/>
                <w:color w:val="auto"/>
              </w:rPr>
              <w:t>13,075</w:t>
            </w:r>
          </w:p>
        </w:tc>
        <w:tc>
          <w:tcPr>
            <w:tcW w:w="1220" w:type="dxa"/>
            <w:vAlign w:val="bottom"/>
            <w:tcBorders>
              <w:top w:val="single" w:sz="8" w:color="CCEEFF"/>
              <w:bottom w:val="single" w:sz="8" w:color="CCEEFF"/>
            </w:tcBorders>
            <w:shd w:val="clear" w:color="auto" w:fill="CCEEFF"/>
          </w:tcPr>
          <w:p>
            <w:pPr>
              <w:jc w:val="right"/>
              <w:spacing w:after="0" w:line="146" w:lineRule="exact"/>
              <w:rPr>
                <w:sz w:val="20"/>
                <w:szCs w:val="20"/>
                <w:color w:val="auto"/>
              </w:rPr>
            </w:pPr>
            <w:r>
              <w:rPr>
                <w:rFonts w:ascii="Arial" w:cs="Arial" w:eastAsia="Arial" w:hAnsi="Arial"/>
                <w:sz w:val="15"/>
                <w:szCs w:val="15"/>
                <w:color w:val="auto"/>
              </w:rPr>
              <w:t>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right="439" w:hanging="298"/>
        <w:spacing w:after="0" w:line="247"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beginning of period weighted-average exercise price for the year ended December 31, 2024 of $55.48 does not reflect the Exchange Offer, which occurred subsequent to December 31, 2023.</w:t>
      </w:r>
    </w:p>
    <w:p>
      <w:pPr>
        <w:ind w:left="340" w:hanging="298"/>
        <w:spacing w:after="0" w:line="236"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approximately 6 million stock options granted in connection with the Exchange Offer.</w:t>
      </w:r>
    </w:p>
    <w:p>
      <w:pPr>
        <w:ind w:left="340" w:hanging="298"/>
        <w:spacing w:after="0" w:line="236"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approximately 7 million stock options cancelled in connection with the Exchange Offer.</w:t>
      </w:r>
    </w:p>
    <w:p>
      <w:pPr>
        <w:ind w:left="340" w:right="339" w:hanging="298"/>
        <w:spacing w:after="0" w:line="255"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These stock options are included in the caption “Total options outstanding, end of period.” See discussion of the 2017 LTIP, 2019 LTIP, 2022 Incentive Plan and Ergen 2020 Performance Award below.</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10">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1" w:name="page192"/>
    <w:bookmarkEnd w:id="19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realized tax benefits from stock awards exercised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27"/>
              <w:spacing w:after="0"/>
              <w:rPr>
                <w:sz w:val="20"/>
                <w:szCs w:val="20"/>
                <w:color w:val="auto"/>
              </w:rPr>
            </w:pPr>
            <w:r>
              <w:rPr>
                <w:rFonts w:ascii="Arial" w:cs="Arial" w:eastAsia="Arial" w:hAnsi="Arial"/>
                <w:sz w:val="15"/>
                <w:szCs w:val="15"/>
                <w:b w:val="1"/>
                <w:bCs w:val="1"/>
                <w:color w:val="auto"/>
                <w:w w:val="96"/>
              </w:rPr>
              <w:t>For the Years Ended December 31,</w:t>
            </w: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42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2024</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7"/>
              <w:spacing w:after="0" w:line="169" w:lineRule="exact"/>
              <w:rPr>
                <w:sz w:val="20"/>
                <w:szCs w:val="20"/>
                <w:color w:val="auto"/>
              </w:rPr>
            </w:pPr>
            <w:r>
              <w:rPr>
                <w:rFonts w:ascii="Arial" w:cs="Arial" w:eastAsia="Arial" w:hAnsi="Arial"/>
                <w:sz w:val="15"/>
                <w:szCs w:val="15"/>
                <w:b w:val="1"/>
                <w:bCs w:val="1"/>
                <w:color w:val="auto"/>
                <w:w w:val="95"/>
              </w:rPr>
              <w:t>2023</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7"/>
              <w:spacing w:after="0" w:line="169" w:lineRule="exact"/>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14"/>
                <w:szCs w:val="14"/>
                <w:color w:val="auto"/>
              </w:rPr>
            </w:pPr>
          </w:p>
        </w:tc>
      </w:tr>
      <w:tr>
        <w:trPr>
          <w:trHeight w:val="149"/>
        </w:trPr>
        <w:tc>
          <w:tcPr>
            <w:tcW w:w="4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7"/>
              <w:spacing w:after="0" w:line="149" w:lineRule="exact"/>
              <w:rPr>
                <w:sz w:val="20"/>
                <w:szCs w:val="20"/>
                <w:color w:val="auto"/>
              </w:rPr>
            </w:pPr>
            <w:r>
              <w:rPr>
                <w:rFonts w:ascii="Arial" w:cs="Arial" w:eastAsia="Arial" w:hAnsi="Arial"/>
                <w:sz w:val="15"/>
                <w:szCs w:val="15"/>
                <w:color w:val="auto"/>
                <w:w w:val="95"/>
              </w:rPr>
              <w:t>(In thousands)</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9"/>
        </w:trPr>
        <w:tc>
          <w:tcPr>
            <w:tcW w:w="44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Tax benefit from stock awards exercised</w:t>
            </w:r>
          </w:p>
        </w:tc>
        <w:tc>
          <w:tcPr>
            <w:tcW w:w="840" w:type="dxa"/>
            <w:vAlign w:val="bottom"/>
            <w:tcBorders>
              <w:bottom w:val="single" w:sz="8" w:color="auto"/>
            </w:tcBorders>
            <w:shd w:val="clear" w:color="auto" w:fill="CCEEFF"/>
          </w:tcPr>
          <w:p>
            <w:pPr>
              <w:jc w:val="right"/>
              <w:ind w:right="667"/>
              <w:spacing w:after="0" w:line="169" w:lineRule="exact"/>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2,150</w:t>
            </w:r>
          </w:p>
        </w:tc>
        <w:tc>
          <w:tcPr>
            <w:tcW w:w="2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1,384</w:t>
            </w:r>
          </w:p>
        </w:tc>
        <w:tc>
          <w:tcPr>
            <w:tcW w:w="3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7"/>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573</w:t>
            </w:r>
          </w:p>
        </w:tc>
        <w:tc>
          <w:tcPr>
            <w:tcW w:w="60" w:type="dxa"/>
            <w:vAlign w:val="bottom"/>
            <w:tcBorders>
              <w:bottom w:val="single" w:sz="8" w:color="CCEEFF"/>
            </w:tcBorders>
            <w:shd w:val="clear" w:color="auto" w:fill="CCEEFF"/>
          </w:tcPr>
          <w:p>
            <w:pPr>
              <w:spacing w:after="0"/>
              <w:rPr>
                <w:sz w:val="14"/>
                <w:szCs w:val="14"/>
                <w:color w:val="auto"/>
              </w:rPr>
            </w:pPr>
          </w:p>
        </w:tc>
      </w:tr>
      <w:tr>
        <w:trPr>
          <w:trHeight w:val="20"/>
        </w:trPr>
        <w:tc>
          <w:tcPr>
            <w:tcW w:w="4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restricted stock unit and award activity was as follows:</w:t>
      </w:r>
    </w:p>
    <w:p>
      <w:pPr>
        <w:spacing w:after="0" w:line="196" w:lineRule="exact"/>
        <w:rPr>
          <w:sz w:val="20"/>
          <w:szCs w:val="20"/>
          <w:color w:val="auto"/>
        </w:rPr>
      </w:pPr>
    </w:p>
    <w:p>
      <w:pPr>
        <w:ind w:left="6800"/>
        <w:spacing w:after="0"/>
        <w:rPr>
          <w:sz w:val="20"/>
          <w:szCs w:val="20"/>
          <w:color w:val="auto"/>
        </w:rPr>
      </w:pPr>
      <w:r>
        <w:rPr>
          <w:rFonts w:ascii="Arial" w:cs="Arial" w:eastAsia="Arial" w:hAnsi="Arial"/>
          <w:sz w:val="15"/>
          <w:szCs w:val="15"/>
          <w:b w:val="1"/>
          <w:bCs w:val="1"/>
          <w:color w:val="auto"/>
        </w:rPr>
        <w:t>For the Year Ended</w:t>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5"/>
          <w:szCs w:val="15"/>
          <w:b w:val="1"/>
          <w:bCs w:val="1"/>
          <w:color w:val="auto"/>
        </w:rPr>
        <w:t>December 31, 2024</w:t>
      </w:r>
    </w:p>
    <w:tbl>
      <w:tblPr>
        <w:tblLayout w:type="fixed"/>
        <w:tblInd w:w="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87"/>
              <w:spacing w:after="0" w:line="161" w:lineRule="exact"/>
              <w:rPr>
                <w:sz w:val="20"/>
                <w:szCs w:val="20"/>
                <w:color w:val="auto"/>
              </w:rPr>
            </w:pPr>
            <w:r>
              <w:rPr>
                <w:rFonts w:ascii="Arial" w:cs="Arial" w:eastAsia="Arial" w:hAnsi="Arial"/>
                <w:sz w:val="15"/>
                <w:szCs w:val="15"/>
                <w:b w:val="1"/>
                <w:bCs w:val="1"/>
                <w:color w:val="auto"/>
                <w:w w:val="96"/>
              </w:rPr>
              <w:t>Weighted-</w:t>
            </w:r>
          </w:p>
        </w:tc>
        <w:tc>
          <w:tcPr>
            <w:tcW w:w="200" w:type="dxa"/>
            <w:vAlign w:val="bottom"/>
          </w:tcPr>
          <w:p>
            <w:pPr>
              <w:spacing w:after="0"/>
              <w:rPr>
                <w:sz w:val="14"/>
                <w:szCs w:val="14"/>
                <w:color w:val="auto"/>
              </w:rPr>
            </w:pPr>
          </w:p>
        </w:tc>
      </w:tr>
      <w:tr>
        <w:trPr>
          <w:trHeight w:val="169"/>
        </w:trPr>
        <w:tc>
          <w:tcPr>
            <w:tcW w:w="6160" w:type="dxa"/>
            <w:vAlign w:val="bottom"/>
          </w:tcPr>
          <w:p>
            <w:pPr>
              <w:spacing w:after="0"/>
              <w:rPr>
                <w:sz w:val="14"/>
                <w:szCs w:val="14"/>
                <w:color w:val="auto"/>
              </w:rPr>
            </w:pPr>
          </w:p>
        </w:tc>
        <w:tc>
          <w:tcPr>
            <w:tcW w:w="132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95"/>
              </w:rPr>
              <w:t>Restricted</w:t>
            </w:r>
          </w:p>
        </w:tc>
        <w:tc>
          <w:tcPr>
            <w:tcW w:w="180" w:type="dxa"/>
            <w:vAlign w:val="bottom"/>
          </w:tcPr>
          <w:p>
            <w:pPr>
              <w:spacing w:after="0"/>
              <w:rPr>
                <w:sz w:val="14"/>
                <w:szCs w:val="14"/>
                <w:color w:val="auto"/>
              </w:rPr>
            </w:pPr>
          </w:p>
        </w:tc>
        <w:tc>
          <w:tcPr>
            <w:tcW w:w="1260" w:type="dxa"/>
            <w:vAlign w:val="bottom"/>
            <w:gridSpan w:val="2"/>
          </w:tcPr>
          <w:p>
            <w:pPr>
              <w:jc w:val="center"/>
              <w:ind w:right="360"/>
              <w:spacing w:after="0" w:line="169" w:lineRule="exact"/>
              <w:rPr>
                <w:sz w:val="20"/>
                <w:szCs w:val="20"/>
                <w:color w:val="auto"/>
              </w:rPr>
            </w:pPr>
            <w:r>
              <w:rPr>
                <w:rFonts w:ascii="Arial" w:cs="Arial" w:eastAsia="Arial" w:hAnsi="Arial"/>
                <w:sz w:val="15"/>
                <w:szCs w:val="15"/>
                <w:b w:val="1"/>
                <w:bCs w:val="1"/>
                <w:color w:val="auto"/>
                <w:w w:val="97"/>
              </w:rPr>
              <w:t>Average</w:t>
            </w:r>
          </w:p>
        </w:tc>
      </w:tr>
      <w:tr>
        <w:trPr>
          <w:trHeight w:val="169"/>
        </w:trPr>
        <w:tc>
          <w:tcPr>
            <w:tcW w:w="6160" w:type="dxa"/>
            <w:vAlign w:val="bottom"/>
          </w:tcPr>
          <w:p>
            <w:pPr>
              <w:spacing w:after="0"/>
              <w:rPr>
                <w:sz w:val="14"/>
                <w:szCs w:val="14"/>
                <w:color w:val="auto"/>
              </w:rPr>
            </w:pPr>
          </w:p>
        </w:tc>
        <w:tc>
          <w:tcPr>
            <w:tcW w:w="132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7"/>
              </w:rPr>
              <w:t>Stock</w:t>
            </w:r>
          </w:p>
        </w:tc>
        <w:tc>
          <w:tcPr>
            <w:tcW w:w="180" w:type="dxa"/>
            <w:vAlign w:val="bottom"/>
          </w:tcPr>
          <w:p>
            <w:pPr>
              <w:spacing w:after="0"/>
              <w:rPr>
                <w:sz w:val="14"/>
                <w:szCs w:val="14"/>
                <w:color w:val="auto"/>
              </w:rPr>
            </w:pPr>
          </w:p>
        </w:tc>
        <w:tc>
          <w:tcPr>
            <w:tcW w:w="1260" w:type="dxa"/>
            <w:vAlign w:val="bottom"/>
            <w:gridSpan w:val="2"/>
          </w:tcPr>
          <w:p>
            <w:pPr>
              <w:jc w:val="center"/>
              <w:ind w:right="360"/>
              <w:spacing w:after="0" w:line="169" w:lineRule="exact"/>
              <w:rPr>
                <w:sz w:val="20"/>
                <w:szCs w:val="20"/>
                <w:color w:val="auto"/>
              </w:rPr>
            </w:pPr>
            <w:r>
              <w:rPr>
                <w:rFonts w:ascii="Arial" w:cs="Arial" w:eastAsia="Arial" w:hAnsi="Arial"/>
                <w:sz w:val="15"/>
                <w:szCs w:val="15"/>
                <w:b w:val="1"/>
                <w:bCs w:val="1"/>
                <w:color w:val="auto"/>
                <w:w w:val="96"/>
              </w:rPr>
              <w:t>Grant Date</w:t>
            </w:r>
          </w:p>
        </w:tc>
      </w:tr>
      <w:tr>
        <w:trPr>
          <w:trHeight w:val="182"/>
        </w:trPr>
        <w:tc>
          <w:tcPr>
            <w:tcW w:w="616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Units/Awards</w:t>
            </w:r>
          </w:p>
        </w:tc>
        <w:tc>
          <w:tcPr>
            <w:tcW w:w="18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7"/>
              </w:rPr>
              <w:t>Fair Value</w:t>
            </w:r>
          </w:p>
        </w:tc>
      </w:tr>
      <w:tr>
        <w:trPr>
          <w:trHeight w:val="162"/>
        </w:trPr>
        <w:tc>
          <w:tcPr>
            <w:tcW w:w="61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restricted stock units/awards outstanding, beginning of period</w:t>
            </w:r>
          </w:p>
        </w:tc>
        <w:tc>
          <w:tcPr>
            <w:tcW w:w="10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48,645</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
              <w:spacing w:after="0" w:line="161"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98.78</w:t>
            </w:r>
          </w:p>
        </w:tc>
        <w:tc>
          <w:tcPr>
            <w:tcW w:w="200" w:type="dxa"/>
            <w:vAlign w:val="bottom"/>
            <w:tcBorders>
              <w:top w:val="single" w:sz="8" w:color="CCEEFF"/>
            </w:tcBorders>
            <w:shd w:val="clear" w:color="auto" w:fill="CCEEFF"/>
          </w:tcPr>
          <w:p>
            <w:pPr>
              <w:spacing w:after="0"/>
              <w:rPr>
                <w:sz w:val="14"/>
                <w:szCs w:val="14"/>
                <w:color w:val="auto"/>
              </w:rPr>
            </w:pPr>
          </w:p>
        </w:tc>
      </w:tr>
      <w:tr>
        <w:trPr>
          <w:trHeight w:val="169"/>
        </w:trPr>
        <w:tc>
          <w:tcPr>
            <w:tcW w:w="6160" w:type="dxa"/>
            <w:vAlign w:val="bottom"/>
          </w:tcPr>
          <w:p>
            <w:pPr>
              <w:spacing w:after="0" w:line="169" w:lineRule="exact"/>
              <w:rPr>
                <w:sz w:val="20"/>
                <w:szCs w:val="20"/>
                <w:color w:val="auto"/>
              </w:rPr>
            </w:pPr>
            <w:r>
              <w:rPr>
                <w:rFonts w:ascii="Arial" w:cs="Arial" w:eastAsia="Arial" w:hAnsi="Arial"/>
                <w:sz w:val="15"/>
                <w:szCs w:val="15"/>
                <w:color w:val="auto"/>
              </w:rPr>
              <w:t>Granted</w:t>
            </w: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342,602</w:t>
            </w:r>
          </w:p>
        </w:tc>
        <w:tc>
          <w:tcPr>
            <w:tcW w:w="240" w:type="dxa"/>
            <w:vAlign w:val="bottom"/>
          </w:tcPr>
          <w:p>
            <w:pPr>
              <w:spacing w:after="0"/>
              <w:rPr>
                <w:sz w:val="14"/>
                <w:szCs w:val="14"/>
                <w:color w:val="auto"/>
              </w:rPr>
            </w:pPr>
          </w:p>
        </w:tc>
        <w:tc>
          <w:tcPr>
            <w:tcW w:w="180" w:type="dxa"/>
            <w:vAlign w:val="bottom"/>
          </w:tcPr>
          <w:p>
            <w:pPr>
              <w:jc w:val="right"/>
              <w:ind w:right="7"/>
              <w:spacing w:after="0" w:line="169" w:lineRule="exact"/>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16.60</w:t>
            </w:r>
          </w:p>
        </w:tc>
        <w:tc>
          <w:tcPr>
            <w:tcW w:w="200" w:type="dxa"/>
            <w:vAlign w:val="bottom"/>
          </w:tcPr>
          <w:p>
            <w:pPr>
              <w:spacing w:after="0"/>
              <w:rPr>
                <w:sz w:val="14"/>
                <w:szCs w:val="14"/>
                <w:color w:val="auto"/>
              </w:rPr>
            </w:pPr>
          </w:p>
        </w:tc>
      </w:tr>
      <w:tr>
        <w:trPr>
          <w:trHeight w:val="169"/>
        </w:trPr>
        <w:tc>
          <w:tcPr>
            <w:tcW w:w="61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Vested</w:t>
            </w:r>
          </w:p>
        </w:tc>
        <w:tc>
          <w:tcPr>
            <w:tcW w:w="13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(293,001)</w:t>
            </w:r>
          </w:p>
        </w:tc>
        <w:tc>
          <w:tcPr>
            <w:tcW w:w="18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22.78</w:t>
            </w:r>
          </w:p>
        </w:tc>
        <w:tc>
          <w:tcPr>
            <w:tcW w:w="200" w:type="dxa"/>
            <w:vAlign w:val="bottom"/>
            <w:shd w:val="clear" w:color="auto" w:fill="CCEEFF"/>
          </w:tcPr>
          <w:p>
            <w:pPr>
              <w:spacing w:after="0"/>
              <w:rPr>
                <w:sz w:val="14"/>
                <w:szCs w:val="14"/>
                <w:color w:val="auto"/>
              </w:rPr>
            </w:pPr>
          </w:p>
        </w:tc>
      </w:tr>
      <w:tr>
        <w:trPr>
          <w:trHeight w:val="169"/>
        </w:trPr>
        <w:tc>
          <w:tcPr>
            <w:tcW w:w="6160" w:type="dxa"/>
            <w:vAlign w:val="bottom"/>
          </w:tcPr>
          <w:p>
            <w:pPr>
              <w:spacing w:after="0" w:line="169" w:lineRule="exact"/>
              <w:rPr>
                <w:sz w:val="20"/>
                <w:szCs w:val="20"/>
                <w:color w:val="auto"/>
              </w:rPr>
            </w:pPr>
            <w:r>
              <w:rPr>
                <w:rFonts w:ascii="Arial" w:cs="Arial" w:eastAsia="Arial" w:hAnsi="Arial"/>
                <w:sz w:val="15"/>
                <w:szCs w:val="15"/>
                <w:color w:val="auto"/>
              </w:rPr>
              <w:t>Forfeited and cancelled</w:t>
            </w:r>
          </w:p>
        </w:tc>
        <w:tc>
          <w:tcPr>
            <w:tcW w:w="13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(7,018)</w:t>
            </w:r>
          </w:p>
        </w:tc>
        <w:tc>
          <w:tcPr>
            <w:tcW w:w="180" w:type="dxa"/>
            <w:vAlign w:val="bottom"/>
          </w:tcPr>
          <w:p>
            <w:pPr>
              <w:jc w:val="right"/>
              <w:ind w:right="7"/>
              <w:spacing w:after="0" w:line="169" w:lineRule="exact"/>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101.09</w:t>
            </w:r>
          </w:p>
        </w:tc>
        <w:tc>
          <w:tcPr>
            <w:tcW w:w="200" w:type="dxa"/>
            <w:vAlign w:val="bottom"/>
          </w:tcPr>
          <w:p>
            <w:pPr>
              <w:spacing w:after="0"/>
              <w:rPr>
                <w:sz w:val="14"/>
                <w:szCs w:val="14"/>
                <w:color w:val="auto"/>
              </w:rPr>
            </w:pPr>
          </w:p>
        </w:tc>
      </w:tr>
      <w:tr>
        <w:trPr>
          <w:trHeight w:val="162"/>
        </w:trPr>
        <w:tc>
          <w:tcPr>
            <w:tcW w:w="616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restricted stock units/awards outstanding, end of period</w:t>
            </w:r>
          </w:p>
        </w:tc>
        <w:tc>
          <w:tcPr>
            <w:tcW w:w="10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91,228</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jc w:val="right"/>
              <w:ind w:right="7"/>
              <w:spacing w:after="0" w:line="161"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CCEEFF"/>
              <w:bottom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34.08</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6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additional information about our stock options and restricted stock units and awards: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40" w:type="dxa"/>
            <w:vAlign w:val="bottom"/>
            <w:gridSpan w:val="8"/>
          </w:tcPr>
          <w:p>
            <w:pPr>
              <w:ind w:left="400"/>
              <w:spacing w:after="0"/>
              <w:rPr>
                <w:sz w:val="20"/>
                <w:szCs w:val="20"/>
                <w:color w:val="auto"/>
              </w:rPr>
            </w:pPr>
            <w:r>
              <w:rPr>
                <w:rFonts w:ascii="Arial" w:cs="Arial" w:eastAsia="Arial" w:hAnsi="Arial"/>
                <w:sz w:val="15"/>
                <w:szCs w:val="15"/>
                <w:b w:val="1"/>
                <w:bCs w:val="1"/>
                <w:color w:val="auto"/>
              </w:rPr>
              <w:t>For the Years Ended December 31,</w:t>
            </w:r>
          </w:p>
        </w:tc>
      </w:tr>
      <w:tr>
        <w:trPr>
          <w:trHeight w:val="169"/>
        </w:trPr>
        <w:tc>
          <w:tcPr>
            <w:tcW w:w="5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140"/>
              <w:spacing w:after="0" w:line="169" w:lineRule="exact"/>
              <w:rPr>
                <w:sz w:val="20"/>
                <w:szCs w:val="20"/>
                <w:color w:val="auto"/>
              </w:rPr>
            </w:pPr>
            <w:r>
              <w:rPr>
                <w:rFonts w:ascii="Arial" w:cs="Arial" w:eastAsia="Arial" w:hAnsi="Arial"/>
                <w:sz w:val="15"/>
                <w:szCs w:val="15"/>
                <w:b w:val="1"/>
                <w:bCs w:val="1"/>
                <w:color w:val="auto"/>
              </w:rPr>
              <w:t>2024</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87"/>
              <w:spacing w:after="0" w:line="169" w:lineRule="exact"/>
              <w:rPr>
                <w:sz w:val="20"/>
                <w:szCs w:val="20"/>
                <w:color w:val="auto"/>
              </w:rPr>
            </w:pPr>
            <w:r>
              <w:rPr>
                <w:rFonts w:ascii="Arial" w:cs="Arial" w:eastAsia="Arial" w:hAnsi="Arial"/>
                <w:sz w:val="15"/>
                <w:szCs w:val="15"/>
                <w:b w:val="1"/>
                <w:bCs w:val="1"/>
                <w:color w:val="auto"/>
              </w:rPr>
              <w:t>2023</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87"/>
              <w:spacing w:after="0" w:line="169" w:lineRule="exact"/>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14"/>
                <w:szCs w:val="14"/>
                <w:color w:val="auto"/>
              </w:rPr>
            </w:pPr>
          </w:p>
        </w:tc>
      </w:tr>
      <w:tr>
        <w:trPr>
          <w:trHeight w:val="149"/>
        </w:trPr>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ind w:left="240"/>
              <w:spacing w:after="0" w:line="149" w:lineRule="exact"/>
              <w:rPr>
                <w:sz w:val="20"/>
                <w:szCs w:val="20"/>
                <w:color w:val="auto"/>
              </w:rPr>
            </w:pPr>
            <w:r>
              <w:rPr>
                <w:rFonts w:ascii="Arial" w:cs="Arial" w:eastAsia="Arial" w:hAnsi="Arial"/>
                <w:sz w:val="15"/>
                <w:szCs w:val="15"/>
                <w:color w:val="auto"/>
                <w:w w:val="84"/>
              </w:rPr>
              <w:t>(In thousands,</w:t>
            </w:r>
          </w:p>
        </w:tc>
        <w:tc>
          <w:tcPr>
            <w:tcW w:w="1280" w:type="dxa"/>
            <w:vAlign w:val="bottom"/>
            <w:gridSpan w:val="3"/>
          </w:tcPr>
          <w:p>
            <w:pPr>
              <w:ind w:left="140"/>
              <w:spacing w:after="0" w:line="149" w:lineRule="exact"/>
              <w:rPr>
                <w:sz w:val="20"/>
                <w:szCs w:val="20"/>
                <w:color w:val="auto"/>
              </w:rPr>
            </w:pPr>
            <w:r>
              <w:rPr>
                <w:rFonts w:ascii="Arial" w:cs="Arial" w:eastAsia="Arial" w:hAnsi="Arial"/>
                <w:sz w:val="15"/>
                <w:szCs w:val="15"/>
                <w:color w:val="auto"/>
              </w:rPr>
              <w:t>except per share</w:t>
            </w:r>
          </w:p>
        </w:tc>
        <w:tc>
          <w:tcPr>
            <w:tcW w:w="1040" w:type="dxa"/>
            <w:vAlign w:val="bottom"/>
            <w:gridSpan w:val="2"/>
          </w:tcPr>
          <w:p>
            <w:pPr>
              <w:spacing w:after="0" w:line="149" w:lineRule="exact"/>
              <w:rPr>
                <w:sz w:val="20"/>
                <w:szCs w:val="20"/>
                <w:color w:val="auto"/>
              </w:rPr>
            </w:pPr>
            <w:r>
              <w:rPr>
                <w:rFonts w:ascii="Arial" w:cs="Arial" w:eastAsia="Arial" w:hAnsi="Arial"/>
                <w:sz w:val="15"/>
                <w:szCs w:val="15"/>
                <w:color w:val="auto"/>
              </w:rPr>
              <w:t>amounts)</w:t>
            </w:r>
          </w:p>
        </w:tc>
        <w:tc>
          <w:tcPr>
            <w:tcW w:w="60" w:type="dxa"/>
            <w:vAlign w:val="bottom"/>
          </w:tcPr>
          <w:p>
            <w:pPr>
              <w:spacing w:after="0"/>
              <w:rPr>
                <w:sz w:val="12"/>
                <w:szCs w:val="12"/>
                <w:color w:val="auto"/>
              </w:rPr>
            </w:pPr>
          </w:p>
        </w:tc>
      </w:tr>
      <w:tr>
        <w:trPr>
          <w:trHeight w:val="169"/>
        </w:trPr>
        <w:tc>
          <w:tcPr>
            <w:tcW w:w="52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Stock options: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9"/>
        </w:trPr>
        <w:tc>
          <w:tcPr>
            <w:tcW w:w="526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Weighted-average grant date fair value of options granted</w:t>
            </w:r>
          </w:p>
        </w:tc>
        <w:tc>
          <w:tcPr>
            <w:tcW w:w="2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420"/>
              <w:spacing w:after="0" w:line="169" w:lineRule="exact"/>
              <w:rPr>
                <w:sz w:val="20"/>
                <w:szCs w:val="20"/>
                <w:color w:val="auto"/>
              </w:rPr>
            </w:pPr>
            <w:r>
              <w:rPr>
                <w:rFonts w:ascii="Arial" w:cs="Arial" w:eastAsia="Arial" w:hAnsi="Arial"/>
                <w:sz w:val="15"/>
                <w:szCs w:val="15"/>
                <w:color w:val="auto"/>
              </w:rPr>
              <w:t>14.43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22.28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53.20</w:t>
            </w:r>
          </w:p>
        </w:tc>
        <w:tc>
          <w:tcPr>
            <w:tcW w:w="60" w:type="dxa"/>
            <w:vAlign w:val="bottom"/>
            <w:tcBorders>
              <w:bottom w:val="single" w:sz="8" w:color="CCEEFF"/>
            </w:tcBorders>
          </w:tcPr>
          <w:p>
            <w:pPr>
              <w:spacing w:after="0"/>
              <w:rPr>
                <w:sz w:val="18"/>
                <w:szCs w:val="18"/>
                <w:color w:val="auto"/>
              </w:rPr>
            </w:pPr>
          </w:p>
        </w:tc>
      </w:tr>
      <w:tr>
        <w:trPr>
          <w:trHeight w:val="146"/>
        </w:trPr>
        <w:tc>
          <w:tcPr>
            <w:tcW w:w="5260" w:type="dxa"/>
            <w:vAlign w:val="bottom"/>
            <w:tcBorders>
              <w:bottom w:val="single" w:sz="8" w:color="CCEEFF"/>
            </w:tcBorders>
            <w:shd w:val="clear" w:color="auto" w:fill="CCEEFF"/>
          </w:tcPr>
          <w:p>
            <w:pPr>
              <w:spacing w:after="0" w:line="146" w:lineRule="exact"/>
              <w:rPr>
                <w:sz w:val="20"/>
                <w:szCs w:val="20"/>
                <w:color w:val="auto"/>
              </w:rPr>
            </w:pPr>
            <w:r>
              <w:rPr>
                <w:rFonts w:ascii="Arial" w:cs="Arial" w:eastAsia="Arial" w:hAnsi="Arial"/>
                <w:sz w:val="15"/>
                <w:szCs w:val="15"/>
                <w:color w:val="auto"/>
              </w:rPr>
              <w:t>Intrinsic value of options exercised</w:t>
            </w:r>
          </w:p>
        </w:tc>
        <w:tc>
          <w:tcPr>
            <w:tcW w:w="220" w:type="dxa"/>
            <w:vAlign w:val="bottom"/>
            <w:tcBorders>
              <w:bottom w:val="single" w:sz="8" w:color="auto"/>
            </w:tcBorders>
            <w:shd w:val="clear" w:color="auto" w:fill="CCEEFF"/>
          </w:tcPr>
          <w:p>
            <w:pPr>
              <w:jc w:val="right"/>
              <w:ind w:right="67"/>
              <w:spacing w:after="0" w:line="14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ind w:left="420"/>
              <w:spacing w:after="0" w:line="146" w:lineRule="exact"/>
              <w:rPr>
                <w:sz w:val="20"/>
                <w:szCs w:val="20"/>
                <w:color w:val="auto"/>
              </w:rPr>
            </w:pPr>
            <w:r>
              <w:rPr>
                <w:rFonts w:ascii="Arial" w:cs="Arial" w:eastAsia="Arial" w:hAnsi="Arial"/>
                <w:sz w:val="15"/>
                <w:szCs w:val="15"/>
                <w:color w:val="auto"/>
              </w:rPr>
              <w:t>2,275</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7"/>
              <w:spacing w:after="0" w:line="14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5"/>
                <w:szCs w:val="15"/>
                <w:color w:val="auto"/>
              </w:rPr>
              <w:t>98</w:t>
            </w:r>
          </w:p>
        </w:tc>
        <w:tc>
          <w:tcPr>
            <w:tcW w:w="60" w:type="dxa"/>
            <w:vAlign w:val="bottom"/>
            <w:tcBorders>
              <w:bottom w:val="single" w:sz="8" w:color="CCEEFF"/>
            </w:tcBorders>
            <w:shd w:val="clear" w:color="auto" w:fill="CCEEFF"/>
          </w:tcPr>
          <w:p>
            <w:pPr>
              <w:spacing w:after="0"/>
              <w:rPr>
                <w:sz w:val="12"/>
                <w:szCs w:val="12"/>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6"/>
        </w:trPr>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9"/>
        </w:trPr>
        <w:tc>
          <w:tcPr>
            <w:tcW w:w="52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Restricted stock units and awards:</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9"/>
        </w:trPr>
        <w:tc>
          <w:tcPr>
            <w:tcW w:w="526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Weighted-average grant date fair value of units and awards granted</w:t>
            </w:r>
          </w:p>
        </w:tc>
        <w:tc>
          <w:tcPr>
            <w:tcW w:w="2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420"/>
              <w:spacing w:after="0" w:line="169" w:lineRule="exact"/>
              <w:rPr>
                <w:sz w:val="20"/>
                <w:szCs w:val="20"/>
                <w:color w:val="auto"/>
              </w:rPr>
            </w:pPr>
            <w:r>
              <w:rPr>
                <w:rFonts w:ascii="Arial" w:cs="Arial" w:eastAsia="Arial" w:hAnsi="Arial"/>
                <w:sz w:val="15"/>
                <w:szCs w:val="15"/>
                <w:color w:val="auto"/>
              </w:rPr>
              <w:t>16.60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17.50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40.06</w:t>
            </w:r>
          </w:p>
        </w:tc>
        <w:tc>
          <w:tcPr>
            <w:tcW w:w="60" w:type="dxa"/>
            <w:vAlign w:val="bottom"/>
            <w:tcBorders>
              <w:bottom w:val="single" w:sz="8" w:color="CCEEFF"/>
            </w:tcBorders>
          </w:tcPr>
          <w:p>
            <w:pPr>
              <w:spacing w:after="0"/>
              <w:rPr>
                <w:sz w:val="18"/>
                <w:szCs w:val="18"/>
                <w:color w:val="auto"/>
              </w:rPr>
            </w:pPr>
          </w:p>
        </w:tc>
      </w:tr>
      <w:tr>
        <w:trPr>
          <w:trHeight w:val="146"/>
        </w:trPr>
        <w:tc>
          <w:tcPr>
            <w:tcW w:w="5260" w:type="dxa"/>
            <w:vAlign w:val="bottom"/>
            <w:tcBorders>
              <w:bottom w:val="single" w:sz="8" w:color="CCEEFF"/>
            </w:tcBorders>
            <w:shd w:val="clear" w:color="auto" w:fill="CCEEFF"/>
          </w:tcPr>
          <w:p>
            <w:pPr>
              <w:spacing w:after="0" w:line="146" w:lineRule="exact"/>
              <w:rPr>
                <w:sz w:val="20"/>
                <w:szCs w:val="20"/>
                <w:color w:val="auto"/>
              </w:rPr>
            </w:pPr>
            <w:r>
              <w:rPr>
                <w:rFonts w:ascii="Arial" w:cs="Arial" w:eastAsia="Arial" w:hAnsi="Arial"/>
                <w:sz w:val="15"/>
                <w:szCs w:val="15"/>
                <w:color w:val="auto"/>
              </w:rPr>
              <w:t>Fair value of units and rewards vested</w:t>
            </w:r>
          </w:p>
        </w:tc>
        <w:tc>
          <w:tcPr>
            <w:tcW w:w="220" w:type="dxa"/>
            <w:vAlign w:val="bottom"/>
            <w:tcBorders>
              <w:bottom w:val="single" w:sz="8" w:color="auto"/>
            </w:tcBorders>
            <w:shd w:val="clear" w:color="auto" w:fill="CCEEFF"/>
          </w:tcPr>
          <w:p>
            <w:pPr>
              <w:jc w:val="right"/>
              <w:ind w:right="67"/>
              <w:spacing w:after="0" w:line="14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ind w:left="420"/>
              <w:spacing w:after="0" w:line="146" w:lineRule="exact"/>
              <w:rPr>
                <w:sz w:val="20"/>
                <w:szCs w:val="20"/>
                <w:color w:val="auto"/>
              </w:rPr>
            </w:pPr>
            <w:r>
              <w:rPr>
                <w:rFonts w:ascii="Arial" w:cs="Arial" w:eastAsia="Arial" w:hAnsi="Arial"/>
                <w:sz w:val="15"/>
                <w:szCs w:val="15"/>
                <w:color w:val="auto"/>
              </w:rPr>
              <w:t>6,469</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7"/>
              <w:spacing w:after="0" w:line="146"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5"/>
                <w:szCs w:val="15"/>
                <w:color w:val="auto"/>
              </w:rPr>
              <w:t>9,926</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line="146"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5"/>
                <w:szCs w:val="15"/>
                <w:color w:val="auto"/>
              </w:rPr>
              <w:t>2,212</w:t>
            </w:r>
          </w:p>
        </w:tc>
        <w:tc>
          <w:tcPr>
            <w:tcW w:w="60" w:type="dxa"/>
            <w:vAlign w:val="bottom"/>
            <w:tcBorders>
              <w:bottom w:val="single" w:sz="8" w:color="CCEEFF"/>
            </w:tcBorders>
            <w:shd w:val="clear" w:color="auto" w:fill="CCEEFF"/>
          </w:tcPr>
          <w:p>
            <w:pPr>
              <w:spacing w:after="0"/>
              <w:rPr>
                <w:sz w:val="12"/>
                <w:szCs w:val="12"/>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Long-Term Performance-Based Plans</w:t>
      </w:r>
    </w:p>
    <w:p>
      <w:pPr>
        <w:spacing w:after="0" w:line="189" w:lineRule="exact"/>
        <w:rPr>
          <w:sz w:val="20"/>
          <w:szCs w:val="20"/>
          <w:color w:val="auto"/>
        </w:rPr>
      </w:pPr>
    </w:p>
    <w:p>
      <w:pPr>
        <w:ind w:left="40" w:right="139"/>
        <w:spacing w:after="0" w:line="244" w:lineRule="auto"/>
        <w:rPr>
          <w:sz w:val="20"/>
          <w:szCs w:val="20"/>
          <w:color w:val="auto"/>
        </w:rPr>
      </w:pPr>
      <w:r>
        <w:rPr>
          <w:rFonts w:ascii="Arial" w:cs="Arial" w:eastAsia="Arial" w:hAnsi="Arial"/>
          <w:sz w:val="16"/>
          <w:szCs w:val="16"/>
          <w:b w:val="1"/>
          <w:bCs w:val="1"/>
          <w:i w:val="1"/>
          <w:iCs w:val="1"/>
          <w:color w:val="auto"/>
        </w:rPr>
        <w:t xml:space="preserve">2017 LTIP. </w:t>
      </w:r>
      <w:r>
        <w:rPr>
          <w:rFonts w:ascii="Arial" w:cs="Arial" w:eastAsia="Arial" w:hAnsi="Arial"/>
          <w:sz w:val="16"/>
          <w:szCs w:val="16"/>
          <w:color w:val="auto"/>
        </w:rPr>
        <w:t>On December 2, 2016, we adopted a long-term, performance-based stock incentive plan (the “2017 LTIP”).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LTIP provided stock options, which were subject to vesting based on certain company-specific subscriber and financial performance conditions. Awards were initially granted under the 2017 LTIP as of January 1, 2017. Exercise of the stock awards was contingent on achieving these performance conditions by December 31, 2020, however, none of the performance conditions were achieved. This plan will expire on January 1, 2027 which as of December 31, 2024, would result in the cancellation of 429,037 stock options.</w:t>
      </w:r>
    </w:p>
    <w:p>
      <w:pPr>
        <w:spacing w:after="0" w:line="148" w:lineRule="exact"/>
        <w:rPr>
          <w:sz w:val="20"/>
          <w:szCs w:val="20"/>
          <w:color w:val="auto"/>
        </w:rPr>
      </w:pPr>
    </w:p>
    <w:p>
      <w:pPr>
        <w:jc w:val="both"/>
        <w:ind w:left="40" w:right="379"/>
        <w:spacing w:after="0" w:line="256" w:lineRule="auto"/>
        <w:rPr>
          <w:sz w:val="20"/>
          <w:szCs w:val="20"/>
          <w:color w:val="auto"/>
        </w:rPr>
      </w:pPr>
      <w:r>
        <w:rPr>
          <w:rFonts w:ascii="Arial" w:cs="Arial" w:eastAsia="Arial" w:hAnsi="Arial"/>
          <w:sz w:val="16"/>
          <w:szCs w:val="16"/>
          <w:b w:val="1"/>
          <w:bCs w:val="1"/>
          <w:i w:val="1"/>
          <w:iCs w:val="1"/>
          <w:color w:val="auto"/>
        </w:rPr>
        <w:t xml:space="preserve">2019 LTIP. </w:t>
      </w:r>
      <w:r>
        <w:rPr>
          <w:rFonts w:ascii="Arial" w:cs="Arial" w:eastAsia="Arial" w:hAnsi="Arial"/>
          <w:sz w:val="16"/>
          <w:szCs w:val="16"/>
          <w:color w:val="auto"/>
        </w:rPr>
        <w:t>On August 17, 2018, we adopted a long-term, performance-based stock incentive plan (the “2019 LTIP”).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LTIP provides stock options, which vest based on certain company-specific subscriber, operational and/or financial performance conditions. Vesting of the stock awards is contingent on achieving these conditions by December 31, 2023.</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11">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2" w:name="page193"/>
    <w:bookmarkEnd w:id="19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Although no awards vest until the Company attains the performance conditions described above, compensation related to the 2019 LTIP will be recorded based on management’s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pacing w:after="0" w:line="146"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During the years ended December 31, 2023 and 2022, we determined that 85% and 89%, respectively, of the 2019 LTIP performance conditions were probable of achievement. As a result, non-cash, stock-based compensation expense was recorded for the years ended December 31, 2023 and 2022, as indicated in the table below titled “Non-Cash, Stock-Based Compensation Expense Recognized.” As of December 31, 2023 and 2022, approximately 78% and 75%, respectively, of the 2019 LTIP awards had vested.</w:t>
      </w:r>
    </w:p>
    <w:p>
      <w:pPr>
        <w:spacing w:after="0" w:line="146" w:lineRule="exact"/>
        <w:rPr>
          <w:sz w:val="20"/>
          <w:szCs w:val="20"/>
          <w:color w:val="auto"/>
        </w:rPr>
      </w:pPr>
    </w:p>
    <w:p>
      <w:pPr>
        <w:jc w:val="both"/>
        <w:ind w:left="40" w:right="159"/>
        <w:spacing w:after="0" w:line="249" w:lineRule="auto"/>
        <w:rPr>
          <w:sz w:val="20"/>
          <w:szCs w:val="20"/>
          <w:color w:val="auto"/>
        </w:rPr>
      </w:pPr>
      <w:r>
        <w:rPr>
          <w:rFonts w:ascii="Arial" w:cs="Arial" w:eastAsia="Arial" w:hAnsi="Arial"/>
          <w:sz w:val="16"/>
          <w:szCs w:val="16"/>
          <w:b w:val="1"/>
          <w:bCs w:val="1"/>
          <w:i w:val="1"/>
          <w:iCs w:val="1"/>
          <w:color w:val="auto"/>
        </w:rPr>
        <w:t xml:space="preserve">2022 Incentive Plan. </w:t>
      </w:r>
      <w:r>
        <w:rPr>
          <w:rFonts w:ascii="Arial" w:cs="Arial" w:eastAsia="Arial" w:hAnsi="Arial"/>
          <w:sz w:val="16"/>
          <w:szCs w:val="16"/>
          <w:color w:val="auto"/>
        </w:rPr>
        <w:t>On December 30, 2021, we adopted a performance-based incentive plan (the “2022 Incentive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2022 Incentive Plan provides stock options, which vest based on certain company-specific operational and/or financial performance conditions. Awards were initially granted under the 2022 Incentive Plan as of February 1, 2022. Exercise of the stock awards is contingent on achieving these conditions by December 31, 2026.</w:t>
      </w:r>
    </w:p>
    <w:p>
      <w:pPr>
        <w:spacing w:after="0" w:line="144"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Although no awards vest until the Company attains the performance conditions described above, compensation related to the 2022 Incentive Plan will be recorded based on management’s assessment of the probability of meeting the performance conditions. If the performance conditions are probable of being achieved, we will begin recognizing the associated non-cash, stock-based compensation expense on our Consolidated Statements of Operations and Comprehensive Income (Loss) over the estimated period to achieve the performance condition.</w:t>
      </w:r>
    </w:p>
    <w:p>
      <w:pPr>
        <w:spacing w:after="0" w:line="146"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During each of the years ended December 31, 2024, 2023 and 2022, we determined that 100% of the 2022 Incentive Plan performance conditions were probable of achievement. As a result, non-cash, stock-based compensation expense was recorded for the years ended December 31, 2024, 2023 and 2022 as indicated in the table below titled “Non-Cash, Stock-Based Compensation Expense Recognized.” As of December 31, 2024, 2023 and 2022, approximately 33%, 17% and 33%, respectively, of the 2022 Incentive Plan awards had vested.</w:t>
      </w:r>
    </w:p>
    <w:p>
      <w:pPr>
        <w:spacing w:after="0" w:line="146"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b w:val="1"/>
          <w:bCs w:val="1"/>
          <w:i w:val="1"/>
          <w:iCs w:val="1"/>
          <w:color w:val="auto"/>
        </w:rPr>
        <w:t xml:space="preserve">Ergen 2020 Performance Award. </w:t>
      </w:r>
      <w:r>
        <w:rPr>
          <w:rFonts w:ascii="Arial" w:cs="Arial" w:eastAsia="Arial" w:hAnsi="Arial"/>
          <w:sz w:val="16"/>
          <w:szCs w:val="16"/>
          <w:color w:val="auto"/>
        </w:rPr>
        <w:t>On November 4, 2020, our Executive Compensation Committee of the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an award to Charles W. Ergen, our Chairman, of long-term performance-based options (the “Ergen 2020 Performance Award”) to purchase up to 4,385,962 shares of EchoStar’s Class A common stock. The award is subject to the achievement of specified EchoStar Class A common stock price targets during the approximate ten-year period following the date of grant. The award was granted on November 6, 2020 and will expire on February 6, 2031.</w:t>
      </w:r>
    </w:p>
    <w:p>
      <w:pPr>
        <w:spacing w:after="0" w:line="146" w:lineRule="exact"/>
        <w:rPr>
          <w:sz w:val="20"/>
          <w:szCs w:val="20"/>
          <w:color w:val="auto"/>
        </w:rPr>
      </w:pPr>
    </w:p>
    <w:p>
      <w:pPr>
        <w:ind w:left="40" w:right="59"/>
        <w:spacing w:after="0" w:line="242" w:lineRule="auto"/>
        <w:rPr>
          <w:sz w:val="20"/>
          <w:szCs w:val="20"/>
          <w:color w:val="auto"/>
        </w:rPr>
      </w:pPr>
      <w:r>
        <w:rPr>
          <w:rFonts w:ascii="Arial" w:cs="Arial" w:eastAsia="Arial" w:hAnsi="Arial"/>
          <w:sz w:val="16"/>
          <w:szCs w:val="16"/>
          <w:color w:val="auto"/>
        </w:rPr>
        <w:t>Although no awards will vest until the market conditions are satisfied, as of December 31, 2020, we began recording non-cash, stock-based compensation expense for each vesting tranche based on the estimated achievement date of the specified stock price target. The valuation and probability of achievement for each tranche is determined using a Monte Carlo simulation. The same Monte Carlo simulation is used as the basis for determining the expected achievement date. As the probability of achievement is factored in as part of the Monte Carlo simulation, the expense for these tranches will be recognized concurrently over each tranche’s estimated achievement date even if some or all of the options never vest. If the related milestone for a tranche is achieved earlier than is expected, all unamortized expense for such tranche will be recognized immediately.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12">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3" w:name="page194"/>
    <w:bookmarkEnd w:id="19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right="139"/>
        <w:spacing w:after="0" w:line="256" w:lineRule="auto"/>
        <w:rPr>
          <w:sz w:val="20"/>
          <w:szCs w:val="20"/>
          <w:color w:val="auto"/>
        </w:rPr>
      </w:pPr>
      <w:r>
        <w:rPr>
          <w:rFonts w:ascii="Arial" w:cs="Arial" w:eastAsia="Arial" w:hAnsi="Arial"/>
          <w:sz w:val="16"/>
          <w:szCs w:val="16"/>
          <w:color w:val="auto"/>
        </w:rPr>
        <w:t>Non-cash, stock-based compensation expense was recorded for the years ended December 31, 2024, 2023 and 2022, as indicated in the table below titled “Non-Cash, Stock-Based Compensation Expense Recognized.” As of December 31, 2024, 2023 and 2022, approximately 20% of the Ergen 2020 Performance Award awards had vested.</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non-cash, stock-based compensation expense associated with these awards was as follows: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60" w:type="dxa"/>
            <w:vAlign w:val="bottom"/>
            <w:gridSpan w:val="4"/>
            <w:vMerge w:val="restart"/>
          </w:tcPr>
          <w:p>
            <w:pPr>
              <w:spacing w:after="0"/>
              <w:rPr>
                <w:sz w:val="20"/>
                <w:szCs w:val="20"/>
                <w:color w:val="auto"/>
              </w:rPr>
            </w:pPr>
            <w:r>
              <w:rPr>
                <w:rFonts w:ascii="Arial" w:cs="Arial" w:eastAsia="Arial" w:hAnsi="Arial"/>
                <w:sz w:val="15"/>
                <w:szCs w:val="15"/>
                <w:b w:val="1"/>
                <w:bCs w:val="1"/>
                <w:color w:val="auto"/>
              </w:rPr>
              <w:t>Non-Cash, Stock-Based Compensation Expense Recognized (1)</w:t>
            </w:r>
          </w:p>
        </w:tc>
        <w:tc>
          <w:tcPr>
            <w:tcW w:w="240" w:type="dxa"/>
            <w:vAlign w:val="bottom"/>
          </w:tcPr>
          <w:p>
            <w:pPr>
              <w:spacing w:after="0"/>
              <w:rPr>
                <w:sz w:val="16"/>
                <w:szCs w:val="16"/>
                <w:color w:val="auto"/>
              </w:rPr>
            </w:pPr>
          </w:p>
        </w:tc>
        <w:tc>
          <w:tcPr>
            <w:tcW w:w="3620" w:type="dxa"/>
            <w:vAlign w:val="bottom"/>
            <w:gridSpan w:val="8"/>
          </w:tcPr>
          <w:p>
            <w:pPr>
              <w:jc w:val="center"/>
              <w:ind w:right="300"/>
              <w:spacing w:after="0"/>
              <w:rPr>
                <w:sz w:val="20"/>
                <w:szCs w:val="20"/>
                <w:color w:val="auto"/>
              </w:rPr>
            </w:pPr>
            <w:r>
              <w:rPr>
                <w:rFonts w:ascii="Arial" w:cs="Arial" w:eastAsia="Arial" w:hAnsi="Arial"/>
                <w:sz w:val="15"/>
                <w:szCs w:val="15"/>
                <w:b w:val="1"/>
                <w:bCs w:val="1"/>
                <w:color w:val="auto"/>
                <w:w w:val="96"/>
              </w:rPr>
              <w:t>For the Years Ended December 31,</w:t>
            </w:r>
          </w:p>
        </w:tc>
        <w:tc>
          <w:tcPr>
            <w:tcW w:w="0" w:type="dxa"/>
            <w:vAlign w:val="bottom"/>
          </w:tcPr>
          <w:p>
            <w:pPr>
              <w:spacing w:after="0"/>
              <w:rPr>
                <w:sz w:val="1"/>
                <w:szCs w:val="1"/>
                <w:color w:val="auto"/>
              </w:rPr>
            </w:pPr>
          </w:p>
        </w:tc>
      </w:tr>
      <w:tr>
        <w:trPr>
          <w:trHeight w:val="169"/>
        </w:trPr>
        <w:tc>
          <w:tcPr>
            <w:tcW w:w="5060" w:type="dxa"/>
            <w:vAlign w:val="bottom"/>
            <w:gridSpan w:val="4"/>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27"/>
              <w:spacing w:after="0" w:line="169" w:lineRule="exact"/>
              <w:rPr>
                <w:sz w:val="20"/>
                <w:szCs w:val="20"/>
                <w:color w:val="auto"/>
              </w:rPr>
            </w:pPr>
            <w:r>
              <w:rPr>
                <w:rFonts w:ascii="Arial" w:cs="Arial" w:eastAsia="Arial" w:hAnsi="Arial"/>
                <w:sz w:val="15"/>
                <w:szCs w:val="15"/>
                <w:b w:val="1"/>
                <w:bCs w:val="1"/>
                <w:color w:val="auto"/>
              </w:rPr>
              <w:t>2024</w:t>
            </w: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7"/>
              <w:spacing w:after="0" w:line="169" w:lineRule="exact"/>
              <w:rPr>
                <w:sz w:val="20"/>
                <w:szCs w:val="20"/>
                <w:color w:val="auto"/>
              </w:rPr>
            </w:pPr>
            <w:r>
              <w:rPr>
                <w:rFonts w:ascii="Arial" w:cs="Arial" w:eastAsia="Arial" w:hAnsi="Arial"/>
                <w:sz w:val="15"/>
                <w:szCs w:val="15"/>
                <w:b w:val="1"/>
                <w:bCs w:val="1"/>
                <w:color w:val="auto"/>
                <w:w w:val="95"/>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27"/>
              <w:spacing w:after="0" w:line="169" w:lineRule="exact"/>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7"/>
              <w:spacing w:after="0" w:line="161" w:lineRule="exact"/>
              <w:rPr>
                <w:sz w:val="20"/>
                <w:szCs w:val="20"/>
                <w:color w:val="auto"/>
              </w:rPr>
            </w:pPr>
            <w:r>
              <w:rPr>
                <w:rFonts w:ascii="Arial" w:cs="Arial" w:eastAsia="Arial" w:hAnsi="Arial"/>
                <w:sz w:val="15"/>
                <w:szCs w:val="15"/>
                <w:color w:val="auto"/>
                <w:w w:val="95"/>
              </w:rPr>
              <w:t>(In thousands)</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2022</w:t>
            </w:r>
          </w:p>
        </w:tc>
        <w:tc>
          <w:tcPr>
            <w:tcW w:w="472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5"/>
                <w:szCs w:val="15"/>
                <w:color w:val="auto"/>
              </w:rPr>
              <w:t>Incentive Plan</w:t>
            </w:r>
          </w:p>
        </w:tc>
        <w:tc>
          <w:tcPr>
            <w:tcW w:w="240" w:type="dxa"/>
            <w:vAlign w:val="bottom"/>
            <w:shd w:val="clear" w:color="auto" w:fill="CCEEFF"/>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1,149</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7,346</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19,088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line="169" w:lineRule="exact"/>
              <w:rPr>
                <w:sz w:val="20"/>
                <w:szCs w:val="20"/>
                <w:color w:val="auto"/>
              </w:rPr>
            </w:pPr>
            <w:r>
              <w:rPr>
                <w:rFonts w:ascii="Arial" w:cs="Arial" w:eastAsia="Arial" w:hAnsi="Arial"/>
                <w:sz w:val="15"/>
                <w:szCs w:val="15"/>
                <w:color w:val="auto"/>
                <w:w w:val="95"/>
              </w:rPr>
              <w:t>2019</w:t>
            </w:r>
          </w:p>
        </w:tc>
        <w:tc>
          <w:tcPr>
            <w:tcW w:w="4720" w:type="dxa"/>
            <w:vAlign w:val="bottom"/>
            <w:gridSpan w:val="3"/>
          </w:tcPr>
          <w:p>
            <w:pPr>
              <w:ind w:left="20"/>
              <w:spacing w:after="0" w:line="169" w:lineRule="exact"/>
              <w:rPr>
                <w:sz w:val="20"/>
                <w:szCs w:val="20"/>
                <w:color w:val="auto"/>
              </w:rPr>
            </w:pPr>
            <w:r>
              <w:rPr>
                <w:rFonts w:ascii="Arial" w:cs="Arial" w:eastAsia="Arial" w:hAnsi="Arial"/>
                <w:sz w:val="15"/>
                <w:szCs w:val="15"/>
                <w:color w:val="auto"/>
              </w:rPr>
              <w:t>LTIP</w:t>
            </w:r>
          </w:p>
        </w:tc>
        <w:tc>
          <w:tcPr>
            <w:tcW w:w="240" w:type="dxa"/>
            <w:vAlign w:val="bottom"/>
          </w:tcPr>
          <w:p>
            <w:pPr>
              <w:spacing w:after="0"/>
              <w:rPr>
                <w:sz w:val="14"/>
                <w:szCs w:val="14"/>
                <w:color w:val="auto"/>
              </w:rPr>
            </w:pPr>
          </w:p>
        </w:tc>
        <w:tc>
          <w:tcPr>
            <w:tcW w:w="110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(1,903)</w:t>
            </w:r>
          </w:p>
        </w:tc>
        <w:tc>
          <w:tcPr>
            <w:tcW w:w="240" w:type="dxa"/>
            <w:vAlign w:val="bottom"/>
          </w:tcPr>
          <w:p>
            <w:pPr>
              <w:spacing w:after="0"/>
              <w:rPr>
                <w:sz w:val="14"/>
                <w:szCs w:val="14"/>
                <w:color w:val="auto"/>
              </w:rPr>
            </w:pPr>
          </w:p>
        </w:tc>
        <w:tc>
          <w:tcPr>
            <w:tcW w:w="9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9"/>
        </w:trPr>
        <w:tc>
          <w:tcPr>
            <w:tcW w:w="5060" w:type="dxa"/>
            <w:vAlign w:val="bottom"/>
            <w:gridSpan w:val="4"/>
            <w:shd w:val="clear" w:color="auto" w:fill="CCEEFF"/>
          </w:tcPr>
          <w:p>
            <w:pPr>
              <w:spacing w:after="0" w:line="169" w:lineRule="exact"/>
              <w:rPr>
                <w:sz w:val="20"/>
                <w:szCs w:val="20"/>
                <w:color w:val="auto"/>
              </w:rPr>
            </w:pPr>
            <w:r>
              <w:rPr>
                <w:rFonts w:ascii="Arial" w:cs="Arial" w:eastAsia="Arial" w:hAnsi="Arial"/>
                <w:sz w:val="15"/>
                <w:szCs w:val="15"/>
                <w:color w:val="auto"/>
              </w:rPr>
              <w:t>Ergen 2020 Performance Award</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10,816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12,308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12,308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60" w:type="dxa"/>
            <w:vAlign w:val="bottom"/>
            <w:gridSpan w:val="4"/>
          </w:tcPr>
          <w:p>
            <w:pPr>
              <w:spacing w:after="0" w:line="169" w:lineRule="exact"/>
              <w:rPr>
                <w:sz w:val="20"/>
                <w:szCs w:val="20"/>
                <w:color w:val="auto"/>
              </w:rPr>
            </w:pPr>
            <w:r>
              <w:rPr>
                <w:rFonts w:ascii="Arial" w:cs="Arial" w:eastAsia="Arial" w:hAnsi="Arial"/>
                <w:sz w:val="15"/>
                <w:szCs w:val="15"/>
                <w:color w:val="auto"/>
              </w:rPr>
              <w:t>Other employee performance awards</w:t>
            </w:r>
          </w:p>
        </w:tc>
        <w:tc>
          <w:tcPr>
            <w:tcW w:w="240" w:type="dxa"/>
            <w:vAlign w:val="bottom"/>
          </w:tcPr>
          <w:p>
            <w:pPr>
              <w:spacing w:after="0"/>
              <w:rPr>
                <w:sz w:val="14"/>
                <w:szCs w:val="14"/>
                <w:color w:val="auto"/>
              </w:rPr>
            </w:pPr>
          </w:p>
        </w:tc>
        <w:tc>
          <w:tcPr>
            <w:tcW w:w="110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462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4,502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060" w:type="dxa"/>
            <w:vAlign w:val="bottom"/>
            <w:tcBorders>
              <w:top w:val="single" w:sz="8" w:color="CCEEFF"/>
            </w:tcBorders>
            <w:gridSpan w:val="4"/>
            <w:shd w:val="clear" w:color="auto" w:fill="CCEEFF"/>
          </w:tcPr>
          <w:p>
            <w:pPr>
              <w:spacing w:after="0" w:line="137" w:lineRule="exact"/>
              <w:rPr>
                <w:sz w:val="20"/>
                <w:szCs w:val="20"/>
                <w:color w:val="auto"/>
              </w:rPr>
            </w:pPr>
            <w:r>
              <w:rPr>
                <w:rFonts w:ascii="Arial" w:cs="Arial" w:eastAsia="Arial" w:hAnsi="Arial"/>
                <w:sz w:val="15"/>
                <w:szCs w:val="15"/>
                <w:b w:val="1"/>
                <w:bCs w:val="1"/>
                <w:color w:val="auto"/>
              </w:rPr>
              <w:t>Total non-cash, stock-based compensation expense recognized for</w:t>
            </w:r>
          </w:p>
        </w:tc>
        <w:tc>
          <w:tcPr>
            <w:tcW w:w="240" w:type="dxa"/>
            <w:vAlign w:val="bottom"/>
            <w:tcBorders>
              <w:top w:val="single" w:sz="8" w:color="auto"/>
            </w:tcBorders>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11,965</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18,213</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35,801</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060" w:type="dxa"/>
            <w:vAlign w:val="bottom"/>
            <w:tcBorders>
              <w:bottom w:val="single" w:sz="8" w:color="CCEEFF"/>
            </w:tcBorders>
            <w:gridSpan w:val="4"/>
            <w:shd w:val="clear" w:color="auto" w:fill="CCEEFF"/>
          </w:tcPr>
          <w:p>
            <w:pPr>
              <w:spacing w:after="0" w:line="170" w:lineRule="exact"/>
              <w:rPr>
                <w:sz w:val="20"/>
                <w:szCs w:val="20"/>
                <w:color w:val="auto"/>
              </w:rPr>
            </w:pPr>
            <w:r>
              <w:rPr>
                <w:rFonts w:ascii="Arial" w:cs="Arial" w:eastAsia="Arial" w:hAnsi="Arial"/>
                <w:sz w:val="15"/>
                <w:szCs w:val="15"/>
                <w:b w:val="1"/>
                <w:bCs w:val="1"/>
                <w:color w:val="auto"/>
              </w:rPr>
              <w:t>performance based awards</w:t>
            </w: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34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“Non-Cash, Stock-Based Compensation Expense Recognized” includes actual forfeitures.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307"/>
              <w:spacing w:after="0"/>
              <w:rPr>
                <w:sz w:val="20"/>
                <w:szCs w:val="20"/>
                <w:color w:val="auto"/>
              </w:rPr>
            </w:pPr>
            <w:r>
              <w:rPr>
                <w:rFonts w:ascii="Arial" w:cs="Arial" w:eastAsia="Arial" w:hAnsi="Arial"/>
                <w:sz w:val="15"/>
                <w:szCs w:val="15"/>
                <w:b w:val="1"/>
                <w:bCs w:val="1"/>
                <w:color w:val="auto"/>
                <w:w w:val="97"/>
              </w:rPr>
              <w:t>Ergen 2020</w:t>
            </w:r>
          </w:p>
        </w:tc>
      </w:tr>
      <w:tr>
        <w:trPr>
          <w:trHeight w:val="182"/>
        </w:trPr>
        <w:tc>
          <w:tcPr>
            <w:tcW w:w="52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Estimated Remaining Non-Cash, Stock-Based Compensation Expense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2022 Incentive Plan</w:t>
            </w:r>
          </w:p>
        </w:tc>
        <w:tc>
          <w:tcPr>
            <w:tcW w:w="32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b w:val="1"/>
                <w:bCs w:val="1"/>
                <w:color w:val="auto"/>
              </w:rPr>
              <w:t>Performance Award</w:t>
            </w:r>
          </w:p>
        </w:tc>
      </w:tr>
      <w:tr>
        <w:trPr>
          <w:trHeight w:val="162"/>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right"/>
              <w:spacing w:after="0" w:line="161" w:lineRule="exact"/>
              <w:rPr>
                <w:sz w:val="20"/>
                <w:szCs w:val="20"/>
                <w:color w:val="auto"/>
              </w:rPr>
            </w:pPr>
            <w:r>
              <w:rPr>
                <w:rFonts w:ascii="Arial" w:cs="Arial" w:eastAsia="Arial" w:hAnsi="Arial"/>
                <w:sz w:val="15"/>
                <w:szCs w:val="15"/>
                <w:color w:val="auto"/>
              </w:rPr>
              <w:t>(In thousands)</w:t>
            </w:r>
          </w:p>
        </w:tc>
        <w:tc>
          <w:tcPr>
            <w:tcW w:w="1180" w:type="dxa"/>
            <w:vAlign w:val="bottom"/>
          </w:tcPr>
          <w:p>
            <w:pPr>
              <w:spacing w:after="0"/>
              <w:rPr>
                <w:sz w:val="14"/>
                <w:szCs w:val="14"/>
                <w:color w:val="auto"/>
              </w:rPr>
            </w:pPr>
          </w:p>
        </w:tc>
      </w:tr>
      <w:tr>
        <w:trPr>
          <w:trHeight w:val="169"/>
        </w:trPr>
        <w:tc>
          <w:tcPr>
            <w:tcW w:w="55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Expense estimated to be recognized during 2025</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1,087</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7,639</w:t>
            </w:r>
          </w:p>
        </w:tc>
      </w:tr>
      <w:tr>
        <w:trPr>
          <w:trHeight w:val="169"/>
        </w:trPr>
        <w:tc>
          <w:tcPr>
            <w:tcW w:w="556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5"/>
                <w:szCs w:val="15"/>
                <w:color w:val="auto"/>
              </w:rPr>
              <w:t>Estimated contingent expense subsequent to 2025</w:t>
            </w: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161</w:t>
            </w:r>
          </w:p>
        </w:tc>
        <w:tc>
          <w:tcPr>
            <w:tcW w:w="3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9,274</w:t>
            </w:r>
          </w:p>
        </w:tc>
      </w:tr>
      <w:tr>
        <w:trPr>
          <w:trHeight w:val="162"/>
        </w:trPr>
        <w:tc>
          <w:tcPr>
            <w:tcW w:w="5560" w:type="dxa"/>
            <w:vAlign w:val="bottom"/>
            <w:tcBorders>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estimated remaining expense over the term of the plan</w:t>
            </w:r>
          </w:p>
        </w:tc>
        <w:tc>
          <w:tcPr>
            <w:tcW w:w="1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1,248</w:t>
            </w:r>
          </w:p>
        </w:tc>
        <w:tc>
          <w:tcPr>
            <w:tcW w:w="3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7"/>
              <w:spacing w:after="0" w:line="161"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16,913</w:t>
            </w: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color w:val="auto"/>
        </w:rPr>
        <w:t>Given the competitive nature of our business, small variations in subscriber churn, gross new subscriber activation rates and certain other factors can significantly impact subscriber growth. Consequently, while it was determined that achievement of certain other company-specific subscriber, operational and/or financial performance conditions were not probable as of December 31, 2024, that assessment could change in the future.</w:t>
      </w:r>
    </w:p>
    <w:p>
      <w:pPr>
        <w:spacing w:after="0" w:line="144" w:lineRule="exact"/>
        <w:rPr>
          <w:sz w:val="20"/>
          <w:szCs w:val="20"/>
          <w:color w:val="auto"/>
        </w:rPr>
      </w:pPr>
    </w:p>
    <w:p>
      <w:pPr>
        <w:jc w:val="both"/>
        <w:ind w:left="40" w:right="239"/>
        <w:spacing w:after="0" w:line="256" w:lineRule="auto"/>
        <w:rPr>
          <w:sz w:val="20"/>
          <w:szCs w:val="20"/>
          <w:color w:val="auto"/>
        </w:rPr>
      </w:pPr>
      <w:r>
        <w:rPr>
          <w:rFonts w:ascii="Arial" w:cs="Arial" w:eastAsia="Arial" w:hAnsi="Arial"/>
          <w:sz w:val="16"/>
          <w:szCs w:val="16"/>
          <w:color w:val="auto"/>
        </w:rPr>
        <w:t>Of the 13.6 million stock options and 91 thousand restricted stock units and awards outstanding under our stock incentive plans as of December 31, 2024, the following awards were outstanding pursuant to our performance based stock incentive plans: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980" w:type="dxa"/>
            <w:vAlign w:val="bottom"/>
            <w:gridSpan w:val="5"/>
          </w:tcPr>
          <w:p>
            <w:pPr>
              <w:ind w:left="1020"/>
              <w:spacing w:after="0"/>
              <w:rPr>
                <w:sz w:val="20"/>
                <w:szCs w:val="20"/>
                <w:color w:val="auto"/>
              </w:rPr>
            </w:pPr>
            <w:r>
              <w:rPr>
                <w:rFonts w:ascii="Arial" w:cs="Arial" w:eastAsia="Arial" w:hAnsi="Arial"/>
                <w:sz w:val="15"/>
                <w:szCs w:val="15"/>
                <w:b w:val="1"/>
                <w:bCs w:val="1"/>
                <w:color w:val="auto"/>
              </w:rPr>
              <w:t>As of December 31, 2024</w:t>
            </w:r>
          </w:p>
        </w:tc>
      </w:tr>
      <w:tr>
        <w:trPr>
          <w:trHeight w:val="157"/>
        </w:trPr>
        <w:tc>
          <w:tcPr>
            <w:tcW w:w="3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227"/>
              <w:spacing w:after="0" w:line="157" w:lineRule="exact"/>
              <w:rPr>
                <w:sz w:val="20"/>
                <w:szCs w:val="20"/>
                <w:color w:val="auto"/>
              </w:rPr>
            </w:pPr>
            <w:r>
              <w:rPr>
                <w:rFonts w:ascii="Arial" w:cs="Arial" w:eastAsia="Arial" w:hAnsi="Arial"/>
                <w:sz w:val="15"/>
                <w:szCs w:val="15"/>
                <w:b w:val="1"/>
                <w:bCs w:val="1"/>
                <w:color w:val="auto"/>
                <w:w w:val="96"/>
              </w:rPr>
              <w:t>Weighted-</w:t>
            </w:r>
          </w:p>
        </w:tc>
        <w:tc>
          <w:tcPr>
            <w:tcW w:w="220" w:type="dxa"/>
            <w:vAlign w:val="bottom"/>
          </w:tcPr>
          <w:p>
            <w:pPr>
              <w:spacing w:after="0"/>
              <w:rPr>
                <w:sz w:val="13"/>
                <w:szCs w:val="13"/>
                <w:color w:val="auto"/>
              </w:rPr>
            </w:pPr>
          </w:p>
        </w:tc>
      </w:tr>
      <w:tr>
        <w:trPr>
          <w:trHeight w:val="169"/>
        </w:trPr>
        <w:tc>
          <w:tcPr>
            <w:tcW w:w="3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jc w:val="right"/>
              <w:ind w:right="347"/>
              <w:spacing w:after="0" w:line="169" w:lineRule="exact"/>
              <w:rPr>
                <w:sz w:val="20"/>
                <w:szCs w:val="20"/>
                <w:color w:val="auto"/>
              </w:rPr>
            </w:pPr>
            <w:r>
              <w:rPr>
                <w:rFonts w:ascii="Arial" w:cs="Arial" w:eastAsia="Arial" w:hAnsi="Arial"/>
                <w:sz w:val="15"/>
                <w:szCs w:val="15"/>
                <w:b w:val="1"/>
                <w:bCs w:val="1"/>
                <w:color w:val="auto"/>
              </w:rPr>
              <w:t>Number of</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center"/>
              <w:ind w:right="500"/>
              <w:spacing w:after="0" w:line="169" w:lineRule="exact"/>
              <w:rPr>
                <w:sz w:val="20"/>
                <w:szCs w:val="20"/>
                <w:color w:val="auto"/>
              </w:rPr>
            </w:pPr>
            <w:r>
              <w:rPr>
                <w:rFonts w:ascii="Arial" w:cs="Arial" w:eastAsia="Arial" w:hAnsi="Arial"/>
                <w:sz w:val="15"/>
                <w:szCs w:val="15"/>
                <w:b w:val="1"/>
                <w:bCs w:val="1"/>
                <w:color w:val="auto"/>
                <w:w w:val="94"/>
              </w:rPr>
              <w:t>Average</w:t>
            </w:r>
          </w:p>
        </w:tc>
      </w:tr>
      <w:tr>
        <w:trPr>
          <w:trHeight w:val="182"/>
        </w:trPr>
        <w:tc>
          <w:tcPr>
            <w:tcW w:w="4940" w:type="dxa"/>
            <w:vAlign w:val="bottom"/>
            <w:gridSpan w:val="3"/>
          </w:tcPr>
          <w:p>
            <w:pPr>
              <w:spacing w:after="0"/>
              <w:rPr>
                <w:sz w:val="20"/>
                <w:szCs w:val="20"/>
                <w:color w:val="auto"/>
              </w:rPr>
            </w:pPr>
            <w:r>
              <w:rPr>
                <w:rFonts w:ascii="Arial" w:cs="Arial" w:eastAsia="Arial" w:hAnsi="Arial"/>
                <w:sz w:val="15"/>
                <w:szCs w:val="15"/>
                <w:b w:val="1"/>
                <w:bCs w:val="1"/>
                <w:color w:val="auto"/>
              </w:rPr>
              <w:t>Performance Based Stock Options</w:t>
            </w:r>
          </w:p>
        </w:tc>
        <w:tc>
          <w:tcPr>
            <w:tcW w:w="1560" w:type="dxa"/>
            <w:vAlign w:val="bottom"/>
          </w:tcPr>
          <w:p>
            <w:pPr>
              <w:jc w:val="right"/>
              <w:ind w:right="447"/>
              <w:spacing w:after="0"/>
              <w:rPr>
                <w:sz w:val="20"/>
                <w:szCs w:val="20"/>
                <w:color w:val="auto"/>
              </w:rPr>
            </w:pPr>
            <w:r>
              <w:rPr>
                <w:rFonts w:ascii="Arial" w:cs="Arial" w:eastAsia="Arial" w:hAnsi="Arial"/>
                <w:sz w:val="15"/>
                <w:szCs w:val="15"/>
                <w:b w:val="1"/>
                <w:bCs w:val="1"/>
                <w:color w:val="auto"/>
              </w:rPr>
              <w:t>Awards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5"/>
                <w:szCs w:val="15"/>
                <w:b w:val="1"/>
                <w:bCs w:val="1"/>
                <w:color w:val="auto"/>
                <w:w w:val="96"/>
              </w:rPr>
              <w:t>Grant Price</w:t>
            </w:r>
          </w:p>
        </w:tc>
      </w:tr>
      <w:tr>
        <w:trPr>
          <w:trHeight w:val="162"/>
        </w:trPr>
        <w:tc>
          <w:tcPr>
            <w:tcW w:w="36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2022</w:t>
            </w:r>
          </w:p>
        </w:tc>
        <w:tc>
          <w:tcPr>
            <w:tcW w:w="42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Incentive Plan</w:t>
            </w:r>
          </w:p>
        </w:tc>
        <w:tc>
          <w:tcPr>
            <w:tcW w:w="3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154,257</w:t>
            </w:r>
          </w:p>
        </w:tc>
        <w:tc>
          <w:tcPr>
            <w:tcW w:w="3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7"/>
              <w:spacing w:after="0" w:line="161" w:lineRule="exact"/>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14.64</w:t>
            </w:r>
          </w:p>
        </w:tc>
        <w:tc>
          <w:tcPr>
            <w:tcW w:w="220" w:type="dxa"/>
            <w:vAlign w:val="bottom"/>
            <w:tcBorders>
              <w:top w:val="single" w:sz="8" w:color="CCEEFF"/>
            </w:tcBorders>
            <w:shd w:val="clear" w:color="auto" w:fill="CCEEFF"/>
          </w:tcPr>
          <w:p>
            <w:pPr>
              <w:spacing w:after="0"/>
              <w:rPr>
                <w:sz w:val="14"/>
                <w:szCs w:val="14"/>
                <w:color w:val="auto"/>
              </w:rPr>
            </w:pPr>
          </w:p>
        </w:tc>
      </w:tr>
      <w:tr>
        <w:trPr>
          <w:trHeight w:val="169"/>
        </w:trPr>
        <w:tc>
          <w:tcPr>
            <w:tcW w:w="360" w:type="dxa"/>
            <w:vAlign w:val="bottom"/>
          </w:tcPr>
          <w:p>
            <w:pPr>
              <w:spacing w:after="0" w:line="169" w:lineRule="exact"/>
              <w:rPr>
                <w:sz w:val="20"/>
                <w:szCs w:val="20"/>
                <w:color w:val="auto"/>
              </w:rPr>
            </w:pPr>
            <w:r>
              <w:rPr>
                <w:rFonts w:ascii="Arial" w:cs="Arial" w:eastAsia="Arial" w:hAnsi="Arial"/>
                <w:sz w:val="15"/>
                <w:szCs w:val="15"/>
                <w:color w:val="auto"/>
              </w:rPr>
              <w:t>2019</w:t>
            </w:r>
          </w:p>
        </w:tc>
        <w:tc>
          <w:tcPr>
            <w:tcW w:w="4580" w:type="dxa"/>
            <w:vAlign w:val="bottom"/>
            <w:gridSpan w:val="2"/>
          </w:tcPr>
          <w:p>
            <w:pPr>
              <w:spacing w:after="0" w:line="169" w:lineRule="exact"/>
              <w:rPr>
                <w:sz w:val="20"/>
                <w:szCs w:val="20"/>
                <w:color w:val="auto"/>
              </w:rPr>
            </w:pPr>
            <w:r>
              <w:rPr>
                <w:rFonts w:ascii="Arial" w:cs="Arial" w:eastAsia="Arial" w:hAnsi="Arial"/>
                <w:sz w:val="15"/>
                <w:szCs w:val="15"/>
                <w:color w:val="auto"/>
              </w:rPr>
              <w:t>LTIP</w:t>
            </w:r>
          </w:p>
        </w:tc>
        <w:tc>
          <w:tcPr>
            <w:tcW w:w="1560" w:type="dxa"/>
            <w:vAlign w:val="bottom"/>
          </w:tcPr>
          <w:p>
            <w:pPr>
              <w:jc w:val="right"/>
              <w:spacing w:after="0" w:line="169" w:lineRule="exact"/>
              <w:rPr>
                <w:sz w:val="20"/>
                <w:szCs w:val="20"/>
                <w:color w:val="auto"/>
              </w:rPr>
            </w:pPr>
            <w:r>
              <w:rPr>
                <w:rFonts w:ascii="Arial" w:cs="Arial" w:eastAsia="Arial" w:hAnsi="Arial"/>
                <w:sz w:val="15"/>
                <w:szCs w:val="15"/>
                <w:color w:val="auto"/>
              </w:rPr>
              <w:t>208,024</w:t>
            </w:r>
          </w:p>
        </w:tc>
        <w:tc>
          <w:tcPr>
            <w:tcW w:w="680" w:type="dxa"/>
            <w:vAlign w:val="bottom"/>
            <w:gridSpan w:val="2"/>
          </w:tcPr>
          <w:p>
            <w:pPr>
              <w:jc w:val="right"/>
              <w:ind w:right="147"/>
              <w:spacing w:after="0" w:line="169" w:lineRule="exact"/>
              <w:rPr>
                <w:sz w:val="20"/>
                <w:szCs w:val="20"/>
                <w:color w:val="auto"/>
              </w:rPr>
            </w:pPr>
            <w:r>
              <w:rPr>
                <w:rFonts w:ascii="Arial" w:cs="Arial" w:eastAsia="Arial" w:hAnsi="Arial"/>
                <w:sz w:val="15"/>
                <w:szCs w:val="15"/>
                <w:color w:val="auto"/>
              </w:rPr>
              <w:t>$</w:t>
            </w:r>
          </w:p>
        </w:tc>
        <w:tc>
          <w:tcPr>
            <w:tcW w:w="1520" w:type="dxa"/>
            <w:vAlign w:val="bottom"/>
          </w:tcPr>
          <w:p>
            <w:pPr>
              <w:jc w:val="right"/>
              <w:spacing w:after="0" w:line="169" w:lineRule="exact"/>
              <w:rPr>
                <w:sz w:val="20"/>
                <w:szCs w:val="20"/>
                <w:color w:val="auto"/>
              </w:rPr>
            </w:pPr>
            <w:r>
              <w:rPr>
                <w:rFonts w:ascii="Arial" w:cs="Arial" w:eastAsia="Arial" w:hAnsi="Arial"/>
                <w:sz w:val="15"/>
                <w:szCs w:val="15"/>
                <w:color w:val="auto"/>
              </w:rPr>
              <w:t>60.37</w:t>
            </w:r>
          </w:p>
        </w:tc>
        <w:tc>
          <w:tcPr>
            <w:tcW w:w="220" w:type="dxa"/>
            <w:vAlign w:val="bottom"/>
          </w:tcPr>
          <w:p>
            <w:pPr>
              <w:spacing w:after="0"/>
              <w:rPr>
                <w:sz w:val="14"/>
                <w:szCs w:val="14"/>
                <w:color w:val="auto"/>
              </w:rPr>
            </w:pPr>
          </w:p>
        </w:tc>
      </w:tr>
      <w:tr>
        <w:trPr>
          <w:trHeight w:val="169"/>
        </w:trPr>
        <w:tc>
          <w:tcPr>
            <w:tcW w:w="3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2017</w:t>
            </w:r>
          </w:p>
        </w:tc>
        <w:tc>
          <w:tcPr>
            <w:tcW w:w="45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LTIP</w:t>
            </w:r>
          </w:p>
        </w:tc>
        <w:tc>
          <w:tcPr>
            <w:tcW w:w="1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429,037</w:t>
            </w:r>
          </w:p>
        </w:tc>
        <w:tc>
          <w:tcPr>
            <w:tcW w:w="680" w:type="dxa"/>
            <w:vAlign w:val="bottom"/>
            <w:gridSpan w:val="2"/>
            <w:shd w:val="clear" w:color="auto" w:fill="CCEEFF"/>
          </w:tcPr>
          <w:p>
            <w:pPr>
              <w:jc w:val="right"/>
              <w:ind w:right="147"/>
              <w:spacing w:after="0" w:line="169" w:lineRule="exact"/>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165.32</w:t>
            </w:r>
          </w:p>
        </w:tc>
        <w:tc>
          <w:tcPr>
            <w:tcW w:w="220" w:type="dxa"/>
            <w:vAlign w:val="bottom"/>
            <w:shd w:val="clear" w:color="auto" w:fill="CCEEFF"/>
          </w:tcPr>
          <w:p>
            <w:pPr>
              <w:spacing w:after="0"/>
              <w:rPr>
                <w:sz w:val="14"/>
                <w:szCs w:val="14"/>
                <w:color w:val="auto"/>
              </w:rPr>
            </w:pPr>
          </w:p>
        </w:tc>
      </w:tr>
      <w:tr>
        <w:trPr>
          <w:trHeight w:val="169"/>
        </w:trPr>
        <w:tc>
          <w:tcPr>
            <w:tcW w:w="4940" w:type="dxa"/>
            <w:vAlign w:val="bottom"/>
            <w:tcBorders>
              <w:bottom w:val="single" w:sz="8" w:color="CCEEFF"/>
            </w:tcBorders>
            <w:gridSpan w:val="3"/>
          </w:tcPr>
          <w:p>
            <w:pPr>
              <w:spacing w:after="0" w:line="169" w:lineRule="exact"/>
              <w:rPr>
                <w:sz w:val="20"/>
                <w:szCs w:val="20"/>
                <w:color w:val="auto"/>
              </w:rPr>
            </w:pPr>
            <w:r>
              <w:rPr>
                <w:rFonts w:ascii="Arial" w:cs="Arial" w:eastAsia="Arial" w:hAnsi="Arial"/>
                <w:sz w:val="15"/>
                <w:szCs w:val="15"/>
                <w:color w:val="auto"/>
              </w:rPr>
              <w:t>Ergen 2020 Performance Award</w:t>
            </w:r>
          </w:p>
        </w:tc>
        <w:tc>
          <w:tcPr>
            <w:tcW w:w="1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3,508,770</w:t>
            </w:r>
          </w:p>
        </w:tc>
        <w:tc>
          <w:tcPr>
            <w:tcW w:w="680" w:type="dxa"/>
            <w:vAlign w:val="bottom"/>
            <w:tcBorders>
              <w:bottom w:val="single" w:sz="8" w:color="CCEEFF"/>
            </w:tcBorders>
            <w:gridSpan w:val="2"/>
          </w:tcPr>
          <w:p>
            <w:pPr>
              <w:jc w:val="right"/>
              <w:ind w:right="147"/>
              <w:spacing w:after="0" w:line="169" w:lineRule="exact"/>
              <w:rPr>
                <w:sz w:val="20"/>
                <w:szCs w:val="20"/>
                <w:color w:val="auto"/>
              </w:rPr>
            </w:pPr>
            <w:r>
              <w:rPr>
                <w:rFonts w:ascii="Arial" w:cs="Arial" w:eastAsia="Arial" w:hAnsi="Arial"/>
                <w:sz w:val="15"/>
                <w:szCs w:val="15"/>
                <w:color w:val="auto"/>
              </w:rPr>
              <w:t>$</w:t>
            </w:r>
          </w:p>
        </w:tc>
        <w:tc>
          <w:tcPr>
            <w:tcW w:w="1520" w:type="dxa"/>
            <w:vAlign w:val="bottom"/>
            <w:tcBorders>
              <w:bottom w:val="single" w:sz="8" w:color="CCEEFF"/>
            </w:tcBorders>
          </w:tcPr>
          <w:p>
            <w:pPr>
              <w:jc w:val="right"/>
              <w:spacing w:after="0" w:line="169" w:lineRule="exact"/>
              <w:rPr>
                <w:sz w:val="20"/>
                <w:szCs w:val="20"/>
                <w:color w:val="auto"/>
              </w:rPr>
            </w:pPr>
            <w:r>
              <w:rPr>
                <w:rFonts w:ascii="Arial" w:cs="Arial" w:eastAsia="Arial" w:hAnsi="Arial"/>
                <w:sz w:val="15"/>
                <w:szCs w:val="15"/>
                <w:color w:val="auto"/>
              </w:rPr>
              <w:t>78.98</w:t>
            </w:r>
          </w:p>
        </w:tc>
        <w:tc>
          <w:tcPr>
            <w:tcW w:w="220" w:type="dxa"/>
            <w:vAlign w:val="bottom"/>
            <w:tcBorders>
              <w:bottom w:val="single" w:sz="8" w:color="CCEEFF"/>
            </w:tcBorders>
          </w:tcPr>
          <w:p>
            <w:pPr>
              <w:spacing w:after="0"/>
              <w:rPr>
                <w:sz w:val="14"/>
                <w:szCs w:val="14"/>
                <w:color w:val="auto"/>
              </w:rPr>
            </w:pPr>
          </w:p>
        </w:tc>
      </w:tr>
      <w:tr>
        <w:trPr>
          <w:trHeight w:val="162"/>
        </w:trPr>
        <w:tc>
          <w:tcPr>
            <w:tcW w:w="36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w w:val="94"/>
              </w:rPr>
              <w:t>Total</w:t>
            </w:r>
          </w:p>
        </w:tc>
        <w:tc>
          <w:tcPr>
            <w:tcW w:w="4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4,300,088</w:t>
            </w:r>
          </w:p>
        </w:tc>
        <w:tc>
          <w:tcPr>
            <w:tcW w:w="680" w:type="dxa"/>
            <w:vAlign w:val="bottom"/>
            <w:tcBorders>
              <w:bottom w:val="single" w:sz="8" w:color="CCEEFF"/>
            </w:tcBorders>
            <w:gridSpan w:val="2"/>
            <w:shd w:val="clear" w:color="auto" w:fill="CCEEFF"/>
          </w:tcPr>
          <w:p>
            <w:pPr>
              <w:jc w:val="right"/>
              <w:ind w:right="147"/>
              <w:spacing w:after="0" w:line="161" w:lineRule="exact"/>
              <w:rPr>
                <w:sz w:val="20"/>
                <w:szCs w:val="20"/>
                <w:color w:val="auto"/>
              </w:rPr>
            </w:pPr>
            <w:r>
              <w:rPr>
                <w:rFonts w:ascii="Arial" w:cs="Arial" w:eastAsia="Arial" w:hAnsi="Arial"/>
                <w:sz w:val="15"/>
                <w:szCs w:val="15"/>
                <w:color w:val="auto"/>
              </w:rPr>
              <w:t>$</w:t>
            </w:r>
          </w:p>
        </w:tc>
        <w:tc>
          <w:tcPr>
            <w:tcW w:w="1520" w:type="dxa"/>
            <w:vAlign w:val="bottom"/>
            <w:tcBorders>
              <w:bottom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84.39</w:t>
            </w:r>
          </w:p>
        </w:tc>
        <w:tc>
          <w:tcPr>
            <w:tcW w:w="220" w:type="dxa"/>
            <w:vAlign w:val="bottom"/>
            <w:tcBorders>
              <w:bottom w:val="single" w:sz="8" w:color="CCEEFF"/>
            </w:tcBorders>
            <w:shd w:val="clear" w:color="auto" w:fill="CCEEFF"/>
          </w:tcPr>
          <w:p>
            <w:pPr>
              <w:spacing w:after="0"/>
              <w:rPr>
                <w:sz w:val="14"/>
                <w:szCs w:val="14"/>
                <w:color w:val="auto"/>
              </w:rPr>
            </w:pPr>
          </w:p>
        </w:tc>
      </w:tr>
      <w:tr>
        <w:trPr>
          <w:trHeight w:val="20"/>
        </w:trPr>
        <w:tc>
          <w:tcPr>
            <w:tcW w:w="3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13">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4" w:name="page195"/>
    <w:bookmarkEnd w:id="19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77"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color w:val="auto"/>
        </w:rPr>
        <w:t>Total non-cash, stock-based compensation expense for all of our employees is shown in the following table for the years ended December 31, 2024, 2023 and 2022 and was allocated to the same expense categories as the base compensation for such employees: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gridSpan w:val="8"/>
          </w:tcPr>
          <w:p>
            <w:pPr>
              <w:jc w:val="center"/>
              <w:ind w:right="280"/>
              <w:spacing w:after="0"/>
              <w:rPr>
                <w:sz w:val="20"/>
                <w:szCs w:val="20"/>
                <w:color w:val="auto"/>
              </w:rPr>
            </w:pPr>
            <w:r>
              <w:rPr>
                <w:rFonts w:ascii="Arial" w:cs="Arial" w:eastAsia="Arial" w:hAnsi="Arial"/>
                <w:sz w:val="15"/>
                <w:szCs w:val="15"/>
                <w:b w:val="1"/>
                <w:bCs w:val="1"/>
                <w:color w:val="auto"/>
                <w:w w:val="96"/>
              </w:rPr>
              <w:t>For the Years Ended December 31,</w:t>
            </w:r>
          </w:p>
        </w:tc>
      </w:tr>
      <w:tr>
        <w:trPr>
          <w:trHeight w:val="169"/>
        </w:trPr>
        <w:tc>
          <w:tcPr>
            <w:tcW w:w="53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67"/>
              <w:spacing w:after="0" w:line="169" w:lineRule="exact"/>
              <w:rPr>
                <w:sz w:val="20"/>
                <w:szCs w:val="20"/>
                <w:color w:val="auto"/>
              </w:rPr>
            </w:pPr>
            <w:r>
              <w:rPr>
                <w:rFonts w:ascii="Arial" w:cs="Arial" w:eastAsia="Arial" w:hAnsi="Arial"/>
                <w:sz w:val="15"/>
                <w:szCs w:val="15"/>
                <w:b w:val="1"/>
                <w:bCs w:val="1"/>
                <w:color w:val="auto"/>
              </w:rPr>
              <w:t>2024</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center"/>
              <w:ind w:right="167"/>
              <w:spacing w:after="0" w:line="169" w:lineRule="exact"/>
              <w:rPr>
                <w:sz w:val="20"/>
                <w:szCs w:val="20"/>
                <w:color w:val="auto"/>
              </w:rPr>
            </w:pPr>
            <w:r>
              <w:rPr>
                <w:rFonts w:ascii="Arial" w:cs="Arial" w:eastAsia="Arial" w:hAnsi="Arial"/>
                <w:sz w:val="15"/>
                <w:szCs w:val="15"/>
                <w:b w:val="1"/>
                <w:bCs w:val="1"/>
                <w:color w:val="auto"/>
                <w:w w:val="95"/>
              </w:rPr>
              <w:t>2023</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67"/>
              <w:spacing w:after="0" w:line="169" w:lineRule="exact"/>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14"/>
                <w:szCs w:val="14"/>
                <w:color w:val="auto"/>
              </w:rPr>
            </w:pPr>
          </w:p>
        </w:tc>
      </w:tr>
      <w:tr>
        <w:trPr>
          <w:trHeight w:val="149"/>
        </w:trPr>
        <w:tc>
          <w:tcPr>
            <w:tcW w:w="5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5"/>
                <w:szCs w:val="15"/>
                <w:color w:val="auto"/>
                <w:w w:val="97"/>
              </w:rPr>
              <w:t>(In thousands)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9"/>
        </w:trPr>
        <w:tc>
          <w:tcPr>
            <w:tcW w:w="53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Cost of services</w:t>
            </w:r>
          </w:p>
        </w:tc>
        <w:tc>
          <w:tcPr>
            <w:tcW w:w="220" w:type="dxa"/>
            <w:vAlign w:val="bottom"/>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1,376</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2,610</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6,511</w:t>
            </w:r>
          </w:p>
        </w:tc>
        <w:tc>
          <w:tcPr>
            <w:tcW w:w="60" w:type="dxa"/>
            <w:vAlign w:val="bottom"/>
            <w:shd w:val="clear" w:color="auto" w:fill="CCEEFF"/>
          </w:tcPr>
          <w:p>
            <w:pPr>
              <w:spacing w:after="0"/>
              <w:rPr>
                <w:sz w:val="14"/>
                <w:szCs w:val="14"/>
                <w:color w:val="auto"/>
              </w:rPr>
            </w:pPr>
          </w:p>
        </w:tc>
      </w:tr>
      <w:tr>
        <w:trPr>
          <w:trHeight w:val="169"/>
        </w:trPr>
        <w:tc>
          <w:tcPr>
            <w:tcW w:w="536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Selling, general and administrative</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35,007</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48,904</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76,483</w:t>
            </w:r>
          </w:p>
        </w:tc>
        <w:tc>
          <w:tcPr>
            <w:tcW w:w="60" w:type="dxa"/>
            <w:vAlign w:val="bottom"/>
            <w:tcBorders>
              <w:bottom w:val="single" w:sz="8" w:color="CCEEFF"/>
            </w:tcBorders>
          </w:tcPr>
          <w:p>
            <w:pPr>
              <w:spacing w:after="0"/>
              <w:rPr>
                <w:sz w:val="14"/>
                <w:szCs w:val="14"/>
                <w:color w:val="auto"/>
              </w:rPr>
            </w:pPr>
          </w:p>
        </w:tc>
      </w:tr>
      <w:tr>
        <w:trPr>
          <w:trHeight w:val="162"/>
        </w:trPr>
        <w:tc>
          <w:tcPr>
            <w:tcW w:w="536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Total non-cash, stock-based compensation</w:t>
            </w:r>
          </w:p>
        </w:tc>
        <w:tc>
          <w:tcPr>
            <w:tcW w:w="220" w:type="dxa"/>
            <w:vAlign w:val="bottom"/>
            <w:tcBorders>
              <w:bottom w:val="single" w:sz="8" w:color="auto"/>
            </w:tcBorders>
            <w:shd w:val="clear" w:color="auto" w:fill="CCEEFF"/>
          </w:tcPr>
          <w:p>
            <w:pPr>
              <w:jc w:val="right"/>
              <w:ind w:right="67"/>
              <w:spacing w:after="0" w:line="161"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36,383</w:t>
            </w:r>
          </w:p>
        </w:tc>
        <w:tc>
          <w:tcPr>
            <w:tcW w:w="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7"/>
              <w:spacing w:after="0" w:line="161"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51,514</w:t>
            </w:r>
          </w:p>
        </w:tc>
        <w:tc>
          <w:tcPr>
            <w:tcW w:w="2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7"/>
              <w:spacing w:after="0" w:line="161"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82,994</w:t>
            </w:r>
          </w:p>
        </w:tc>
        <w:tc>
          <w:tcPr>
            <w:tcW w:w="60" w:type="dxa"/>
            <w:vAlign w:val="bottom"/>
            <w:tcBorders>
              <w:bottom w:val="single" w:sz="8" w:color="CCEEFF"/>
            </w:tcBorders>
            <w:shd w:val="clear" w:color="auto" w:fill="CCEEFF"/>
          </w:tcPr>
          <w:p>
            <w:pPr>
              <w:spacing w:after="0"/>
              <w:rPr>
                <w:sz w:val="14"/>
                <w:szCs w:val="14"/>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right="199"/>
        <w:spacing w:after="0" w:line="256" w:lineRule="auto"/>
        <w:rPr>
          <w:sz w:val="20"/>
          <w:szCs w:val="20"/>
          <w:color w:val="auto"/>
        </w:rPr>
      </w:pPr>
      <w:r>
        <w:rPr>
          <w:rFonts w:ascii="Arial" w:cs="Arial" w:eastAsia="Arial" w:hAnsi="Arial"/>
          <w:sz w:val="16"/>
          <w:szCs w:val="16"/>
          <w:color w:val="auto"/>
        </w:rPr>
        <w:t>As of December 31, 2024, our total unrecognized compensation cost related to our non-performance based unvested stock awards was $51 million and will be recognized over a weighted-average period of approximately 3.2 years. Share-based compensation expense is recognized based on stock awards ultimately expected to vest.</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Valuation</w:t>
      </w:r>
    </w:p>
    <w:p>
      <w:pPr>
        <w:spacing w:after="0" w:line="177" w:lineRule="exact"/>
        <w:rPr>
          <w:sz w:val="20"/>
          <w:szCs w:val="20"/>
          <w:color w:val="auto"/>
        </w:rPr>
      </w:pPr>
    </w:p>
    <w:p>
      <w:pPr>
        <w:ind w:left="40" w:right="259"/>
        <w:spacing w:after="0" w:line="256" w:lineRule="auto"/>
        <w:rPr>
          <w:sz w:val="20"/>
          <w:szCs w:val="20"/>
          <w:color w:val="auto"/>
        </w:rPr>
      </w:pPr>
      <w:r>
        <w:rPr>
          <w:rFonts w:ascii="Arial" w:cs="Arial" w:eastAsia="Arial" w:hAnsi="Arial"/>
          <w:sz w:val="16"/>
          <w:szCs w:val="16"/>
          <w:color w:val="auto"/>
        </w:rPr>
        <w:t>The fair value of each stock option granted (excluding the Ergen 2020 Performance Award) for the years ended December 31, 2024, 2023 and 2022 was estimated at the date of the grant using a Black-Scholes option valuation model with the following assumptions: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5"/>
                <w:szCs w:val="15"/>
                <w:b w:val="1"/>
                <w:bCs w:val="1"/>
                <w:color w:val="auto"/>
                <w:w w:val="96"/>
              </w:rPr>
              <w:t>For the Years Ended December 31,</w:t>
            </w: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226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Stock Options</w:t>
            </w: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gridSpan w:val="2"/>
            <w:shd w:val="clear" w:color="auto" w:fill="CCEEFF"/>
          </w:tcPr>
          <w:p>
            <w:pPr>
              <w:jc w:val="right"/>
              <w:ind w:right="147"/>
              <w:spacing w:after="0" w:line="169" w:lineRule="exact"/>
              <w:rPr>
                <w:sz w:val="20"/>
                <w:szCs w:val="20"/>
                <w:color w:val="auto"/>
              </w:rPr>
            </w:pPr>
            <w:r>
              <w:rPr>
                <w:rFonts w:ascii="Arial" w:cs="Arial" w:eastAsia="Arial" w:hAnsi="Arial"/>
                <w:sz w:val="15"/>
                <w:szCs w:val="15"/>
                <w:b w:val="1"/>
                <w:bCs w:val="1"/>
                <w:color w:val="auto"/>
              </w:rPr>
              <w:t>2024</w:t>
            </w:r>
          </w:p>
        </w:tc>
        <w:tc>
          <w:tcPr>
            <w:tcW w:w="7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127"/>
              <w:spacing w:after="0" w:line="169" w:lineRule="exact"/>
              <w:rPr>
                <w:sz w:val="20"/>
                <w:szCs w:val="20"/>
                <w:color w:val="auto"/>
              </w:rPr>
            </w:pPr>
            <w:r>
              <w:rPr>
                <w:rFonts w:ascii="Arial" w:cs="Arial" w:eastAsia="Arial" w:hAnsi="Arial"/>
                <w:sz w:val="15"/>
                <w:szCs w:val="15"/>
                <w:b w:val="1"/>
                <w:bCs w:val="1"/>
                <w:color w:val="auto"/>
              </w:rPr>
              <w:t>2023</w:t>
            </w:r>
          </w:p>
        </w:tc>
        <w:tc>
          <w:tcPr>
            <w:tcW w:w="7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ind w:right="147"/>
              <w:spacing w:after="0" w:line="169" w:lineRule="exact"/>
              <w:rPr>
                <w:sz w:val="20"/>
                <w:szCs w:val="20"/>
                <w:color w:val="auto"/>
              </w:rPr>
            </w:pPr>
            <w:r>
              <w:rPr>
                <w:rFonts w:ascii="Arial" w:cs="Arial" w:eastAsia="Arial" w:hAnsi="Arial"/>
                <w:sz w:val="15"/>
                <w:szCs w:val="15"/>
                <w:b w:val="1"/>
                <w:bCs w:val="1"/>
                <w:color w:val="auto"/>
              </w:rPr>
              <w:t>2022</w:t>
            </w:r>
          </w:p>
        </w:tc>
        <w:tc>
          <w:tcPr>
            <w:tcW w:w="7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260" w:type="dxa"/>
            <w:vAlign w:val="bottom"/>
          </w:tcPr>
          <w:p>
            <w:pPr>
              <w:spacing w:after="0" w:line="161" w:lineRule="exact"/>
              <w:rPr>
                <w:sz w:val="20"/>
                <w:szCs w:val="20"/>
                <w:color w:val="auto"/>
              </w:rPr>
            </w:pPr>
            <w:r>
              <w:rPr>
                <w:rFonts w:ascii="Arial" w:cs="Arial" w:eastAsia="Arial" w:hAnsi="Arial"/>
                <w:sz w:val="15"/>
                <w:szCs w:val="15"/>
                <w:color w:val="auto"/>
              </w:rPr>
              <w:t>Risk-free interest rate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7"/>
              <w:spacing w:after="0" w:line="161" w:lineRule="exact"/>
              <w:rPr>
                <w:sz w:val="20"/>
                <w:szCs w:val="20"/>
                <w:color w:val="auto"/>
              </w:rPr>
            </w:pPr>
            <w:r>
              <w:rPr>
                <w:rFonts w:ascii="Arial" w:cs="Arial" w:eastAsia="Arial" w:hAnsi="Arial"/>
                <w:sz w:val="15"/>
                <w:szCs w:val="15"/>
                <w:color w:val="auto"/>
              </w:rPr>
              <w:t>3.58 %</w:t>
            </w:r>
          </w:p>
        </w:tc>
        <w:tc>
          <w:tcPr>
            <w:tcW w:w="360" w:type="dxa"/>
            <w:vAlign w:val="bottom"/>
          </w:tcPr>
          <w:p>
            <w:pPr>
              <w:ind w:left="80"/>
              <w:spacing w:after="0" w:line="161"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47"/>
              <w:spacing w:after="0" w:line="161" w:lineRule="exact"/>
              <w:rPr>
                <w:sz w:val="20"/>
                <w:szCs w:val="20"/>
                <w:color w:val="auto"/>
              </w:rPr>
            </w:pPr>
            <w:r>
              <w:rPr>
                <w:rFonts w:ascii="Arial" w:cs="Arial" w:eastAsia="Arial" w:hAnsi="Arial"/>
                <w:sz w:val="15"/>
                <w:szCs w:val="15"/>
                <w:color w:val="auto"/>
              </w:rPr>
              <w:t>4.49 %</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7"/>
              <w:spacing w:after="0" w:line="161" w:lineRule="exact"/>
              <w:rPr>
                <w:sz w:val="20"/>
                <w:szCs w:val="20"/>
                <w:color w:val="auto"/>
              </w:rPr>
            </w:pPr>
            <w:r>
              <w:rPr>
                <w:rFonts w:ascii="Arial" w:cs="Arial" w:eastAsia="Arial" w:hAnsi="Arial"/>
                <w:sz w:val="15"/>
                <w:szCs w:val="15"/>
                <w:color w:val="auto"/>
              </w:rPr>
              <w:t>3.58 %</w:t>
            </w:r>
          </w:p>
        </w:tc>
        <w:tc>
          <w:tcPr>
            <w:tcW w:w="340" w:type="dxa"/>
            <w:vAlign w:val="bottom"/>
          </w:tcPr>
          <w:p>
            <w:pPr>
              <w:ind w:left="80"/>
              <w:spacing w:after="0" w:line="161"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47"/>
              <w:spacing w:after="0" w:line="161" w:lineRule="exact"/>
              <w:rPr>
                <w:sz w:val="20"/>
                <w:szCs w:val="20"/>
                <w:color w:val="auto"/>
              </w:rPr>
            </w:pPr>
            <w:r>
              <w:rPr>
                <w:rFonts w:ascii="Arial" w:cs="Arial" w:eastAsia="Arial" w:hAnsi="Arial"/>
                <w:sz w:val="15"/>
                <w:szCs w:val="15"/>
                <w:color w:val="auto"/>
              </w:rPr>
              <w:t>4.61 %</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7"/>
              <w:spacing w:after="0" w:line="161" w:lineRule="exact"/>
              <w:rPr>
                <w:sz w:val="20"/>
                <w:szCs w:val="20"/>
                <w:color w:val="auto"/>
              </w:rPr>
            </w:pPr>
            <w:r>
              <w:rPr>
                <w:rFonts w:ascii="Arial" w:cs="Arial" w:eastAsia="Arial" w:hAnsi="Arial"/>
                <w:sz w:val="15"/>
                <w:szCs w:val="15"/>
                <w:color w:val="auto"/>
              </w:rPr>
              <w:t>1.35 %</w:t>
            </w:r>
          </w:p>
        </w:tc>
        <w:tc>
          <w:tcPr>
            <w:tcW w:w="380" w:type="dxa"/>
            <w:vAlign w:val="bottom"/>
          </w:tcPr>
          <w:p>
            <w:pPr>
              <w:ind w:left="80"/>
              <w:spacing w:after="0" w:line="161"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67"/>
              <w:spacing w:after="0" w:line="161" w:lineRule="exact"/>
              <w:rPr>
                <w:sz w:val="20"/>
                <w:szCs w:val="20"/>
                <w:color w:val="auto"/>
              </w:rPr>
            </w:pPr>
            <w:r>
              <w:rPr>
                <w:rFonts w:ascii="Arial" w:cs="Arial" w:eastAsia="Arial" w:hAnsi="Arial"/>
                <w:sz w:val="15"/>
                <w:szCs w:val="15"/>
                <w:color w:val="auto"/>
              </w:rPr>
              <w:t>4.02 %</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2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Volatility factor</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rPr>
              <w:t>37.10 %</w:t>
            </w:r>
          </w:p>
        </w:tc>
        <w:tc>
          <w:tcPr>
            <w:tcW w:w="36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rPr>
              <w:t>46.39 %</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rPr>
              <w:t>34.30 %</w:t>
            </w:r>
          </w:p>
        </w:tc>
        <w:tc>
          <w:tcPr>
            <w:tcW w:w="34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rPr>
              <w:t>41.25 %</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32.67 %</w:t>
            </w:r>
          </w:p>
        </w:tc>
        <w:tc>
          <w:tcPr>
            <w:tcW w:w="38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rPr>
              <w:t>34.84 %</w:t>
            </w:r>
          </w:p>
        </w:tc>
        <w:tc>
          <w:tcPr>
            <w:tcW w:w="2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260" w:type="dxa"/>
            <w:vAlign w:val="bottom"/>
          </w:tcPr>
          <w:p>
            <w:pPr>
              <w:spacing w:after="0" w:line="169" w:lineRule="exact"/>
              <w:rPr>
                <w:sz w:val="20"/>
                <w:szCs w:val="20"/>
                <w:color w:val="auto"/>
              </w:rPr>
            </w:pPr>
            <w:r>
              <w:rPr>
                <w:rFonts w:ascii="Arial" w:cs="Arial" w:eastAsia="Arial" w:hAnsi="Arial"/>
                <w:sz w:val="15"/>
                <w:szCs w:val="15"/>
                <w:color w:val="auto"/>
              </w:rPr>
              <w:t>Expected term of options in years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87"/>
              <w:spacing w:after="0" w:line="169" w:lineRule="exact"/>
              <w:rPr>
                <w:sz w:val="20"/>
                <w:szCs w:val="20"/>
                <w:color w:val="auto"/>
              </w:rPr>
            </w:pPr>
            <w:r>
              <w:rPr>
                <w:rFonts w:ascii="Arial" w:cs="Arial" w:eastAsia="Arial" w:hAnsi="Arial"/>
                <w:sz w:val="15"/>
                <w:szCs w:val="15"/>
                <w:color w:val="auto"/>
              </w:rPr>
              <w:t>3.3</w:t>
            </w:r>
          </w:p>
        </w:tc>
        <w:tc>
          <w:tcPr>
            <w:tcW w:w="360" w:type="dxa"/>
            <w:vAlign w:val="bottom"/>
          </w:tcPr>
          <w:p>
            <w:pPr>
              <w:ind w:left="80"/>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ind w:right="227"/>
              <w:spacing w:after="0" w:line="169" w:lineRule="exact"/>
              <w:rPr>
                <w:sz w:val="20"/>
                <w:szCs w:val="20"/>
                <w:color w:val="auto"/>
              </w:rPr>
            </w:pPr>
            <w:r>
              <w:rPr>
                <w:rFonts w:ascii="Arial" w:cs="Arial" w:eastAsia="Arial" w:hAnsi="Arial"/>
                <w:sz w:val="15"/>
                <w:szCs w:val="15"/>
                <w:color w:val="auto"/>
              </w:rPr>
              <w:t>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87"/>
              <w:spacing w:after="0" w:line="169" w:lineRule="exact"/>
              <w:rPr>
                <w:sz w:val="20"/>
                <w:szCs w:val="20"/>
                <w:color w:val="auto"/>
              </w:rPr>
            </w:pPr>
            <w:r>
              <w:rPr>
                <w:rFonts w:ascii="Arial" w:cs="Arial" w:eastAsia="Arial" w:hAnsi="Arial"/>
                <w:sz w:val="15"/>
                <w:szCs w:val="15"/>
                <w:color w:val="auto"/>
              </w:rPr>
              <w:t>4.1</w:t>
            </w:r>
          </w:p>
        </w:tc>
        <w:tc>
          <w:tcPr>
            <w:tcW w:w="340" w:type="dxa"/>
            <w:vAlign w:val="bottom"/>
          </w:tcPr>
          <w:p>
            <w:pPr>
              <w:ind w:left="80"/>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227"/>
              <w:spacing w:after="0" w:line="169" w:lineRule="exact"/>
              <w:rPr>
                <w:sz w:val="20"/>
                <w:szCs w:val="20"/>
                <w:color w:val="auto"/>
              </w:rPr>
            </w:pPr>
            <w:r>
              <w:rPr>
                <w:rFonts w:ascii="Arial" w:cs="Arial" w:eastAsia="Arial" w:hAnsi="Arial"/>
                <w:sz w:val="15"/>
                <w:szCs w:val="15"/>
                <w:color w:val="auto"/>
              </w:rPr>
              <w:t>6.6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87"/>
              <w:spacing w:after="0" w:line="169" w:lineRule="exact"/>
              <w:rPr>
                <w:sz w:val="20"/>
                <w:szCs w:val="20"/>
                <w:color w:val="auto"/>
              </w:rPr>
            </w:pPr>
            <w:r>
              <w:rPr>
                <w:rFonts w:ascii="Arial" w:cs="Arial" w:eastAsia="Arial" w:hAnsi="Arial"/>
                <w:sz w:val="15"/>
                <w:szCs w:val="15"/>
                <w:color w:val="auto"/>
              </w:rPr>
              <w:t>4.1</w:t>
            </w:r>
          </w:p>
        </w:tc>
        <w:tc>
          <w:tcPr>
            <w:tcW w:w="380" w:type="dxa"/>
            <w:vAlign w:val="bottom"/>
          </w:tcPr>
          <w:p>
            <w:pPr>
              <w:ind w:left="8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47"/>
              <w:spacing w:after="0" w:line="169" w:lineRule="exact"/>
              <w:rPr>
                <w:sz w:val="20"/>
                <w:szCs w:val="20"/>
                <w:color w:val="auto"/>
              </w:rPr>
            </w:pPr>
            <w:r>
              <w:rPr>
                <w:rFonts w:ascii="Arial" w:cs="Arial" w:eastAsia="Arial" w:hAnsi="Arial"/>
                <w:sz w:val="15"/>
                <w:szCs w:val="15"/>
                <w:color w:val="auto"/>
              </w:rPr>
              <w:t>6.0</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2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Fair value of options granted</w:t>
            </w:r>
          </w:p>
        </w:tc>
        <w:tc>
          <w:tcPr>
            <w:tcW w:w="36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rPr>
              <w:t>5.15</w:t>
            </w:r>
          </w:p>
        </w:tc>
        <w:tc>
          <w:tcPr>
            <w:tcW w:w="36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 $</w:t>
            </w:r>
          </w:p>
        </w:tc>
        <w:tc>
          <w:tcPr>
            <w:tcW w:w="740" w:type="dxa"/>
            <w:vAlign w:val="bottom"/>
            <w:shd w:val="clear" w:color="auto" w:fill="CCEEFF"/>
          </w:tcPr>
          <w:p>
            <w:pPr>
              <w:jc w:val="right"/>
              <w:ind w:right="227"/>
              <w:spacing w:after="0" w:line="169" w:lineRule="exact"/>
              <w:rPr>
                <w:sz w:val="20"/>
                <w:szCs w:val="20"/>
                <w:color w:val="auto"/>
              </w:rPr>
            </w:pPr>
            <w:r>
              <w:rPr>
                <w:rFonts w:ascii="Arial" w:cs="Arial" w:eastAsia="Arial" w:hAnsi="Arial"/>
                <w:sz w:val="15"/>
                <w:szCs w:val="15"/>
                <w:color w:val="auto"/>
              </w:rPr>
              <w:t>12.40</w:t>
            </w:r>
          </w:p>
        </w:tc>
        <w:tc>
          <w:tcPr>
            <w:tcW w:w="36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rPr>
              <w:t>7.40</w:t>
            </w:r>
          </w:p>
        </w:tc>
        <w:tc>
          <w:tcPr>
            <w:tcW w:w="34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 $</w:t>
            </w:r>
          </w:p>
        </w:tc>
        <w:tc>
          <w:tcPr>
            <w:tcW w:w="760" w:type="dxa"/>
            <w:vAlign w:val="bottom"/>
            <w:shd w:val="clear" w:color="auto" w:fill="CCEEFF"/>
          </w:tcPr>
          <w:p>
            <w:pPr>
              <w:jc w:val="right"/>
              <w:ind w:right="227"/>
              <w:spacing w:after="0" w:line="169" w:lineRule="exact"/>
              <w:rPr>
                <w:sz w:val="20"/>
                <w:szCs w:val="20"/>
                <w:color w:val="auto"/>
              </w:rPr>
            </w:pPr>
            <w:r>
              <w:rPr>
                <w:rFonts w:ascii="Arial" w:cs="Arial" w:eastAsia="Arial" w:hAnsi="Arial"/>
                <w:sz w:val="15"/>
                <w:szCs w:val="15"/>
                <w:color w:val="auto"/>
              </w:rPr>
              <w:t>7.77</w:t>
            </w:r>
          </w:p>
        </w:tc>
        <w:tc>
          <w:tcPr>
            <w:tcW w:w="36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rPr>
              <w:t>5.97</w:t>
            </w:r>
          </w:p>
        </w:tc>
        <w:tc>
          <w:tcPr>
            <w:tcW w:w="380" w:type="dxa"/>
            <w:vAlign w:val="bottom"/>
            <w:shd w:val="clear" w:color="auto" w:fill="CCEEFF"/>
          </w:tcPr>
          <w:p>
            <w:pPr>
              <w:ind w:left="80"/>
              <w:spacing w:after="0" w:line="169" w:lineRule="exact"/>
              <w:rPr>
                <w:sz w:val="20"/>
                <w:szCs w:val="20"/>
                <w:color w:val="auto"/>
              </w:rPr>
            </w:pPr>
            <w:r>
              <w:rPr>
                <w:rFonts w:ascii="Arial" w:cs="Arial" w:eastAsia="Arial" w:hAnsi="Arial"/>
                <w:sz w:val="15"/>
                <w:szCs w:val="15"/>
                <w:color w:val="auto"/>
              </w:rPr>
              <w:t>- $</w:t>
            </w:r>
          </w:p>
        </w:tc>
        <w:tc>
          <w:tcPr>
            <w:tcW w:w="780" w:type="dxa"/>
            <w:vAlign w:val="bottom"/>
            <w:shd w:val="clear" w:color="auto" w:fill="CCEEFF"/>
          </w:tcPr>
          <w:p>
            <w:pPr>
              <w:jc w:val="right"/>
              <w:ind w:right="247"/>
              <w:spacing w:after="0" w:line="169" w:lineRule="exact"/>
              <w:rPr>
                <w:sz w:val="20"/>
                <w:szCs w:val="20"/>
                <w:color w:val="auto"/>
              </w:rPr>
            </w:pPr>
            <w:r>
              <w:rPr>
                <w:rFonts w:ascii="Arial" w:cs="Arial" w:eastAsia="Arial" w:hAnsi="Arial"/>
                <w:sz w:val="15"/>
                <w:szCs w:val="15"/>
                <w:color w:val="auto"/>
              </w:rPr>
              <w:t>9.27</w:t>
            </w:r>
          </w:p>
        </w:tc>
        <w:tc>
          <w:tcPr>
            <w:tcW w:w="20" w:type="dxa"/>
            <w:vAlign w:val="bottom"/>
            <w:shd w:val="clear" w:color="auto" w:fill="CCEEFF"/>
          </w:tcPr>
          <w:p>
            <w:pPr>
              <w:spacing w:after="0"/>
              <w:rPr>
                <w:sz w:val="14"/>
                <w:szCs w:val="14"/>
                <w:color w:val="auto"/>
              </w:rPr>
            </w:pPr>
          </w:p>
        </w:tc>
      </w:tr>
    </w:tbl>
    <w:p>
      <w:pPr>
        <w:spacing w:after="0" w:line="165"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color w:val="auto"/>
        </w:rPr>
        <w:t>While we currently do not intend to declare dividends on our Class A common stock, we may elect to do so from time to time. Accordingly, the dividend yield percentage used in the Black-Scholes option valuation model was set at zero for all periods. The Black-Scholes option valuation model was developed for use in estimating the fair value of traded stock options which have no vesting restrictions and are fully transferable. Consequently, our estimate of fair value may differ from other valuation models. Further, the Black-Scholes option valuation model requires the input of highly subjective assumptions. Changes in these subjective input assumptions can materially affect the fair value estimate.</w:t>
      </w:r>
    </w:p>
    <w:p>
      <w:pPr>
        <w:spacing w:after="0" w:line="148" w:lineRule="exact"/>
        <w:rPr>
          <w:sz w:val="20"/>
          <w:szCs w:val="20"/>
          <w:color w:val="auto"/>
        </w:rPr>
      </w:pPr>
    </w:p>
    <w:p>
      <w:pPr>
        <w:ind w:left="40" w:right="279"/>
        <w:spacing w:after="0" w:line="275" w:lineRule="auto"/>
        <w:rPr>
          <w:sz w:val="20"/>
          <w:szCs w:val="20"/>
          <w:color w:val="auto"/>
        </w:rPr>
      </w:pPr>
      <w:r>
        <w:rPr>
          <w:rFonts w:ascii="Arial" w:cs="Arial" w:eastAsia="Arial" w:hAnsi="Arial"/>
          <w:sz w:val="16"/>
          <w:szCs w:val="16"/>
          <w:color w:val="auto"/>
        </w:rPr>
        <w:t>We will continue to evaluate the assumptions used to derive the estimated fair value of our stock options as new events or changes in circumstances become known.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14">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5" w:name="page196"/>
    <w:bookmarkEnd w:id="19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15.  Commitments and Contingencies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Commitments</w:t>
      </w:r>
    </w:p>
    <w:p>
      <w:pPr>
        <w:spacing w:after="0" w:line="177" w:lineRule="exact"/>
        <w:rPr>
          <w:sz w:val="20"/>
          <w:szCs w:val="20"/>
          <w:color w:val="auto"/>
        </w:rPr>
      </w:pPr>
    </w:p>
    <w:p>
      <w:pPr>
        <w:ind w:left="40" w:right="159"/>
        <w:spacing w:after="0" w:line="275" w:lineRule="auto"/>
        <w:rPr>
          <w:sz w:val="20"/>
          <w:szCs w:val="20"/>
          <w:color w:val="auto"/>
        </w:rPr>
      </w:pPr>
      <w:r>
        <w:rPr>
          <w:rFonts w:ascii="Arial" w:cs="Arial" w:eastAsia="Arial" w:hAnsi="Arial"/>
          <w:sz w:val="16"/>
          <w:szCs w:val="16"/>
          <w:color w:val="auto"/>
        </w:rPr>
        <w:t>As of December 31, 2024, future maturities of our long-term debt, finance lease and contractual obligations are summarized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2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10"/>
          </w:tcPr>
          <w:p>
            <w:pPr>
              <w:ind w:left="100"/>
              <w:spacing w:after="0"/>
              <w:rPr>
                <w:sz w:val="20"/>
                <w:szCs w:val="20"/>
                <w:color w:val="auto"/>
              </w:rPr>
            </w:pPr>
            <w:r>
              <w:rPr>
                <w:rFonts w:ascii="Arial" w:cs="Arial" w:eastAsia="Arial" w:hAnsi="Arial"/>
                <w:sz w:val="13"/>
                <w:szCs w:val="13"/>
                <w:b w:val="1"/>
                <w:bCs w:val="1"/>
                <w:color w:val="auto"/>
              </w:rPr>
              <w:t>Payments Due in the Years Ending December 31,</w:t>
            </w: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5"/>
        </w:trPr>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60"/>
              <w:spacing w:after="0" w:line="146"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2"/>
                <w:szCs w:val="12"/>
                <w:color w:val="auto"/>
              </w:rPr>
            </w:pPr>
          </w:p>
        </w:tc>
        <w:tc>
          <w:tcPr>
            <w:tcW w:w="660" w:type="dxa"/>
            <w:vAlign w:val="bottom"/>
          </w:tcPr>
          <w:p>
            <w:pPr>
              <w:jc w:val="right"/>
              <w:ind w:right="195"/>
              <w:spacing w:after="0" w:line="146" w:lineRule="exact"/>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35"/>
              <w:spacing w:after="0" w:line="146" w:lineRule="exact"/>
              <w:rPr>
                <w:sz w:val="20"/>
                <w:szCs w:val="20"/>
                <w:color w:val="auto"/>
              </w:rPr>
            </w:pPr>
            <w:r>
              <w:rPr>
                <w:rFonts w:ascii="Arial" w:cs="Arial" w:eastAsia="Arial" w:hAnsi="Arial"/>
                <w:sz w:val="13"/>
                <w:szCs w:val="13"/>
                <w:b w:val="1"/>
                <w:bCs w:val="1"/>
                <w:color w:val="auto"/>
              </w:rPr>
              <w:t>2026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95"/>
              <w:spacing w:after="0" w:line="146" w:lineRule="exact"/>
              <w:rPr>
                <w:sz w:val="20"/>
                <w:szCs w:val="20"/>
                <w:color w:val="auto"/>
              </w:rPr>
            </w:pPr>
            <w:r>
              <w:rPr>
                <w:rFonts w:ascii="Arial" w:cs="Arial" w:eastAsia="Arial" w:hAnsi="Arial"/>
                <w:sz w:val="13"/>
                <w:szCs w:val="13"/>
                <w:b w:val="1"/>
                <w:bCs w:val="1"/>
                <w:color w:val="auto"/>
              </w:rPr>
              <w:t>2027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95"/>
              <w:spacing w:after="0" w:line="146" w:lineRule="exact"/>
              <w:rPr>
                <w:sz w:val="20"/>
                <w:szCs w:val="20"/>
                <w:color w:val="auto"/>
              </w:rPr>
            </w:pPr>
            <w:r>
              <w:rPr>
                <w:rFonts w:ascii="Arial" w:cs="Arial" w:eastAsia="Arial" w:hAnsi="Arial"/>
                <w:sz w:val="13"/>
                <w:szCs w:val="13"/>
                <w:b w:val="1"/>
                <w:bCs w:val="1"/>
                <w:color w:val="auto"/>
              </w:rPr>
              <w:t>2028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95"/>
              <w:spacing w:after="0" w:line="146" w:lineRule="exact"/>
              <w:rPr>
                <w:sz w:val="20"/>
                <w:szCs w:val="20"/>
                <w:color w:val="auto"/>
              </w:rPr>
            </w:pPr>
            <w:r>
              <w:rPr>
                <w:rFonts w:ascii="Arial" w:cs="Arial" w:eastAsia="Arial" w:hAnsi="Arial"/>
                <w:sz w:val="13"/>
                <w:szCs w:val="13"/>
                <w:b w:val="1"/>
                <w:bCs w:val="1"/>
                <w:color w:val="auto"/>
              </w:rPr>
              <w:t>2029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55"/>
              <w:spacing w:after="0" w:line="146" w:lineRule="exact"/>
              <w:rPr>
                <w:sz w:val="20"/>
                <w:szCs w:val="20"/>
                <w:color w:val="auto"/>
              </w:rPr>
            </w:pPr>
            <w:r>
              <w:rPr>
                <w:rFonts w:ascii="Arial" w:cs="Arial" w:eastAsia="Arial" w:hAnsi="Arial"/>
                <w:sz w:val="13"/>
                <w:szCs w:val="13"/>
                <w:b w:val="1"/>
                <w:bCs w:val="1"/>
                <w:color w:val="auto"/>
              </w:rPr>
              <w:t>Thereafter</w:t>
            </w:r>
          </w:p>
        </w:tc>
        <w:tc>
          <w:tcPr>
            <w:tcW w:w="60" w:type="dxa"/>
            <w:vAlign w:val="bottom"/>
          </w:tcPr>
          <w:p>
            <w:pPr>
              <w:spacing w:after="0"/>
              <w:rPr>
                <w:sz w:val="12"/>
                <w:szCs w:val="12"/>
                <w:color w:val="auto"/>
              </w:rPr>
            </w:pPr>
          </w:p>
        </w:tc>
      </w:tr>
      <w:tr>
        <w:trPr>
          <w:trHeight w:val="125"/>
        </w:trPr>
        <w:tc>
          <w:tcPr>
            <w:tcW w:w="20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3"/>
                <w:szCs w:val="13"/>
                <w:color w:val="auto"/>
                <w:w w:val="93"/>
              </w:rPr>
              <w:t>(In thousands)</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45"/>
        </w:trPr>
        <w:tc>
          <w:tcPr>
            <w:tcW w:w="20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Long-term debt obligations</w:t>
            </w:r>
          </w:p>
        </w:tc>
        <w:tc>
          <w:tcPr>
            <w:tcW w:w="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27,091,651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917,557</w:t>
            </w:r>
          </w:p>
        </w:tc>
        <w:tc>
          <w:tcPr>
            <w:tcW w:w="320" w:type="dxa"/>
            <w:vAlign w:val="bottom"/>
            <w:gridSpan w:val="2"/>
            <w:shd w:val="clear" w:color="auto" w:fill="CCEEFF"/>
          </w:tcPr>
          <w:p>
            <w:pPr>
              <w:jc w:val="right"/>
              <w:ind w:right="15"/>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7,195,431</w:t>
            </w:r>
          </w:p>
        </w:tc>
        <w:tc>
          <w:tcPr>
            <w:tcW w:w="300" w:type="dxa"/>
            <w:vAlign w:val="bottom"/>
            <w:gridSpan w:val="2"/>
            <w:shd w:val="clear" w:color="auto" w:fill="CCEEFF"/>
          </w:tcPr>
          <w:p>
            <w:pPr>
              <w:ind w:left="160"/>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4,350,278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3,552,655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6,861,869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4,213,861</w:t>
            </w:r>
          </w:p>
        </w:tc>
        <w:tc>
          <w:tcPr>
            <w:tcW w:w="60" w:type="dxa"/>
            <w:vAlign w:val="bottom"/>
            <w:shd w:val="clear" w:color="auto" w:fill="CCEEFF"/>
          </w:tcPr>
          <w:p>
            <w:pPr>
              <w:spacing w:after="0"/>
              <w:rPr>
                <w:sz w:val="12"/>
                <w:szCs w:val="12"/>
                <w:color w:val="auto"/>
              </w:rPr>
            </w:pPr>
          </w:p>
        </w:tc>
      </w:tr>
      <w:tr>
        <w:trPr>
          <w:trHeight w:val="137"/>
        </w:trPr>
        <w:tc>
          <w:tcPr>
            <w:tcW w:w="2000" w:type="dxa"/>
            <w:vAlign w:val="bottom"/>
          </w:tcPr>
          <w:p>
            <w:pPr>
              <w:spacing w:after="0" w:line="138" w:lineRule="exact"/>
              <w:rPr>
                <w:sz w:val="20"/>
                <w:szCs w:val="20"/>
                <w:color w:val="auto"/>
              </w:rPr>
            </w:pPr>
            <w:r>
              <w:rPr>
                <w:rFonts w:ascii="Arial" w:cs="Arial" w:eastAsia="Arial" w:hAnsi="Arial"/>
                <w:sz w:val="13"/>
                <w:szCs w:val="13"/>
                <w:color w:val="auto"/>
              </w:rPr>
              <w:t>Interest expense on long-term</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2000" w:type="dxa"/>
            <w:vAlign w:val="bottom"/>
          </w:tcPr>
          <w:p>
            <w:pPr>
              <w:spacing w:after="0"/>
              <w:rPr>
                <w:sz w:val="20"/>
                <w:szCs w:val="20"/>
                <w:color w:val="auto"/>
              </w:rPr>
            </w:pPr>
            <w:r>
              <w:rPr>
                <w:rFonts w:ascii="Arial" w:cs="Arial" w:eastAsia="Arial" w:hAnsi="Arial"/>
                <w:sz w:val="13"/>
                <w:szCs w:val="13"/>
                <w:color w:val="auto"/>
              </w:rPr>
              <w:t>debt (1)</w:t>
            </w:r>
          </w:p>
        </w:tc>
        <w:tc>
          <w:tcPr>
            <w:tcW w:w="1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8,136,650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2,194,342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2,077,099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1,598,233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1,135,306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872,514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259,156</w:t>
            </w:r>
          </w:p>
        </w:tc>
        <w:tc>
          <w:tcPr>
            <w:tcW w:w="60" w:type="dxa"/>
            <w:vAlign w:val="bottom"/>
          </w:tcPr>
          <w:p>
            <w:pPr>
              <w:spacing w:after="0"/>
              <w:rPr>
                <w:sz w:val="13"/>
                <w:szCs w:val="13"/>
                <w:color w:val="auto"/>
              </w:rPr>
            </w:pPr>
          </w:p>
        </w:tc>
      </w:tr>
      <w:tr>
        <w:trPr>
          <w:trHeight w:val="145"/>
        </w:trPr>
        <w:tc>
          <w:tcPr>
            <w:tcW w:w="20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Finance lease obligations (2)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67,199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30,381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34,290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r>
      <w:tr>
        <w:trPr>
          <w:trHeight w:val="137"/>
        </w:trPr>
        <w:tc>
          <w:tcPr>
            <w:tcW w:w="2000" w:type="dxa"/>
            <w:vAlign w:val="bottom"/>
          </w:tcPr>
          <w:p>
            <w:pPr>
              <w:spacing w:after="0" w:line="138" w:lineRule="exact"/>
              <w:rPr>
                <w:sz w:val="20"/>
                <w:szCs w:val="20"/>
                <w:color w:val="auto"/>
              </w:rPr>
            </w:pPr>
            <w:r>
              <w:rPr>
                <w:rFonts w:ascii="Arial" w:cs="Arial" w:eastAsia="Arial" w:hAnsi="Arial"/>
                <w:sz w:val="13"/>
                <w:szCs w:val="13"/>
                <w:color w:val="auto"/>
              </w:rPr>
              <w:t>Interest expense on finance lease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2000" w:type="dxa"/>
            <w:vAlign w:val="bottom"/>
          </w:tcPr>
          <w:p>
            <w:pPr>
              <w:spacing w:after="0"/>
              <w:rPr>
                <w:sz w:val="20"/>
                <w:szCs w:val="20"/>
                <w:color w:val="auto"/>
              </w:rPr>
            </w:pPr>
            <w:r>
              <w:rPr>
                <w:rFonts w:ascii="Arial" w:cs="Arial" w:eastAsia="Arial" w:hAnsi="Arial"/>
                <w:sz w:val="13"/>
                <w:szCs w:val="13"/>
                <w:color w:val="auto"/>
              </w:rPr>
              <w:t>obligations (2)</w:t>
            </w:r>
          </w:p>
        </w:tc>
        <w:tc>
          <w:tcPr>
            <w:tcW w:w="1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7,355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5,011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2,298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45"/>
        </w:trPr>
        <w:tc>
          <w:tcPr>
            <w:tcW w:w="20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Other long-term obligations (3)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9,745,695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1,899,449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1,490,330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1,163,061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1,027,757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990,547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3,174,551</w:t>
            </w:r>
          </w:p>
        </w:tc>
        <w:tc>
          <w:tcPr>
            <w:tcW w:w="60" w:type="dxa"/>
            <w:vAlign w:val="bottom"/>
            <w:shd w:val="clear" w:color="auto" w:fill="CCEEFF"/>
          </w:tcPr>
          <w:p>
            <w:pPr>
              <w:spacing w:after="0"/>
              <w:rPr>
                <w:sz w:val="12"/>
                <w:szCs w:val="12"/>
                <w:color w:val="auto"/>
              </w:rPr>
            </w:pPr>
          </w:p>
        </w:tc>
      </w:tr>
      <w:tr>
        <w:trPr>
          <w:trHeight w:val="145"/>
        </w:trPr>
        <w:tc>
          <w:tcPr>
            <w:tcW w:w="2000" w:type="dxa"/>
            <w:vAlign w:val="bottom"/>
          </w:tcPr>
          <w:p>
            <w:pPr>
              <w:spacing w:after="0" w:line="146" w:lineRule="exact"/>
              <w:rPr>
                <w:sz w:val="20"/>
                <w:szCs w:val="20"/>
                <w:color w:val="auto"/>
              </w:rPr>
            </w:pPr>
            <w:r>
              <w:rPr>
                <w:rFonts w:ascii="Arial" w:cs="Arial" w:eastAsia="Arial" w:hAnsi="Arial"/>
                <w:sz w:val="13"/>
                <w:szCs w:val="13"/>
                <w:color w:val="auto"/>
              </w:rPr>
              <w:t>Operating lease obligations (2)</w:t>
            </w:r>
          </w:p>
        </w:tc>
        <w:tc>
          <w:tcPr>
            <w:tcW w:w="140" w:type="dxa"/>
            <w:vAlign w:val="bottom"/>
          </w:tcPr>
          <w:p>
            <w:pPr>
              <w:spacing w:after="0"/>
              <w:rPr>
                <w:sz w:val="12"/>
                <w:szCs w:val="12"/>
                <w:color w:val="auto"/>
              </w:rPr>
            </w:pPr>
          </w:p>
        </w:tc>
        <w:tc>
          <w:tcPr>
            <w:tcW w:w="7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5,882,169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569,819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600,545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601,316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556,826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542,595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6" w:lineRule="exact"/>
              <w:rPr>
                <w:sz w:val="20"/>
                <w:szCs w:val="20"/>
                <w:color w:val="auto"/>
              </w:rPr>
            </w:pPr>
            <w:r>
              <w:rPr>
                <w:rFonts w:ascii="Arial" w:cs="Arial" w:eastAsia="Arial" w:hAnsi="Arial"/>
                <w:sz w:val="13"/>
                <w:szCs w:val="13"/>
                <w:color w:val="auto"/>
              </w:rPr>
              <w:t>3,011,068</w:t>
            </w:r>
          </w:p>
        </w:tc>
        <w:tc>
          <w:tcPr>
            <w:tcW w:w="60" w:type="dxa"/>
            <w:vAlign w:val="bottom"/>
          </w:tcPr>
          <w:p>
            <w:pPr>
              <w:spacing w:after="0"/>
              <w:rPr>
                <w:sz w:val="12"/>
                <w:szCs w:val="12"/>
                <w:color w:val="auto"/>
              </w:rPr>
            </w:pPr>
          </w:p>
        </w:tc>
      </w:tr>
      <w:tr>
        <w:trPr>
          <w:trHeight w:val="145"/>
        </w:trPr>
        <w:tc>
          <w:tcPr>
            <w:tcW w:w="20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Purchase obligations</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2,204,298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2,199,420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4,820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r>
      <w:tr>
        <w:trPr>
          <w:trHeight w:val="177"/>
        </w:trPr>
        <w:tc>
          <w:tcPr>
            <w:tcW w:w="2000" w:type="dxa"/>
            <w:vAlign w:val="bottom"/>
            <w:tcBorders>
              <w:bottom w:val="single" w:sz="8" w:color="CCEEFF"/>
            </w:tcBorders>
          </w:tcPr>
          <w:p>
            <w:pPr>
              <w:spacing w:after="0" w:line="138" w:lineRule="exact"/>
              <w:rPr>
                <w:sz w:val="20"/>
                <w:szCs w:val="20"/>
                <w:color w:val="auto"/>
              </w:rPr>
            </w:pPr>
            <w:r>
              <w:rPr>
                <w:rFonts w:ascii="Arial" w:cs="Arial" w:eastAsia="Arial" w:hAnsi="Arial"/>
                <w:sz w:val="13"/>
                <w:szCs w:val="13"/>
                <w:b w:val="1"/>
                <w:bCs w:val="1"/>
                <w:color w:val="auto"/>
              </w:rPr>
              <w:t>Total</w:t>
            </w:r>
          </w:p>
        </w:tc>
        <w:tc>
          <w:tcPr>
            <w:tcW w:w="1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Arial" w:cs="Arial" w:eastAsia="Arial" w:hAnsi="Arial"/>
                <w:sz w:val="13"/>
                <w:szCs w:val="13"/>
                <w:color w:val="auto"/>
              </w:rPr>
              <w:t>53,135,017</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7,815,979</w:t>
            </w: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5"/>
              <w:spacing w:after="0" w:line="138"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11,404,813</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38"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7,715,520</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6,272,544</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9,267,525</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10,658,636</w:t>
            </w:r>
          </w:p>
        </w:tc>
        <w:tc>
          <w:tcPr>
            <w:tcW w:w="60" w:type="dxa"/>
            <w:vAlign w:val="bottom"/>
            <w:tcBorders>
              <w:bottom w:val="single" w:sz="8" w:color="CCEEFF"/>
            </w:tcBorders>
          </w:tcPr>
          <w:p>
            <w:pPr>
              <w:spacing w:after="0"/>
              <w:rPr>
                <w:sz w:val="15"/>
                <w:szCs w:val="15"/>
                <w:color w:val="auto"/>
              </w:rPr>
            </w:pPr>
          </w:p>
        </w:tc>
      </w:tr>
      <w:tr>
        <w:trPr>
          <w:trHeight w:val="122"/>
        </w:trPr>
        <w:tc>
          <w:tcPr>
            <w:tcW w:w="2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97"/>
        </w:trPr>
        <w:tc>
          <w:tcPr>
            <w:tcW w:w="20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68" w:lineRule="exact"/>
        <w:rPr>
          <w:sz w:val="20"/>
          <w:szCs w:val="20"/>
          <w:color w:val="auto"/>
        </w:rPr>
      </w:pPr>
    </w:p>
    <w:p>
      <w:pPr>
        <w:ind w:left="340" w:right="259" w:hanging="298"/>
        <w:spacing w:after="0" w:line="247"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Includes interest expense on our 3 7/8% Convertible Secured Notes due 2030 and our 6 3/4% Senior Secured Notes due 2030 with interest payments that are, at our option, payable in cash or in kind. See Note 10 for further information.</w:t>
      </w:r>
    </w:p>
    <w:p>
      <w:pPr>
        <w:ind w:left="340" w:hanging="298"/>
        <w:spacing w:after="0" w:line="236"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See Note 9 for further information on leases.</w:t>
      </w:r>
    </w:p>
    <w:p>
      <w:pPr>
        <w:ind w:left="340" w:right="279" w:hanging="298"/>
        <w:spacing w:after="0" w:line="242"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Represents minimum contractual commitments related to communication tower obligations, certain 5G Network Deployment commitments, obligations under the NSA with AT&amp;T and the MNSA with T-Mobile, certain wireless device purchases and marketing obligations, radios, software and integration services and satellite related and other obligations.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certain circumstances the dates on which we are obligated to make these payments could be delayed.</w:t>
      </w:r>
    </w:p>
    <w:p>
      <w:pPr>
        <w:spacing w:after="0" w:line="14" w:lineRule="exact"/>
        <w:rPr>
          <w:sz w:val="20"/>
          <w:szCs w:val="20"/>
          <w:color w:val="auto"/>
        </w:rPr>
      </w:pPr>
    </w:p>
    <w:p>
      <w:pPr>
        <w:ind w:left="40" w:right="79"/>
        <w:spacing w:after="0" w:line="245" w:lineRule="auto"/>
        <w:rPr>
          <w:sz w:val="20"/>
          <w:szCs w:val="20"/>
          <w:color w:val="auto"/>
        </w:rPr>
      </w:pPr>
      <w:r>
        <w:rPr>
          <w:rFonts w:ascii="Arial" w:cs="Arial" w:eastAsia="Arial" w:hAnsi="Arial"/>
          <w:sz w:val="16"/>
          <w:szCs w:val="16"/>
          <w:color w:val="auto"/>
        </w:rPr>
        <w:t>The table above does not include $859 million of liabilities associated with unrecognized tax benefits that were accrued, as discussed in Note 11 and are included on our Consolidated Balance Sheets as of December 31, 2024. We do not expect any portion of this amount to be paid or settled within the next 12 months.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5G Network Deployment</w:t>
      </w:r>
    </w:p>
    <w:p>
      <w:pPr>
        <w:spacing w:after="0" w:line="189" w:lineRule="exact"/>
        <w:rPr>
          <w:sz w:val="20"/>
          <w:szCs w:val="20"/>
          <w:color w:val="auto"/>
        </w:rPr>
      </w:pPr>
    </w:p>
    <w:p>
      <w:pPr>
        <w:ind w:left="40" w:right="139" w:hanging="6"/>
        <w:spacing w:after="0" w:line="246" w:lineRule="auto"/>
        <w:rPr>
          <w:sz w:val="20"/>
          <w:szCs w:val="20"/>
          <w:color w:val="auto"/>
        </w:rPr>
      </w:pPr>
      <w:r>
        <w:rPr>
          <w:rFonts w:ascii="Arial" w:cs="Arial" w:eastAsia="Arial" w:hAnsi="Arial"/>
          <w:sz w:val="16"/>
          <w:szCs w:val="16"/>
          <w:color w:val="auto"/>
        </w:rPr>
        <w:t>We have invested a total of over $30 billion in Wireless spectrum licenses. The $30 billion of investments related to Wireless spectrum licenses does not include $10 billion of capitalized interest related to the carrying value of such licenses. See Note 2 for further information. We continue to commercialize our Wireless spectrum licenses through the completion of our 5G Network Deployment. We have committed to the FCC to deploy our 5G Network capable of serving increasingly larger portions of the U.S. population at different deadlines.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5">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6" w:name="page197"/>
    <w:bookmarkEnd w:id="19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99" w:hanging="6"/>
        <w:spacing w:after="0" w:line="246" w:lineRule="auto"/>
        <w:rPr>
          <w:sz w:val="20"/>
          <w:szCs w:val="20"/>
          <w:color w:val="auto"/>
        </w:rPr>
      </w:pPr>
      <w:r>
        <w:rPr>
          <w:rFonts w:ascii="Arial" w:cs="Arial" w:eastAsia="Arial" w:hAnsi="Arial"/>
          <w:sz w:val="16"/>
          <w:szCs w:val="16"/>
          <w:color w:val="auto"/>
        </w:rPr>
        <w:t>We may need to raise additional capital in the future,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Wireless Spectrum Licenses</w:t>
      </w:r>
    </w:p>
    <w:p>
      <w:pPr>
        <w:spacing w:after="0" w:line="177" w:lineRule="exact"/>
        <w:rPr>
          <w:sz w:val="20"/>
          <w:szCs w:val="20"/>
          <w:color w:val="auto"/>
        </w:rPr>
      </w:pPr>
    </w:p>
    <w:p>
      <w:pPr>
        <w:ind w:left="40" w:right="119"/>
        <w:spacing w:after="0" w:line="242" w:lineRule="auto"/>
        <w:rPr>
          <w:sz w:val="20"/>
          <w:szCs w:val="20"/>
          <w:color w:val="auto"/>
        </w:rPr>
      </w:pPr>
      <w:r>
        <w:rPr>
          <w:rFonts w:ascii="Arial" w:cs="Arial" w:eastAsia="Arial" w:hAnsi="Arial"/>
          <w:sz w:val="16"/>
          <w:szCs w:val="16"/>
          <w:i w:val="1"/>
          <w:iCs w:val="1"/>
          <w:color w:val="222222"/>
        </w:rPr>
        <w:t xml:space="preserve">Liberty Puerto Rico Asset Sale. </w:t>
      </w:r>
      <w:r>
        <w:rPr>
          <w:rFonts w:ascii="Arial" w:cs="Arial" w:eastAsia="Arial" w:hAnsi="Arial"/>
          <w:sz w:val="16"/>
          <w:szCs w:val="16"/>
          <w:color w:val="222222"/>
        </w:rPr>
        <w:t>On November 5, 2023, our wholly-owned subsidiary DISH Network entered into an Asset</w:t>
      </w:r>
      <w:r>
        <w:rPr>
          <w:rFonts w:ascii="Arial" w:cs="Arial" w:eastAsia="Arial" w:hAnsi="Arial"/>
          <w:sz w:val="16"/>
          <w:szCs w:val="16"/>
          <w:i w:val="1"/>
          <w:iCs w:val="1"/>
          <w:color w:val="222222"/>
        </w:rPr>
        <w:t xml:space="preserve"> </w:t>
      </w:r>
      <w:r>
        <w:rPr>
          <w:rFonts w:ascii="Arial" w:cs="Arial" w:eastAsia="Arial" w:hAnsi="Arial"/>
          <w:sz w:val="16"/>
          <w:szCs w:val="16"/>
          <w:color w:val="222222"/>
        </w:rPr>
        <w:t xml:space="preserve">Purchase Agreement, License Purchase Agreement and other ancillary transaction agreements with Liberty Latin America (“Liberty”) and its affiliate providing for the sale of certain of our wireless assets in Puerto Rico and the US Virgin Islands (the “Liberty Puerto Rico Asset Sale”). The consideration also includes a right for us to receive preferential international roaming rates within Liberty’s footprint at a reduced rate for a 10 year period. </w:t>
      </w:r>
      <w:r>
        <w:rPr>
          <w:rFonts w:ascii="Arial" w:cs="Arial" w:eastAsia="Arial" w:hAnsi="Arial"/>
          <w:sz w:val="16"/>
          <w:szCs w:val="16"/>
          <w:color w:val="000000"/>
        </w:rPr>
        <w:t>The Liberty Puerto Rico Asset Sale was approved by</w:t>
      </w:r>
      <w:r>
        <w:rPr>
          <w:rFonts w:ascii="Arial" w:cs="Arial" w:eastAsia="Arial" w:hAnsi="Arial"/>
          <w:sz w:val="16"/>
          <w:szCs w:val="16"/>
          <w:color w:val="222222"/>
        </w:rPr>
        <w:t xml:space="preserve"> </w:t>
      </w:r>
      <w:r>
        <w:rPr>
          <w:rFonts w:ascii="Arial" w:cs="Arial" w:eastAsia="Arial" w:hAnsi="Arial"/>
          <w:sz w:val="16"/>
          <w:szCs w:val="16"/>
          <w:color w:val="000000"/>
        </w:rPr>
        <w:t>the FCC and DOJ and closed in the third quarter of 2024. We will receive payments totaling $251 million, including working capital adjustments, over a three year period, including a $95 million upfront payment, which we received in September 2024. We expect to receive the remaining amounts annually over the next three years.</w:t>
      </w:r>
    </w:p>
    <w:p>
      <w:pPr>
        <w:spacing w:after="0" w:line="150" w:lineRule="exact"/>
        <w:rPr>
          <w:sz w:val="20"/>
          <w:szCs w:val="20"/>
          <w:color w:val="auto"/>
        </w:rPr>
      </w:pPr>
    </w:p>
    <w:p>
      <w:pPr>
        <w:jc w:val="both"/>
        <w:ind w:left="40" w:right="139"/>
        <w:spacing w:after="0" w:line="256" w:lineRule="auto"/>
        <w:rPr>
          <w:sz w:val="20"/>
          <w:szCs w:val="20"/>
          <w:color w:val="auto"/>
        </w:rPr>
      </w:pPr>
      <w:r>
        <w:rPr>
          <w:rFonts w:ascii="Arial" w:cs="Arial" w:eastAsia="Arial" w:hAnsi="Arial"/>
          <w:sz w:val="16"/>
          <w:szCs w:val="16"/>
          <w:color w:val="222222"/>
        </w:rPr>
        <w:t xml:space="preserve">The Liberty Puerto Rico Asset Sale contains </w:t>
      </w:r>
      <w:r>
        <w:rPr>
          <w:rFonts w:ascii="Arial" w:cs="Arial" w:eastAsia="Arial" w:hAnsi="Arial"/>
          <w:sz w:val="16"/>
          <w:szCs w:val="16"/>
          <w:color w:val="000000"/>
        </w:rPr>
        <w:t>a “clawback” provision under which we retained the ability to “clawback” certain</w:t>
      </w:r>
      <w:r>
        <w:rPr>
          <w:rFonts w:ascii="Arial" w:cs="Arial" w:eastAsia="Arial" w:hAnsi="Arial"/>
          <w:sz w:val="16"/>
          <w:szCs w:val="16"/>
          <w:color w:val="222222"/>
        </w:rPr>
        <w:t xml:space="preserve"> </w:t>
      </w:r>
      <w:r>
        <w:rPr>
          <w:rFonts w:ascii="Arial" w:cs="Arial" w:eastAsia="Arial" w:hAnsi="Arial"/>
          <w:sz w:val="16"/>
          <w:szCs w:val="16"/>
          <w:color w:val="000000"/>
        </w:rPr>
        <w:t>wireless licenses through the end of 2029. Due to this “clawback” provision and the associated accounting requirements, we will not derecognize the impacted wireless licenses until the associated contingencies have been resolved.</w:t>
      </w:r>
    </w:p>
    <w:p>
      <w:pPr>
        <w:spacing w:after="0" w:line="137" w:lineRule="exact"/>
        <w:rPr>
          <w:sz w:val="20"/>
          <w:szCs w:val="20"/>
          <w:color w:val="auto"/>
        </w:rPr>
      </w:pPr>
    </w:p>
    <w:p>
      <w:pPr>
        <w:ind w:left="40" w:right="119"/>
        <w:spacing w:after="0" w:line="246" w:lineRule="auto"/>
        <w:rPr>
          <w:sz w:val="20"/>
          <w:szCs w:val="20"/>
          <w:color w:val="auto"/>
        </w:rPr>
      </w:pPr>
      <w:r>
        <w:rPr>
          <w:rFonts w:ascii="Arial" w:cs="Arial" w:eastAsia="Arial" w:hAnsi="Arial"/>
          <w:sz w:val="16"/>
          <w:szCs w:val="16"/>
          <w:color w:val="auto"/>
        </w:rPr>
        <w:t>As of December 31, 2024, the contingent liability associated with the “clawback” provision was $64 million and was recorded in “Long-term deferred revenue and other long-term liabilities” on our Consolidated Balance Sheets. The difference between our net carrying value of the assets sold to their fair value resulted in a $50 million gain which was recorded in “Other, net” within “Other Income (Expense)” on our Consolidated Statements of Operations and Comprehensive Income (Loss) for the year ended December 31, 2024.</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7" w:name="page198"/>
    <w:bookmarkEnd w:id="19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279"/>
        <w:spacing w:after="0" w:line="275" w:lineRule="auto"/>
        <w:rPr>
          <w:sz w:val="20"/>
          <w:szCs w:val="20"/>
          <w:color w:val="auto"/>
        </w:rPr>
      </w:pPr>
      <w:r>
        <w:rPr>
          <w:rFonts w:ascii="Arial" w:cs="Arial" w:eastAsia="Arial" w:hAnsi="Arial"/>
          <w:sz w:val="16"/>
          <w:szCs w:val="16"/>
          <w:color w:val="auto"/>
        </w:rPr>
        <w:t>Our Wireless spectrum licenses are subject to certain build-out requirements, as well as certain renewal requirements that are summarized in the table below:</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1"/>
                <w:szCs w:val="11"/>
                <w:b w:val="1"/>
                <w:bCs w:val="1"/>
                <w:color w:val="auto"/>
              </w:rPr>
              <w:t>Build-Out Deadlines</w:t>
            </w:r>
          </w:p>
        </w:tc>
        <w:tc>
          <w:tcPr>
            <w:tcW w:w="1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Borders>
              <w:bottom w:val="single" w:sz="8" w:color="auto"/>
            </w:tcBorders>
            <w:gridSpan w:val="3"/>
          </w:tcPr>
          <w:p>
            <w:pPr>
              <w:ind w:left="1300"/>
              <w:spacing w:after="0"/>
              <w:rPr>
                <w:sz w:val="20"/>
                <w:szCs w:val="20"/>
                <w:color w:val="auto"/>
              </w:rPr>
            </w:pPr>
            <w:r>
              <w:rPr>
                <w:rFonts w:ascii="Arial" w:cs="Arial" w:eastAsia="Arial" w:hAnsi="Arial"/>
                <w:sz w:val="11"/>
                <w:szCs w:val="11"/>
                <w:b w:val="1"/>
                <w:bCs w:val="1"/>
                <w:color w:val="auto"/>
              </w:rPr>
              <w:t>Final</w:t>
            </w:r>
          </w:p>
        </w:tc>
        <w:tc>
          <w:tcPr>
            <w:tcW w:w="12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900" w:type="dxa"/>
            <w:vAlign w:val="bottom"/>
          </w:tcPr>
          <w:p>
            <w:pPr>
              <w:spacing w:after="0"/>
              <w:rPr>
                <w:sz w:val="8"/>
                <w:szCs w:val="8"/>
                <w:color w:val="auto"/>
              </w:rPr>
            </w:pPr>
          </w:p>
        </w:tc>
        <w:tc>
          <w:tcPr>
            <w:tcW w:w="1040" w:type="dxa"/>
            <w:vAlign w:val="bottom"/>
            <w:gridSpan w:val="3"/>
            <w:vMerge w:val="restart"/>
          </w:tcPr>
          <w:p>
            <w:pPr>
              <w:jc w:val="right"/>
              <w:ind w:right="4"/>
              <w:spacing w:after="0"/>
              <w:rPr>
                <w:sz w:val="20"/>
                <w:szCs w:val="20"/>
                <w:color w:val="auto"/>
              </w:rPr>
            </w:pPr>
            <w:r>
              <w:rPr>
                <w:rFonts w:ascii="Arial" w:cs="Arial" w:eastAsia="Arial" w:hAnsi="Arial"/>
                <w:sz w:val="11"/>
                <w:szCs w:val="11"/>
                <w:b w:val="1"/>
                <w:bCs w:val="1"/>
                <w:color w:val="auto"/>
              </w:rPr>
              <w:t>Carrying Amount</w:t>
            </w:r>
          </w:p>
        </w:tc>
        <w:tc>
          <w:tcPr>
            <w:tcW w:w="140" w:type="dxa"/>
            <w:vAlign w:val="bottom"/>
          </w:tcPr>
          <w:p>
            <w:pPr>
              <w:spacing w:after="0"/>
              <w:rPr>
                <w:sz w:val="8"/>
                <w:szCs w:val="8"/>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rPr>
              <w:t>Interim</w:t>
            </w:r>
          </w:p>
        </w:tc>
        <w:tc>
          <w:tcPr>
            <w:tcW w:w="1600" w:type="dxa"/>
            <w:vAlign w:val="bottom"/>
            <w:gridSpan w:val="3"/>
          </w:tcPr>
          <w:p>
            <w:pPr>
              <w:jc w:val="center"/>
              <w:ind w:right="180"/>
              <w:spacing w:after="0" w:line="98" w:lineRule="exact"/>
              <w:rPr>
                <w:sz w:val="20"/>
                <w:szCs w:val="20"/>
                <w:color w:val="auto"/>
              </w:rPr>
            </w:pPr>
            <w:r>
              <w:rPr>
                <w:rFonts w:ascii="Arial" w:cs="Arial" w:eastAsia="Arial" w:hAnsi="Arial"/>
                <w:sz w:val="11"/>
                <w:szCs w:val="11"/>
                <w:b w:val="1"/>
                <w:bCs w:val="1"/>
                <w:color w:val="auto"/>
              </w:rPr>
              <w:t>Accelerated License</w:t>
            </w:r>
          </w:p>
        </w:tc>
        <w:tc>
          <w:tcPr>
            <w:tcW w:w="1260" w:type="dxa"/>
            <w:vAlign w:val="bottom"/>
          </w:tcPr>
          <w:p>
            <w:pPr>
              <w:jc w:val="center"/>
              <w:spacing w:after="0" w:line="98" w:lineRule="exact"/>
              <w:rPr>
                <w:sz w:val="20"/>
                <w:szCs w:val="20"/>
                <w:color w:val="auto"/>
              </w:rPr>
            </w:pPr>
            <w:r>
              <w:rPr>
                <w:rFonts w:ascii="Arial" w:cs="Arial" w:eastAsia="Arial" w:hAnsi="Arial"/>
                <w:sz w:val="11"/>
                <w:szCs w:val="11"/>
                <w:b w:val="1"/>
                <w:bCs w:val="1"/>
                <w:color w:val="auto"/>
              </w:rPr>
              <w:t>Extension License</w:t>
            </w:r>
          </w:p>
        </w:tc>
        <w:tc>
          <w:tcPr>
            <w:tcW w:w="140" w:type="dxa"/>
            <w:vAlign w:val="bottom"/>
          </w:tcPr>
          <w:p>
            <w:pPr>
              <w:spacing w:after="0"/>
              <w:rPr>
                <w:sz w:val="8"/>
                <w:szCs w:val="8"/>
                <w:color w:val="auto"/>
              </w:rPr>
            </w:pPr>
          </w:p>
        </w:tc>
        <w:tc>
          <w:tcPr>
            <w:tcW w:w="176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Expiration Date</w:t>
            </w:r>
          </w:p>
        </w:tc>
        <w:tc>
          <w:tcPr>
            <w:tcW w:w="0" w:type="dxa"/>
            <w:vAlign w:val="bottom"/>
          </w:tcPr>
          <w:p>
            <w:pPr>
              <w:spacing w:after="0"/>
              <w:rPr>
                <w:sz w:val="1"/>
                <w:szCs w:val="1"/>
                <w:color w:val="auto"/>
              </w:rPr>
            </w:pPr>
          </w:p>
        </w:tc>
      </w:tr>
      <w:tr>
        <w:trPr>
          <w:trHeight w:val="136"/>
        </w:trPr>
        <w:tc>
          <w:tcPr>
            <w:tcW w:w="19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rPr>
              <w:t>Areas</w:t>
            </w: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7"/>
              </w:rPr>
              <w:t>Areas</w:t>
            </w:r>
          </w:p>
        </w:tc>
        <w:tc>
          <w:tcPr>
            <w:tcW w:w="1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04"/>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Owned:</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00" w:type="dxa"/>
            <w:vAlign w:val="bottom"/>
          </w:tcPr>
          <w:p>
            <w:pPr>
              <w:ind w:left="60"/>
              <w:spacing w:after="0"/>
              <w:rPr>
                <w:sz w:val="20"/>
                <w:szCs w:val="20"/>
                <w:color w:val="auto"/>
              </w:rPr>
            </w:pPr>
            <w:r>
              <w:rPr>
                <w:rFonts w:ascii="Arial" w:cs="Arial" w:eastAsia="Arial" w:hAnsi="Arial"/>
                <w:sz w:val="11"/>
                <w:szCs w:val="11"/>
                <w:color w:val="auto"/>
              </w:rPr>
              <w:t>DBS Licenses (1)</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677,409</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ind w:left="60"/>
              <w:spacing w:after="0"/>
              <w:rPr>
                <w:sz w:val="20"/>
                <w:szCs w:val="20"/>
                <w:color w:val="auto"/>
              </w:rPr>
            </w:pPr>
            <w:r>
              <w:rPr>
                <w:rFonts w:ascii="Arial" w:cs="Arial" w:eastAsia="Arial" w:hAnsi="Arial"/>
                <w:sz w:val="11"/>
                <w:szCs w:val="11"/>
                <w:color w:val="auto"/>
              </w:rPr>
              <w:t>700 MHz Licenses (2)</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701,803</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center"/>
              <w:ind w:right="200"/>
              <w:spacing w:after="0"/>
              <w:rPr>
                <w:sz w:val="20"/>
                <w:szCs w:val="20"/>
                <w:color w:val="auto"/>
              </w:rPr>
            </w:pPr>
            <w:r>
              <w:rPr>
                <w:rFonts w:ascii="Arial" w:cs="Arial" w:eastAsia="Arial" w:hAnsi="Arial"/>
                <w:sz w:val="11"/>
                <w:szCs w:val="11"/>
                <w:color w:val="auto"/>
              </w:rPr>
              <w:t>December 31, 2024 (3)</w:t>
            </w:r>
          </w:p>
        </w:tc>
        <w:tc>
          <w:tcPr>
            <w:tcW w:w="140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color w:val="auto"/>
              </w:rPr>
              <w:t>June 14, 2025 (5)</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June 2033</w:t>
            </w:r>
          </w:p>
        </w:tc>
        <w:tc>
          <w:tcPr>
            <w:tcW w:w="0" w:type="dxa"/>
            <w:vAlign w:val="bottom"/>
          </w:tcPr>
          <w:p>
            <w:pPr>
              <w:spacing w:after="0"/>
              <w:rPr>
                <w:sz w:val="1"/>
                <w:szCs w:val="1"/>
                <w:color w:val="auto"/>
              </w:rPr>
            </w:pPr>
          </w:p>
        </w:tc>
      </w:tr>
      <w:tr>
        <w:trPr>
          <w:trHeight w:val="169"/>
        </w:trPr>
        <w:tc>
          <w:tcPr>
            <w:tcW w:w="1900" w:type="dxa"/>
            <w:vAlign w:val="bottom"/>
          </w:tcPr>
          <w:p>
            <w:pPr>
              <w:ind w:left="60"/>
              <w:spacing w:after="0"/>
              <w:rPr>
                <w:sz w:val="20"/>
                <w:szCs w:val="20"/>
                <w:color w:val="auto"/>
              </w:rPr>
            </w:pPr>
            <w:r>
              <w:rPr>
                <w:rFonts w:ascii="Arial" w:cs="Arial" w:eastAsia="Arial" w:hAnsi="Arial"/>
                <w:sz w:val="11"/>
                <w:szCs w:val="11"/>
                <w:color w:val="auto"/>
              </w:rPr>
              <w:t>AWS-4 Licenses (2)</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1,928,688</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1"/>
                <w:szCs w:val="11"/>
                <w:color w:val="auto"/>
              </w:rPr>
              <w:t>December 31, 2024 (3)</w:t>
            </w:r>
          </w:p>
        </w:tc>
        <w:tc>
          <w:tcPr>
            <w:tcW w:w="1400" w:type="dxa"/>
            <w:vAlign w:val="bottom"/>
            <w:gridSpan w:val="2"/>
          </w:tcPr>
          <w:p>
            <w:pPr>
              <w:jc w:val="center"/>
              <w:ind w:right="200"/>
              <w:spacing w:after="0"/>
              <w:rPr>
                <w:sz w:val="20"/>
                <w:szCs w:val="20"/>
                <w:color w:val="auto"/>
              </w:rPr>
            </w:pPr>
            <w:r>
              <w:rPr>
                <w:rFonts w:ascii="Arial" w:cs="Arial" w:eastAsia="Arial" w:hAnsi="Arial"/>
                <w:sz w:val="11"/>
                <w:szCs w:val="11"/>
                <w:color w:val="auto"/>
              </w:rPr>
              <w:t>June 14, 2025 (5)</w:t>
            </w:r>
          </w:p>
        </w:tc>
        <w:tc>
          <w:tcPr>
            <w:tcW w:w="1760" w:type="dxa"/>
            <w:vAlign w:val="bottom"/>
            <w:gridSpan w:val="2"/>
          </w:tcPr>
          <w:p>
            <w:pPr>
              <w:jc w:val="center"/>
              <w:spacing w:after="0"/>
              <w:rPr>
                <w:sz w:val="20"/>
                <w:szCs w:val="20"/>
                <w:color w:val="auto"/>
              </w:rPr>
            </w:pPr>
            <w:r>
              <w:rPr>
                <w:rFonts w:ascii="Arial" w:cs="Arial" w:eastAsia="Arial" w:hAnsi="Arial"/>
                <w:sz w:val="11"/>
                <w:szCs w:val="11"/>
                <w:color w:val="auto"/>
              </w:rPr>
              <w:t>June 2033</w:t>
            </w: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ind w:left="60"/>
              <w:spacing w:after="0"/>
              <w:rPr>
                <w:sz w:val="20"/>
                <w:szCs w:val="20"/>
                <w:color w:val="auto"/>
              </w:rPr>
            </w:pPr>
            <w:r>
              <w:rPr>
                <w:rFonts w:ascii="Arial" w:cs="Arial" w:eastAsia="Arial" w:hAnsi="Arial"/>
                <w:sz w:val="11"/>
                <w:szCs w:val="11"/>
                <w:color w:val="auto"/>
              </w:rPr>
              <w:t>H Block Licenses (2)</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1,671,506</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center"/>
              <w:ind w:right="200"/>
              <w:spacing w:after="0"/>
              <w:rPr>
                <w:sz w:val="20"/>
                <w:szCs w:val="20"/>
                <w:color w:val="auto"/>
              </w:rPr>
            </w:pPr>
            <w:r>
              <w:rPr>
                <w:rFonts w:ascii="Arial" w:cs="Arial" w:eastAsia="Arial" w:hAnsi="Arial"/>
                <w:sz w:val="11"/>
                <w:szCs w:val="11"/>
                <w:color w:val="auto"/>
              </w:rPr>
              <w:t>December 31, 2024 (3)</w:t>
            </w:r>
          </w:p>
        </w:tc>
        <w:tc>
          <w:tcPr>
            <w:tcW w:w="140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color w:val="auto"/>
              </w:rPr>
              <w:t>June 14, 2025 (6)</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June 2033</w:t>
            </w:r>
          </w:p>
        </w:tc>
        <w:tc>
          <w:tcPr>
            <w:tcW w:w="0" w:type="dxa"/>
            <w:vAlign w:val="bottom"/>
          </w:tcPr>
          <w:p>
            <w:pPr>
              <w:spacing w:after="0"/>
              <w:rPr>
                <w:sz w:val="1"/>
                <w:szCs w:val="1"/>
                <w:color w:val="auto"/>
              </w:rPr>
            </w:pPr>
          </w:p>
        </w:tc>
      </w:tr>
      <w:tr>
        <w:trPr>
          <w:trHeight w:val="169"/>
        </w:trPr>
        <w:tc>
          <w:tcPr>
            <w:tcW w:w="1900" w:type="dxa"/>
            <w:vAlign w:val="bottom"/>
          </w:tcPr>
          <w:p>
            <w:pPr>
              <w:ind w:left="60"/>
              <w:spacing w:after="0"/>
              <w:rPr>
                <w:sz w:val="20"/>
                <w:szCs w:val="20"/>
                <w:color w:val="auto"/>
              </w:rPr>
            </w:pPr>
            <w:r>
              <w:rPr>
                <w:rFonts w:ascii="Arial" w:cs="Arial" w:eastAsia="Arial" w:hAnsi="Arial"/>
                <w:sz w:val="11"/>
                <w:szCs w:val="11"/>
                <w:color w:val="auto"/>
              </w:rPr>
              <w:t>600 MHz Licenses</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6,192,575</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1"/>
                <w:szCs w:val="11"/>
                <w:color w:val="auto"/>
              </w:rPr>
              <w:t>December 31, 2024 (4)</w:t>
            </w:r>
          </w:p>
        </w:tc>
        <w:tc>
          <w:tcPr>
            <w:tcW w:w="1400" w:type="dxa"/>
            <w:vAlign w:val="bottom"/>
            <w:gridSpan w:val="2"/>
          </w:tcPr>
          <w:p>
            <w:pPr>
              <w:jc w:val="center"/>
              <w:ind w:right="200"/>
              <w:spacing w:after="0"/>
              <w:rPr>
                <w:sz w:val="20"/>
                <w:szCs w:val="20"/>
                <w:color w:val="auto"/>
              </w:rPr>
            </w:pPr>
            <w:r>
              <w:rPr>
                <w:rFonts w:ascii="Arial" w:cs="Arial" w:eastAsia="Arial" w:hAnsi="Arial"/>
                <w:sz w:val="11"/>
                <w:szCs w:val="11"/>
                <w:color w:val="auto"/>
              </w:rPr>
              <w:t>June 14, 2025 (7)</w:t>
            </w:r>
          </w:p>
        </w:tc>
        <w:tc>
          <w:tcPr>
            <w:tcW w:w="1760" w:type="dxa"/>
            <w:vAlign w:val="bottom"/>
            <w:gridSpan w:val="2"/>
          </w:tcPr>
          <w:p>
            <w:pPr>
              <w:jc w:val="center"/>
              <w:spacing w:after="0"/>
              <w:rPr>
                <w:sz w:val="20"/>
                <w:szCs w:val="20"/>
                <w:color w:val="auto"/>
              </w:rPr>
            </w:pPr>
            <w:r>
              <w:rPr>
                <w:rFonts w:ascii="Arial" w:cs="Arial" w:eastAsia="Arial" w:hAnsi="Arial"/>
                <w:sz w:val="11"/>
                <w:szCs w:val="11"/>
                <w:color w:val="auto"/>
              </w:rPr>
              <w:t>June 2029</w:t>
            </w: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ind w:left="60"/>
              <w:spacing w:after="0"/>
              <w:rPr>
                <w:sz w:val="20"/>
                <w:szCs w:val="20"/>
                <w:color w:val="auto"/>
              </w:rPr>
            </w:pPr>
            <w:r>
              <w:rPr>
                <w:rFonts w:ascii="Arial" w:cs="Arial" w:eastAsia="Arial" w:hAnsi="Arial"/>
                <w:sz w:val="11"/>
                <w:szCs w:val="11"/>
                <w:color w:val="auto"/>
              </w:rPr>
              <w:t>MVDDS Licenses (1)</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24,000</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rPr>
              <w:t>July, August, September 2034</w:t>
            </w:r>
          </w:p>
        </w:tc>
        <w:tc>
          <w:tcPr>
            <w:tcW w:w="0" w:type="dxa"/>
            <w:vAlign w:val="bottom"/>
          </w:tcPr>
          <w:p>
            <w:pPr>
              <w:spacing w:after="0"/>
              <w:rPr>
                <w:sz w:val="1"/>
                <w:szCs w:val="1"/>
                <w:color w:val="auto"/>
              </w:rPr>
            </w:pPr>
          </w:p>
        </w:tc>
      </w:tr>
      <w:tr>
        <w:trPr>
          <w:trHeight w:val="169"/>
        </w:trPr>
        <w:tc>
          <w:tcPr>
            <w:tcW w:w="1900" w:type="dxa"/>
            <w:vAlign w:val="bottom"/>
          </w:tcPr>
          <w:p>
            <w:pPr>
              <w:ind w:left="60"/>
              <w:spacing w:after="0"/>
              <w:rPr>
                <w:sz w:val="20"/>
                <w:szCs w:val="20"/>
                <w:color w:val="auto"/>
              </w:rPr>
            </w:pPr>
            <w:r>
              <w:rPr>
                <w:rFonts w:ascii="Arial" w:cs="Arial" w:eastAsia="Arial" w:hAnsi="Arial"/>
                <w:sz w:val="11"/>
                <w:szCs w:val="11"/>
                <w:color w:val="auto"/>
              </w:rPr>
              <w:t>LMDS Licenses (1)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1"/>
                <w:szCs w:val="11"/>
                <w:color w:val="auto"/>
              </w:rPr>
              <w:t>September 2028</w:t>
            </w: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ind w:left="60"/>
              <w:spacing w:after="0"/>
              <w:rPr>
                <w:sz w:val="20"/>
                <w:szCs w:val="20"/>
                <w:color w:val="auto"/>
              </w:rPr>
            </w:pPr>
            <w:r>
              <w:rPr>
                <w:rFonts w:ascii="Arial" w:cs="Arial" w:eastAsia="Arial" w:hAnsi="Arial"/>
                <w:sz w:val="11"/>
                <w:szCs w:val="11"/>
                <w:color w:val="auto"/>
              </w:rPr>
              <w:t>28 GHz Licenses</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2,883</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1"/>
                <w:szCs w:val="11"/>
                <w:color w:val="auto"/>
              </w:rPr>
              <w:t>October 2, 2029 (8)</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October 2029</w:t>
            </w:r>
          </w:p>
        </w:tc>
        <w:tc>
          <w:tcPr>
            <w:tcW w:w="0" w:type="dxa"/>
            <w:vAlign w:val="bottom"/>
          </w:tcPr>
          <w:p>
            <w:pPr>
              <w:spacing w:after="0"/>
              <w:rPr>
                <w:sz w:val="1"/>
                <w:szCs w:val="1"/>
                <w:color w:val="auto"/>
              </w:rPr>
            </w:pPr>
          </w:p>
        </w:tc>
      </w:tr>
      <w:tr>
        <w:trPr>
          <w:trHeight w:val="169"/>
        </w:trPr>
        <w:tc>
          <w:tcPr>
            <w:tcW w:w="1900" w:type="dxa"/>
            <w:vAlign w:val="bottom"/>
          </w:tcPr>
          <w:p>
            <w:pPr>
              <w:ind w:left="60"/>
              <w:spacing w:after="0"/>
              <w:rPr>
                <w:sz w:val="20"/>
                <w:szCs w:val="20"/>
                <w:color w:val="auto"/>
              </w:rPr>
            </w:pPr>
            <w:r>
              <w:rPr>
                <w:rFonts w:ascii="Arial" w:cs="Arial" w:eastAsia="Arial" w:hAnsi="Arial"/>
                <w:sz w:val="11"/>
                <w:szCs w:val="11"/>
                <w:color w:val="auto"/>
              </w:rPr>
              <w:t>24 GHz Licenses</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11,772</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color w:val="auto"/>
              </w:rPr>
              <w:t>December 11, 2029 (8)</w:t>
            </w:r>
          </w:p>
        </w:tc>
        <w:tc>
          <w:tcPr>
            <w:tcW w:w="1760" w:type="dxa"/>
            <w:vAlign w:val="bottom"/>
            <w:gridSpan w:val="2"/>
          </w:tcPr>
          <w:p>
            <w:pPr>
              <w:jc w:val="center"/>
              <w:spacing w:after="0"/>
              <w:rPr>
                <w:sz w:val="20"/>
                <w:szCs w:val="20"/>
                <w:color w:val="auto"/>
              </w:rPr>
            </w:pPr>
            <w:r>
              <w:rPr>
                <w:rFonts w:ascii="Arial" w:cs="Arial" w:eastAsia="Arial" w:hAnsi="Arial"/>
                <w:sz w:val="11"/>
                <w:szCs w:val="11"/>
                <w:color w:val="auto"/>
              </w:rPr>
              <w:t>December 2029</w:t>
            </w:r>
          </w:p>
        </w:tc>
        <w:tc>
          <w:tcPr>
            <w:tcW w:w="0" w:type="dxa"/>
            <w:vAlign w:val="bottom"/>
          </w:tcPr>
          <w:p>
            <w:pPr>
              <w:spacing w:after="0"/>
              <w:rPr>
                <w:sz w:val="1"/>
                <w:szCs w:val="1"/>
                <w:color w:val="auto"/>
              </w:rPr>
            </w:pPr>
          </w:p>
        </w:tc>
      </w:tr>
      <w:tr>
        <w:trPr>
          <w:trHeight w:val="106"/>
        </w:trPr>
        <w:tc>
          <w:tcPr>
            <w:tcW w:w="1900" w:type="dxa"/>
            <w:vAlign w:val="bottom"/>
            <w:shd w:val="clear" w:color="auto" w:fill="CCEEFF"/>
          </w:tcPr>
          <w:p>
            <w:pPr>
              <w:ind w:left="60"/>
              <w:spacing w:after="0" w:line="106" w:lineRule="exact"/>
              <w:rPr>
                <w:sz w:val="20"/>
                <w:szCs w:val="20"/>
                <w:color w:val="auto"/>
              </w:rPr>
            </w:pPr>
            <w:r>
              <w:rPr>
                <w:rFonts w:ascii="Arial" w:cs="Arial" w:eastAsia="Arial" w:hAnsi="Arial"/>
                <w:sz w:val="11"/>
                <w:szCs w:val="11"/>
                <w:color w:val="auto"/>
              </w:rPr>
              <w:t>37 GHz, 39 GHz and 47 GHz</w:t>
            </w: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900" w:type="dxa"/>
            <w:vAlign w:val="bottom"/>
            <w:shd w:val="clear" w:color="auto" w:fill="CCEEFF"/>
          </w:tcPr>
          <w:p>
            <w:pPr>
              <w:spacing w:after="0"/>
              <w:rPr>
                <w:sz w:val="20"/>
                <w:szCs w:val="20"/>
                <w:color w:val="auto"/>
              </w:rPr>
            </w:pPr>
            <w:r>
              <w:rPr>
                <w:rFonts w:ascii="Arial" w:cs="Arial" w:eastAsia="Arial" w:hAnsi="Arial"/>
                <w:sz w:val="11"/>
                <w:szCs w:val="11"/>
                <w:color w:val="auto"/>
              </w:rPr>
              <w:t>Licenses</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202,392</w:t>
            </w: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1"/>
                <w:szCs w:val="11"/>
                <w:color w:val="auto"/>
              </w:rPr>
              <w:t>June 4, 2030 (8)</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June 2030</w:t>
            </w:r>
          </w:p>
        </w:tc>
        <w:tc>
          <w:tcPr>
            <w:tcW w:w="0" w:type="dxa"/>
            <w:vAlign w:val="bottom"/>
          </w:tcPr>
          <w:p>
            <w:pPr>
              <w:spacing w:after="0"/>
              <w:rPr>
                <w:sz w:val="1"/>
                <w:szCs w:val="1"/>
                <w:color w:val="auto"/>
              </w:rPr>
            </w:pPr>
          </w:p>
        </w:tc>
      </w:tr>
      <w:tr>
        <w:trPr>
          <w:trHeight w:val="169"/>
        </w:trPr>
        <w:tc>
          <w:tcPr>
            <w:tcW w:w="1900" w:type="dxa"/>
            <w:vAlign w:val="bottom"/>
          </w:tcPr>
          <w:p>
            <w:pPr>
              <w:ind w:left="60"/>
              <w:spacing w:after="0"/>
              <w:rPr>
                <w:sz w:val="20"/>
                <w:szCs w:val="20"/>
                <w:color w:val="auto"/>
              </w:rPr>
            </w:pPr>
            <w:r>
              <w:rPr>
                <w:rFonts w:ascii="Arial" w:cs="Arial" w:eastAsia="Arial" w:hAnsi="Arial"/>
                <w:sz w:val="11"/>
                <w:szCs w:val="11"/>
                <w:color w:val="auto"/>
              </w:rPr>
              <w:t>3550-3650 MHz Licenses</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912,200</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color w:val="auto"/>
              </w:rPr>
              <w:t>March 12, 2031 (8)</w:t>
            </w:r>
          </w:p>
        </w:tc>
        <w:tc>
          <w:tcPr>
            <w:tcW w:w="1760" w:type="dxa"/>
            <w:vAlign w:val="bottom"/>
            <w:gridSpan w:val="2"/>
          </w:tcPr>
          <w:p>
            <w:pPr>
              <w:jc w:val="center"/>
              <w:spacing w:after="0"/>
              <w:rPr>
                <w:sz w:val="20"/>
                <w:szCs w:val="20"/>
                <w:color w:val="auto"/>
              </w:rPr>
            </w:pPr>
            <w:r>
              <w:rPr>
                <w:rFonts w:ascii="Arial" w:cs="Arial" w:eastAsia="Arial" w:hAnsi="Arial"/>
                <w:sz w:val="11"/>
                <w:szCs w:val="11"/>
                <w:color w:val="auto"/>
              </w:rPr>
              <w:t>March 2031</w:t>
            </w: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ind w:left="60"/>
              <w:spacing w:after="0"/>
              <w:rPr>
                <w:sz w:val="20"/>
                <w:szCs w:val="20"/>
                <w:color w:val="auto"/>
              </w:rPr>
            </w:pPr>
            <w:r>
              <w:rPr>
                <w:rFonts w:ascii="Arial" w:cs="Arial" w:eastAsia="Arial" w:hAnsi="Arial"/>
                <w:sz w:val="11"/>
                <w:szCs w:val="11"/>
                <w:color w:val="auto"/>
              </w:rPr>
              <w:t>3.7-3.98 GHz Licenses</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2,969</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rPr>
              <w:t>July 23, 2029 (8)</w:t>
            </w: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right="200"/>
              <w:spacing w:after="0"/>
              <w:rPr>
                <w:sz w:val="20"/>
                <w:szCs w:val="20"/>
                <w:color w:val="auto"/>
              </w:rPr>
            </w:pPr>
            <w:r>
              <w:rPr>
                <w:rFonts w:ascii="Arial" w:cs="Arial" w:eastAsia="Arial" w:hAnsi="Arial"/>
                <w:sz w:val="11"/>
                <w:szCs w:val="11"/>
                <w:color w:val="auto"/>
              </w:rPr>
              <w:t>July 23, 2033 (8)</w:t>
            </w: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July 2036</w:t>
            </w:r>
          </w:p>
        </w:tc>
        <w:tc>
          <w:tcPr>
            <w:tcW w:w="0" w:type="dxa"/>
            <w:vAlign w:val="bottom"/>
          </w:tcPr>
          <w:p>
            <w:pPr>
              <w:spacing w:after="0"/>
              <w:rPr>
                <w:sz w:val="1"/>
                <w:szCs w:val="1"/>
                <w:color w:val="auto"/>
              </w:rPr>
            </w:pPr>
          </w:p>
        </w:tc>
      </w:tr>
      <w:tr>
        <w:trPr>
          <w:trHeight w:val="169"/>
        </w:trPr>
        <w:tc>
          <w:tcPr>
            <w:tcW w:w="1900" w:type="dxa"/>
            <w:vAlign w:val="bottom"/>
          </w:tcPr>
          <w:p>
            <w:pPr>
              <w:ind w:left="60"/>
              <w:spacing w:after="0"/>
              <w:rPr>
                <w:sz w:val="20"/>
                <w:szCs w:val="20"/>
                <w:color w:val="auto"/>
              </w:rPr>
            </w:pPr>
            <w:r>
              <w:rPr>
                <w:rFonts w:ascii="Arial" w:cs="Arial" w:eastAsia="Arial" w:hAnsi="Arial"/>
                <w:sz w:val="11"/>
                <w:szCs w:val="11"/>
                <w:color w:val="auto"/>
              </w:rPr>
              <w:t>3.45–3.55 GHz Licenses</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7,329,093</w:t>
            </w: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1"/>
                <w:szCs w:val="11"/>
                <w:color w:val="auto"/>
              </w:rPr>
              <w:t>May 4, 2026 (9)</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1"/>
                <w:szCs w:val="11"/>
                <w:color w:val="auto"/>
              </w:rPr>
              <w:t>May 4, 2030 (9)</w:t>
            </w:r>
          </w:p>
        </w:tc>
        <w:tc>
          <w:tcPr>
            <w:tcW w:w="1760" w:type="dxa"/>
            <w:vAlign w:val="bottom"/>
            <w:gridSpan w:val="2"/>
          </w:tcPr>
          <w:p>
            <w:pPr>
              <w:jc w:val="center"/>
              <w:ind w:right="20"/>
              <w:spacing w:after="0"/>
              <w:rPr>
                <w:sz w:val="20"/>
                <w:szCs w:val="20"/>
                <w:color w:val="auto"/>
              </w:rPr>
            </w:pPr>
            <w:r>
              <w:rPr>
                <w:rFonts w:ascii="Arial" w:cs="Arial" w:eastAsia="Arial" w:hAnsi="Arial"/>
                <w:sz w:val="11"/>
                <w:szCs w:val="11"/>
                <w:color w:val="auto"/>
              </w:rPr>
              <w:t>May 2037</w:t>
            </w:r>
          </w:p>
        </w:tc>
        <w:tc>
          <w:tcPr>
            <w:tcW w:w="0" w:type="dxa"/>
            <w:vAlign w:val="bottom"/>
          </w:tcPr>
          <w:p>
            <w:pPr>
              <w:spacing w:after="0"/>
              <w:rPr>
                <w:sz w:val="1"/>
                <w:szCs w:val="1"/>
                <w:color w:val="auto"/>
              </w:rPr>
            </w:pPr>
          </w:p>
        </w:tc>
      </w:tr>
      <w:tr>
        <w:trPr>
          <w:trHeight w:val="106"/>
        </w:trPr>
        <w:tc>
          <w:tcPr>
            <w:tcW w:w="1900" w:type="dxa"/>
            <w:vAlign w:val="bottom"/>
            <w:shd w:val="clear" w:color="auto" w:fill="CCEEFF"/>
          </w:tcPr>
          <w:p>
            <w:pPr>
              <w:ind w:left="60"/>
              <w:spacing w:after="0" w:line="106" w:lineRule="exact"/>
              <w:rPr>
                <w:sz w:val="20"/>
                <w:szCs w:val="20"/>
                <w:color w:val="auto"/>
              </w:rPr>
            </w:pPr>
            <w:r>
              <w:rPr>
                <w:rFonts w:ascii="Arial" w:cs="Arial" w:eastAsia="Arial" w:hAnsi="Arial"/>
                <w:sz w:val="11"/>
                <w:szCs w:val="11"/>
                <w:color w:val="auto"/>
              </w:rPr>
              <w:t>1695-1710 MHz, 1755-1780 MHz</w:t>
            </w: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900" w:type="dxa"/>
            <w:vAlign w:val="bottom"/>
            <w:shd w:val="clear" w:color="auto" w:fill="CCEEFF"/>
          </w:tcPr>
          <w:p>
            <w:pPr>
              <w:spacing w:after="0"/>
              <w:rPr>
                <w:sz w:val="20"/>
                <w:szCs w:val="20"/>
                <w:color w:val="auto"/>
              </w:rPr>
            </w:pPr>
            <w:r>
              <w:rPr>
                <w:rFonts w:ascii="Arial" w:cs="Arial" w:eastAsia="Arial" w:hAnsi="Arial"/>
                <w:sz w:val="11"/>
                <w:szCs w:val="11"/>
                <w:color w:val="auto"/>
              </w:rPr>
              <w:t>and 2155-2180 MHz (2)</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972</w:t>
            </w: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March 2026</w:t>
            </w:r>
          </w:p>
        </w:tc>
        <w:tc>
          <w:tcPr>
            <w:tcW w:w="0" w:type="dxa"/>
            <w:vAlign w:val="bottom"/>
          </w:tcPr>
          <w:p>
            <w:pPr>
              <w:spacing w:after="0"/>
              <w:rPr>
                <w:sz w:val="1"/>
                <w:szCs w:val="1"/>
                <w:color w:val="auto"/>
              </w:rPr>
            </w:pPr>
          </w:p>
        </w:tc>
      </w:tr>
      <w:tr>
        <w:trPr>
          <w:trHeight w:val="169"/>
        </w:trPr>
        <w:tc>
          <w:tcPr>
            <w:tcW w:w="1900" w:type="dxa"/>
            <w:vAlign w:val="bottom"/>
            <w:tcBorders>
              <w:bottom w:val="single" w:sz="8" w:color="CCEEFF"/>
            </w:tcBorders>
          </w:tcPr>
          <w:p>
            <w:pPr>
              <w:ind w:left="60"/>
              <w:spacing w:after="0"/>
              <w:rPr>
                <w:sz w:val="20"/>
                <w:szCs w:val="20"/>
                <w:color w:val="auto"/>
              </w:rPr>
            </w:pPr>
            <w:r>
              <w:rPr>
                <w:rFonts w:ascii="Arial" w:cs="Arial" w:eastAsia="Arial" w:hAnsi="Arial"/>
                <w:sz w:val="11"/>
                <w:szCs w:val="11"/>
                <w:color w:val="auto"/>
              </w:rPr>
              <w:t>AWS-3</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9,829,287</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gridSpan w:val="3"/>
          </w:tcPr>
          <w:p>
            <w:pPr>
              <w:jc w:val="center"/>
              <w:ind w:right="180"/>
              <w:spacing w:after="0"/>
              <w:rPr>
                <w:sz w:val="20"/>
                <w:szCs w:val="20"/>
                <w:color w:val="auto"/>
              </w:rPr>
            </w:pPr>
            <w:r>
              <w:rPr>
                <w:rFonts w:ascii="Arial" w:cs="Arial" w:eastAsia="Arial" w:hAnsi="Arial"/>
                <w:sz w:val="11"/>
                <w:szCs w:val="11"/>
                <w:color w:val="auto"/>
              </w:rPr>
              <w:t>December 31, 2024 (10)</w:t>
            </w:r>
          </w:p>
        </w:tc>
        <w:tc>
          <w:tcPr>
            <w:tcW w:w="140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1"/>
                <w:szCs w:val="11"/>
                <w:color w:val="auto"/>
              </w:rPr>
              <w:t>October 25, 2025 (11)</w:t>
            </w:r>
          </w:p>
        </w:tc>
        <w:tc>
          <w:tcPr>
            <w:tcW w:w="17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1"/>
                <w:szCs w:val="11"/>
                <w:color w:val="auto"/>
              </w:rPr>
              <w:t>October 2025 (11)</w:t>
            </w: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Subtotal</w:t>
            </w: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29,487,549</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900" w:type="dxa"/>
            <w:vAlign w:val="bottom"/>
            <w:shd w:val="clear" w:color="auto" w:fill="CCEEFF"/>
          </w:tcPr>
          <w:p>
            <w:pPr>
              <w:spacing w:after="0"/>
              <w:rPr>
                <w:sz w:val="20"/>
                <w:szCs w:val="20"/>
                <w:color w:val="auto"/>
              </w:rPr>
            </w:pPr>
            <w:r>
              <w:rPr>
                <w:rFonts w:ascii="Arial" w:cs="Arial" w:eastAsia="Arial" w:hAnsi="Arial"/>
                <w:sz w:val="11"/>
                <w:szCs w:val="11"/>
                <w:color w:val="auto"/>
              </w:rPr>
              <w:t>Capitalized Interest (12)</w:t>
            </w: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9,502,912</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0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Total as of December 31, 2024</w:t>
            </w:r>
          </w:p>
        </w:tc>
        <w:tc>
          <w:tcPr>
            <w:tcW w:w="120" w:type="dxa"/>
            <w:vAlign w:val="bottom"/>
            <w:tcBorders>
              <w:bottom w:val="single" w:sz="8" w:color="auto"/>
            </w:tcBorders>
          </w:tcPr>
          <w:p>
            <w:pPr>
              <w:jc w:val="right"/>
              <w:ind w:right="7"/>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38,990,461</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9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40" w:hanging="298"/>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build-out deadlines for these licenses have been met.</w:t>
      </w:r>
    </w:p>
    <w:p>
      <w:pPr>
        <w:spacing w:after="0" w:line="13" w:lineRule="exact"/>
        <w:rPr>
          <w:rFonts w:ascii="Arial" w:cs="Arial" w:eastAsia="Arial" w:hAnsi="Arial"/>
          <w:sz w:val="16"/>
          <w:szCs w:val="16"/>
          <w:color w:val="auto"/>
        </w:rPr>
      </w:pPr>
    </w:p>
    <w:p>
      <w:pPr>
        <w:ind w:left="340" w:hanging="298"/>
        <w:spacing w:after="0" w:line="23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interim build-out deadlines for these licenses are in the past.</w:t>
      </w:r>
    </w:p>
    <w:p>
      <w:pPr>
        <w:ind w:left="340" w:right="79" w:hanging="298"/>
        <w:spacing w:after="0" w:line="23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222222"/>
        </w:rPr>
        <w:t xml:space="preserve">In a January 10, 2025 filing to the FCC, we certified that we were offering </w:t>
      </w:r>
      <w:r>
        <w:rPr>
          <w:rFonts w:ascii="Arial" w:cs="Arial" w:eastAsia="Arial" w:hAnsi="Arial"/>
          <w:sz w:val="16"/>
          <w:szCs w:val="16"/>
          <w:color w:val="000000"/>
        </w:rPr>
        <w:t>5G broadband service for certain of these</w:t>
      </w:r>
      <w:r>
        <w:rPr>
          <w:rFonts w:ascii="Arial" w:cs="Arial" w:eastAsia="Arial" w:hAnsi="Arial"/>
          <w:sz w:val="16"/>
          <w:szCs w:val="16"/>
          <w:color w:val="222222"/>
        </w:rPr>
        <w:t xml:space="preserve"> </w:t>
      </w:r>
      <w:r>
        <w:rPr>
          <w:rFonts w:ascii="Arial" w:cs="Arial" w:eastAsia="Arial" w:hAnsi="Arial"/>
          <w:sz w:val="16"/>
          <w:szCs w:val="16"/>
          <w:color w:val="000000"/>
        </w:rPr>
        <w:t>license areas to at least 85% of the population in each Economic Area (which is a service area established by the FCC), and offering 5G broadband service for certain other licenses to at least 80% of the population in each Economic Area by this date (part of Commitments #2 and #3 of the September 2024 FCC Extension Request “Extension Request”). These licenses are set forth in Appendices A and D of the Extension Request. Under the Extension Request, if we successfully fulfill Commitments #2 and #3, the final construction deadline for the AWS-4 licenses, the AWS H Block licenses, and the Lower 700 MHz E Block licenses listed in Appendix G-1 of the Extension Request shall be extended from June 14, 2025 to December 14, 2026.</w:t>
      </w:r>
    </w:p>
    <w:p>
      <w:pPr>
        <w:spacing w:after="0" w:line="4" w:lineRule="exact"/>
        <w:rPr>
          <w:rFonts w:ascii="Arial" w:cs="Arial" w:eastAsia="Arial" w:hAnsi="Arial"/>
          <w:sz w:val="16"/>
          <w:szCs w:val="16"/>
          <w:color w:val="auto"/>
        </w:rPr>
      </w:pPr>
    </w:p>
    <w:p>
      <w:pPr>
        <w:ind w:left="340" w:right="79" w:hanging="298"/>
        <w:spacing w:after="0" w:line="239"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222222"/>
        </w:rPr>
        <w:t xml:space="preserve">In a January 10, 2025 filing to the FCC, we certified that we were offering 5G broadband service for certain of these license areas to at least 85% of the population in each Partial Economic Area (which is a service area established by the FCC), and offering 5G broadband service for certain other licenses to at least 80% of the population in each Partial Economic Area by this date </w:t>
      </w:r>
      <w:r>
        <w:rPr>
          <w:rFonts w:ascii="Arial" w:cs="Arial" w:eastAsia="Arial" w:hAnsi="Arial"/>
          <w:sz w:val="16"/>
          <w:szCs w:val="16"/>
          <w:color w:val="000000"/>
        </w:rPr>
        <w:t>(part of Commitments #2 and #3 of the Extension Request). These licenses are set forth in</w:t>
      </w:r>
      <w:r>
        <w:rPr>
          <w:rFonts w:ascii="Arial" w:cs="Arial" w:eastAsia="Arial" w:hAnsi="Arial"/>
          <w:sz w:val="16"/>
          <w:szCs w:val="16"/>
          <w:color w:val="222222"/>
        </w:rPr>
        <w:t xml:space="preserve"> </w:t>
      </w:r>
      <w:r>
        <w:rPr>
          <w:rFonts w:ascii="Arial" w:cs="Arial" w:eastAsia="Arial" w:hAnsi="Arial"/>
          <w:sz w:val="16"/>
          <w:szCs w:val="16"/>
          <w:color w:val="000000"/>
        </w:rPr>
        <w:t>Appendices B and E of the Extension Request. Under the Extension Request, if we successfully fulfill Commitments #2 and #3, the final construction deadline for the 600 MHz licenses listed in Appendix G-2 of the Extension Request shall be extended from June 14, 2025 to December 14, 2026.</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7">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8" w:name="page199"/>
    <w:bookmarkEnd w:id="19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340" w:right="159" w:hanging="298"/>
        <w:spacing w:after="0" w:line="238"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the 700 MHz and AWS-4 licenses set forth in Appendix G-1 of the Extension Request, we have certified to meeting the accelerated buildout obligations described in footnotes 3, 4 and 10 herein (thus fulfilling Commitments #2 and #3 of the Extension Request), and as a result the final deadline for us to offer 5G broadband service to at least 70% of the population in each Economic Area (which is a service area established by the FCC) with respect to these licenses shall be extended to December 14, 2026. Under the Extension Request, the final construction deadline shall be further extended to June 14, 2028, if: by December 31, 2024, we have offered 5G broadband service to, at least, 80 percent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percent of the U.S. population and (ii) we were offering a low-cost 5G broadband plan and device to consumers nationwide.</w:t>
      </w:r>
    </w:p>
    <w:p>
      <w:pPr>
        <w:spacing w:after="0" w:line="3" w:lineRule="exact"/>
        <w:rPr>
          <w:rFonts w:ascii="Arial" w:cs="Arial" w:eastAsia="Arial" w:hAnsi="Arial"/>
          <w:sz w:val="16"/>
          <w:szCs w:val="16"/>
          <w:color w:val="auto"/>
        </w:rPr>
      </w:pPr>
    </w:p>
    <w:p>
      <w:pPr>
        <w:ind w:left="340" w:right="159" w:hanging="298"/>
        <w:spacing w:after="0" w:line="236"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the H-Block licenses set forth in Appendix G-1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 of the population in each Economic Area (which is a service area established by the FCC) with respect to these licenses shall be extended to December 14, 2026. Under the Extension Request, the final construction deadline shall be further extended to June 14, 2028, if: by December 31, 2024, we have offered 5G broadband service to, at least, 80 percent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percent of the U.S. population and (ii) we were offering a low-cost 5G broadband plan and device to consumers nationwide.</w:t>
      </w:r>
    </w:p>
    <w:p>
      <w:pPr>
        <w:spacing w:after="0" w:line="7" w:lineRule="exact"/>
        <w:rPr>
          <w:rFonts w:ascii="Arial" w:cs="Arial" w:eastAsia="Arial" w:hAnsi="Arial"/>
          <w:sz w:val="16"/>
          <w:szCs w:val="16"/>
          <w:color w:val="auto"/>
        </w:rPr>
      </w:pPr>
    </w:p>
    <w:p>
      <w:pPr>
        <w:ind w:left="340" w:right="79" w:hanging="298"/>
        <w:spacing w:after="0" w:line="236"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the 600 MHz licenses set forth in Appendix G-2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 of the population in each Partial Economic Area (which is a service area established by the FCC) with respect to these licenses shall be extended to December 14, 2026. Under the Extension Request, the final construction deadline shall be further extended to June 14, 2028, if: by December 31, 2024, we have offered 5G broadband service to, at least, 80 percent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percent of the U.S. population and (ii) we were offering a low-cost 5G broadband plan and device to consumers nationwide.</w:t>
      </w:r>
    </w:p>
    <w:p>
      <w:pPr>
        <w:spacing w:after="0" w:line="7" w:lineRule="exact"/>
        <w:rPr>
          <w:rFonts w:ascii="Arial" w:cs="Arial" w:eastAsia="Arial" w:hAnsi="Arial"/>
          <w:sz w:val="16"/>
          <w:szCs w:val="16"/>
          <w:color w:val="auto"/>
        </w:rPr>
      </w:pPr>
    </w:p>
    <w:p>
      <w:pPr>
        <w:ind w:left="340" w:hanging="298"/>
        <w:spacing w:after="0" w:line="236" w:lineRule="auto"/>
        <w:tabs>
          <w:tab w:leader="none" w:pos="340" w:val="left"/>
        </w:tabs>
        <w:numPr>
          <w:ilvl w:val="0"/>
          <w:numId w:val="84"/>
        </w:numPr>
        <w:rPr>
          <w:rFonts w:ascii="Arial" w:cs="Arial" w:eastAsia="Arial" w:hAnsi="Arial"/>
          <w:sz w:val="16"/>
          <w:szCs w:val="16"/>
          <w:color w:val="222222"/>
        </w:rPr>
      </w:pPr>
      <w:r>
        <w:rPr>
          <w:rFonts w:ascii="Arial" w:cs="Arial" w:eastAsia="Arial" w:hAnsi="Arial"/>
          <w:sz w:val="16"/>
          <w:szCs w:val="16"/>
          <w:color w:val="222222"/>
        </w:rPr>
        <w:t>There are a variety of build-out options and associated build-out metrics associated with these licenses.</w:t>
      </w:r>
    </w:p>
    <w:p>
      <w:pPr>
        <w:ind w:left="340" w:right="199" w:hanging="298"/>
        <w:spacing w:after="0" w:line="245" w:lineRule="auto"/>
        <w:tabs>
          <w:tab w:leader="none" w:pos="340" w:val="left"/>
        </w:tabs>
        <w:numPr>
          <w:ilvl w:val="0"/>
          <w:numId w:val="84"/>
        </w:numPr>
        <w:rPr>
          <w:rFonts w:ascii="Arial" w:cs="Arial" w:eastAsia="Arial" w:hAnsi="Arial"/>
          <w:sz w:val="16"/>
          <w:szCs w:val="16"/>
          <w:color w:val="222222"/>
        </w:rPr>
      </w:pPr>
      <w:r>
        <w:rPr>
          <w:rFonts w:ascii="Arial" w:cs="Arial" w:eastAsia="Arial" w:hAnsi="Arial"/>
          <w:sz w:val="16"/>
          <w:szCs w:val="16"/>
          <w:color w:val="222222"/>
        </w:rPr>
        <w:t>There are a variety of build-out options and associated build-out metrics associated with these licenses. If the interim build-out requirement is not met, the final build-out requirement may be accelerated by one year from May 2030 to May 2029.</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8">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199" w:name="page200"/>
    <w:bookmarkEnd w:id="19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340" w:right="139" w:hanging="289"/>
        <w:spacing w:after="0" w:line="239" w:lineRule="auto"/>
        <w:rPr>
          <w:sz w:val="20"/>
          <w:szCs w:val="20"/>
          <w:color w:val="auto"/>
        </w:rPr>
      </w:pPr>
      <w:r>
        <w:rPr>
          <w:rFonts w:ascii="Arial" w:cs="Arial" w:eastAsia="Arial" w:hAnsi="Arial"/>
          <w:sz w:val="16"/>
          <w:szCs w:val="16"/>
          <w:color w:val="222222"/>
        </w:rPr>
        <w:t xml:space="preserve">(10)In a January 10, 2025 filing to the FCC, we certified that we were offering </w:t>
      </w:r>
      <w:r>
        <w:rPr>
          <w:rFonts w:ascii="Arial" w:cs="Arial" w:eastAsia="Arial" w:hAnsi="Arial"/>
          <w:sz w:val="16"/>
          <w:szCs w:val="16"/>
          <w:color w:val="000000"/>
        </w:rPr>
        <w:t>reliable signal coverage for certain of these</w:t>
      </w:r>
      <w:r>
        <w:rPr>
          <w:rFonts w:ascii="Arial" w:cs="Arial" w:eastAsia="Arial" w:hAnsi="Arial"/>
          <w:sz w:val="16"/>
          <w:szCs w:val="16"/>
          <w:color w:val="222222"/>
        </w:rPr>
        <w:t xml:space="preserve"> </w:t>
      </w:r>
      <w:r>
        <w:rPr>
          <w:rFonts w:ascii="Arial" w:cs="Arial" w:eastAsia="Arial" w:hAnsi="Arial"/>
          <w:sz w:val="16"/>
          <w:szCs w:val="16"/>
          <w:color w:val="000000"/>
        </w:rPr>
        <w:t>license areas and offering service for certain accelerated licenses to at least 85% of the population of each license area and for certain other accelerated licenses to at least 80% of the population of each license area by this date (part of Commitments #2 and #3 the Extension Request). These accelerated licenses are set forth in Appendices C and F of the Extension Request. Under the Extension Request, if we successfully fulfill Commitment #2 and Commitment #3, the final construction deadlines for the AWS-3 licenses listed in Appendix G-3 of the Extension Request shall be extended from June 14, 2025 to December 14, 2026.</w:t>
      </w:r>
    </w:p>
    <w:p>
      <w:pPr>
        <w:spacing w:after="0" w:line="4" w:lineRule="exact"/>
        <w:rPr>
          <w:sz w:val="20"/>
          <w:szCs w:val="20"/>
          <w:color w:val="auto"/>
        </w:rPr>
      </w:pPr>
    </w:p>
    <w:p>
      <w:pPr>
        <w:ind w:left="340" w:right="79" w:hanging="298"/>
        <w:spacing w:after="0" w:line="236" w:lineRule="auto"/>
        <w:tabs>
          <w:tab w:leader="none" w:pos="340" w:val="left"/>
        </w:tabs>
        <w:numPr>
          <w:ilvl w:val="0"/>
          <w:numId w:val="85"/>
        </w:numPr>
        <w:rPr>
          <w:rFonts w:ascii="Arial" w:cs="Arial" w:eastAsia="Arial" w:hAnsi="Arial"/>
          <w:sz w:val="16"/>
          <w:szCs w:val="16"/>
          <w:color w:val="222222"/>
        </w:rPr>
      </w:pPr>
      <w:r>
        <w:rPr>
          <w:rFonts w:ascii="Arial" w:cs="Arial" w:eastAsia="Arial" w:hAnsi="Arial"/>
          <w:sz w:val="16"/>
          <w:szCs w:val="16"/>
          <w:color w:val="auto"/>
        </w:rPr>
        <w:t>For the AWS-3 licenses set forth in Appendix G-3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 of the population in each license area with respect to these licenses shall be extended to December 14, 2026. Under the Extension Request, the final construction deadline shall be further extended to June 14, 2028, if: by December 31, 2024, we have offered 5G broadband service to, at least, 80 percent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w:t>
      </w:r>
    </w:p>
    <w:p>
      <w:pPr>
        <w:spacing w:after="0" w:line="5" w:lineRule="exact"/>
        <w:rPr>
          <w:sz w:val="20"/>
          <w:szCs w:val="20"/>
          <w:color w:val="auto"/>
        </w:rPr>
      </w:pPr>
    </w:p>
    <w:p>
      <w:pPr>
        <w:jc w:val="both"/>
        <w:ind w:left="340" w:right="99"/>
        <w:spacing w:after="0" w:line="236" w:lineRule="auto"/>
        <w:rPr>
          <w:sz w:val="20"/>
          <w:szCs w:val="20"/>
          <w:color w:val="auto"/>
        </w:rPr>
      </w:pPr>
      <w:r>
        <w:rPr>
          <w:rFonts w:ascii="Arial" w:cs="Arial" w:eastAsia="Arial" w:hAnsi="Arial"/>
          <w:sz w:val="16"/>
          <w:szCs w:val="16"/>
          <w:color w:val="auto"/>
        </w:rPr>
        <w:t>Appendices A-F of the Extension Request. In a January 10, 2025 filing to the FCC, we certified that, as of December 31, 2024: (i) we were offering 5G broadband service to, at least, 80 percent of the U.S. population and (ii) we were offering a low-cost 5G broadband plan and device to consumers nationwide.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222222"/>
        </w:rPr>
        <w:t>(12)See Note 2 for further information.</w:t>
      </w:r>
    </w:p>
    <w:p>
      <w:pPr>
        <w:spacing w:after="0" w:line="163"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i w:val="1"/>
          <w:iCs w:val="1"/>
          <w:color w:val="auto"/>
        </w:rPr>
        <w:t xml:space="preserve">Commercialization of Our Wireless Spectrum Licenses and Related Assets. </w:t>
      </w:r>
      <w:r>
        <w:rPr>
          <w:rFonts w:ascii="Arial" w:cs="Arial" w:eastAsia="Arial" w:hAnsi="Arial"/>
          <w:sz w:val="16"/>
          <w:szCs w:val="16"/>
          <w:color w:val="auto"/>
        </w:rPr>
        <w:t>On September 29, 2023, the FCC confirmed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6"/>
          <w:szCs w:val="16"/>
          <w:color w:val="0A0A0A"/>
        </w:rPr>
        <w:t>We currently have the largest commercial deployment of 5G VoNR in the world</w:t>
      </w:r>
      <w:r>
        <w:rPr>
          <w:rFonts w:ascii="Arial" w:cs="Arial" w:eastAsia="Arial" w:hAnsi="Arial"/>
          <w:sz w:val="16"/>
          <w:szCs w:val="16"/>
          <w:color w:val="auto"/>
        </w:rPr>
        <w:t xml:space="preserve"> </w:t>
      </w:r>
      <w:r>
        <w:rPr>
          <w:rFonts w:ascii="Arial" w:cs="Arial" w:eastAsia="Arial" w:hAnsi="Arial"/>
          <w:sz w:val="16"/>
          <w:szCs w:val="16"/>
          <w:color w:val="0A0A0A"/>
        </w:rPr>
        <w:t xml:space="preserve">covering over 220 million Americans and </w:t>
      </w:r>
      <w:r>
        <w:rPr>
          <w:rFonts w:ascii="Arial" w:cs="Arial" w:eastAsia="Arial" w:hAnsi="Arial"/>
          <w:sz w:val="16"/>
          <w:szCs w:val="16"/>
          <w:color w:val="000000"/>
        </w:rPr>
        <w:t>5G broadband service</w:t>
      </w:r>
      <w:r>
        <w:rPr>
          <w:rFonts w:ascii="Arial" w:cs="Arial" w:eastAsia="Arial" w:hAnsi="Arial"/>
          <w:sz w:val="16"/>
          <w:szCs w:val="16"/>
          <w:color w:val="0A0A0A"/>
        </w:rPr>
        <w:t xml:space="preserve"> covering over 268 million Americans. </w:t>
      </w:r>
      <w:r>
        <w:rPr>
          <w:rFonts w:ascii="Arial" w:cs="Arial" w:eastAsia="Arial" w:hAnsi="Arial"/>
          <w:sz w:val="16"/>
          <w:szCs w:val="16"/>
          <w:color w:val="000000"/>
        </w:rPr>
        <w:t>We currently expect</w:t>
      </w:r>
      <w:r>
        <w:rPr>
          <w:rFonts w:ascii="Arial" w:cs="Arial" w:eastAsia="Arial" w:hAnsi="Arial"/>
          <w:sz w:val="16"/>
          <w:szCs w:val="16"/>
          <w:color w:val="0A0A0A"/>
        </w:rPr>
        <w:t xml:space="preserve"> </w:t>
      </w:r>
      <w:r>
        <w:rPr>
          <w:rFonts w:ascii="Arial" w:cs="Arial" w:eastAsia="Arial" w:hAnsi="Arial"/>
          <w:sz w:val="16"/>
          <w:szCs w:val="16"/>
          <w:color w:val="000000"/>
        </w:rPr>
        <w:t>capital expenditures, excluding capitalized interest, for our 5G Network Deployment to be approximately $10 billion, including amounts incurred in 2021, 2022, 2023 and 2024. See Note 2 for further information.</w:t>
      </w:r>
    </w:p>
    <w:p>
      <w:pPr>
        <w:spacing w:after="0" w:line="150"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0A0A0A"/>
        </w:rPr>
        <w:t xml:space="preserve">In September 2024, the FCC conditionally granted our requests to extend the 5G deployment deadlines for certain of our </w:t>
      </w:r>
      <w:r>
        <w:rPr>
          <w:rFonts w:ascii="Arial" w:cs="Arial" w:eastAsia="Arial" w:hAnsi="Arial"/>
          <w:sz w:val="16"/>
          <w:szCs w:val="16"/>
          <w:color w:val="000000"/>
        </w:rPr>
        <w:t xml:space="preserve">Wireless spectrum licenses </w:t>
      </w:r>
      <w:r>
        <w:rPr>
          <w:rFonts w:ascii="Arial" w:cs="Arial" w:eastAsia="Arial" w:hAnsi="Arial"/>
          <w:sz w:val="16"/>
          <w:szCs w:val="16"/>
          <w:color w:val="0A0A0A"/>
        </w:rPr>
        <w:t>based on several commitments and</w:t>
      </w:r>
      <w:r>
        <w:rPr>
          <w:rFonts w:ascii="Arial" w:cs="Arial" w:eastAsia="Arial" w:hAnsi="Arial"/>
          <w:sz w:val="16"/>
          <w:szCs w:val="16"/>
          <w:color w:val="000000"/>
        </w:rPr>
        <w:t xml:space="preserve"> </w:t>
      </w:r>
      <w:r>
        <w:rPr>
          <w:rFonts w:ascii="Arial" w:cs="Arial" w:eastAsia="Arial" w:hAnsi="Arial"/>
          <w:sz w:val="16"/>
          <w:szCs w:val="16"/>
          <w:color w:val="222222"/>
        </w:rPr>
        <w:t>in a January 10, 2025 filing to the FCC</w:t>
      </w:r>
      <w:r>
        <w:rPr>
          <w:rFonts w:ascii="Arial" w:cs="Arial" w:eastAsia="Arial" w:hAnsi="Arial"/>
          <w:sz w:val="16"/>
          <w:szCs w:val="16"/>
          <w:color w:val="0A0A0A"/>
        </w:rPr>
        <w:t>,</w:t>
      </w:r>
      <w:r>
        <w:rPr>
          <w:rFonts w:ascii="Arial" w:cs="Arial" w:eastAsia="Arial" w:hAnsi="Arial"/>
          <w:sz w:val="16"/>
          <w:szCs w:val="16"/>
          <w:color w:val="000000"/>
        </w:rPr>
        <w:t xml:space="preserve"> </w:t>
      </w:r>
      <w:r>
        <w:rPr>
          <w:rFonts w:ascii="Arial" w:cs="Arial" w:eastAsia="Arial" w:hAnsi="Arial"/>
          <w:sz w:val="16"/>
          <w:szCs w:val="16"/>
          <w:color w:val="222222"/>
        </w:rPr>
        <w:t>we certified to</w:t>
      </w:r>
      <w:r>
        <w:rPr>
          <w:rFonts w:ascii="Arial" w:cs="Arial" w:eastAsia="Arial" w:hAnsi="Arial"/>
          <w:sz w:val="16"/>
          <w:szCs w:val="16"/>
          <w:color w:val="000000"/>
        </w:rPr>
        <w:t xml:space="preserve"> </w:t>
      </w:r>
      <w:r>
        <w:rPr>
          <w:rFonts w:ascii="Arial" w:cs="Arial" w:eastAsia="Arial" w:hAnsi="Arial"/>
          <w:sz w:val="16"/>
          <w:szCs w:val="16"/>
          <w:color w:val="222222"/>
        </w:rPr>
        <w:t xml:space="preserve">meeting the accelerated buildout (Commitments #2 and #3 of the Extension Request) and the nationwide 80% coverage obligations (Commitment #1 of the Extension Request) </w:t>
      </w:r>
      <w:r>
        <w:rPr>
          <w:rFonts w:ascii="Arial" w:cs="Arial" w:eastAsia="Arial" w:hAnsi="Arial"/>
          <w:sz w:val="16"/>
          <w:szCs w:val="16"/>
          <w:color w:val="000000"/>
        </w:rPr>
        <w:t>due by December 31, 2024,</w:t>
      </w:r>
      <w:r>
        <w:rPr>
          <w:rFonts w:ascii="Arial" w:cs="Arial" w:eastAsia="Arial" w:hAnsi="Arial"/>
          <w:sz w:val="16"/>
          <w:szCs w:val="16"/>
          <w:color w:val="222222"/>
        </w:rPr>
        <w:t xml:space="preserve"> </w:t>
      </w:r>
      <w:r>
        <w:rPr>
          <w:rFonts w:ascii="Arial" w:cs="Arial" w:eastAsia="Arial" w:hAnsi="Arial"/>
          <w:sz w:val="16"/>
          <w:szCs w:val="16"/>
          <w:color w:val="0A0A0A"/>
        </w:rPr>
        <w:t>as defined and detailed in the footnotes</w:t>
      </w:r>
      <w:r>
        <w:rPr>
          <w:rFonts w:ascii="Arial" w:cs="Arial" w:eastAsia="Arial" w:hAnsi="Arial"/>
          <w:sz w:val="16"/>
          <w:szCs w:val="16"/>
          <w:color w:val="222222"/>
        </w:rPr>
        <w:t xml:space="preserve"> </w:t>
      </w:r>
      <w:r>
        <w:rPr>
          <w:rFonts w:ascii="Arial" w:cs="Arial" w:eastAsia="Arial" w:hAnsi="Arial"/>
          <w:sz w:val="16"/>
          <w:szCs w:val="16"/>
          <w:color w:val="0A0A0A"/>
        </w:rPr>
        <w:t xml:space="preserve">to the table above. </w:t>
      </w:r>
      <w:r>
        <w:rPr>
          <w:rFonts w:ascii="Arial" w:cs="Arial" w:eastAsia="Arial" w:hAnsi="Arial"/>
          <w:sz w:val="16"/>
          <w:szCs w:val="16"/>
          <w:color w:val="000000"/>
        </w:rPr>
        <w:t>Thus, pursuant to the Extension Request, the final deployment deadlines for the licenses subject to the</w:t>
      </w:r>
      <w:r>
        <w:rPr>
          <w:rFonts w:ascii="Arial" w:cs="Arial" w:eastAsia="Arial" w:hAnsi="Arial"/>
          <w:sz w:val="16"/>
          <w:szCs w:val="16"/>
          <w:color w:val="0A0A0A"/>
        </w:rPr>
        <w:t xml:space="preserve"> </w:t>
      </w:r>
      <w:r>
        <w:rPr>
          <w:rFonts w:ascii="Arial" w:cs="Arial" w:eastAsia="Arial" w:hAnsi="Arial"/>
          <w:sz w:val="16"/>
          <w:szCs w:val="16"/>
          <w:color w:val="000000"/>
        </w:rPr>
        <w:t>Extension Request (listed in Appendix G) shall be extended to December 14, 2026. In addition, the final deployment deadlines for the licenses subject to the Extension Request (listed in Appendix G) shall be further extended to June 14, 2028 as long as we satisfy the remaining Extension Request commitments, as defined and detailed in the footnotes to the table above.</w:t>
      </w:r>
    </w:p>
    <w:p>
      <w:pPr>
        <w:spacing w:after="0" w:line="152" w:lineRule="exact"/>
        <w:rPr>
          <w:sz w:val="20"/>
          <w:szCs w:val="20"/>
          <w:color w:val="auto"/>
        </w:rPr>
      </w:pPr>
    </w:p>
    <w:p>
      <w:pPr>
        <w:ind w:left="40" w:right="79" w:hanging="6"/>
        <w:spacing w:after="0" w:line="241" w:lineRule="auto"/>
        <w:rPr>
          <w:sz w:val="20"/>
          <w:szCs w:val="20"/>
          <w:color w:val="auto"/>
        </w:rPr>
      </w:pPr>
      <w:r>
        <w:rPr>
          <w:rFonts w:ascii="Arial" w:cs="Arial" w:eastAsia="Arial" w:hAnsi="Arial"/>
          <w:sz w:val="16"/>
          <w:szCs w:val="16"/>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may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9">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0" w:name="page201"/>
    <w:bookmarkEnd w:id="20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AWS-3 Auction</w:t>
      </w:r>
    </w:p>
    <w:p>
      <w:pPr>
        <w:spacing w:after="0" w:line="177" w:lineRule="exact"/>
        <w:rPr>
          <w:sz w:val="20"/>
          <w:szCs w:val="20"/>
          <w:color w:val="auto"/>
        </w:rPr>
      </w:pPr>
    </w:p>
    <w:p>
      <w:pPr>
        <w:ind w:left="40" w:right="139"/>
        <w:spacing w:after="0" w:line="244" w:lineRule="auto"/>
        <w:rPr>
          <w:sz w:val="20"/>
          <w:szCs w:val="20"/>
          <w:color w:val="auto"/>
        </w:rPr>
      </w:pPr>
      <w:r>
        <w:rPr>
          <w:rFonts w:ascii="Arial" w:cs="Arial" w:eastAsia="Arial" w:hAnsi="Arial"/>
          <w:sz w:val="16"/>
          <w:szCs w:val="16"/>
          <w:color w:val="auto"/>
        </w:rPr>
        <w:t>Northstar Wireless is a wholly-owned subsidiary of Northstar Spectrum, which is an entity owned by us and, prior to October 12, 2023, by us and Northstar Manager. SNR Wireless is a wholly-owned subsidiary of SNR HoldCo, which is an entity owned by us and, prior to February 16, 2024, by us and SNR Management. See Note 2 for further information. 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spacing w:after="0" w:line="148" w:lineRule="exact"/>
        <w:rPr>
          <w:sz w:val="20"/>
          <w:szCs w:val="20"/>
          <w:color w:val="auto"/>
        </w:rPr>
      </w:pPr>
    </w:p>
    <w:p>
      <w:pPr>
        <w:ind w:left="40" w:right="139"/>
        <w:spacing w:after="0"/>
        <w:rPr>
          <w:sz w:val="20"/>
          <w:szCs w:val="20"/>
          <w:color w:val="auto"/>
        </w:rPr>
      </w:pPr>
      <w:r>
        <w:rPr>
          <w:rFonts w:ascii="Arial" w:cs="Arial" w:eastAsia="Arial" w:hAnsi="Arial"/>
          <w:sz w:val="16"/>
          <w:szCs w:val="16"/>
          <w:i w:val="1"/>
          <w:iCs w:val="1"/>
          <w:color w:val="auto"/>
        </w:rPr>
        <w:t xml:space="preserve">FCC Order and October 2015 Arrangements. </w:t>
      </w:r>
      <w:r>
        <w:rPr>
          <w:rFonts w:ascii="Arial" w:cs="Arial" w:eastAsia="Arial" w:hAnsi="Arial"/>
          <w:sz w:val="16"/>
          <w:szCs w:val="16"/>
          <w:color w:val="auto"/>
        </w:rPr>
        <w:t>On August 18, 2015, the FCC released a</w:t>
      </w:r>
      <w:r>
        <w:rPr>
          <w:rFonts w:ascii="Arial" w:cs="Arial" w:eastAsia="Arial" w:hAnsi="Arial"/>
          <w:sz w:val="16"/>
          <w:szCs w:val="16"/>
          <w:i w:val="1"/>
          <w:iCs w:val="1"/>
          <w:color w:val="auto"/>
        </w:rPr>
        <w:t xml:space="preserve"> Memorandum Opinion and Order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FCC 15-104 (the “Order”) in which the FCC determined, among other things, that DISH Network has a 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control. Northstar Wireless and SNR Wireless appealed the FCC’s order to the D.C. Circuit Court of Appeals. </w:t>
      </w:r>
      <w:r>
        <w:rPr>
          <w:rFonts w:ascii="Arial" w:cs="Arial" w:eastAsia="Arial" w:hAnsi="Arial"/>
          <w:sz w:val="16"/>
          <w:szCs w:val="16"/>
          <w:color w:val="212121"/>
        </w:rPr>
        <w:t>On June 21, 2022, the</w:t>
      </w:r>
      <w:r>
        <w:rPr>
          <w:rFonts w:ascii="Arial" w:cs="Arial" w:eastAsia="Arial" w:hAnsi="Arial"/>
          <w:sz w:val="16"/>
          <w:szCs w:val="16"/>
          <w:color w:val="auto"/>
        </w:rPr>
        <w:t xml:space="preserve"> </w:t>
      </w:r>
      <w:r>
        <w:rPr>
          <w:rFonts w:ascii="Arial" w:cs="Arial" w:eastAsia="Arial" w:hAnsi="Arial"/>
          <w:sz w:val="16"/>
          <w:szCs w:val="16"/>
          <w:color w:val="212121"/>
        </w:rPr>
        <w:t>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54" w:lineRule="exact"/>
        <w:rPr>
          <w:sz w:val="20"/>
          <w:szCs w:val="20"/>
          <w:color w:val="auto"/>
        </w:rPr>
      </w:pPr>
    </w:p>
    <w:p>
      <w:pPr>
        <w:ind w:left="40" w:right="259"/>
        <w:spacing w:after="0" w:line="246" w:lineRule="auto"/>
        <w:rPr>
          <w:sz w:val="20"/>
          <w:szCs w:val="20"/>
          <w:color w:val="auto"/>
        </w:rPr>
      </w:pPr>
      <w:r>
        <w:rPr>
          <w:rFonts w:ascii="Arial" w:cs="Arial" w:eastAsia="Arial" w:hAnsi="Arial"/>
          <w:sz w:val="16"/>
          <w:szCs w:val="16"/>
          <w:i w:val="1"/>
          <w:iCs w:val="1"/>
          <w:color w:val="auto"/>
        </w:rPr>
        <w:t xml:space="preserve">Letters Exchanged between Northstar Wireless and the FCC Wireless Bureau. </w:t>
      </w:r>
      <w:r>
        <w:rPr>
          <w:rFonts w:ascii="Arial" w:cs="Arial" w:eastAsia="Arial" w:hAnsi="Arial"/>
          <w:sz w:val="16"/>
          <w:szCs w:val="16"/>
          <w:color w:val="auto"/>
        </w:rPr>
        <w:t>As outlined in letters exchanged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Northstar Wireless and the Wireless Telecommunications Bureau of the FCC (the “FCC Wireless Bureau”), Northstar Wireless paid the gross winning bid amounts for 261 AWS-3 Licenses and notified the FCC that it would not be paying the gross winning bid amounts for 84 AWS-3 Licenses. As a result of the nonpayment of those gross winning bid amounts, the FCC retained those licenses.</w:t>
      </w:r>
    </w:p>
    <w:p>
      <w:pPr>
        <w:spacing w:after="0" w:line="146"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color w:val="auto"/>
        </w:rPr>
        <w:t>If the winning bids from re-auction or other award of the AWS-3 licenses retained by the FCC are greater than or equal to the winning bids of Northstar Wireless, no additional amounts will be owed to the FCC by Northstar Wireless. However, if those winning bids are less than the winning bids of Northstar Wireless, then we will be responsible for the difference less any overpayment of the Northstar interim payment, detailed below (which will be recalculated as 15% of the winning bids from re-auction or other award) (the “Northstar Re-Auction Payment”). For example, if the winning bids in a re-auction are $1, the Northstar Re-Auction Payment would be approximately $1.892 billion, which is calculated as the difference between $2.226 billion (the Northstar winning bid amounts) and $1 (the winning bids from re-auction) less the resulting $334 million overpayment of the Northstar interim payment. We cannot predict with any degree of certainty the timing or outcome of any re-auction or the amount of any Northstar Re-Auction Payment.</w:t>
      </w:r>
    </w:p>
    <w:p>
      <w:pPr>
        <w:spacing w:after="0" w:line="152" w:lineRule="exact"/>
        <w:rPr>
          <w:sz w:val="20"/>
          <w:szCs w:val="20"/>
          <w:color w:val="auto"/>
        </w:rPr>
      </w:pPr>
    </w:p>
    <w:p>
      <w:pPr>
        <w:ind w:left="40" w:right="319"/>
        <w:spacing w:after="0" w:line="249" w:lineRule="auto"/>
        <w:rPr>
          <w:sz w:val="20"/>
          <w:szCs w:val="20"/>
          <w:color w:val="auto"/>
        </w:rPr>
      </w:pPr>
      <w:r>
        <w:rPr>
          <w:rFonts w:ascii="Arial" w:cs="Arial" w:eastAsia="Arial" w:hAnsi="Arial"/>
          <w:sz w:val="16"/>
          <w:szCs w:val="16"/>
          <w:i w:val="1"/>
          <w:iCs w:val="1"/>
          <w:color w:val="auto"/>
        </w:rPr>
        <w:t xml:space="preserve">Letters Exchanged between SNR Wireless and the FCC Wireless Bureau. </w:t>
      </w:r>
      <w:r>
        <w:rPr>
          <w:rFonts w:ascii="Arial" w:cs="Arial" w:eastAsia="Arial" w:hAnsi="Arial"/>
          <w:sz w:val="16"/>
          <w:szCs w:val="16"/>
          <w:color w:val="auto"/>
        </w:rPr>
        <w:t>As outlined in letters exchanged between SNR</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and the FCC Wireless Bureau, SNR Wireless paid the gross winning bid amounts for 244 AWS-3 Licenses and notified the FCC that it would not be paying the gross winning bid amounts for 113 AWS-3 Licenses. As a result of the nonpayment of those gross winning bid amounts, the FCC retained those licenses.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20">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1" w:name="page202"/>
    <w:bookmarkEnd w:id="20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If the winning bids from re-auction or other award of the AWS-3 licenses retained by the FCC are greater than or equal to the winning bids of SNR Wireless, no additional amounts will be owed to the FCC by SNR Wireless. However, if those winning bids are less than the winning bids of SNR Wireless, then we will be responsible for the difference less any overpayment of the SNR interim payment, detailed below, (which will be recalculated as 15% of the winning bids from re-auction or other award) (the “SNR Re-Auction Payment”). For example, if the winning bids in a re-auction are $ 1, the SNR Re-Auction Payment would be approximately $1.029 billion, which is calculated as the difference between $1.211 billion (the SNR winning bid amounts) and $1 (the winning bids from re-auction) less the resulting $182 million overpayment of the SNR interim payment. We cannot predict with any degree of certainty the timing or outcome of any re-auction or the amount of any SNR Re-Auction Payment.</w:t>
      </w:r>
    </w:p>
    <w:p>
      <w:pPr>
        <w:spacing w:after="0" w:line="152" w:lineRule="exact"/>
        <w:rPr>
          <w:sz w:val="20"/>
          <w:szCs w:val="20"/>
          <w:color w:val="auto"/>
        </w:rPr>
      </w:pPr>
    </w:p>
    <w:p>
      <w:pPr>
        <w:ind w:left="40" w:right="199"/>
        <w:spacing w:after="0" w:line="243" w:lineRule="auto"/>
        <w:rPr>
          <w:sz w:val="20"/>
          <w:szCs w:val="20"/>
          <w:color w:val="auto"/>
        </w:rPr>
      </w:pPr>
      <w:r>
        <w:rPr>
          <w:rFonts w:ascii="Arial" w:cs="Arial" w:eastAsia="Arial" w:hAnsi="Arial"/>
          <w:sz w:val="16"/>
          <w:szCs w:val="16"/>
          <w:i w:val="1"/>
          <w:iCs w:val="1"/>
          <w:color w:val="auto"/>
        </w:rPr>
        <w:t>D.C. Circuit Court Opinion</w:t>
      </w:r>
      <w:r>
        <w:rPr>
          <w:rFonts w:ascii="Arial" w:cs="Arial" w:eastAsia="Arial" w:hAnsi="Arial"/>
          <w:sz w:val="16"/>
          <w:szCs w:val="16"/>
          <w:color w:val="auto"/>
        </w:rPr>
        <w:t>. On August 29, 2017, the United States Court of Appeals for the District of Columbia Circuit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“D.C. Circuit”) in </w:t>
      </w:r>
      <w:r>
        <w:rPr>
          <w:rFonts w:ascii="Arial" w:cs="Arial" w:eastAsia="Arial" w:hAnsi="Arial"/>
          <w:sz w:val="16"/>
          <w:szCs w:val="16"/>
          <w:i w:val="1"/>
          <w:iCs w:val="1"/>
          <w:color w:val="auto"/>
        </w:rPr>
        <w:t>SNR Wireless LicenseCo, LLC, et al. v. Federal Communications Commission</w:t>
      </w:r>
      <w:r>
        <w:rPr>
          <w:rFonts w:ascii="Arial" w:cs="Arial" w:eastAsia="Arial" w:hAnsi="Arial"/>
          <w:sz w:val="16"/>
          <w:szCs w:val="16"/>
          <w:color w:val="auto"/>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spacing w:after="0" w:line="148" w:lineRule="exact"/>
        <w:rPr>
          <w:sz w:val="20"/>
          <w:szCs w:val="20"/>
          <w:color w:val="auto"/>
        </w:rPr>
      </w:pPr>
    </w:p>
    <w:p>
      <w:pPr>
        <w:ind w:left="40" w:right="99"/>
        <w:spacing w:after="0" w:line="239" w:lineRule="auto"/>
        <w:rPr>
          <w:sz w:val="20"/>
          <w:szCs w:val="20"/>
          <w:color w:val="auto"/>
        </w:rPr>
      </w:pPr>
      <w:r>
        <w:rPr>
          <w:rFonts w:ascii="Arial" w:cs="Arial" w:eastAsia="Arial" w:hAnsi="Arial"/>
          <w:sz w:val="16"/>
          <w:szCs w:val="16"/>
          <w:i w:val="1"/>
          <w:iCs w:val="1"/>
          <w:color w:val="auto"/>
        </w:rPr>
        <w:t xml:space="preserve">Order on Remand. </w:t>
      </w:r>
      <w:r>
        <w:rPr>
          <w:rFonts w:ascii="Arial" w:cs="Arial" w:eastAsia="Arial" w:hAnsi="Arial"/>
          <w:sz w:val="16"/>
          <w:szCs w:val="16"/>
          <w:color w:val="auto"/>
        </w:rPr>
        <w:t>On January 24, 2018, the FCC released an Order on Remand, DA 18-70 (the “Order on Remand”)</w:t>
      </w:r>
      <w:r>
        <w:rPr>
          <w:rFonts w:ascii="Arial" w:cs="Arial" w:eastAsia="Arial" w:hAnsi="Arial"/>
          <w:sz w:val="16"/>
          <w:szCs w:val="16"/>
          <w:i w:val="1"/>
          <w:iCs w:val="1"/>
          <w:color w:val="auto"/>
        </w:rPr>
        <w:t xml:space="preserve"> </w:t>
      </w:r>
      <w:r>
        <w:rPr>
          <w:rFonts w:ascii="Arial" w:cs="Arial" w:eastAsia="Arial" w:hAnsi="Arial"/>
          <w:sz w:val="16"/>
          <w:szCs w:val="16"/>
          <w:color w:val="auto"/>
        </w:rPr>
        <w:t>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w:t>
      </w:r>
    </w:p>
    <w:p>
      <w:pPr>
        <w:spacing w:after="0" w:line="4" w:lineRule="exact"/>
        <w:rPr>
          <w:sz w:val="20"/>
          <w:szCs w:val="20"/>
          <w:color w:val="auto"/>
        </w:rPr>
      </w:pPr>
    </w:p>
    <w:p>
      <w:pPr>
        <w:ind w:left="40" w:right="79"/>
        <w:spacing w:after="0" w:line="239" w:lineRule="auto"/>
        <w:rPr>
          <w:sz w:val="20"/>
          <w:szCs w:val="20"/>
          <w:color w:val="auto"/>
        </w:rPr>
      </w:pPr>
      <w:r>
        <w:rPr>
          <w:rFonts w:ascii="Arial" w:cs="Arial" w:eastAsia="Arial" w:hAnsi="Arial"/>
          <w:sz w:val="16"/>
          <w:szCs w:val="16"/>
          <w:color w:val="auto"/>
        </w:rPr>
        <w:t>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52" w:lineRule="exact"/>
        <w:rPr>
          <w:sz w:val="20"/>
          <w:szCs w:val="20"/>
          <w:color w:val="auto"/>
        </w:rPr>
      </w:pPr>
    </w:p>
    <w:p>
      <w:pPr>
        <w:ind w:left="40" w:right="279"/>
        <w:spacing w:after="0" w:line="275" w:lineRule="auto"/>
        <w:rPr>
          <w:sz w:val="20"/>
          <w:szCs w:val="20"/>
          <w:color w:val="auto"/>
        </w:rPr>
      </w:pPr>
      <w:r>
        <w:rPr>
          <w:rFonts w:ascii="Arial" w:cs="Arial" w:eastAsia="Arial" w:hAnsi="Arial"/>
          <w:sz w:val="16"/>
          <w:szCs w:val="16"/>
          <w:color w:val="auto"/>
        </w:rPr>
        <w:t>For further information, refer to the Consolidated Financial Statements and notes thereto included in our Annual Report on Form 10-K for the year ended December 31, 2023.</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21">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2" w:name="page203"/>
    <w:bookmarkEnd w:id="20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Satellite Insurance</w:t>
      </w:r>
    </w:p>
    <w:p>
      <w:pPr>
        <w:spacing w:after="0" w:line="177" w:lineRule="exact"/>
        <w:rPr>
          <w:sz w:val="20"/>
          <w:szCs w:val="20"/>
          <w:color w:val="auto"/>
        </w:rPr>
      </w:pPr>
    </w:p>
    <w:p>
      <w:pPr>
        <w:ind w:left="40" w:right="59"/>
        <w:spacing w:after="0" w:line="243" w:lineRule="auto"/>
        <w:rPr>
          <w:sz w:val="20"/>
          <w:szCs w:val="20"/>
          <w:color w:val="auto"/>
        </w:rPr>
      </w:pPr>
      <w:r>
        <w:rPr>
          <w:rFonts w:ascii="Arial" w:cs="Arial" w:eastAsia="Arial" w:hAnsi="Arial"/>
          <w:sz w:val="16"/>
          <w:szCs w:val="16"/>
          <w:color w:val="auto"/>
        </w:rPr>
        <w:t>We generally do not carry commercial in-orbit insurance on any of the satellites we own. We generally do not use commercial insurance to mitigate the potential financial impact of in-orbit failures because we believe that the cost of insurance premiums is uneconomical relative to the risk of such failures.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owned or leased satellites and use it as a replacement for the failed or lost satellite.</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Purchase Obligations</w:t>
      </w:r>
    </w:p>
    <w:p>
      <w:pPr>
        <w:spacing w:after="0" w:line="177" w:lineRule="exact"/>
        <w:rPr>
          <w:sz w:val="20"/>
          <w:szCs w:val="20"/>
          <w:color w:val="auto"/>
        </w:rPr>
      </w:pPr>
    </w:p>
    <w:p>
      <w:pPr>
        <w:ind w:left="40" w:right="139"/>
        <w:spacing w:after="0" w:line="243" w:lineRule="auto"/>
        <w:rPr>
          <w:sz w:val="20"/>
          <w:szCs w:val="20"/>
          <w:color w:val="auto"/>
        </w:rPr>
      </w:pPr>
      <w:r>
        <w:rPr>
          <w:rFonts w:ascii="Arial" w:cs="Arial" w:eastAsia="Arial" w:hAnsi="Arial"/>
          <w:sz w:val="16"/>
          <w:szCs w:val="16"/>
          <w:color w:val="auto"/>
        </w:rPr>
        <w:t>Our 2025 purchase obligations primarily consist of binding purchase orders for certain fixed contractual commitments to purchase programming content, 5G Network Deployment equipment, receiver systems and related equipment, broadband equipment, digital broadcast operations, transmission costs, streaming delivery technology and infrastructure, engineering services, software and other products and services. In addition, our 2025 purchase obligations also include wireless devices related to our Wireless segment. Our purchase obligations may fluctuate significantly from period to period due to, among other things, management’s timing of payments and inventory purchases, which can materially impact our future operating asset and liability balances and our future working capital requirements.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Programming Contracts</w:t>
      </w:r>
    </w:p>
    <w:p>
      <w:pPr>
        <w:spacing w:after="0" w:line="177" w:lineRule="exact"/>
        <w:rPr>
          <w:sz w:val="20"/>
          <w:szCs w:val="20"/>
          <w:color w:val="auto"/>
        </w:rPr>
      </w:pPr>
    </w:p>
    <w:p>
      <w:pPr>
        <w:ind w:left="40" w:right="99"/>
        <w:spacing w:after="0" w:line="244" w:lineRule="auto"/>
        <w:rPr>
          <w:sz w:val="20"/>
          <w:szCs w:val="20"/>
          <w:color w:val="auto"/>
        </w:rPr>
      </w:pPr>
      <w:r>
        <w:rPr>
          <w:rFonts w:ascii="Arial" w:cs="Arial" w:eastAsia="Arial" w:hAnsi="Arial"/>
          <w:sz w:val="16"/>
          <w:szCs w:val="16"/>
          <w:color w:val="auto"/>
        </w:rPr>
        <w:t>In the normal course of business, we enter into contracts to purchase programming content in which our payment obligations are generally contingent on the number of Pay-TV subscribers to whom we provide the respective content. These programming commitments are not included in the “Commitments” table above. The terms of our contracts typically range from one to ten years with annual rate increases. Our programming expenses will increase to the extent we are successful in growing our Pay-TV subscriber base. In addition, programming costs per subscriber continue to increase due to contractual price increases and the renewal of long-term programming contracts on less favorable pricing terms.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Patents and Intellectual Property</w:t>
      </w:r>
    </w:p>
    <w:p>
      <w:pPr>
        <w:spacing w:after="0" w:line="177" w:lineRule="exact"/>
        <w:rPr>
          <w:sz w:val="20"/>
          <w:szCs w:val="20"/>
          <w:color w:val="auto"/>
        </w:rPr>
      </w:pPr>
    </w:p>
    <w:p>
      <w:pPr>
        <w:ind w:left="40" w:right="219"/>
        <w:spacing w:after="0" w:line="243" w:lineRule="auto"/>
        <w:rPr>
          <w:sz w:val="20"/>
          <w:szCs w:val="20"/>
          <w:color w:val="auto"/>
        </w:rPr>
      </w:pPr>
      <w:r>
        <w:rPr>
          <w:rFonts w:ascii="Arial" w:cs="Arial" w:eastAsia="Arial" w:hAnsi="Arial"/>
          <w:sz w:val="16"/>
          <w:szCs w:val="16"/>
          <w:color w:val="auto"/>
        </w:rPr>
        <w:t>Many entities, including some of our competitors, have or may in the future obtain patents and other intellectual property rights that cover or affect products or services that we offer or that we may offer in the future. We may not be aware of all intellectual property rights that our products or services may potentially infringe. Damages in patent infringement cases can be substantial and in certain circumstances can be trebled. Further, we cannot estimate the extent to which we may be required in the future to obtain licenses with respect to patents held by others and the availability and cost of any such licenses. Various parties have asserted patent and other intellectual property rights with respect to components of our products and services.</w:t>
      </w:r>
    </w:p>
    <w:p>
      <w:pPr>
        <w:spacing w:after="0" w:line="148" w:lineRule="exact"/>
        <w:rPr>
          <w:sz w:val="20"/>
          <w:szCs w:val="20"/>
          <w:color w:val="auto"/>
        </w:rPr>
      </w:pPr>
    </w:p>
    <w:p>
      <w:pPr>
        <w:ind w:left="40" w:right="219"/>
        <w:spacing w:after="0" w:line="249" w:lineRule="auto"/>
        <w:rPr>
          <w:sz w:val="20"/>
          <w:szCs w:val="20"/>
          <w:color w:val="auto"/>
        </w:rPr>
      </w:pPr>
      <w:r>
        <w:rPr>
          <w:rFonts w:ascii="Arial" w:cs="Arial" w:eastAsia="Arial" w:hAnsi="Arial"/>
          <w:sz w:val="16"/>
          <w:szCs w:val="16"/>
          <w:color w:val="auto"/>
        </w:rPr>
        <w:t>We cannot be certain that these persons do not own the rights they claim, that our products do not infringe on these rights and/or that these rights are not valid. Further, we cannot be certain that we would be able to obtain licenses from these persons on commercially reasonable terms or, if we were unable to obtain such licenses, that we would be able to redesign our products to avoid infringement.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22">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3" w:name="page204"/>
    <w:bookmarkEnd w:id="20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Litigation</w:t>
      </w:r>
    </w:p>
    <w:p>
      <w:pPr>
        <w:spacing w:after="0" w:line="177"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48"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ClearPlay, Inc.</w:t>
      </w:r>
    </w:p>
    <w:p>
      <w:pPr>
        <w:spacing w:after="0" w:line="177"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On March 13, 2014, ClearPlay, Inc. (“ClearPlay”) filed a complaint against us and our wholly-owned subsidiaries DISH Network and DISH Network L.L.C., and our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49" w:lineRule="exact"/>
        <w:rPr>
          <w:sz w:val="20"/>
          <w:szCs w:val="20"/>
          <w:color w:val="auto"/>
        </w:rPr>
      </w:pPr>
    </w:p>
    <w:p>
      <w:pPr>
        <w:ind w:left="40" w:right="239"/>
        <w:spacing w:after="0" w:line="244" w:lineRule="auto"/>
        <w:rPr>
          <w:sz w:val="20"/>
          <w:szCs w:val="20"/>
          <w:color w:val="auto"/>
        </w:rPr>
      </w:pPr>
      <w:r>
        <w:rPr>
          <w:rFonts w:ascii="Arial" w:cs="Arial" w:eastAsia="Arial" w:hAnsi="Arial"/>
          <w:sz w:val="16"/>
          <w:szCs w:val="16"/>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DISH Network as defendants, leaving DISH Network L.L.C. and DISH Technologies L.L.C. as the sole defendants.</w:t>
      </w:r>
    </w:p>
    <w:p>
      <w:pPr>
        <w:spacing w:after="0" w:line="148" w:lineRule="exact"/>
        <w:rPr>
          <w:sz w:val="20"/>
          <w:szCs w:val="20"/>
          <w:color w:val="auto"/>
        </w:rPr>
      </w:pPr>
    </w:p>
    <w:p>
      <w:pPr>
        <w:ind w:left="40" w:right="179"/>
        <w:spacing w:after="0" w:line="243" w:lineRule="auto"/>
        <w:rPr>
          <w:sz w:val="20"/>
          <w:szCs w:val="20"/>
          <w:color w:val="auto"/>
        </w:rPr>
      </w:pPr>
      <w:r>
        <w:rPr>
          <w:rFonts w:ascii="Arial" w:cs="Arial" w:eastAsia="Arial" w:hAnsi="Arial"/>
          <w:sz w:val="16"/>
          <w:szCs w:val="16"/>
          <w:color w:val="auto"/>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23">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4" w:name="page205"/>
    <w:bookmarkEnd w:id="20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159"/>
        <w:spacing w:after="0" w:line="243" w:lineRule="auto"/>
        <w:rPr>
          <w:sz w:val="20"/>
          <w:szCs w:val="20"/>
          <w:color w:val="auto"/>
        </w:rPr>
      </w:pPr>
      <w:r>
        <w:rPr>
          <w:rFonts w:ascii="Arial" w:cs="Arial" w:eastAsia="Arial" w:hAnsi="Arial"/>
          <w:sz w:val="16"/>
          <w:szCs w:val="16"/>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148"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 and briefing was completed on November 27, 2024.</w:t>
      </w:r>
    </w:p>
    <w:p>
      <w:pPr>
        <w:spacing w:after="0" w:line="152" w:lineRule="exact"/>
        <w:rPr>
          <w:sz w:val="20"/>
          <w:szCs w:val="20"/>
          <w:color w:val="auto"/>
        </w:rPr>
      </w:pPr>
    </w:p>
    <w:p>
      <w:pPr>
        <w:ind w:left="40" w:right="319"/>
        <w:spacing w:after="0" w:line="249"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Data Breach Class Actions</w:t>
      </w:r>
    </w:p>
    <w:p>
      <w:pPr>
        <w:spacing w:after="0" w:line="177" w:lineRule="exact"/>
        <w:rPr>
          <w:sz w:val="20"/>
          <w:szCs w:val="20"/>
          <w:color w:val="auto"/>
        </w:rPr>
      </w:pPr>
    </w:p>
    <w:p>
      <w:pPr>
        <w:ind w:left="40" w:right="59"/>
        <w:spacing w:after="0"/>
        <w:rPr>
          <w:sz w:val="20"/>
          <w:szCs w:val="20"/>
          <w:color w:val="auto"/>
        </w:rPr>
      </w:pPr>
      <w:r>
        <w:rPr>
          <w:rFonts w:ascii="Arial" w:cs="Arial" w:eastAsia="Arial" w:hAnsi="Arial"/>
          <w:sz w:val="16"/>
          <w:szCs w:val="16"/>
          <w:color w:val="auto"/>
        </w:rPr>
        <w:t>On May 9, 2023, Susan Owen-Brooks, an alleged customer, filed a putative class action complaint against our wholly-owned subsidiary DISH Network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 On September 27, 2024, the Court granted DISH Network’s motion to dismiss the First Amended Consolidated Class Action Complaint as to eight of the eleven named plaintiffs and as to certain causes of action. On October 29, 2024, the Plaintiffs filed the operative Second Amended Consolidated Class Action Complaint, which deletes the allegations as to the dismissed plaintiffs and causes of action, leaving three named plaintiffs and causes of action for negligence, negligence per se, breach of implied contract, and declaratory judgment.</w:t>
      </w:r>
    </w:p>
    <w:p>
      <w:pPr>
        <w:spacing w:after="0" w:line="149" w:lineRule="exact"/>
        <w:rPr>
          <w:sz w:val="20"/>
          <w:szCs w:val="20"/>
          <w:color w:val="auto"/>
        </w:rPr>
      </w:pPr>
    </w:p>
    <w:p>
      <w:pPr>
        <w:ind w:left="40" w:right="59"/>
        <w:spacing w:after="0" w:line="275" w:lineRule="auto"/>
        <w:rPr>
          <w:sz w:val="20"/>
          <w:szCs w:val="20"/>
          <w:color w:val="auto"/>
        </w:rPr>
      </w:pPr>
      <w:r>
        <w:rPr>
          <w:rFonts w:ascii="Arial" w:cs="Arial" w:eastAsia="Arial" w:hAnsi="Arial"/>
          <w:sz w:val="16"/>
          <w:szCs w:val="16"/>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24">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5" w:name="page206"/>
    <w:bookmarkEnd w:id="20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Digital Broadcasting Solutions, LLC</w:t>
      </w:r>
    </w:p>
    <w:p>
      <w:pPr>
        <w:spacing w:after="0" w:line="177" w:lineRule="exact"/>
        <w:rPr>
          <w:sz w:val="20"/>
          <w:szCs w:val="20"/>
          <w:color w:val="auto"/>
        </w:rPr>
      </w:pPr>
    </w:p>
    <w:p>
      <w:pPr>
        <w:ind w:left="40" w:right="79"/>
        <w:spacing w:after="0" w:line="243" w:lineRule="auto"/>
        <w:rPr>
          <w:sz w:val="20"/>
          <w:szCs w:val="20"/>
          <w:color w:val="auto"/>
        </w:rPr>
      </w:pPr>
      <w:r>
        <w:rPr>
          <w:rFonts w:ascii="Arial" w:cs="Arial" w:eastAsia="Arial" w:hAnsi="Arial"/>
          <w:sz w:val="16"/>
          <w:szCs w:val="16"/>
          <w:color w:val="auto"/>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w:t>
      </w:r>
    </w:p>
    <w:p>
      <w:pPr>
        <w:spacing w:after="0" w:line="148" w:lineRule="exact"/>
        <w:rPr>
          <w:sz w:val="20"/>
          <w:szCs w:val="20"/>
          <w:color w:val="auto"/>
        </w:rPr>
      </w:pPr>
    </w:p>
    <w:p>
      <w:pPr>
        <w:ind w:left="40" w:right="59" w:hanging="6"/>
        <w:spacing w:after="0" w:line="243" w:lineRule="auto"/>
        <w:rPr>
          <w:sz w:val="20"/>
          <w:szCs w:val="20"/>
          <w:color w:val="auto"/>
        </w:rPr>
      </w:pPr>
      <w:r>
        <w:rPr>
          <w:rFonts w:ascii="Arial" w:cs="Arial" w:eastAsia="Arial" w:hAnsi="Arial"/>
          <w:sz w:val="16"/>
          <w:szCs w:val="16"/>
          <w:color w:val="222222"/>
        </w:rPr>
        <w:t xml:space="preserve">In May 2023, DISH Network L.L.C. and DISH Technologies L.L.C. </w:t>
      </w:r>
      <w:r>
        <w:rPr>
          <w:rFonts w:ascii="Arial" w:cs="Arial" w:eastAsia="Arial" w:hAnsi="Arial"/>
          <w:sz w:val="16"/>
          <w:szCs w:val="16"/>
          <w:color w:val="000000"/>
        </w:rPr>
        <w:t>filed petitions with the United States Patent and Trademark</w:t>
      </w:r>
      <w:r>
        <w:rPr>
          <w:rFonts w:ascii="Arial" w:cs="Arial" w:eastAsia="Arial" w:hAnsi="Arial"/>
          <w:sz w:val="16"/>
          <w:szCs w:val="16"/>
          <w:color w:val="222222"/>
        </w:rPr>
        <w:t xml:space="preserve"> </w:t>
      </w:r>
      <w:r>
        <w:rPr>
          <w:rFonts w:ascii="Arial" w:cs="Arial" w:eastAsia="Arial" w:hAnsi="Arial"/>
          <w:sz w:val="16"/>
          <w:szCs w:val="16"/>
          <w:color w:val="000000"/>
        </w:rPr>
        <w:t xml:space="preserve">Office challenging the validity of all claims of the 710 patent and the 122 patent and, on December 9, 2024, the United States Patent and Trademark Office issued final written decisions invalidating 38 of the 39 challenged claims. On January 13, 2025, Digital Broadcasting Solutions filed a notice of appeal of those final written decisions, and on February 7, 2025, DISH Network L.L.C. and DISH Technologies L.L.C. cross-appealed as to the single patent claim that wasn’t invalidated. </w:t>
      </w:r>
      <w:r>
        <w:rPr>
          <w:rFonts w:ascii="Arial" w:cs="Arial" w:eastAsia="Arial" w:hAnsi="Arial"/>
          <w:sz w:val="16"/>
          <w:szCs w:val="16"/>
          <w:color w:val="222222"/>
        </w:rPr>
        <w:t>The</w:t>
      </w:r>
      <w:r>
        <w:rPr>
          <w:rFonts w:ascii="Arial" w:cs="Arial" w:eastAsia="Arial" w:hAnsi="Arial"/>
          <w:sz w:val="16"/>
          <w:szCs w:val="16"/>
          <w:color w:val="000000"/>
        </w:rPr>
        <w:t xml:space="preserve"> </w:t>
      </w:r>
      <w:r>
        <w:rPr>
          <w:rFonts w:ascii="Arial" w:cs="Arial" w:eastAsia="Arial" w:hAnsi="Arial"/>
          <w:sz w:val="16"/>
          <w:szCs w:val="16"/>
          <w:color w:val="222222"/>
        </w:rPr>
        <w:t>underlying case has been stayed since May 9, 2024, pending resolution of the petitions before the United States Patent and Trademark Office and any related appeals</w:t>
      </w:r>
      <w:r>
        <w:rPr>
          <w:rFonts w:ascii="Arial" w:cs="Arial" w:eastAsia="Arial" w:hAnsi="Arial"/>
          <w:sz w:val="16"/>
          <w:szCs w:val="16"/>
          <w:color w:val="000000"/>
        </w:rPr>
        <w:t>.</w:t>
      </w:r>
    </w:p>
    <w:p>
      <w:pPr>
        <w:spacing w:after="0" w:line="148" w:lineRule="exact"/>
        <w:rPr>
          <w:sz w:val="20"/>
          <w:szCs w:val="20"/>
          <w:color w:val="auto"/>
        </w:rPr>
      </w:pPr>
    </w:p>
    <w:p>
      <w:pPr>
        <w:ind w:left="40" w:right="319"/>
        <w:spacing w:after="0" w:line="249"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Entropic Communications, LLC (first action)</w:t>
      </w:r>
    </w:p>
    <w:p>
      <w:pPr>
        <w:spacing w:after="0" w:line="177"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On March 9, 2022, Entropic Communications, LLC (“Entropic”) filed a complaint against our wholly-owned subsidiaries DISH Network,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The plaintiff is an entity that seeks to license a patent portfolio without itself practicing any of the claims recited therein.</w:t>
      </w:r>
    </w:p>
    <w:p>
      <w:pPr>
        <w:spacing w:after="0" w:line="149"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color w:val="auto"/>
        </w:rPr>
        <w:t xml:space="preserve">On October 24, 2022, this case was ordered to be transferred to the United States District Court for the Central District of California. A companion case against DirecTV was also ordered transferred to the United States District Court for the Central District of California. </w:t>
      </w:r>
      <w:r>
        <w:rPr>
          <w:rFonts w:ascii="Arial" w:cs="Arial" w:eastAsia="Arial" w:hAnsi="Arial"/>
          <w:sz w:val="16"/>
          <w:szCs w:val="16"/>
          <w:color w:val="222222"/>
        </w:rPr>
        <w:t>In January and February of 2023, DISH Network L.L.C. and Dish Network Service L.L.C.</w:t>
      </w:r>
      <w:r>
        <w:rPr>
          <w:rFonts w:ascii="Arial" w:cs="Arial" w:eastAsia="Arial" w:hAnsi="Arial"/>
          <w:sz w:val="16"/>
          <w:szCs w:val="16"/>
          <w:color w:val="auto"/>
        </w:rPr>
        <w:t xml:space="preserve"> filed petitions with the United States Patent and Trademark Office challenging the 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 On July 12, 2024, the United States Patent and Trademark Office granted a request for reexamination of the 715 patent.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5">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6" w:name="page207"/>
    <w:bookmarkEnd w:id="20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319"/>
        <w:spacing w:after="0" w:line="249"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Entropic Communications, LLC (second action)</w:t>
      </w:r>
    </w:p>
    <w:p>
      <w:pPr>
        <w:spacing w:after="0" w:line="177" w:lineRule="exact"/>
        <w:rPr>
          <w:sz w:val="20"/>
          <w:szCs w:val="20"/>
          <w:color w:val="auto"/>
        </w:rPr>
      </w:pPr>
    </w:p>
    <w:p>
      <w:pPr>
        <w:ind w:left="40" w:right="99"/>
        <w:spacing w:after="0" w:line="239" w:lineRule="auto"/>
        <w:rPr>
          <w:sz w:val="20"/>
          <w:szCs w:val="20"/>
          <w:color w:val="auto"/>
        </w:rPr>
      </w:pPr>
      <w:r>
        <w:rPr>
          <w:rFonts w:ascii="Arial" w:cs="Arial" w:eastAsia="Arial" w:hAnsi="Arial"/>
          <w:sz w:val="16"/>
          <w:szCs w:val="16"/>
          <w:color w:val="auto"/>
        </w:rPr>
        <w:t>On February 10, 2023, Entropic filed a second lawsuit against our wholly-owned subsidiaries DISH Network, DISH 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w:t>
      </w:r>
    </w:p>
    <w:p>
      <w:pPr>
        <w:spacing w:after="0" w:line="154" w:lineRule="exact"/>
        <w:rPr>
          <w:sz w:val="20"/>
          <w:szCs w:val="20"/>
          <w:color w:val="auto"/>
        </w:rPr>
      </w:pPr>
    </w:p>
    <w:p>
      <w:pPr>
        <w:ind w:left="40" w:right="159"/>
        <w:spacing w:after="0" w:line="241" w:lineRule="auto"/>
        <w:rPr>
          <w:sz w:val="20"/>
          <w:szCs w:val="20"/>
          <w:color w:val="auto"/>
        </w:rPr>
      </w:pPr>
      <w:r>
        <w:rPr>
          <w:rFonts w:ascii="Arial" w:cs="Arial" w:eastAsia="Arial" w:hAnsi="Arial"/>
          <w:sz w:val="16"/>
          <w:szCs w:val="16"/>
          <w:color w:val="auto"/>
        </w:rPr>
        <w:t>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In January and February 2024, DISH Network L.L.C. filed petitions with the United States Patent and Trademark Office challenging the validity of the 249 patent, the 518 patent, the 759 patent, the 450 patent, the 539 patent, the 0,566 patent, and the 681 patent. In July and August 2024, the United States Patent and Trademark Office agreed to institute proceedings on the petitions challenging the 249 patent and the 518 patent, but denied institution on the remaining petitions. On February 24, 2025, the Court granted other defendants’ motions to dismiss the claims arising from the 213 patent, the 422 patent, the 601 patent and the 802 patent on the grounds that they claimed in eligible subject matter.</w:t>
      </w:r>
    </w:p>
    <w:p>
      <w:pPr>
        <w:spacing w:after="0" w:line="152" w:lineRule="exact"/>
        <w:rPr>
          <w:sz w:val="20"/>
          <w:szCs w:val="20"/>
          <w:color w:val="auto"/>
        </w:rPr>
      </w:pPr>
    </w:p>
    <w:p>
      <w:pPr>
        <w:ind w:left="40" w:right="319"/>
        <w:spacing w:after="0" w:line="249"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7" w:name="page208"/>
    <w:bookmarkEnd w:id="20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Freedom Patents</w:t>
      </w:r>
    </w:p>
    <w:p>
      <w:pPr>
        <w:spacing w:after="0" w:line="177" w:lineRule="exact"/>
        <w:rPr>
          <w:sz w:val="20"/>
          <w:szCs w:val="20"/>
          <w:color w:val="auto"/>
        </w:rPr>
      </w:pPr>
    </w:p>
    <w:p>
      <w:pPr>
        <w:ind w:left="40" w:right="99"/>
        <w:spacing w:after="0"/>
        <w:rPr>
          <w:sz w:val="20"/>
          <w:szCs w:val="20"/>
          <w:color w:val="auto"/>
        </w:rPr>
      </w:pPr>
      <w:r>
        <w:rPr>
          <w:rFonts w:ascii="Arial" w:cs="Arial" w:eastAsia="Arial" w:hAnsi="Arial"/>
          <w:sz w:val="16"/>
          <w:szCs w:val="16"/>
          <w:color w:val="auto"/>
        </w:rPr>
        <w:t>On April 7, 2023, Freedom Patents LLC filed a complaint against our wholly-owned subsidiaries DISH Network, DISH Network L.L.C. and Dish Network Service L.L.C. in the United States District Court for the Eastern District of Texas. The complaint alleges infringement of U.S. Patent No. 8,284,686 (the “686 Patent”), entitled “Antenna/Beam Selection Training in MIMO Wireless LANS with Different Sounding Frames”; U.S. Patent No. 8,374,096 (the “096 Patent”), entitled “Method for Selecting Antennas and Beams in MIMO Wireless LANs”; and U.S. Patent No. 8,514,815 (the “815 Patent”), entitled “Training Signals for Selecting Antennas and Beams in MIMO Wireless LANs.” Similar complaints were also filed against Acer, Altice, Charter, Comcast and Verizon. In general, the asserted patents relate to the 802.11 wireless standard, and the products accused of infringement are the Wireless Joey, its access point, and certain Ring, Nest and Linksys products that we sell. On March 15, 2024, the Court denied the defendants’ motion to transfer the case to the United States District Court for the District of Colorado. On May 24, 2024, the case was dismissed pursuant to a settlement under which DISH Network, DISH Network L.L.C. and Dish Network Service L.L.C. paid an immaterial amount. This matter is now concluded.</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Hughes Telecomunicações do Brasil v. State of São Paulo Treasury Department</w:t>
      </w:r>
    </w:p>
    <w:p>
      <w:pPr>
        <w:spacing w:after="0" w:line="177"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color w:val="auto"/>
        </w:rPr>
        <w:t>On December 12, 2019, Hughes Telecomunicações do Brasil (“HTB”) filed 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spacing w:after="0" w:line="144" w:lineRule="exact"/>
        <w:rPr>
          <w:sz w:val="20"/>
          <w:szCs w:val="20"/>
          <w:color w:val="auto"/>
        </w:rPr>
      </w:pPr>
    </w:p>
    <w:p>
      <w:pPr>
        <w:ind w:left="40" w:right="119"/>
        <w:spacing w:after="0" w:line="256" w:lineRule="auto"/>
        <w:rPr>
          <w:sz w:val="20"/>
          <w:szCs w:val="20"/>
          <w:color w:val="auto"/>
        </w:rPr>
      </w:pPr>
      <w:r>
        <w:rPr>
          <w:rFonts w:ascii="Arial" w:cs="Arial" w:eastAsia="Arial" w:hAnsi="Arial"/>
          <w:sz w:val="16"/>
          <w:szCs w:val="16"/>
          <w:color w:val="auto"/>
        </w:rPr>
        <w:t>In June 2022, a judicial expert determined that HTB’s interpretation of the exemption was correct. Nonetheless, in July 2023, the Court entered judgment against HTB, and in October 2023, rejected HTB’s request for clarification. In November 2023, HTB filed an appeal to the Court of Justice, but on February 25, 2025, the Court of Justice ruled against HTB.</w:t>
      </w:r>
    </w:p>
    <w:p>
      <w:pPr>
        <w:spacing w:after="0" w:line="137" w:lineRule="exact"/>
        <w:rPr>
          <w:sz w:val="20"/>
          <w:szCs w:val="20"/>
          <w:color w:val="auto"/>
        </w:rPr>
      </w:pPr>
    </w:p>
    <w:p>
      <w:pPr>
        <w:ind w:left="40" w:right="959"/>
        <w:spacing w:after="0" w:line="473" w:lineRule="auto"/>
        <w:rPr>
          <w:sz w:val="20"/>
          <w:szCs w:val="20"/>
          <w:color w:val="auto"/>
        </w:rPr>
      </w:pPr>
      <w:r>
        <w:rPr>
          <w:rFonts w:ascii="Arial" w:cs="Arial" w:eastAsia="Arial" w:hAnsi="Arial"/>
          <w:sz w:val="16"/>
          <w:szCs w:val="16"/>
          <w:color w:val="auto"/>
        </w:rPr>
        <w:t xml:space="preserve">We intend to vigorously defend this case. We cannot predict with any degree of certainty the outcome of the suit. </w:t>
      </w:r>
      <w:r>
        <w:rPr>
          <w:rFonts w:ascii="Arial" w:cs="Arial" w:eastAsia="Arial" w:hAnsi="Arial"/>
          <w:sz w:val="16"/>
          <w:szCs w:val="16"/>
          <w:i w:val="1"/>
          <w:iCs w:val="1"/>
          <w:color w:val="auto"/>
        </w:rPr>
        <w:t>Jones 401(k) Litigation</w:t>
      </w:r>
    </w:p>
    <w:p>
      <w:pPr>
        <w:spacing w:after="0" w:line="1" w:lineRule="exact"/>
        <w:rPr>
          <w:sz w:val="20"/>
          <w:szCs w:val="20"/>
          <w:color w:val="auto"/>
        </w:rPr>
      </w:pPr>
    </w:p>
    <w:p>
      <w:pPr>
        <w:ind w:left="40" w:right="99"/>
        <w:spacing w:after="0" w:line="239" w:lineRule="auto"/>
        <w:rPr>
          <w:sz w:val="20"/>
          <w:szCs w:val="20"/>
          <w:color w:val="auto"/>
        </w:rPr>
      </w:pPr>
      <w:r>
        <w:rPr>
          <w:rFonts w:ascii="Arial" w:cs="Arial" w:eastAsia="Arial" w:hAnsi="Arial"/>
          <w:sz w:val="16"/>
          <w:szCs w:val="16"/>
          <w:color w:val="auto"/>
        </w:rPr>
        <w:t xml:space="preserve">On December 20, 2021, four former employees filed a class action complaint in the United States District Court for the District of Colorado against our wholly-owned subsidiary DISH Network, its Board of Directors, and its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 w:cs="Arial" w:eastAsia="Arial" w:hAnsi="Arial"/>
          <w:sz w:val="16"/>
          <w:szCs w:val="16"/>
          <w:color w:val="222222"/>
        </w:rPr>
        <w:t>On February 1, 2023, a Magistrate Judge issued a recommendation</w:t>
      </w:r>
      <w:r>
        <w:rPr>
          <w:rFonts w:ascii="Arial" w:cs="Arial" w:eastAsia="Arial" w:hAnsi="Arial"/>
          <w:sz w:val="16"/>
          <w:szCs w:val="16"/>
          <w:color w:val="auto"/>
        </w:rPr>
        <w:t xml:space="preserve"> </w:t>
      </w:r>
      <w:r>
        <w:rPr>
          <w:rFonts w:ascii="Arial" w:cs="Arial" w:eastAsia="Arial" w:hAnsi="Arial"/>
          <w:sz w:val="16"/>
          <w:szCs w:val="16"/>
          <w:color w:val="222222"/>
        </w:rPr>
        <w:t>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March 1, 2024, by stipulation, the plaintiffs dismissed their claims against the Board of Directors and the Retirement Plan Committee, leaving DISH Network as the sole defendant. On April 30, 2024, pursuant to the parties’ stipulation, the Court certified the proposed plaintiff class. On October 30, 2024, pursuant to the parties’ stipulation, the Court stayed the litigation pending a mediation.</w:t>
      </w:r>
    </w:p>
    <w:p>
      <w:pPr>
        <w:spacing w:after="0" w:line="158" w:lineRule="exact"/>
        <w:rPr>
          <w:sz w:val="20"/>
          <w:szCs w:val="20"/>
          <w:color w:val="auto"/>
        </w:rPr>
      </w:pPr>
    </w:p>
    <w:p>
      <w:pPr>
        <w:ind w:left="40" w:right="59"/>
        <w:spacing w:after="0" w:line="275" w:lineRule="auto"/>
        <w:rPr>
          <w:sz w:val="20"/>
          <w:szCs w:val="20"/>
          <w:color w:val="auto"/>
        </w:rPr>
      </w:pPr>
      <w:r>
        <w:rPr>
          <w:rFonts w:ascii="Arial" w:cs="Arial" w:eastAsia="Arial" w:hAnsi="Arial"/>
          <w:sz w:val="16"/>
          <w:szCs w:val="16"/>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7">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8" w:name="page209"/>
    <w:bookmarkEnd w:id="20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License Fee Dispute with Government of India, Department of Telecommunications</w:t>
      </w:r>
    </w:p>
    <w:p>
      <w:pPr>
        <w:spacing w:after="0" w:line="177" w:lineRule="exact"/>
        <w:rPr>
          <w:sz w:val="20"/>
          <w:szCs w:val="20"/>
          <w:color w:val="auto"/>
        </w:rPr>
      </w:pPr>
    </w:p>
    <w:p>
      <w:pPr>
        <w:ind w:left="40" w:right="219" w:hanging="6"/>
        <w:spacing w:after="0" w:line="241" w:lineRule="auto"/>
        <w:rPr>
          <w:sz w:val="20"/>
          <w:szCs w:val="20"/>
          <w:color w:val="auto"/>
        </w:rPr>
      </w:pPr>
      <w:r>
        <w:rPr>
          <w:rFonts w:ascii="Arial" w:cs="Arial" w:eastAsia="Arial" w:hAnsi="Arial"/>
          <w:sz w:val="16"/>
          <w:szCs w:val="16"/>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1999 government policy that eliminated fixed license fees and replaced them with license fees based on service providers’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both licensed and unlicensed activities.</w:t>
      </w:r>
    </w:p>
    <w:p>
      <w:pPr>
        <w:spacing w:after="0" w:line="152" w:lineRule="exact"/>
        <w:rPr>
          <w:sz w:val="20"/>
          <w:szCs w:val="20"/>
          <w:color w:val="auto"/>
        </w:rPr>
      </w:pPr>
    </w:p>
    <w:p>
      <w:pPr>
        <w:ind w:left="40" w:right="339" w:hanging="6"/>
        <w:spacing w:after="0" w:line="244" w:lineRule="auto"/>
        <w:rPr>
          <w:sz w:val="20"/>
          <w:szCs w:val="20"/>
          <w:color w:val="auto"/>
        </w:rPr>
      </w:pPr>
      <w:r>
        <w:rPr>
          <w:rFonts w:ascii="Arial" w:cs="Arial" w:eastAsia="Arial" w:hAnsi="Arial"/>
          <w:sz w:val="16"/>
          <w:szCs w:val="16"/>
          <w:color w:val="auto"/>
        </w:rPr>
        <w:t>The DOT rejected this explanation and in 2006, HCIPL filed a petition with an administrative tribunal (the “Tribunal”), challenging the DOT’s calculation of its AGR. The DOT also issued license fee assessments to other telecommunications service providers and those other providers filed similar petitions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w:t>
      </w:r>
    </w:p>
    <w:p>
      <w:pPr>
        <w:spacing w:after="0" w:line="148" w:lineRule="exact"/>
        <w:rPr>
          <w:sz w:val="20"/>
          <w:szCs w:val="20"/>
          <w:color w:val="auto"/>
        </w:rPr>
      </w:pPr>
    </w:p>
    <w:p>
      <w:pPr>
        <w:ind w:left="40" w:right="99"/>
        <w:spacing w:after="0"/>
        <w:rPr>
          <w:sz w:val="20"/>
          <w:szCs w:val="20"/>
          <w:color w:val="auto"/>
        </w:rPr>
      </w:pPr>
      <w:r>
        <w:rPr>
          <w:rFonts w:ascii="Arial" w:cs="Arial" w:eastAsia="Arial" w:hAnsi="Arial"/>
          <w:sz w:val="16"/>
          <w:szCs w:val="16"/>
          <w:color w:val="auto"/>
        </w:rPr>
        <w:t>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was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w:t>
      </w:r>
    </w:p>
    <w:p>
      <w:pPr>
        <w:spacing w:after="0" w:line="154" w:lineRule="exact"/>
        <w:rPr>
          <w:sz w:val="20"/>
          <w:szCs w:val="20"/>
          <w:color w:val="auto"/>
        </w:rPr>
      </w:pPr>
    </w:p>
    <w:p>
      <w:pPr>
        <w:ind w:left="40" w:right="59"/>
        <w:spacing w:after="0" w:line="244" w:lineRule="auto"/>
        <w:rPr>
          <w:sz w:val="20"/>
          <w:szCs w:val="20"/>
          <w:color w:val="auto"/>
        </w:rPr>
      </w:pPr>
      <w:r>
        <w:rPr>
          <w:rFonts w:ascii="Arial" w:cs="Arial" w:eastAsia="Arial" w:hAnsi="Arial"/>
          <w:sz w:val="16"/>
          <w:szCs w:val="16"/>
          <w:color w:val="auto"/>
        </w:rPr>
        <w:t>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w:t>
      </w:r>
    </w:p>
    <w:p>
      <w:pPr>
        <w:spacing w:after="0" w:line="148" w:lineRule="exact"/>
        <w:rPr>
          <w:sz w:val="20"/>
          <w:szCs w:val="20"/>
          <w:color w:val="auto"/>
        </w:rPr>
      </w:pPr>
    </w:p>
    <w:p>
      <w:pPr>
        <w:ind w:left="40" w:right="219"/>
        <w:spacing w:after="0" w:line="246" w:lineRule="auto"/>
        <w:rPr>
          <w:sz w:val="20"/>
          <w:szCs w:val="20"/>
          <w:color w:val="auto"/>
        </w:rPr>
      </w:pPr>
      <w:r>
        <w:rPr>
          <w:rFonts w:ascii="Arial" w:cs="Arial" w:eastAsia="Arial" w:hAnsi="Arial"/>
          <w:sz w:val="16"/>
          <w:szCs w:val="16"/>
          <w:color w:val="auto"/>
        </w:rPr>
        <w:t xml:space="preserve">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 As of December 31, 2024, the gross amount of fees, penalties and interest owed was approximately $91 million with $54 million </w:t>
      </w:r>
      <w:r>
        <w:rPr>
          <w:rFonts w:ascii="Arial" w:cs="Arial" w:eastAsia="Arial" w:hAnsi="Arial"/>
          <w:sz w:val="16"/>
          <w:szCs w:val="16"/>
          <w:color w:val="222222"/>
        </w:rPr>
        <w:t>remaining outstanding as a result of historical payments</w:t>
      </w:r>
      <w:r>
        <w:rPr>
          <w:rFonts w:ascii="Arial" w:cs="Arial" w:eastAsia="Arial" w:hAnsi="Arial"/>
          <w:sz w:val="16"/>
          <w:szCs w:val="16"/>
          <w:color w:val="auto"/>
        </w:rPr>
        <w:t>.</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8">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09" w:name="page210"/>
    <w:bookmarkEnd w:id="20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79" w:hanging="6"/>
        <w:spacing w:after="0" w:line="241" w:lineRule="auto"/>
        <w:rPr>
          <w:sz w:val="20"/>
          <w:szCs w:val="20"/>
          <w:color w:val="auto"/>
        </w:rPr>
      </w:pPr>
      <w:r>
        <w:rPr>
          <w:rFonts w:ascii="Arial" w:cs="Arial" w:eastAsia="Arial" w:hAnsi="Arial"/>
          <w:sz w:val="16"/>
          <w:szCs w:val="16"/>
          <w:color w:val="auto"/>
        </w:rPr>
        <w:t>Pursuant to the Contribution and Membership Interest Purchase Agreement (the “Purchase Agreement”) dated December 3, 2004 between The DirecTV Group, Inc. (“DirecTV”) and certain other entities relating to DirecTV’s spinoff of certain of its subsidiaries, including HCIPL, DirecTV undertook to indemnify HCIPL for certain pre-closing tax liabilities. On March 27, 2020, HCIPL filed an indemnification complaint against DirecTV in the United States District Court for the Southern District of New York, seeking to recover certain license fees, penalties and interest owed to the Indian government as a result of the aforementioned proceedings. On November 16, 2021, the New York court granted summary judgment in favor of DirecTV, but on June 22, 2023, the United States Court of Appeals for the Second Circuit reversed, holding that, under the Purchase Agreement, HCIPL is entitled to indemnification from DirecTV. The Second Circuit remanded the case back to the trial court to determine the amount of indemnification owed. The parties reached a conditional agreement to settle the matter, but the conditions were not met, so the stay entered on October 3, 2024 was lifted on November 22, 2024.</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Lingam Securities Class Action (formerly Jaramillo)</w:t>
      </w:r>
    </w:p>
    <w:p>
      <w:pPr>
        <w:spacing w:after="0" w:line="177" w:lineRule="exact"/>
        <w:rPr>
          <w:sz w:val="20"/>
          <w:szCs w:val="20"/>
          <w:color w:val="auto"/>
        </w:rPr>
      </w:pPr>
    </w:p>
    <w:p>
      <w:pPr>
        <w:ind w:left="40" w:right="99"/>
        <w:spacing w:after="0" w:line="243" w:lineRule="auto"/>
        <w:rPr>
          <w:sz w:val="20"/>
          <w:szCs w:val="20"/>
          <w:color w:val="auto"/>
        </w:rPr>
      </w:pPr>
      <w:r>
        <w:rPr>
          <w:rFonts w:ascii="Arial" w:cs="Arial" w:eastAsia="Arial" w:hAnsi="Arial"/>
          <w:sz w:val="16"/>
          <w:szCs w:val="16"/>
          <w:color w:val="auto"/>
        </w:rPr>
        <w:t>On March 23, 2023, a securities fraud class action complaint was filed against our wholly-owned subsidiary DISH Network and Messrs. Ergen, Carlson and Orban in the United States District Court for the District of Colorado. The complaint was brought on behalf of a putative class of purchasers of our securities during the February 22, 2021 to February 27, 2023 class period. In general, the complaint alleged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w:t>
      </w:r>
    </w:p>
    <w:p>
      <w:pPr>
        <w:spacing w:after="0" w:line="148"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In August 2023, the Court appointed a new lead plaintiff and lead plaintiff’s counsel, and, on October 20, 2023, they filed an amended complaint that abandoned the original allegations. In their amended complaint, plaintiffs allege that, during the class period, the defendants concealed problems concerning the 5G network buildout that prevented scaling and commercializing the network to obtain enterprise customers. The amended complaint added as individual defendants James S. Allen, DISH Network’s Senior Vice President and Chief Accounting Officer; John Swieringa, our President, Technology and Chief Operating Officer; Dave Mayo, DISH Network’s former Executive Vice President of Network Development; Marc Rouanne, DISH Network’s former Executive Vice President and Chief Network Officer; and Stephen Bye, DISH Network’s former Executive Vice President and Chief Commercial Officer. After the defendants filed a motion to dismiss, the plaintiffs filed a further amended complaint, asserting the same theory, on February 23, 2024. The new complaint drops Erik Carlson, John Swieringa, Paul Orban and James Allen as individual defendants.</w:t>
      </w:r>
    </w:p>
    <w:p>
      <w:pPr>
        <w:spacing w:after="0" w:line="149" w:lineRule="exact"/>
        <w:rPr>
          <w:sz w:val="20"/>
          <w:szCs w:val="20"/>
          <w:color w:val="auto"/>
        </w:rPr>
      </w:pPr>
    </w:p>
    <w:p>
      <w:pPr>
        <w:ind w:left="40" w:right="59"/>
        <w:spacing w:after="0" w:line="275" w:lineRule="auto"/>
        <w:rPr>
          <w:sz w:val="20"/>
          <w:szCs w:val="20"/>
          <w:color w:val="auto"/>
        </w:rPr>
      </w:pPr>
      <w:r>
        <w:rPr>
          <w:rFonts w:ascii="Arial" w:cs="Arial" w:eastAsia="Arial" w:hAnsi="Arial"/>
          <w:sz w:val="16"/>
          <w:szCs w:val="16"/>
          <w:color w:val="auto"/>
        </w:rPr>
        <w:t>We intend to vigorously defend this case. We cannot predict with any degree of certainty the outcome of the suit or determine the extent of any potential liability or damages.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Mesa Digital</w:t>
      </w:r>
    </w:p>
    <w:p>
      <w:pPr>
        <w:spacing w:after="0" w:line="177" w:lineRule="exact"/>
        <w:rPr>
          <w:sz w:val="20"/>
          <w:szCs w:val="20"/>
          <w:color w:val="auto"/>
        </w:rPr>
      </w:pPr>
    </w:p>
    <w:p>
      <w:pPr>
        <w:jc w:val="both"/>
        <w:ind w:left="40" w:right="439" w:hanging="6"/>
        <w:spacing w:after="0" w:line="249" w:lineRule="auto"/>
        <w:rPr>
          <w:sz w:val="20"/>
          <w:szCs w:val="20"/>
          <w:color w:val="auto"/>
        </w:rPr>
      </w:pPr>
      <w:r>
        <w:rPr>
          <w:rFonts w:ascii="Arial" w:cs="Arial" w:eastAsia="Arial" w:hAnsi="Arial"/>
          <w:sz w:val="16"/>
          <w:szCs w:val="16"/>
          <w:color w:val="auto"/>
        </w:rPr>
        <w:t>On November 27, 2024, Mesa Digital, LLC filed a complaint in the United States District Court for the Western District of Texas against our wholly-owned subsidiary DISH Wireless alleging infringement of United States Patent No. 9,031,537, entitled “Electronic Wireless Hand Held Multimedia Device.” Generally, it relates to an electronic handheld device with a touch-sensitive display.</w:t>
      </w:r>
    </w:p>
    <w:p>
      <w:pPr>
        <w:spacing w:after="0" w:line="144" w:lineRule="exact"/>
        <w:rPr>
          <w:sz w:val="20"/>
          <w:szCs w:val="20"/>
          <w:color w:val="auto"/>
        </w:rPr>
      </w:pPr>
    </w:p>
    <w:p>
      <w:pPr>
        <w:ind w:left="40" w:right="59" w:hanging="6"/>
        <w:spacing w:after="0" w:line="275" w:lineRule="auto"/>
        <w:rPr>
          <w:sz w:val="20"/>
          <w:szCs w:val="20"/>
          <w:color w:val="auto"/>
        </w:rPr>
      </w:pPr>
      <w:r>
        <w:rPr>
          <w:rFonts w:ascii="Arial" w:cs="Arial" w:eastAsia="Arial" w:hAnsi="Arial"/>
          <w:sz w:val="16"/>
          <w:szCs w:val="16"/>
          <w:color w:val="auto"/>
        </w:rPr>
        <w:t>We intend to vigorously defend this case. We cannot predict with any degree of certainty the outcome of the suit or determine the extent of any potential liability or damages.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Mobility Workx</w:t>
      </w:r>
    </w:p>
    <w:p>
      <w:pPr>
        <w:spacing w:after="0" w:line="177" w:lineRule="exact"/>
        <w:rPr>
          <w:sz w:val="20"/>
          <w:szCs w:val="20"/>
          <w:color w:val="auto"/>
        </w:rPr>
      </w:pPr>
    </w:p>
    <w:p>
      <w:pPr>
        <w:jc w:val="both"/>
        <w:ind w:left="40" w:right="419"/>
        <w:spacing w:after="0" w:line="249" w:lineRule="auto"/>
        <w:rPr>
          <w:sz w:val="20"/>
          <w:szCs w:val="20"/>
          <w:color w:val="auto"/>
        </w:rPr>
      </w:pPr>
      <w:r>
        <w:rPr>
          <w:rFonts w:ascii="Arial" w:cs="Arial" w:eastAsia="Arial" w:hAnsi="Arial"/>
          <w:sz w:val="16"/>
          <w:szCs w:val="16"/>
          <w:color w:val="auto"/>
        </w:rPr>
        <w:t>On December 3, 2024, Mobility Workx, LLC filed a complaint in the United States District Court for the Eastern District of Texas against our wholly-owned subsidiary DISH Wireless alleging infringement of United States Patent No. 7,697,508, entitled “System, Apparatus and Methods for Proactive Allocation of Wireless Communication Resources.” Generally, it relates to hand-offs in a mobile network.</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9">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0" w:name="page211"/>
    <w:bookmarkEnd w:id="21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59" w:hanging="6"/>
        <w:spacing w:after="0" w:line="275" w:lineRule="auto"/>
        <w:rPr>
          <w:sz w:val="20"/>
          <w:szCs w:val="20"/>
          <w:color w:val="auto"/>
        </w:rPr>
      </w:pPr>
      <w:r>
        <w:rPr>
          <w:rFonts w:ascii="Arial" w:cs="Arial" w:eastAsia="Arial" w:hAnsi="Arial"/>
          <w:sz w:val="16"/>
          <w:szCs w:val="16"/>
          <w:color w:val="auto"/>
        </w:rPr>
        <w:t>We intend to vigorously defend this case. We cannot predict with any degree of certainty the outcome of the suit or determine the extent of any potential liability or damages.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Quantum Technology Innovations LLC</w:t>
      </w:r>
    </w:p>
    <w:p>
      <w:pPr>
        <w:spacing w:after="0" w:line="177" w:lineRule="exact"/>
        <w:rPr>
          <w:sz w:val="20"/>
          <w:szCs w:val="20"/>
          <w:color w:val="auto"/>
        </w:rPr>
      </w:pPr>
    </w:p>
    <w:p>
      <w:pPr>
        <w:ind w:left="40" w:right="159"/>
        <w:spacing w:after="0" w:line="244" w:lineRule="auto"/>
        <w:rPr>
          <w:sz w:val="20"/>
          <w:szCs w:val="20"/>
          <w:color w:val="auto"/>
        </w:rPr>
      </w:pPr>
      <w:r>
        <w:rPr>
          <w:rFonts w:ascii="Arial" w:cs="Arial" w:eastAsia="Arial" w:hAnsi="Arial"/>
          <w:sz w:val="16"/>
          <w:szCs w:val="16"/>
          <w:color w:val="auto"/>
        </w:rPr>
        <w:t>On June 5, 2024, Quantum Technology Innovations, LLC filed a complaint in the United States District Court for the Eastern District of Texas against our wholly-owned subsidiary DISH Network alleging infringement of United States Patent No. 7,650,376, entitled “Content Distribution System for Distributing Content Over a Network, with Particular Applicability to Distributing High-Bandwidth Content.” The plaintiff is an entity that seeks to license a patent portfolio without itself practicing any of the claims recited therein. On August 8, 2024, Quantum Technology Innovations dismissed its complaint without prejudice. This matter is now concluded.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Realtime Data LLC and Realtime Adaptive Streaming LLC</w:t>
      </w:r>
    </w:p>
    <w:p>
      <w:pPr>
        <w:spacing w:after="0" w:line="177"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color w:val="auto"/>
        </w:rPr>
        <w:t>On June 6, 2017, Realtime Data LLC d/b/a IXO (“Realtime”) filed an amended complaint in the United States District Court for the Eastern District of Texas (the “Original Texas Action”) against us and our wholly-owned subsidiaries DISH Network, DISH Network L.L.C., DISH Technologies L.L.C. (then known as EchoStar Technologies L.L.C.), Sling TV L.L.C., Sling Media L.L.C. and Hughes Network Systems, L.L.C. (“HNS”); and Arris Group, Inc. Realtime’s initial complaint in the Original Texas Action, filed on February 14, 2017, had named only us and our wholly-owned subsidiary HNS as defendants.</w:t>
      </w:r>
    </w:p>
    <w:p>
      <w:pPr>
        <w:spacing w:after="0" w:line="146" w:lineRule="exact"/>
        <w:rPr>
          <w:sz w:val="20"/>
          <w:szCs w:val="20"/>
          <w:color w:val="auto"/>
        </w:rPr>
      </w:pPr>
    </w:p>
    <w:p>
      <w:pPr>
        <w:ind w:left="40" w:right="139"/>
        <w:spacing w:after="0" w:line="241" w:lineRule="auto"/>
        <w:rPr>
          <w:sz w:val="20"/>
          <w:szCs w:val="20"/>
          <w:color w:val="auto"/>
        </w:rPr>
      </w:pPr>
      <w:r>
        <w:rPr>
          <w:rFonts w:ascii="Arial" w:cs="Arial" w:eastAsia="Arial" w:hAnsi="Arial"/>
          <w:sz w:val="16"/>
          <w:szCs w:val="16"/>
          <w:color w:val="auto"/>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152" w:lineRule="exact"/>
        <w:rPr>
          <w:sz w:val="20"/>
          <w:szCs w:val="20"/>
          <w:color w:val="auto"/>
        </w:rPr>
      </w:pPr>
    </w:p>
    <w:p>
      <w:pPr>
        <w:ind w:left="40" w:right="259"/>
        <w:spacing w:after="0" w:line="242" w:lineRule="auto"/>
        <w:rPr>
          <w:sz w:val="20"/>
          <w:szCs w:val="20"/>
          <w:color w:val="auto"/>
        </w:rPr>
      </w:pPr>
      <w:r>
        <w:rPr>
          <w:rFonts w:ascii="Arial" w:cs="Arial" w:eastAsia="Arial" w:hAnsi="Arial"/>
          <w:sz w:val="16"/>
          <w:szCs w:val="16"/>
          <w:color w:val="auto"/>
        </w:rPr>
        <w:t>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ind w:left="40" w:right="79"/>
        <w:spacing w:after="0" w:line="238" w:lineRule="auto"/>
        <w:rPr>
          <w:sz w:val="20"/>
          <w:szCs w:val="20"/>
          <w:color w:val="auto"/>
        </w:rPr>
      </w:pPr>
      <w:r>
        <w:rPr>
          <w:rFonts w:ascii="Arial" w:cs="Arial" w:eastAsia="Arial" w:hAnsi="Arial"/>
          <w:sz w:val="16"/>
          <w:szCs w:val="16"/>
          <w:color w:val="auto"/>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30">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1" w:name="page212"/>
    <w:bookmarkEnd w:id="2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52" w:lineRule="exact"/>
        <w:rPr>
          <w:sz w:val="20"/>
          <w:szCs w:val="20"/>
          <w:color w:val="auto"/>
        </w:rPr>
      </w:pPr>
    </w:p>
    <w:p>
      <w:pPr>
        <w:ind w:left="40" w:right="239"/>
        <w:spacing w:after="0" w:line="244" w:lineRule="auto"/>
        <w:rPr>
          <w:sz w:val="20"/>
          <w:szCs w:val="20"/>
          <w:color w:val="auto"/>
        </w:rPr>
      </w:pPr>
      <w:r>
        <w:rPr>
          <w:rFonts w:ascii="Arial" w:cs="Arial" w:eastAsia="Arial" w:hAnsi="Arial"/>
          <w:sz w:val="16"/>
          <w:szCs w:val="16"/>
          <w:color w:val="auto"/>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we and HNS were dismissed from the Original Texas Action in February 2019, and Arris Group, Inc. was dismissed from the Colorado Action in March 2021.</w:t>
      </w:r>
    </w:p>
    <w:p>
      <w:pPr>
        <w:spacing w:after="0" w:line="148" w:lineRule="exact"/>
        <w:rPr>
          <w:sz w:val="20"/>
          <w:szCs w:val="20"/>
          <w:color w:val="auto"/>
        </w:rPr>
      </w:pPr>
    </w:p>
    <w:p>
      <w:pPr>
        <w:ind w:left="40" w:right="59"/>
        <w:spacing w:after="0"/>
        <w:rPr>
          <w:sz w:val="20"/>
          <w:szCs w:val="20"/>
          <w:color w:val="auto"/>
        </w:rPr>
      </w:pPr>
      <w:r>
        <w:rPr>
          <w:rFonts w:ascii="Arial" w:cs="Arial" w:eastAsia="Arial" w:hAnsi="Arial"/>
          <w:sz w:val="16"/>
          <w:szCs w:val="16"/>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DISH Network’s petitions, and it held trial on the petitions on December 5, 2019. On January 17, 2020, the United States Patent and Trademark Office terminated the petitions as time-barred, but issued a final written decision invalidating the 535 patent to third parties that had timely joined in DISH Network’s petition (and, on January 10, 2020, issued a final written decision invalidating the 535 patent in connection with a third-party’s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spacing w:after="0" w:line="152" w:lineRule="exact"/>
        <w:rPr>
          <w:sz w:val="20"/>
          <w:szCs w:val="20"/>
          <w:color w:val="auto"/>
        </w:rPr>
      </w:pPr>
    </w:p>
    <w:p>
      <w:pPr>
        <w:ind w:left="40" w:right="59"/>
        <w:spacing w:after="0"/>
        <w:rPr>
          <w:sz w:val="20"/>
          <w:szCs w:val="20"/>
          <w:color w:val="auto"/>
        </w:rPr>
      </w:pPr>
      <w:r>
        <w:rPr>
          <w:rFonts w:ascii="Arial" w:cs="Arial" w:eastAsia="Arial" w:hAnsi="Arial"/>
          <w:sz w:val="16"/>
          <w:szCs w:val="16"/>
          <w:color w:val="auto"/>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31">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2" w:name="page213"/>
    <w:bookmarkEnd w:id="21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119" w:hanging="6"/>
        <w:spacing w:after="0" w:line="242" w:lineRule="auto"/>
        <w:rPr>
          <w:sz w:val="20"/>
          <w:szCs w:val="20"/>
          <w:color w:val="auto"/>
        </w:rPr>
      </w:pPr>
      <w:r>
        <w:rPr>
          <w:rFonts w:ascii="Arial" w:cs="Arial" w:eastAsia="Arial" w:hAnsi="Arial"/>
          <w:sz w:val="16"/>
          <w:szCs w:val="16"/>
          <w:color w:val="auto"/>
        </w:rPr>
        <w:t>On January 21, 2022, the District Court granted the motion by DISH Network L.L.C., DISH Technologies L.L.C., Sling TV L.L.C. and Sling Media L.L.C. to have the case declared “exceptional,” and on September 20, 2022, awarded them $ 3.9 million in attorneys’ fees. Realtime Adaptive Streaming filed a notice of appeal to the United States Court of Appeals for the Federal Circuit from the exceptionality and fee award orders, and on August 23, 2024, that Court vacated the exceptionality finding and remanded for further consideration of the issue. On November 26, 2024, the United States Court of Appeals for the Federal Circuit denied DISH Network L.L.C., DISH Technologies L.L.C., Sling TV L.L.C. and Sling Media L.L.C.’s petition seeking rehearing en banc. On February 5, 2024, on remand, the District Court denied the motion to declare the case exceptional.</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SafeCast Limited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 June 27, 2022, SafeCast Limited filed a complaint against our wholly-owned subsidiary DISH Network in the United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States District Court for the Western District of Texas. The complaint alleges that DISH Network infringes U.S. Patent</w:t>
      </w:r>
    </w:p>
    <w:p>
      <w:pPr>
        <w:ind w:left="40"/>
        <w:spacing w:after="0" w:line="236" w:lineRule="auto"/>
        <w:rPr>
          <w:sz w:val="20"/>
          <w:szCs w:val="20"/>
          <w:color w:val="auto"/>
        </w:rPr>
      </w:pPr>
      <w:r>
        <w:rPr>
          <w:rFonts w:ascii="Arial" w:cs="Arial" w:eastAsia="Arial" w:hAnsi="Arial"/>
          <w:sz w:val="16"/>
          <w:szCs w:val="16"/>
          <w:color w:val="auto"/>
        </w:rPr>
        <w:t>No. 9,392,302, entitled “System for providing improved facilities in time-shifted broadcasts” (the “302 patent”). On the same</w:t>
      </w:r>
    </w:p>
    <w:p>
      <w:pPr>
        <w:ind w:left="40"/>
        <w:spacing w:after="0" w:line="237" w:lineRule="auto"/>
        <w:rPr>
          <w:sz w:val="20"/>
          <w:szCs w:val="20"/>
          <w:color w:val="auto"/>
        </w:rPr>
      </w:pPr>
      <w:r>
        <w:rPr>
          <w:rFonts w:ascii="Arial" w:cs="Arial" w:eastAsia="Arial" w:hAnsi="Arial"/>
          <w:sz w:val="16"/>
          <w:szCs w:val="16"/>
          <w:color w:val="auto"/>
        </w:rPr>
        <w:t>day, it brought complaints in the same court asserting infringement of the same patent against AT&amp;T, Google, HBO,</w:t>
      </w:r>
    </w:p>
    <w:p>
      <w:pPr>
        <w:ind w:left="40"/>
        <w:spacing w:after="0" w:line="237" w:lineRule="auto"/>
        <w:rPr>
          <w:sz w:val="20"/>
          <w:szCs w:val="20"/>
          <w:color w:val="auto"/>
        </w:rPr>
      </w:pPr>
      <w:r>
        <w:rPr>
          <w:rFonts w:ascii="Arial" w:cs="Arial" w:eastAsia="Arial" w:hAnsi="Arial"/>
          <w:sz w:val="16"/>
          <w:szCs w:val="16"/>
          <w:color w:val="auto"/>
        </w:rPr>
        <w:t>NBCUniversal, Paramount and Verizon. On October 24, 2022, in response to the parties’ joint motion, the Court ordered the</w:t>
      </w:r>
    </w:p>
    <w:p>
      <w:pPr>
        <w:ind w:left="40"/>
        <w:spacing w:after="0" w:line="237" w:lineRule="auto"/>
        <w:rPr>
          <w:sz w:val="20"/>
          <w:szCs w:val="20"/>
          <w:color w:val="auto"/>
        </w:rPr>
      </w:pPr>
      <w:r>
        <w:rPr>
          <w:rFonts w:ascii="Arial" w:cs="Arial" w:eastAsia="Arial" w:hAnsi="Arial"/>
          <w:sz w:val="16"/>
          <w:szCs w:val="16"/>
          <w:color w:val="auto"/>
        </w:rPr>
        <w:t>case against DISH Network transferred to the United States District Court for the District of Colorado. On December 1, 2022,</w:t>
      </w:r>
    </w:p>
    <w:p>
      <w:pPr>
        <w:ind w:left="40"/>
        <w:spacing w:after="0" w:line="236" w:lineRule="auto"/>
        <w:rPr>
          <w:sz w:val="20"/>
          <w:szCs w:val="20"/>
          <w:color w:val="auto"/>
        </w:rPr>
      </w:pPr>
      <w:r>
        <w:rPr>
          <w:rFonts w:ascii="Arial" w:cs="Arial" w:eastAsia="Arial" w:hAnsi="Arial"/>
          <w:sz w:val="16"/>
          <w:szCs w:val="16"/>
          <w:color w:val="auto"/>
        </w:rPr>
        <w:t>SafeCast filed an amended complaint naming our wholly-owned subsidiaries DISH Network L.L.C. and DISH Technologies</w:t>
      </w:r>
    </w:p>
    <w:p>
      <w:pPr>
        <w:ind w:left="40"/>
        <w:spacing w:after="0" w:line="237" w:lineRule="auto"/>
        <w:rPr>
          <w:sz w:val="20"/>
          <w:szCs w:val="20"/>
          <w:color w:val="auto"/>
        </w:rPr>
      </w:pPr>
      <w:r>
        <w:rPr>
          <w:rFonts w:ascii="Arial" w:cs="Arial" w:eastAsia="Arial" w:hAnsi="Arial"/>
          <w:sz w:val="16"/>
          <w:szCs w:val="16"/>
          <w:color w:val="auto"/>
        </w:rPr>
        <w:t>L.L.C. as defendants and withdrawing the allegations as to DISH Network. The plaintiff is an entity that seeks to license a</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patent portfolio without itself practicing any of the claims recited therein.</w:t>
      </w:r>
    </w:p>
    <w:p>
      <w:pPr>
        <w:spacing w:after="0" w:line="163" w:lineRule="exact"/>
        <w:rPr>
          <w:sz w:val="20"/>
          <w:szCs w:val="20"/>
          <w:color w:val="auto"/>
        </w:rPr>
      </w:pPr>
    </w:p>
    <w:p>
      <w:pPr>
        <w:ind w:left="40" w:right="99" w:hanging="6"/>
        <w:spacing w:after="0" w:line="243" w:lineRule="auto"/>
        <w:rPr>
          <w:sz w:val="20"/>
          <w:szCs w:val="20"/>
          <w:color w:val="auto"/>
        </w:rPr>
      </w:pPr>
      <w:r>
        <w:rPr>
          <w:rFonts w:ascii="Arial" w:cs="Arial" w:eastAsia="Arial" w:hAnsi="Arial"/>
          <w:sz w:val="16"/>
          <w:szCs w:val="16"/>
          <w:color w:val="auto"/>
        </w:rPr>
        <w:t>On June 22, 2023, DISH Network L.L.C. and DISH Technologies L.L.C. filed a petition with the United States Patent and Trademark Office challenging the validity of the asserted claims of the 302 patent, and on June 26, 2024, the United States Patent and Trademark Office agreed to institute proceedings on that petition. On August 28, 2023, the Court stayed the case pending resolution of the petition. On October 3, 2024, in connection with a third-party’s petition citing different prior art, the United States Patent and Trademark Office invalidated all claims asserted against DISH Network L.L.C. and DISH Technologies L.L.C. Because SafeCast Limited did not appeal that decision, on January 27, 2025, the United States Patent and Trademark Office issued a certificate canceling, the challenged claims.</w:t>
      </w:r>
    </w:p>
    <w:p>
      <w:pPr>
        <w:spacing w:after="0" w:line="148" w:lineRule="exact"/>
        <w:rPr>
          <w:sz w:val="20"/>
          <w:szCs w:val="20"/>
          <w:color w:val="auto"/>
        </w:rPr>
      </w:pPr>
    </w:p>
    <w:p>
      <w:pPr>
        <w:ind w:left="40" w:right="119"/>
        <w:spacing w:after="0" w:line="249"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Sound View Innovations, LLC</w:t>
      </w:r>
    </w:p>
    <w:p>
      <w:pPr>
        <w:spacing w:after="0" w:line="177" w:lineRule="exact"/>
        <w:rPr>
          <w:sz w:val="20"/>
          <w:szCs w:val="20"/>
          <w:color w:val="auto"/>
        </w:rPr>
      </w:pPr>
    </w:p>
    <w:p>
      <w:pPr>
        <w:ind w:left="40" w:right="79"/>
        <w:spacing w:after="0"/>
        <w:rPr>
          <w:sz w:val="20"/>
          <w:szCs w:val="20"/>
          <w:color w:val="auto"/>
        </w:rPr>
      </w:pPr>
      <w:r>
        <w:rPr>
          <w:rFonts w:ascii="Arial" w:cs="Arial" w:eastAsia="Arial" w:hAnsi="Arial"/>
          <w:sz w:val="16"/>
          <w:szCs w:val="16"/>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The plaintiff is an entity that seeks to license a patent portfolio without itself practicing any of the claims recited therein.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32">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3" w:name="page214"/>
    <w:bookmarkEnd w:id="21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139"/>
        <w:spacing w:after="0" w:line="241" w:lineRule="auto"/>
        <w:rPr>
          <w:sz w:val="20"/>
          <w:szCs w:val="20"/>
          <w:color w:val="auto"/>
        </w:rPr>
      </w:pPr>
      <w:r>
        <w:rPr>
          <w:rFonts w:ascii="Arial" w:cs="Arial" w:eastAsia="Arial" w:hAnsi="Arial"/>
          <w:sz w:val="16"/>
          <w:szCs w:val="16"/>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w:t>
      </w:r>
    </w:p>
    <w:p>
      <w:pPr>
        <w:spacing w:after="0" w:line="152" w:lineRule="exact"/>
        <w:rPr>
          <w:sz w:val="20"/>
          <w:szCs w:val="20"/>
          <w:color w:val="auto"/>
        </w:rPr>
      </w:pPr>
    </w:p>
    <w:p>
      <w:pPr>
        <w:ind w:left="40" w:right="259"/>
        <w:spacing w:after="0" w:line="244" w:lineRule="auto"/>
        <w:rPr>
          <w:sz w:val="20"/>
          <w:szCs w:val="20"/>
          <w:color w:val="auto"/>
        </w:rPr>
      </w:pPr>
      <w:r>
        <w:rPr>
          <w:rFonts w:ascii="Arial" w:cs="Arial" w:eastAsia="Arial" w:hAnsi="Arial"/>
          <w:sz w:val="16"/>
          <w:szCs w:val="16"/>
          <w:color w:val="auto"/>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w:t>
      </w:r>
    </w:p>
    <w:p>
      <w:pPr>
        <w:spacing w:after="0" w:line="148" w:lineRule="exact"/>
        <w:rPr>
          <w:sz w:val="20"/>
          <w:szCs w:val="20"/>
          <w:color w:val="auto"/>
        </w:rPr>
      </w:pPr>
    </w:p>
    <w:p>
      <w:pPr>
        <w:ind w:left="40" w:right="99" w:hanging="6"/>
        <w:spacing w:after="0" w:line="241" w:lineRule="auto"/>
        <w:rPr>
          <w:sz w:val="20"/>
          <w:szCs w:val="20"/>
          <w:color w:val="auto"/>
        </w:rPr>
      </w:pPr>
      <w:r>
        <w:rPr>
          <w:rFonts w:ascii="Arial" w:cs="Arial" w:eastAsia="Arial" w:hAnsi="Arial"/>
          <w:sz w:val="16"/>
          <w:szCs w:val="16"/>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November 13, 2023, the United States Patent and Trademark Office confirmed the patentability of the challenged claim. On January 18, 2023, DISH Network L.L.C., DISH Technologies L.L.C. and Sling TV L.L.C. filed a second petition requesting ex parte reexamination of the validity of the four other asserted claims of the 213 patent, reexamination was ordered on April 17, 2023, and it remains pending. On October 17, 2024, the Court ordered that the stay of the case, which had been entered for the pendency of the original petitions before the United States Patent and Trademark Office, would remain in place pending the outcome of Sound View’s appeal in a parallel action against Hulu.</w:t>
      </w:r>
    </w:p>
    <w:p>
      <w:pPr>
        <w:spacing w:after="0" w:line="152" w:lineRule="exact"/>
        <w:rPr>
          <w:sz w:val="20"/>
          <w:szCs w:val="20"/>
          <w:color w:val="auto"/>
        </w:rPr>
      </w:pPr>
    </w:p>
    <w:p>
      <w:pPr>
        <w:ind w:left="40" w:right="319"/>
        <w:spacing w:after="0" w:line="249" w:lineRule="auto"/>
        <w:rPr>
          <w:sz w:val="20"/>
          <w:szCs w:val="20"/>
          <w:color w:val="auto"/>
        </w:rPr>
      </w:pPr>
      <w:r>
        <w:rPr>
          <w:rFonts w:ascii="Arial" w:cs="Arial" w:eastAsia="Arial" w:hAnsi="Arial"/>
          <w:sz w:val="16"/>
          <w:szCs w:val="16"/>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State of Illinois ex rel. Rodriguez</w:t>
      </w:r>
    </w:p>
    <w:p>
      <w:pPr>
        <w:spacing w:after="0" w:line="177" w:lineRule="exact"/>
        <w:rPr>
          <w:sz w:val="20"/>
          <w:szCs w:val="20"/>
          <w:color w:val="auto"/>
        </w:rPr>
      </w:pPr>
    </w:p>
    <w:p>
      <w:pPr>
        <w:ind w:left="40" w:right="99"/>
        <w:spacing w:after="0"/>
        <w:rPr>
          <w:sz w:val="20"/>
          <w:szCs w:val="20"/>
          <w:color w:val="auto"/>
        </w:rPr>
      </w:pPr>
      <w:r>
        <w:rPr>
          <w:rFonts w:ascii="Arial" w:cs="Arial" w:eastAsia="Arial" w:hAnsi="Arial"/>
          <w:sz w:val="16"/>
          <w:szCs w:val="16"/>
          <w:color w:val="auto"/>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 On September 20, 2024, the Court granted DISH Wireless’s and Sprint’s motion to dismiss the Third Amended Complaint, without further leave to amend.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33">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4" w:name="page215"/>
    <w:bookmarkEnd w:id="21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right="59"/>
        <w:spacing w:after="0" w:line="275" w:lineRule="auto"/>
        <w:rPr>
          <w:sz w:val="20"/>
          <w:szCs w:val="20"/>
          <w:color w:val="auto"/>
        </w:rPr>
      </w:pPr>
      <w:r>
        <w:rPr>
          <w:rFonts w:ascii="Arial" w:cs="Arial" w:eastAsia="Arial" w:hAnsi="Arial"/>
          <w:sz w:val="16"/>
          <w:szCs w:val="16"/>
          <w:color w:val="auto"/>
        </w:rPr>
        <w:t>We intend to vigorously defend this case. We cannot predict with any degree of certainty the outcome of the suit or determine the extent of any potential liability or damages.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TQ Delta, LLC</w:t>
      </w:r>
    </w:p>
    <w:p>
      <w:pPr>
        <w:spacing w:after="0" w:line="177" w:lineRule="exact"/>
        <w:rPr>
          <w:sz w:val="20"/>
          <w:szCs w:val="20"/>
          <w:color w:val="auto"/>
        </w:rPr>
      </w:pPr>
    </w:p>
    <w:p>
      <w:pPr>
        <w:ind w:left="40" w:right="59"/>
        <w:spacing w:after="0"/>
        <w:rPr>
          <w:sz w:val="20"/>
          <w:szCs w:val="20"/>
          <w:color w:val="auto"/>
        </w:rPr>
      </w:pPr>
      <w:r>
        <w:rPr>
          <w:rFonts w:ascii="Arial" w:cs="Arial" w:eastAsia="Arial" w:hAnsi="Arial"/>
          <w:sz w:val="16"/>
          <w:szCs w:val="16"/>
          <w:color w:val="auto"/>
        </w:rPr>
        <w:t>On July 17, 2015, TQ Delta, LLC (“TQ Delta”) filed a complaint against our wholly-owned subsidiaries DISH Network,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spacing w:after="0" w:line="152"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us Corporation and our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152"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color w:val="auto"/>
        </w:rPr>
        <w:t>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spacing w:after="0" w:line="149" w:lineRule="exact"/>
        <w:rPr>
          <w:sz w:val="20"/>
          <w:szCs w:val="20"/>
          <w:color w:val="auto"/>
        </w:rPr>
      </w:pPr>
    </w:p>
    <w:p>
      <w:pPr>
        <w:ind w:left="40" w:right="79"/>
        <w:spacing w:after="0" w:line="244" w:lineRule="auto"/>
        <w:rPr>
          <w:sz w:val="20"/>
          <w:szCs w:val="20"/>
          <w:color w:val="auto"/>
        </w:rPr>
      </w:pPr>
      <w:r>
        <w:rPr>
          <w:rFonts w:ascii="Arial" w:cs="Arial" w:eastAsia="Arial" w:hAnsi="Arial"/>
          <w:sz w:val="16"/>
          <w:szCs w:val="16"/>
          <w:color w:val="auto"/>
        </w:rPr>
        <w:t>On February 9, 2017, the United States Patent and Trademark Office agreed to institute proceedings on DISH Network’s petition related to the 404 patent, and on February 13, 2017, the United States Patent and Trademark Office agreed to institute proceedings on our petition related to the 268 patent. On February 27, 2017, the United States Patent and Trademark Office granted DISH Network’s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148" w:lineRule="exact"/>
        <w:rPr>
          <w:sz w:val="20"/>
          <w:szCs w:val="20"/>
          <w:color w:val="auto"/>
        </w:rPr>
      </w:pPr>
    </w:p>
    <w:p>
      <w:pPr>
        <w:ind w:left="40" w:right="99"/>
        <w:spacing w:after="0" w:line="249" w:lineRule="auto"/>
        <w:rPr>
          <w:sz w:val="20"/>
          <w:szCs w:val="20"/>
          <w:color w:val="auto"/>
        </w:rPr>
      </w:pPr>
      <w:r>
        <w:rPr>
          <w:rFonts w:ascii="Arial" w:cs="Arial" w:eastAsia="Arial" w:hAnsi="Arial"/>
          <w:sz w:val="16"/>
          <w:szCs w:val="16"/>
          <w:color w:val="auto"/>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34">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5" w:name="page216"/>
    <w:bookmarkEnd w:id="21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119"/>
        <w:spacing w:after="0"/>
        <w:rPr>
          <w:sz w:val="20"/>
          <w:szCs w:val="20"/>
          <w:color w:val="auto"/>
        </w:rPr>
      </w:pPr>
      <w:r>
        <w:rPr>
          <w:rFonts w:ascii="Arial" w:cs="Arial" w:eastAsia="Arial" w:hAnsi="Arial"/>
          <w:sz w:val="16"/>
          <w:szCs w:val="16"/>
          <w:color w:val="auto"/>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 million in damages.</w:t>
      </w:r>
    </w:p>
    <w:p>
      <w:pPr>
        <w:spacing w:after="0" w:line="149" w:lineRule="exact"/>
        <w:rPr>
          <w:sz w:val="20"/>
          <w:szCs w:val="20"/>
          <w:color w:val="auto"/>
        </w:rPr>
      </w:pPr>
    </w:p>
    <w:p>
      <w:pPr>
        <w:ind w:left="40" w:right="319"/>
        <w:spacing w:after="0" w:line="249"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Uniloc 2017 LLC</w:t>
      </w:r>
    </w:p>
    <w:p>
      <w:pPr>
        <w:spacing w:after="0" w:line="177" w:lineRule="exact"/>
        <w:rPr>
          <w:sz w:val="20"/>
          <w:szCs w:val="20"/>
          <w:color w:val="auto"/>
        </w:rPr>
      </w:pPr>
    </w:p>
    <w:p>
      <w:pPr>
        <w:ind w:left="40" w:right="59"/>
        <w:spacing w:after="0" w:line="247" w:lineRule="auto"/>
        <w:rPr>
          <w:sz w:val="20"/>
          <w:szCs w:val="20"/>
          <w:color w:val="auto"/>
        </w:rPr>
      </w:pPr>
      <w:r>
        <w:rPr>
          <w:rFonts w:ascii="Arial" w:cs="Arial" w:eastAsia="Arial" w:hAnsi="Arial"/>
          <w:sz w:val="16"/>
          <w:szCs w:val="16"/>
          <w:color w:val="auto"/>
        </w:rPr>
        <w:t>On January 31, 2019, Uniloc 2017 LLC (“Uniloc”) filed a complaint against our wholly-owned subsidiary Sling TV L.L.C. in the United States District Court for the District of Colorado. The Complaint alleges infringement of United States Patent</w:t>
      </w:r>
    </w:p>
    <w:p>
      <w:pPr>
        <w:ind w:left="40" w:right="119"/>
        <w:spacing w:after="0" w:line="239" w:lineRule="auto"/>
        <w:rPr>
          <w:sz w:val="20"/>
          <w:szCs w:val="20"/>
          <w:color w:val="auto"/>
        </w:rPr>
      </w:pPr>
      <w:r>
        <w:rPr>
          <w:rFonts w:ascii="Arial" w:cs="Arial" w:eastAsia="Arial" w:hAnsi="Arial"/>
          <w:sz w:val="16"/>
          <w:szCs w:val="16"/>
          <w:color w:val="auto"/>
        </w:rPr>
        <w:t>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spacing w:after="0" w:line="154" w:lineRule="exact"/>
        <w:rPr>
          <w:sz w:val="20"/>
          <w:szCs w:val="20"/>
          <w:color w:val="auto"/>
        </w:rPr>
      </w:pPr>
    </w:p>
    <w:p>
      <w:pPr>
        <w:ind w:left="40" w:right="99"/>
        <w:spacing w:after="0" w:line="244" w:lineRule="auto"/>
        <w:rPr>
          <w:sz w:val="20"/>
          <w:szCs w:val="20"/>
          <w:color w:val="auto"/>
        </w:rPr>
      </w:pPr>
      <w:r>
        <w:rPr>
          <w:rFonts w:ascii="Arial" w:cs="Arial" w:eastAsia="Arial" w:hAnsi="Arial"/>
          <w:sz w:val="16"/>
          <w:szCs w:val="16"/>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148"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35">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6" w:name="page217"/>
    <w:bookmarkEnd w:id="21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right="179"/>
        <w:spacing w:after="0" w:line="243" w:lineRule="auto"/>
        <w:rPr>
          <w:sz w:val="20"/>
          <w:szCs w:val="20"/>
          <w:color w:val="auto"/>
        </w:rPr>
      </w:pPr>
      <w:r>
        <w:rPr>
          <w:rFonts w:ascii="Arial" w:cs="Arial" w:eastAsia="Arial" w:hAnsi="Arial"/>
          <w:sz w:val="16"/>
          <w:szCs w:val="16"/>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spacing w:after="0" w:line="148"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third-party’s petition). Uniloc did not appeal those decisions. Thus, the sole remaining asserted patent is the 118 patent.</w:t>
      </w:r>
    </w:p>
    <w:p>
      <w:pPr>
        <w:spacing w:after="0" w:line="146" w:lineRule="exact"/>
        <w:rPr>
          <w:sz w:val="20"/>
          <w:szCs w:val="20"/>
          <w:color w:val="auto"/>
        </w:rPr>
      </w:pPr>
    </w:p>
    <w:p>
      <w:pPr>
        <w:ind w:left="40" w:right="319"/>
        <w:spacing w:after="0" w:line="249" w:lineRule="auto"/>
        <w:rPr>
          <w:sz w:val="20"/>
          <w:szCs w:val="20"/>
          <w:color w:val="auto"/>
        </w:rPr>
      </w:pPr>
      <w:r>
        <w:rPr>
          <w:rFonts w:ascii="Arial" w:cs="Arial" w:eastAsia="Arial" w:hAnsi="Arial"/>
          <w:sz w:val="16"/>
          <w:szCs w:val="16"/>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222222"/>
        </w:rPr>
        <w:t>Universal Service Administrative Company</w:t>
      </w:r>
    </w:p>
    <w:p>
      <w:pPr>
        <w:spacing w:after="0" w:line="189" w:lineRule="exact"/>
        <w:rPr>
          <w:sz w:val="20"/>
          <w:szCs w:val="20"/>
          <w:color w:val="auto"/>
        </w:rPr>
      </w:pPr>
    </w:p>
    <w:p>
      <w:pPr>
        <w:ind w:left="40" w:right="179"/>
        <w:spacing w:after="0" w:line="246" w:lineRule="auto"/>
        <w:rPr>
          <w:sz w:val="20"/>
          <w:szCs w:val="20"/>
          <w:color w:val="auto"/>
        </w:rPr>
      </w:pPr>
      <w:r>
        <w:rPr>
          <w:rFonts w:ascii="Arial" w:cs="Arial" w:eastAsia="Arial" w:hAnsi="Arial"/>
          <w:sz w:val="16"/>
          <w:szCs w:val="16"/>
          <w:color w:val="222222"/>
        </w:rPr>
        <w:t>On April 3, 2023, the Universal Service Administrative Company (“USAC”) notified our wholly-owned subsidiary DISH Wireless that it intended to seek to recover funds in the amount of $13.9 million disbursed under the Emergency Broadband Benefit Program (“EBBP”) and Affordable Connectivity Program (“ACP”) rules. We appealed this action and the USAC denied our appeal in October 2023. We appealed USAC's action to the FCC's Wireline Competition Bureau, which denied our appeal on January 17, 2025.</w:t>
      </w:r>
    </w:p>
    <w:p>
      <w:pPr>
        <w:spacing w:after="0" w:line="158" w:lineRule="exact"/>
        <w:rPr>
          <w:sz w:val="20"/>
          <w:szCs w:val="20"/>
          <w:color w:val="auto"/>
        </w:rPr>
      </w:pPr>
    </w:p>
    <w:p>
      <w:pPr>
        <w:ind w:left="40" w:right="419"/>
        <w:spacing w:after="0" w:line="275" w:lineRule="auto"/>
        <w:rPr>
          <w:sz w:val="20"/>
          <w:szCs w:val="20"/>
          <w:color w:val="auto"/>
        </w:rPr>
      </w:pPr>
      <w:r>
        <w:rPr>
          <w:rFonts w:ascii="Arial" w:cs="Arial" w:eastAsia="Arial" w:hAnsi="Arial"/>
          <w:sz w:val="16"/>
          <w:szCs w:val="16"/>
          <w:color w:val="222222"/>
        </w:rPr>
        <w:t>We will continue to appeal USAC's action. We cannot predict with any degree of certainty the outcome of our appeals or determine the extent of any potential liability or damages.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U.S. Bank Trust Company</w:t>
      </w:r>
    </w:p>
    <w:p>
      <w:pPr>
        <w:spacing w:after="0" w:line="189" w:lineRule="exact"/>
        <w:rPr>
          <w:sz w:val="20"/>
          <w:szCs w:val="20"/>
          <w:color w:val="auto"/>
        </w:rPr>
      </w:pPr>
    </w:p>
    <w:p>
      <w:pPr>
        <w:ind w:left="40" w:right="79" w:hanging="6"/>
        <w:spacing w:after="0" w:line="239" w:lineRule="auto"/>
        <w:rPr>
          <w:sz w:val="20"/>
          <w:szCs w:val="20"/>
          <w:color w:val="auto"/>
        </w:rPr>
      </w:pPr>
      <w:r>
        <w:rPr>
          <w:rFonts w:ascii="Arial" w:cs="Arial" w:eastAsia="Arial" w:hAnsi="Arial"/>
          <w:sz w:val="16"/>
          <w:szCs w:val="16"/>
          <w:color w:val="auto"/>
        </w:rPr>
        <w:t>On April 26, 2024, U.S. Bank Trust Company, in its capacity as Trustee under the Indentures for DISH DBS Corporation’s 5.75% Senior Secured Notes due 2028 and 7.75% Senior Notes due 2026, filed an action in state court in New York City against DISH DBS Corporation, DISH Network L.L.C., EchoStar Intercompany Receivable Company L.L.C., DISH DBS Issuer LLC, and DBS Intercompany Receivable L.L.C. In its complaint, the Trustee contends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 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 On January 22, 2025, with permission from the Court, the Trustee filed a second amended complaint, which added allegations regarding our New DISH DBS Financing, a related intercompany loan, and the DIRECTV Transaction.</w:t>
      </w:r>
    </w:p>
    <w:p>
      <w:pPr>
        <w:spacing w:after="0" w:line="158" w:lineRule="exact"/>
        <w:rPr>
          <w:sz w:val="20"/>
          <w:szCs w:val="20"/>
          <w:color w:val="auto"/>
        </w:rPr>
      </w:pPr>
    </w:p>
    <w:p>
      <w:pPr>
        <w:ind w:left="40" w:right="59" w:hanging="6"/>
        <w:spacing w:after="0" w:line="275" w:lineRule="auto"/>
        <w:rPr>
          <w:sz w:val="20"/>
          <w:szCs w:val="20"/>
          <w:color w:val="auto"/>
        </w:rPr>
      </w:pPr>
      <w:r>
        <w:rPr>
          <w:rFonts w:ascii="Arial" w:cs="Arial" w:eastAsia="Arial" w:hAnsi="Arial"/>
          <w:sz w:val="16"/>
          <w:szCs w:val="16"/>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7" w:name="page218"/>
    <w:bookmarkEnd w:id="21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Vermont National Telephone Company</w:t>
      </w:r>
    </w:p>
    <w:p>
      <w:pPr>
        <w:spacing w:after="0" w:line="177" w:lineRule="exact"/>
        <w:rPr>
          <w:sz w:val="20"/>
          <w:szCs w:val="20"/>
          <w:color w:val="auto"/>
        </w:rPr>
      </w:pPr>
    </w:p>
    <w:p>
      <w:pPr>
        <w:ind w:left="40" w:right="119"/>
        <w:spacing w:after="0" w:line="239" w:lineRule="auto"/>
        <w:rPr>
          <w:sz w:val="20"/>
          <w:szCs w:val="20"/>
          <w:color w:val="auto"/>
        </w:rPr>
      </w:pPr>
      <w:r>
        <w:rPr>
          <w:rFonts w:ascii="Arial" w:cs="Arial" w:eastAsia="Arial" w:hAnsi="Arial"/>
          <w:sz w:val="16"/>
          <w:szCs w:val="16"/>
          <w:color w:val="auto"/>
        </w:rPr>
        <w:t xml:space="preserve">On September 23, 2016, the United States District Court for the District of Columbia unsealed a qui tam complaint that, on May 13, 2015, Vermont National filed against our wholly-owned subsidiaries, DISH Network, American AWS-3 Wireless I L.L.C., American II, American III, and DISH Wireless Holding L.L.C.; Charles W. Ergen (our Chairman) and Cantey M. Ergen (a member of our Board of Directors);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6"/>
          <w:szCs w:val="16"/>
          <w:i w:val="1"/>
          <w:iCs w:val="1"/>
          <w:color w:val="auto"/>
        </w:rPr>
        <w:t>SNR Wireless LicenseCo, LLC, et al.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F.C.C. </w:t>
      </w:r>
      <w:r>
        <w:rPr>
          <w:rFonts w:ascii="Arial" w:cs="Arial" w:eastAsia="Arial" w:hAnsi="Arial"/>
          <w:sz w:val="16"/>
          <w:szCs w:val="16"/>
          <w:color w:val="auto"/>
        </w:rPr>
        <w:t>The D.C. Circuit issued its opinion on August 29, 2017 and remanded the matter to the FCC for further proceedings.</w:t>
      </w:r>
    </w:p>
    <w:p>
      <w:pPr>
        <w:spacing w:after="0" w:line="154"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 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w:t>
      </w:r>
    </w:p>
    <w:p>
      <w:pPr>
        <w:spacing w:after="0" w:line="149" w:lineRule="exact"/>
        <w:rPr>
          <w:sz w:val="20"/>
          <w:szCs w:val="20"/>
          <w:color w:val="auto"/>
        </w:rPr>
      </w:pPr>
    </w:p>
    <w:p>
      <w:pPr>
        <w:ind w:left="40" w:right="219"/>
        <w:spacing w:after="0" w:line="249" w:lineRule="auto"/>
        <w:rPr>
          <w:sz w:val="20"/>
          <w:szCs w:val="20"/>
          <w:color w:val="auto"/>
        </w:rPr>
      </w:pPr>
      <w:r>
        <w:rPr>
          <w:rFonts w:ascii="Arial" w:cs="Arial" w:eastAsia="Arial" w:hAnsi="Arial"/>
          <w:sz w:val="16"/>
          <w:szCs w:val="16"/>
          <w:color w:val="auto"/>
        </w:rPr>
        <w:t>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On November 21, 2024, a magistrate judge held a hearing on the motion.</w:t>
      </w:r>
    </w:p>
    <w:p>
      <w:pPr>
        <w:spacing w:after="0" w:line="144"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We intend to vigorously defend this case. We cannot predict with any degree of certainty the outcome of this proceeding or determine the extent of any potential liability or damages.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Other</w:t>
      </w:r>
    </w:p>
    <w:p>
      <w:pPr>
        <w:spacing w:after="0" w:line="177"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7">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8" w:name="page219"/>
    <w:bookmarkEnd w:id="21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16.  Segment Reporting</w:t>
      </w:r>
    </w:p>
    <w:p>
      <w:pPr>
        <w:spacing w:after="0" w:line="191" w:lineRule="exact"/>
        <w:rPr>
          <w:sz w:val="20"/>
          <w:szCs w:val="20"/>
          <w:color w:val="auto"/>
        </w:rPr>
      </w:pPr>
    </w:p>
    <w:p>
      <w:pPr>
        <w:ind w:left="40" w:right="239"/>
        <w:spacing w:after="0" w:line="275" w:lineRule="auto"/>
        <w:rPr>
          <w:sz w:val="20"/>
          <w:szCs w:val="20"/>
          <w:color w:val="auto"/>
        </w:rPr>
      </w:pPr>
      <w:r>
        <w:rPr>
          <w:rFonts w:ascii="Arial" w:cs="Arial" w:eastAsia="Arial" w:hAnsi="Arial"/>
          <w:sz w:val="16"/>
          <w:szCs w:val="16"/>
          <w:color w:val="auto"/>
        </w:rPr>
        <w:t>Our reportable segments are strategic business units managed separately based on different business strategies, services and products.</w:t>
      </w:r>
    </w:p>
    <w:p>
      <w:pPr>
        <w:spacing w:after="0" w:line="123" w:lineRule="exact"/>
        <w:rPr>
          <w:sz w:val="20"/>
          <w:szCs w:val="20"/>
          <w:color w:val="auto"/>
        </w:rPr>
      </w:pPr>
    </w:p>
    <w:p>
      <w:pPr>
        <w:ind w:left="40" w:right="239"/>
        <w:spacing w:after="0" w:line="249" w:lineRule="auto"/>
        <w:rPr>
          <w:sz w:val="20"/>
          <w:szCs w:val="20"/>
          <w:color w:val="auto"/>
        </w:rPr>
      </w:pPr>
      <w:r>
        <w:rPr>
          <w:rFonts w:ascii="Arial" w:cs="Arial" w:eastAsia="Arial" w:hAnsi="Arial"/>
          <w:sz w:val="16"/>
          <w:szCs w:val="16"/>
          <w:color w:val="auto"/>
        </w:rPr>
        <w:t xml:space="preserve">Our chief operating decision maker </w:t>
      </w:r>
      <w:r>
        <w:rPr>
          <w:rFonts w:ascii="Arial" w:cs="Arial" w:eastAsia="Arial" w:hAnsi="Arial"/>
          <w:sz w:val="16"/>
          <w:szCs w:val="16"/>
          <w:color w:val="222222"/>
        </w:rPr>
        <w:t>(“CODM”)</w:t>
      </w:r>
      <w:r>
        <w:rPr>
          <w:rFonts w:ascii="Arial" w:cs="Arial" w:eastAsia="Arial" w:hAnsi="Arial"/>
          <w:sz w:val="16"/>
          <w:szCs w:val="16"/>
          <w:color w:val="auto"/>
        </w:rPr>
        <w:t xml:space="preserve"> is our </w:t>
      </w:r>
      <w:r>
        <w:rPr>
          <w:rFonts w:ascii="Arial" w:cs="Arial" w:eastAsia="Arial" w:hAnsi="Arial"/>
          <w:sz w:val="16"/>
          <w:szCs w:val="16"/>
          <w:color w:val="222222"/>
        </w:rPr>
        <w:t>President and Chief Executive Officer.</w:t>
      </w:r>
      <w:r>
        <w:rPr>
          <w:rFonts w:ascii="Arial" w:cs="Arial" w:eastAsia="Arial" w:hAnsi="Arial"/>
          <w:sz w:val="16"/>
          <w:szCs w:val="16"/>
          <w:color w:val="auto"/>
        </w:rPr>
        <w:t xml:space="preserve"> “OIBDA,”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Historically, we reported four primary business segments: (1) Pay-TV; (2) Retail Wireless; (3) 5G Network Deployment; and</w:t>
      </w:r>
    </w:p>
    <w:p>
      <w:pPr>
        <w:spacing w:after="0" w:line="1" w:lineRule="exact"/>
        <w:rPr>
          <w:sz w:val="20"/>
          <w:szCs w:val="20"/>
          <w:color w:val="auto"/>
        </w:rPr>
      </w:pPr>
    </w:p>
    <w:p>
      <w:pPr>
        <w:ind w:left="40" w:right="259" w:firstLine="2"/>
        <w:spacing w:after="0" w:line="238" w:lineRule="auto"/>
        <w:tabs>
          <w:tab w:leader="none" w:pos="282"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Broadband and Satellite Services. However, based on the information provided to the </w:t>
      </w:r>
      <w:r>
        <w:rPr>
          <w:rFonts w:ascii="Arial" w:cs="Arial" w:eastAsia="Arial" w:hAnsi="Arial"/>
          <w:sz w:val="16"/>
          <w:szCs w:val="16"/>
          <w:color w:val="222222"/>
        </w:rPr>
        <w:t>CODM</w:t>
      </w:r>
      <w:r>
        <w:rPr>
          <w:rFonts w:ascii="Arial" w:cs="Arial" w:eastAsia="Arial" w:hAnsi="Arial"/>
          <w:sz w:val="16"/>
          <w:szCs w:val="16"/>
          <w:color w:val="auto"/>
        </w:rPr>
        <w:t xml:space="preserve"> and to align with management’s view of the business, we concluded that the Retail Wireless and 5G Network Deployment segments should be combined to a single segment, the “Wireless” segment.</w:t>
      </w:r>
    </w:p>
    <w:p>
      <w:pPr>
        <w:spacing w:after="0" w:line="139" w:lineRule="exact"/>
        <w:rPr>
          <w:sz w:val="20"/>
          <w:szCs w:val="20"/>
          <w:color w:val="auto"/>
        </w:rPr>
      </w:pPr>
    </w:p>
    <w:p>
      <w:pPr>
        <w:ind w:left="40" w:right="99"/>
        <w:spacing w:after="0" w:line="246" w:lineRule="auto"/>
        <w:rPr>
          <w:sz w:val="20"/>
          <w:szCs w:val="20"/>
          <w:color w:val="auto"/>
        </w:rPr>
      </w:pPr>
      <w:r>
        <w:rPr>
          <w:rFonts w:ascii="Arial" w:cs="Arial" w:eastAsia="Arial" w:hAnsi="Arial"/>
          <w:sz w:val="16"/>
          <w:szCs w:val="16"/>
          <w:color w:val="auto"/>
        </w:rPr>
        <w:t>We currently operate three primary business segments: (1) Pay-TV; (2) Wireless; and (3) Broadband and Satellite Services. See Note 1 for further information. Our Pay-TV segment revenue is primarily derived from Pay-TV subscriber revenue. Our Wireless segment revenue is primarily derived from Wireless subscriber revenue and selling wireless devices to subscribers. Our Broadband and Satellite Services segment revenue is primarily derived from Broadband subscriber revenue, broadband services revenue and communications equipment sales and leases.</w:t>
      </w:r>
    </w:p>
    <w:p>
      <w:pPr>
        <w:spacing w:after="0" w:line="146" w:lineRule="exact"/>
        <w:rPr>
          <w:sz w:val="20"/>
          <w:szCs w:val="20"/>
          <w:color w:val="auto"/>
        </w:rPr>
      </w:pPr>
    </w:p>
    <w:p>
      <w:pPr>
        <w:ind w:left="40" w:right="619" w:hanging="6"/>
        <w:spacing w:after="0" w:line="275" w:lineRule="auto"/>
        <w:rPr>
          <w:sz w:val="20"/>
          <w:szCs w:val="20"/>
          <w:color w:val="auto"/>
        </w:rPr>
      </w:pPr>
      <w:r>
        <w:rPr>
          <w:rFonts w:ascii="Arial" w:cs="Arial" w:eastAsia="Arial" w:hAnsi="Arial"/>
          <w:sz w:val="16"/>
          <w:szCs w:val="16"/>
          <w:color w:val="auto"/>
        </w:rPr>
        <w:t>All other and eliminations primarily include intersegment eliminations related to intercompany revenue and the related expense, which are eliminated in consolidation.</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CODM is not regularly provided assets on a segment basis; therefore, such information is not presented.</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revenue, expense, operating income (loss) and OIBDA by segment were as follows:</w:t>
      </w:r>
    </w:p>
    <w:p>
      <w:pPr>
        <w:spacing w:after="0" w:line="179" w:lineRule="exact"/>
        <w:rPr>
          <w:sz w:val="20"/>
          <w:szCs w:val="20"/>
          <w:color w:val="auto"/>
        </w:rPr>
      </w:pPr>
    </w:p>
    <w:p>
      <w:pPr>
        <w:ind w:left="40" w:right="379"/>
        <w:spacing w:after="0" w:line="275" w:lineRule="auto"/>
        <w:rPr>
          <w:sz w:val="20"/>
          <w:szCs w:val="20"/>
          <w:color w:val="auto"/>
        </w:rPr>
      </w:pPr>
      <w:r>
        <w:rPr>
          <w:rFonts w:ascii="Arial" w:cs="Arial" w:eastAsia="Arial" w:hAnsi="Arial"/>
          <w:sz w:val="16"/>
          <w:szCs w:val="16"/>
          <w:color w:val="auto"/>
        </w:rPr>
        <w:t>The significant expense categories and amounts align with the segment-level information that is regularly provided to the CODM. Intersegment expenses are included within the amounts presented.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228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8">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19" w:name="page220"/>
    <w:bookmarkEnd w:id="21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5"/>
              </w:rPr>
              <w:t>Broadband</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center"/>
              <w:ind w:right="20"/>
              <w:spacing w:after="0" w:line="169" w:lineRule="exact"/>
              <w:rPr>
                <w:sz w:val="20"/>
                <w:szCs w:val="20"/>
                <w:color w:val="auto"/>
              </w:rPr>
            </w:pPr>
            <w:r>
              <w:rPr>
                <w:rFonts w:ascii="Arial" w:cs="Arial" w:eastAsia="Arial" w:hAnsi="Arial"/>
                <w:sz w:val="15"/>
                <w:szCs w:val="15"/>
                <w:b w:val="1"/>
                <w:bCs w:val="1"/>
                <w:color w:val="auto"/>
                <w:w w:val="97"/>
              </w:rPr>
              <w:t>and Satellite</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7"/>
              <w:spacing w:after="0" w:line="169" w:lineRule="exact"/>
              <w:rPr>
                <w:sz w:val="20"/>
                <w:szCs w:val="20"/>
                <w:color w:val="auto"/>
              </w:rPr>
            </w:pPr>
            <w:r>
              <w:rPr>
                <w:rFonts w:ascii="Arial" w:cs="Arial" w:eastAsia="Arial" w:hAnsi="Arial"/>
                <w:sz w:val="15"/>
                <w:szCs w:val="15"/>
                <w:b w:val="1"/>
                <w:bCs w:val="1"/>
                <w:color w:val="auto"/>
              </w:rPr>
              <w:t>Consolidated</w:t>
            </w: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Arial" w:cs="Arial" w:eastAsia="Arial" w:hAnsi="Arial"/>
                <w:sz w:val="15"/>
                <w:szCs w:val="15"/>
                <w:b w:val="1"/>
                <w:bCs w:val="1"/>
                <w:color w:val="auto"/>
              </w:rPr>
              <w:t>Pay-TV</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5"/>
                <w:szCs w:val="15"/>
                <w:b w:val="1"/>
                <w:bCs w:val="1"/>
                <w:color w:val="auto"/>
              </w:rPr>
              <w:t>Wireless</w:t>
            </w:r>
          </w:p>
        </w:tc>
        <w:tc>
          <w:tcPr>
            <w:tcW w:w="9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7"/>
              </w:rPr>
              <w:t>Services</w:t>
            </w:r>
          </w:p>
        </w:tc>
        <w:tc>
          <w:tcPr>
            <w:tcW w:w="106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Eliminations</w:t>
            </w:r>
          </w:p>
        </w:tc>
        <w:tc>
          <w:tcPr>
            <w:tcW w:w="1100" w:type="dxa"/>
            <w:vAlign w:val="bottom"/>
          </w:tcPr>
          <w:p>
            <w:pPr>
              <w:jc w:val="right"/>
              <w:ind w:right="30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1"/>
        </w:trPr>
        <w:tc>
          <w:tcPr>
            <w:tcW w:w="37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For the Year Ended December 31, 2024</w:t>
            </w:r>
          </w:p>
        </w:tc>
        <w:tc>
          <w:tcPr>
            <w:tcW w:w="10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3"/>
              </w:rPr>
              <w:t>(In thousands)</w:t>
            </w: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7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Revenue from external customers:</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Service revenue</w:t>
            </w: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10,602,475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3,156,760</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1,196,891</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14,956,126</w:t>
            </w:r>
          </w:p>
        </w:tc>
        <w:tc>
          <w:tcPr>
            <w:tcW w:w="0" w:type="dxa"/>
            <w:vAlign w:val="bottom"/>
          </w:tcPr>
          <w:p>
            <w:pPr>
              <w:spacing w:after="0"/>
              <w:rPr>
                <w:sz w:val="1"/>
                <w:szCs w:val="1"/>
                <w:color w:val="auto"/>
              </w:rPr>
            </w:pPr>
          </w:p>
        </w:tc>
      </w:tr>
      <w:tr>
        <w:trPr>
          <w:trHeight w:val="169"/>
        </w:trPr>
        <w:tc>
          <w:tcPr>
            <w:tcW w:w="374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Equipment sales and other revenue</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71,002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448,477</w:t>
            </w:r>
          </w:p>
        </w:tc>
        <w:tc>
          <w:tcPr>
            <w:tcW w:w="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349,911</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869,390</w:t>
            </w: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Intersegment revenue</w:t>
            </w: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14,727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2,746</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28,986</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(46,459)</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Revenue</w:t>
            </w: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10,688,204</w:t>
            </w:r>
          </w:p>
        </w:tc>
        <w:tc>
          <w:tcPr>
            <w:tcW w:w="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3,607,983</w:t>
            </w:r>
          </w:p>
        </w:tc>
        <w:tc>
          <w:tcPr>
            <w:tcW w:w="4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1,575,788</w:t>
            </w:r>
          </w:p>
        </w:tc>
        <w:tc>
          <w:tcPr>
            <w:tcW w:w="4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(46,459)</w:t>
            </w:r>
          </w:p>
        </w:tc>
        <w:tc>
          <w:tcPr>
            <w:tcW w:w="8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15,825,516</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Operating Expenses</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i w:val="1"/>
                <w:iCs w:val="1"/>
                <w:color w:val="auto"/>
              </w:rPr>
              <w:t>Cost of services:</w:t>
            </w: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Programming</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5,060,083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8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5,060,083</w:t>
            </w: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Connectivity services (1)</w:t>
            </w: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224,112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2,570,988</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203,498</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(9,032)</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2,989,566</w:t>
            </w:r>
          </w:p>
        </w:tc>
        <w:tc>
          <w:tcPr>
            <w:tcW w:w="0" w:type="dxa"/>
            <w:vAlign w:val="bottom"/>
          </w:tcPr>
          <w:p>
            <w:pPr>
              <w:spacing w:after="0"/>
              <w:rPr>
                <w:sz w:val="1"/>
                <w:szCs w:val="1"/>
                <w:color w:val="auto"/>
              </w:rPr>
            </w:pPr>
          </w:p>
        </w:tc>
      </w:tr>
      <w:tr>
        <w:trPr>
          <w:trHeight w:val="169"/>
        </w:trPr>
        <w:tc>
          <w:tcPr>
            <w:tcW w:w="374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Other (2)</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1,262,311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529,328</w:t>
            </w:r>
          </w:p>
        </w:tc>
        <w:tc>
          <w:tcPr>
            <w:tcW w:w="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299,242</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(4,908)</w:t>
            </w: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2,085,973</w:t>
            </w:r>
          </w:p>
        </w:tc>
        <w:tc>
          <w:tcPr>
            <w:tcW w:w="0" w:type="dxa"/>
            <w:vAlign w:val="bottom"/>
          </w:tcPr>
          <w:p>
            <w:pPr>
              <w:spacing w:after="0"/>
              <w:rPr>
                <w:sz w:val="1"/>
                <w:szCs w:val="1"/>
                <w:color w:val="auto"/>
              </w:rPr>
            </w:pPr>
          </w:p>
        </w:tc>
      </w:tr>
      <w:tr>
        <w:trPr>
          <w:trHeight w:val="162"/>
        </w:trPr>
        <w:tc>
          <w:tcPr>
            <w:tcW w:w="374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Total cost of services</w:t>
            </w:r>
          </w:p>
        </w:tc>
        <w:tc>
          <w:tcPr>
            <w:tcW w:w="10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6,546,506</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3,100,316</w:t>
            </w:r>
          </w:p>
        </w:tc>
        <w:tc>
          <w:tcPr>
            <w:tcW w:w="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502,740</w:t>
            </w: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(13,940)</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10,135,622</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line="161" w:lineRule="exact"/>
              <w:rPr>
                <w:sz w:val="20"/>
                <w:szCs w:val="20"/>
                <w:color w:val="auto"/>
              </w:rPr>
            </w:pPr>
            <w:r>
              <w:rPr>
                <w:rFonts w:ascii="Arial" w:cs="Arial" w:eastAsia="Arial" w:hAnsi="Arial"/>
                <w:sz w:val="15"/>
                <w:szCs w:val="15"/>
                <w:color w:val="auto"/>
              </w:rPr>
              <w:t>Cost of services - equipment and other</w:t>
            </w:r>
          </w:p>
        </w:tc>
        <w:tc>
          <w:tcPr>
            <w:tcW w:w="1000" w:type="dxa"/>
            <w:vAlign w:val="bottom"/>
          </w:tcPr>
          <w:p>
            <w:pPr>
              <w:jc w:val="right"/>
              <w:spacing w:after="0" w:line="161" w:lineRule="exact"/>
              <w:rPr>
                <w:sz w:val="20"/>
                <w:szCs w:val="20"/>
                <w:color w:val="auto"/>
              </w:rPr>
            </w:pPr>
            <w:r>
              <w:rPr>
                <w:rFonts w:ascii="Arial" w:cs="Arial" w:eastAsia="Arial" w:hAnsi="Arial"/>
                <w:sz w:val="15"/>
                <w:szCs w:val="15"/>
                <w:color w:val="auto"/>
              </w:rPr>
              <w:t>80,271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5"/>
                <w:szCs w:val="15"/>
                <w:color w:val="auto"/>
              </w:rPr>
              <w:t>1,250,656</w:t>
            </w:r>
          </w:p>
        </w:tc>
        <w:tc>
          <w:tcPr>
            <w:tcW w:w="40" w:type="dxa"/>
            <w:vAlign w:val="bottom"/>
          </w:tcPr>
          <w:p>
            <w:pPr>
              <w:spacing w:after="0"/>
              <w:rPr>
                <w:sz w:val="14"/>
                <w:szCs w:val="14"/>
                <w:color w:val="auto"/>
              </w:rPr>
            </w:pPr>
          </w:p>
        </w:tc>
        <w:tc>
          <w:tcPr>
            <w:tcW w:w="920" w:type="dxa"/>
            <w:vAlign w:val="bottom"/>
          </w:tcPr>
          <w:p>
            <w:pPr>
              <w:jc w:val="right"/>
              <w:spacing w:after="0" w:line="161" w:lineRule="exact"/>
              <w:rPr>
                <w:sz w:val="20"/>
                <w:szCs w:val="20"/>
                <w:color w:val="auto"/>
              </w:rPr>
            </w:pPr>
            <w:r>
              <w:rPr>
                <w:rFonts w:ascii="Arial" w:cs="Arial" w:eastAsia="Arial" w:hAnsi="Arial"/>
                <w:sz w:val="15"/>
                <w:szCs w:val="15"/>
                <w:color w:val="auto"/>
              </w:rPr>
              <w:t>308,412</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line="161" w:lineRule="exact"/>
              <w:rPr>
                <w:sz w:val="20"/>
                <w:szCs w:val="20"/>
                <w:color w:val="auto"/>
              </w:rPr>
            </w:pPr>
            <w:r>
              <w:rPr>
                <w:rFonts w:ascii="Arial" w:cs="Arial" w:eastAsia="Arial" w:hAnsi="Arial"/>
                <w:sz w:val="15"/>
                <w:szCs w:val="15"/>
                <w:color w:val="auto"/>
              </w:rPr>
              <w:t>(2,384)</w:t>
            </w:r>
          </w:p>
        </w:tc>
        <w:tc>
          <w:tcPr>
            <w:tcW w:w="80" w:type="dxa"/>
            <w:vAlign w:val="bottom"/>
          </w:tcPr>
          <w:p>
            <w:pPr>
              <w:spacing w:after="0"/>
              <w:rPr>
                <w:sz w:val="14"/>
                <w:szCs w:val="14"/>
                <w:color w:val="auto"/>
              </w:rPr>
            </w:pPr>
          </w:p>
        </w:tc>
        <w:tc>
          <w:tcPr>
            <w:tcW w:w="1100" w:type="dxa"/>
            <w:vAlign w:val="bottom"/>
          </w:tcPr>
          <w:p>
            <w:pPr>
              <w:jc w:val="right"/>
              <w:spacing w:after="0" w:line="161" w:lineRule="exact"/>
              <w:rPr>
                <w:sz w:val="20"/>
                <w:szCs w:val="20"/>
                <w:color w:val="auto"/>
              </w:rPr>
            </w:pPr>
            <w:r>
              <w:rPr>
                <w:rFonts w:ascii="Arial" w:cs="Arial" w:eastAsia="Arial" w:hAnsi="Arial"/>
                <w:sz w:val="15"/>
                <w:szCs w:val="15"/>
                <w:color w:val="auto"/>
              </w:rPr>
              <w:t>1,636,955</w:t>
            </w: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i w:val="1"/>
                <w:iCs w:val="1"/>
                <w:color w:val="auto"/>
              </w:rPr>
              <w:t>Selling, general and administrative expenses:</w:t>
            </w: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Subscriber acquisition costs</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425,227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650,794</w:t>
            </w:r>
          </w:p>
        </w:tc>
        <w:tc>
          <w:tcPr>
            <w:tcW w:w="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194,665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(3,192)</w:t>
            </w: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1,267,494</w:t>
            </w: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Selling, general and administrative expenses</w:t>
            </w: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650,915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303,240</w:t>
            </w: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228,076</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(22,909)</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1,159,322</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selling, general and administrative expenses</w:t>
            </w: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1,076,142</w:t>
            </w:r>
          </w:p>
        </w:tc>
        <w:tc>
          <w:tcPr>
            <w:tcW w:w="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954,034</w:t>
            </w:r>
          </w:p>
        </w:tc>
        <w:tc>
          <w:tcPr>
            <w:tcW w:w="4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422,741</w:t>
            </w:r>
          </w:p>
        </w:tc>
        <w:tc>
          <w:tcPr>
            <w:tcW w:w="4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(26,101)</w:t>
            </w:r>
          </w:p>
        </w:tc>
        <w:tc>
          <w:tcPr>
            <w:tcW w:w="8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2,426,816</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b w:val="1"/>
                <w:bCs w:val="1"/>
                <w:color w:val="auto"/>
              </w:rPr>
              <w:t>OIBDA (3)</w:t>
            </w:r>
          </w:p>
        </w:tc>
        <w:tc>
          <w:tcPr>
            <w:tcW w:w="10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2,985,285</w:t>
            </w:r>
          </w:p>
        </w:tc>
        <w:tc>
          <w:tcPr>
            <w:tcW w:w="40" w:type="dxa"/>
            <w:vAlign w:val="bottom"/>
          </w:tcPr>
          <w:p>
            <w:pPr>
              <w:spacing w:after="0"/>
              <w:rPr>
                <w:sz w:val="14"/>
                <w:szCs w:val="14"/>
                <w:color w:val="auto"/>
              </w:rPr>
            </w:pPr>
          </w:p>
        </w:tc>
        <w:tc>
          <w:tcPr>
            <w:tcW w:w="102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(1,697,023)</w:t>
            </w:r>
          </w:p>
        </w:tc>
        <w:tc>
          <w:tcPr>
            <w:tcW w:w="1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341,895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80"/>
              <w:spacing w:after="0" w:line="169" w:lineRule="exact"/>
              <w:rPr>
                <w:sz w:val="20"/>
                <w:szCs w:val="20"/>
                <w:color w:val="auto"/>
              </w:rPr>
            </w:pPr>
            <w:r>
              <w:rPr>
                <w:rFonts w:ascii="Arial" w:cs="Arial" w:eastAsia="Arial" w:hAnsi="Arial"/>
                <w:sz w:val="15"/>
                <w:szCs w:val="15"/>
                <w:b w:val="1"/>
                <w:bCs w:val="1"/>
                <w:color w:val="auto"/>
              </w:rPr>
              <w:t>(4,034)</w:t>
            </w:r>
          </w:p>
        </w:tc>
        <w:tc>
          <w:tcPr>
            <w:tcW w:w="20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1,626,123</w:t>
            </w:r>
          </w:p>
        </w:tc>
      </w:tr>
      <w:tr>
        <w:trPr>
          <w:trHeight w:val="162"/>
        </w:trPr>
        <w:tc>
          <w:tcPr>
            <w:tcW w:w="37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Depreciation and amortization</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337,331</w:t>
            </w:r>
          </w:p>
        </w:tc>
        <w:tc>
          <w:tcPr>
            <w:tcW w:w="4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1,134,883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459,796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(1,817)</w:t>
            </w:r>
          </w:p>
        </w:tc>
        <w:tc>
          <w:tcPr>
            <w:tcW w:w="20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1,930,193</w:t>
            </w:r>
          </w:p>
        </w:tc>
      </w:tr>
      <w:tr>
        <w:trPr>
          <w:trHeight w:val="162"/>
        </w:trPr>
        <w:tc>
          <w:tcPr>
            <w:tcW w:w="372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Total costs and expenses</w:t>
            </w:r>
          </w:p>
        </w:tc>
        <w:tc>
          <w:tcPr>
            <w:tcW w:w="10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8,040,250</w:t>
            </w:r>
          </w:p>
        </w:tc>
        <w:tc>
          <w:tcPr>
            <w:tcW w:w="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6,439,889</w:t>
            </w: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1,693,689</w:t>
            </w: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(44,242)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16,129,586</w:t>
            </w:r>
          </w:p>
        </w:tc>
      </w:tr>
      <w:tr>
        <w:trPr>
          <w:trHeight w:val="162"/>
        </w:trPr>
        <w:tc>
          <w:tcPr>
            <w:tcW w:w="37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202"/>
        </w:trPr>
        <w:tc>
          <w:tcPr>
            <w:tcW w:w="372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Operating income (loss)</w:t>
            </w:r>
          </w:p>
        </w:tc>
        <w:tc>
          <w:tcPr>
            <w:tcW w:w="1020" w:type="dxa"/>
            <w:vAlign w:val="bottom"/>
            <w:tcBorders>
              <w:bottom w:val="single" w:sz="8" w:color="auto"/>
            </w:tcBorders>
            <w:shd w:val="clear" w:color="auto" w:fill="CCEEFF"/>
          </w:tcPr>
          <w:p>
            <w:pPr>
              <w:jc w:val="right"/>
              <w:ind w:right="67"/>
              <w:spacing w:after="0" w:line="161" w:lineRule="exact"/>
              <w:rPr>
                <w:sz w:val="20"/>
                <w:szCs w:val="20"/>
                <w:color w:val="auto"/>
              </w:rPr>
            </w:pPr>
            <w:r>
              <w:rPr>
                <w:rFonts w:ascii="Arial" w:cs="Arial" w:eastAsia="Arial" w:hAnsi="Arial"/>
                <w:sz w:val="15"/>
                <w:szCs w:val="15"/>
                <w:color w:val="auto"/>
              </w:rPr>
              <w:t>$  2,647,954</w:t>
            </w:r>
          </w:p>
        </w:tc>
        <w:tc>
          <w:tcPr>
            <w:tcW w:w="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
              <w:spacing w:after="0" w:line="161" w:lineRule="exact"/>
              <w:rPr>
                <w:sz w:val="20"/>
                <w:szCs w:val="20"/>
                <w:color w:val="auto"/>
              </w:rPr>
            </w:pPr>
            <w:r>
              <w:rPr>
                <w:rFonts w:ascii="Arial" w:cs="Arial" w:eastAsia="Arial" w:hAnsi="Arial"/>
                <w:sz w:val="15"/>
                <w:szCs w:val="15"/>
                <w:color w:val="auto"/>
                <w:w w:val="98"/>
              </w:rPr>
              <w:t>$ (2,831,906)</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27"/>
              <w:spacing w:after="0" w:line="161" w:lineRule="exact"/>
              <w:rPr>
                <w:sz w:val="20"/>
                <w:szCs w:val="20"/>
                <w:color w:val="auto"/>
              </w:rPr>
            </w:pPr>
            <w:r>
              <w:rPr>
                <w:rFonts w:ascii="Arial" w:cs="Arial" w:eastAsia="Arial" w:hAnsi="Arial"/>
                <w:sz w:val="15"/>
                <w:szCs w:val="15"/>
                <w:color w:val="auto"/>
              </w:rPr>
              <w:t>(117,901)</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107"/>
              <w:spacing w:after="0" w:line="161" w:lineRule="exact"/>
              <w:rPr>
                <w:sz w:val="20"/>
                <w:szCs w:val="20"/>
                <w:color w:val="auto"/>
              </w:rPr>
            </w:pPr>
            <w:r>
              <w:rPr>
                <w:rFonts w:ascii="Arial" w:cs="Arial" w:eastAsia="Arial" w:hAnsi="Arial"/>
                <w:sz w:val="15"/>
                <w:szCs w:val="15"/>
                <w:color w:val="auto"/>
              </w:rPr>
              <w:t>(2,217)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7"/>
              <w:spacing w:after="0" w:line="161" w:lineRule="exact"/>
              <w:rPr>
                <w:sz w:val="20"/>
                <w:szCs w:val="20"/>
                <w:color w:val="auto"/>
              </w:rPr>
            </w:pPr>
            <w:r>
              <w:rPr>
                <w:rFonts w:ascii="Arial" w:cs="Arial" w:eastAsia="Arial" w:hAnsi="Arial"/>
                <w:sz w:val="15"/>
                <w:szCs w:val="15"/>
                <w:color w:val="auto"/>
              </w:rPr>
              <w:t>(304,070)</w:t>
            </w:r>
          </w:p>
        </w:tc>
      </w:tr>
      <w:tr>
        <w:trPr>
          <w:trHeight w:val="146"/>
        </w:trPr>
        <w:tc>
          <w:tcPr>
            <w:tcW w:w="37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r>
      <w:tr>
        <w:trPr>
          <w:trHeight w:val="169"/>
        </w:trPr>
        <w:tc>
          <w:tcPr>
            <w:tcW w:w="37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Unallocated Amounts</w:t>
            </w: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Interest income</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116,625</w:t>
            </w:r>
          </w:p>
        </w:tc>
      </w:tr>
      <w:tr>
        <w:trPr>
          <w:trHeight w:val="169"/>
        </w:trPr>
        <w:tc>
          <w:tcPr>
            <w:tcW w:w="37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expense, net of amounts capitalized</w:t>
            </w: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(481,622)</w:t>
            </w:r>
          </w:p>
        </w:tc>
      </w:tr>
      <w:tr>
        <w:trPr>
          <w:trHeight w:val="169"/>
        </w:trPr>
        <w:tc>
          <w:tcPr>
            <w:tcW w:w="3720" w:type="dxa"/>
            <w:vAlign w:val="bottom"/>
            <w:tcBorders>
              <w:bottom w:val="single" w:sz="8" w:color="CCEEFF"/>
            </w:tcBorders>
          </w:tcPr>
          <w:p>
            <w:pPr>
              <w:spacing w:after="0" w:line="169" w:lineRule="exact"/>
              <w:rPr>
                <w:sz w:val="20"/>
                <w:szCs w:val="20"/>
                <w:color w:val="auto"/>
              </w:rPr>
            </w:pPr>
            <w:r>
              <w:rPr>
                <w:rFonts w:ascii="Arial" w:cs="Arial" w:eastAsia="Arial" w:hAnsi="Arial"/>
                <w:sz w:val="15"/>
                <w:szCs w:val="15"/>
                <w:color w:val="auto"/>
              </w:rPr>
              <w:t>Other, net</w:t>
            </w:r>
          </w:p>
        </w:tc>
        <w:tc>
          <w:tcPr>
            <w:tcW w:w="10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593,497</w:t>
            </w:r>
          </w:p>
        </w:tc>
      </w:tr>
      <w:tr>
        <w:trPr>
          <w:trHeight w:val="162"/>
        </w:trPr>
        <w:tc>
          <w:tcPr>
            <w:tcW w:w="372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Income (loss) before income taxes</w:t>
            </w:r>
          </w:p>
        </w:tc>
        <w:tc>
          <w:tcPr>
            <w:tcW w:w="10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27"/>
              <w:spacing w:after="0" w:line="161" w:lineRule="exact"/>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(75,570)</w:t>
            </w:r>
          </w:p>
        </w:tc>
      </w:tr>
      <w:tr>
        <w:trPr>
          <w:trHeight w:val="20"/>
        </w:trPr>
        <w:tc>
          <w:tcPr>
            <w:tcW w:w="3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right="79" w:hanging="298"/>
        <w:spacing w:after="0" w:line="246" w:lineRule="auto"/>
        <w:tabs>
          <w:tab w:leader="none" w:pos="34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“Connectivity services” is the cost to deliver our services and products to customers, which includes, among other things, network, transport and data, cloud based service, satellite and transmission, and other related costs.</w:t>
      </w:r>
    </w:p>
    <w:p>
      <w:pPr>
        <w:spacing w:after="0" w:line="1" w:lineRule="exact"/>
        <w:rPr>
          <w:rFonts w:ascii="Times New Roman" w:cs="Times New Roman" w:eastAsia="Times New Roman" w:hAnsi="Times New Roman"/>
          <w:sz w:val="16"/>
          <w:szCs w:val="16"/>
          <w:color w:val="auto"/>
        </w:rPr>
      </w:pPr>
    </w:p>
    <w:p>
      <w:pPr>
        <w:ind w:left="340" w:right="359" w:hanging="298"/>
        <w:spacing w:after="0" w:line="236"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“Other” primarily consists of variable costs including call center, manufacturing, dealer incentive, bad debt, billing and other variable costs, as well as costs to retain our subscribers.</w:t>
      </w:r>
    </w:p>
    <w:p>
      <w:pPr>
        <w:spacing w:after="0" w:line="1" w:lineRule="exact"/>
        <w:rPr>
          <w:rFonts w:ascii="Arial" w:cs="Arial" w:eastAsia="Arial" w:hAnsi="Arial"/>
          <w:sz w:val="16"/>
          <w:szCs w:val="16"/>
          <w:color w:val="auto"/>
        </w:rPr>
      </w:pPr>
    </w:p>
    <w:p>
      <w:pPr>
        <w:ind w:left="340" w:right="99" w:hanging="298"/>
        <w:spacing w:after="0" w:line="241"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9">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20" w:name="page221"/>
    <w:bookmarkEnd w:id="22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Broadband</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center"/>
              <w:ind w:right="20"/>
              <w:spacing w:after="0" w:line="169" w:lineRule="exact"/>
              <w:rPr>
                <w:sz w:val="20"/>
                <w:szCs w:val="20"/>
                <w:color w:val="auto"/>
              </w:rPr>
            </w:pPr>
            <w:r>
              <w:rPr>
                <w:rFonts w:ascii="Arial" w:cs="Arial" w:eastAsia="Arial" w:hAnsi="Arial"/>
                <w:sz w:val="15"/>
                <w:szCs w:val="15"/>
                <w:b w:val="1"/>
                <w:bCs w:val="1"/>
                <w:color w:val="auto"/>
                <w:w w:val="97"/>
              </w:rPr>
              <w:t>and Satellite</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7"/>
              <w:spacing w:after="0" w:line="169" w:lineRule="exact"/>
              <w:rPr>
                <w:sz w:val="20"/>
                <w:szCs w:val="20"/>
                <w:color w:val="auto"/>
              </w:rPr>
            </w:pPr>
            <w:r>
              <w:rPr>
                <w:rFonts w:ascii="Arial" w:cs="Arial" w:eastAsia="Arial" w:hAnsi="Arial"/>
                <w:sz w:val="15"/>
                <w:szCs w:val="15"/>
                <w:b w:val="1"/>
                <w:bCs w:val="1"/>
                <w:color w:val="auto"/>
                <w:w w:val="94"/>
              </w:rPr>
              <w:t>Consolidated</w:t>
            </w: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b w:val="1"/>
                <w:bCs w:val="1"/>
                <w:color w:val="auto"/>
              </w:rPr>
              <w:t>Pay-TV</w:t>
            </w:r>
          </w:p>
        </w:tc>
        <w:tc>
          <w:tcPr>
            <w:tcW w:w="12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Wireless</w:t>
            </w:r>
          </w:p>
        </w:tc>
        <w:tc>
          <w:tcPr>
            <w:tcW w:w="8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7"/>
              </w:rPr>
              <w:t>Services</w:t>
            </w:r>
          </w:p>
        </w:tc>
        <w:tc>
          <w:tcPr>
            <w:tcW w:w="106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Pr>
          <w:p>
            <w:pPr>
              <w:spacing w:after="0"/>
              <w:rPr>
                <w:sz w:val="16"/>
                <w:szCs w:val="16"/>
                <w:color w:val="auto"/>
              </w:rPr>
            </w:pPr>
          </w:p>
        </w:tc>
        <w:tc>
          <w:tcPr>
            <w:tcW w:w="1000" w:type="dxa"/>
            <w:vAlign w:val="bottom"/>
          </w:tcPr>
          <w:p>
            <w:pPr>
              <w:jc w:val="right"/>
              <w:ind w:right="30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1"/>
        </w:trPr>
        <w:tc>
          <w:tcPr>
            <w:tcW w:w="37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For the Year Ended December 31, 2023</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93"/>
              </w:rPr>
              <w:t>(In thousands)</w:t>
            </w:r>
          </w:p>
        </w:tc>
        <w:tc>
          <w:tcPr>
            <w:tcW w:w="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Revenue from external customers: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Service revenue</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11,377,524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3,337,186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1,431,053</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16,145,763</w:t>
            </w:r>
          </w:p>
        </w:tc>
        <w:tc>
          <w:tcPr>
            <w:tcW w:w="0" w:type="dxa"/>
            <w:vAlign w:val="bottom"/>
          </w:tcPr>
          <w:p>
            <w:pPr>
              <w:spacing w:after="0"/>
              <w:rPr>
                <w:sz w:val="1"/>
                <w:szCs w:val="1"/>
                <w:color w:val="auto"/>
              </w:rPr>
            </w:pPr>
          </w:p>
        </w:tc>
      </w:tr>
      <w:tr>
        <w:trPr>
          <w:trHeight w:val="169"/>
        </w:trPr>
        <w:tc>
          <w:tcPr>
            <w:tcW w:w="374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Equipment sales and other revenue</w:t>
            </w:r>
          </w:p>
        </w:tc>
        <w:tc>
          <w:tcPr>
            <w:tcW w:w="14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175,948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394,167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299,720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869,835</w:t>
            </w: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Intersegment revenue</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17,687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24,786</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(43,280)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Revenue</w:t>
            </w: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11,571,159</w:t>
            </w:r>
          </w:p>
        </w:tc>
        <w:tc>
          <w:tcPr>
            <w:tcW w:w="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3,732,160</w:t>
            </w:r>
          </w:p>
        </w:tc>
        <w:tc>
          <w:tcPr>
            <w:tcW w:w="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1,755,559</w:t>
            </w:r>
          </w:p>
        </w:tc>
        <w:tc>
          <w:tcPr>
            <w:tcW w:w="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(43,280)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17,015,598</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Operating Expenses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i w:val="1"/>
                <w:iCs w:val="1"/>
                <w:color w:val="auto"/>
              </w:rPr>
              <w:t>Cost of services: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Programming</w:t>
            </w:r>
          </w:p>
        </w:tc>
        <w:tc>
          <w:tcPr>
            <w:tcW w:w="14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5,301,968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5,301,968</w:t>
            </w: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Connectivity services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245,716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1,530,184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197,358</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(3,416)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1,969,842</w:t>
            </w:r>
          </w:p>
        </w:tc>
        <w:tc>
          <w:tcPr>
            <w:tcW w:w="0" w:type="dxa"/>
            <w:vAlign w:val="bottom"/>
          </w:tcPr>
          <w:p>
            <w:pPr>
              <w:spacing w:after="0"/>
              <w:rPr>
                <w:sz w:val="1"/>
                <w:szCs w:val="1"/>
                <w:color w:val="auto"/>
              </w:rPr>
            </w:pPr>
          </w:p>
        </w:tc>
      </w:tr>
      <w:tr>
        <w:trPr>
          <w:trHeight w:val="169"/>
        </w:trPr>
        <w:tc>
          <w:tcPr>
            <w:tcW w:w="374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Other</w:t>
            </w:r>
          </w:p>
        </w:tc>
        <w:tc>
          <w:tcPr>
            <w:tcW w:w="14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1,429,944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482,149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333,517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(6,993)</w:t>
            </w:r>
          </w:p>
        </w:tc>
        <w:tc>
          <w:tcPr>
            <w:tcW w:w="10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2,238,617</w:t>
            </w:r>
          </w:p>
        </w:tc>
        <w:tc>
          <w:tcPr>
            <w:tcW w:w="0" w:type="dxa"/>
            <w:vAlign w:val="bottom"/>
          </w:tcPr>
          <w:p>
            <w:pPr>
              <w:spacing w:after="0"/>
              <w:rPr>
                <w:sz w:val="1"/>
                <w:szCs w:val="1"/>
                <w:color w:val="auto"/>
              </w:rPr>
            </w:pPr>
          </w:p>
        </w:tc>
      </w:tr>
      <w:tr>
        <w:trPr>
          <w:trHeight w:val="162"/>
        </w:trPr>
        <w:tc>
          <w:tcPr>
            <w:tcW w:w="374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Total cost of services</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6,977,628</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2,012,333</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530,875</w:t>
            </w: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(10,409)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9,510,427</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line="161" w:lineRule="exact"/>
              <w:rPr>
                <w:sz w:val="20"/>
                <w:szCs w:val="20"/>
                <w:color w:val="auto"/>
              </w:rPr>
            </w:pPr>
            <w:r>
              <w:rPr>
                <w:rFonts w:ascii="Arial" w:cs="Arial" w:eastAsia="Arial" w:hAnsi="Arial"/>
                <w:sz w:val="15"/>
                <w:szCs w:val="15"/>
                <w:color w:val="auto"/>
              </w:rPr>
              <w:t>Cost of services - equipment and other</w:t>
            </w:r>
          </w:p>
        </w:tc>
        <w:tc>
          <w:tcPr>
            <w:tcW w:w="140" w:type="dxa"/>
            <w:vAlign w:val="bottom"/>
          </w:tcPr>
          <w:p>
            <w:pPr>
              <w:spacing w:after="0"/>
              <w:rPr>
                <w:sz w:val="14"/>
                <w:szCs w:val="14"/>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91,164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2,110,706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line="161" w:lineRule="exact"/>
              <w:rPr>
                <w:sz w:val="20"/>
                <w:szCs w:val="20"/>
                <w:color w:val="auto"/>
              </w:rPr>
            </w:pPr>
            <w:r>
              <w:rPr>
                <w:rFonts w:ascii="Arial" w:cs="Arial" w:eastAsia="Arial" w:hAnsi="Arial"/>
                <w:sz w:val="15"/>
                <w:szCs w:val="15"/>
                <w:color w:val="auto"/>
              </w:rPr>
              <w:t>241,570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5"/>
                <w:szCs w:val="15"/>
                <w:color w:val="auto"/>
              </w:rPr>
              <w:t>(8,536)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line="161" w:lineRule="exact"/>
              <w:rPr>
                <w:sz w:val="20"/>
                <w:szCs w:val="20"/>
                <w:color w:val="auto"/>
              </w:rPr>
            </w:pPr>
            <w:r>
              <w:rPr>
                <w:rFonts w:ascii="Arial" w:cs="Arial" w:eastAsia="Arial" w:hAnsi="Arial"/>
                <w:sz w:val="15"/>
                <w:szCs w:val="15"/>
                <w:color w:val="auto"/>
              </w:rPr>
              <w:t>2,434,904</w:t>
            </w: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i w:val="1"/>
                <w:iCs w:val="1"/>
                <w:color w:val="auto"/>
              </w:rPr>
              <w:t>Selling, general and administrative expenses: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Subscriber acquisition costs</w:t>
            </w:r>
          </w:p>
        </w:tc>
        <w:tc>
          <w:tcPr>
            <w:tcW w:w="14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687,338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701,814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227,754</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(6,391)</w:t>
            </w:r>
          </w:p>
        </w:tc>
        <w:tc>
          <w:tcPr>
            <w:tcW w:w="10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1,610,515</w:t>
            </w: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Selling, general and administrative expenses</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727,470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412,671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258,625</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(20,127)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1,378,639</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selling, general and administrative expenses</w:t>
            </w: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1,414,808</w:t>
            </w:r>
          </w:p>
        </w:tc>
        <w:tc>
          <w:tcPr>
            <w:tcW w:w="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1,114,485</w:t>
            </w:r>
          </w:p>
        </w:tc>
        <w:tc>
          <w:tcPr>
            <w:tcW w:w="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486,379</w:t>
            </w:r>
          </w:p>
        </w:tc>
        <w:tc>
          <w:tcPr>
            <w:tcW w:w="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(26,518)</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2,989,154</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Impairments for long-lived assets and goodwill</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6,457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218,560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536,082</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761,099</w:t>
            </w:r>
          </w:p>
        </w:tc>
        <w:tc>
          <w:tcPr>
            <w:tcW w:w="0" w:type="dxa"/>
            <w:vAlign w:val="bottom"/>
          </w:tcPr>
          <w:p>
            <w:pPr>
              <w:spacing w:after="0"/>
              <w:rPr>
                <w:sz w:val="1"/>
                <w:szCs w:val="1"/>
                <w:color w:val="auto"/>
              </w:rPr>
            </w:pPr>
          </w:p>
        </w:tc>
      </w:tr>
      <w:tr>
        <w:trPr>
          <w:trHeight w:val="169"/>
        </w:trPr>
        <w:tc>
          <w:tcPr>
            <w:tcW w:w="3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OIBDA</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3,081,102</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(1,723,924)</w:t>
            </w: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(39,347)</w:t>
            </w: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2,183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1,320,014</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381,292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800,629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419,262</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(3,260)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1,597,923</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costs and expenses</w:t>
            </w: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8,871,349</w:t>
            </w:r>
          </w:p>
        </w:tc>
        <w:tc>
          <w:tcPr>
            <w:tcW w:w="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6,256,713</w:t>
            </w:r>
          </w:p>
        </w:tc>
        <w:tc>
          <w:tcPr>
            <w:tcW w:w="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2,214,168</w:t>
            </w:r>
          </w:p>
        </w:tc>
        <w:tc>
          <w:tcPr>
            <w:tcW w:w="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(48,723)</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17,293,507</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74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Operating income (loss)</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67"/>
              <w:spacing w:after="0" w:line="161" w:lineRule="exact"/>
              <w:rPr>
                <w:sz w:val="20"/>
                <w:szCs w:val="20"/>
                <w:color w:val="auto"/>
              </w:rPr>
            </w:pPr>
            <w:r>
              <w:rPr>
                <w:rFonts w:ascii="Arial" w:cs="Arial" w:eastAsia="Arial" w:hAnsi="Arial"/>
                <w:sz w:val="15"/>
                <w:szCs w:val="15"/>
                <w:color w:val="auto"/>
              </w:rPr>
              <w:t>2,699,810</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7"/>
              <w:spacing w:after="0" w:line="161" w:lineRule="exact"/>
              <w:rPr>
                <w:sz w:val="20"/>
                <w:szCs w:val="20"/>
                <w:color w:val="auto"/>
              </w:rPr>
            </w:pPr>
            <w:r>
              <w:rPr>
                <w:rFonts w:ascii="Arial" w:cs="Arial" w:eastAsia="Arial" w:hAnsi="Arial"/>
                <w:sz w:val="15"/>
                <w:szCs w:val="15"/>
                <w:color w:val="auto"/>
                <w:w w:val="99"/>
              </w:rPr>
              <w:t>(2,524,553)</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27"/>
              <w:spacing w:after="0" w:line="161" w:lineRule="exact"/>
              <w:rPr>
                <w:sz w:val="20"/>
                <w:szCs w:val="20"/>
                <w:color w:val="auto"/>
              </w:rPr>
            </w:pPr>
            <w:r>
              <w:rPr>
                <w:rFonts w:ascii="Arial" w:cs="Arial" w:eastAsia="Arial" w:hAnsi="Arial"/>
                <w:sz w:val="15"/>
                <w:szCs w:val="15"/>
                <w:color w:val="auto"/>
              </w:rPr>
              <w:t>(458,609)</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7"/>
              <w:spacing w:after="0" w:line="161"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47"/>
              <w:spacing w:after="0" w:line="161" w:lineRule="exact"/>
              <w:rPr>
                <w:sz w:val="20"/>
                <w:szCs w:val="20"/>
                <w:color w:val="auto"/>
              </w:rPr>
            </w:pPr>
            <w:r>
              <w:rPr>
                <w:rFonts w:ascii="Arial" w:cs="Arial" w:eastAsia="Arial" w:hAnsi="Arial"/>
                <w:sz w:val="15"/>
                <w:szCs w:val="15"/>
                <w:color w:val="auto"/>
              </w:rPr>
              <w:t>5,443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7"/>
              <w:spacing w:after="0" w:line="161" w:lineRule="exact"/>
              <w:rPr>
                <w:sz w:val="20"/>
                <w:szCs w:val="20"/>
                <w:color w:val="auto"/>
              </w:rPr>
            </w:pPr>
            <w:r>
              <w:rPr>
                <w:rFonts w:ascii="Arial" w:cs="Arial" w:eastAsia="Arial" w:hAnsi="Arial"/>
                <w:sz w:val="15"/>
                <w:szCs w:val="15"/>
                <w:color w:val="auto"/>
              </w:rPr>
              <w:t>(277,909)</w:t>
            </w:r>
          </w:p>
        </w:tc>
        <w:tc>
          <w:tcPr>
            <w:tcW w:w="0" w:type="dxa"/>
            <w:vAlign w:val="bottom"/>
          </w:tcPr>
          <w:p>
            <w:pPr>
              <w:spacing w:after="0"/>
              <w:rPr>
                <w:sz w:val="1"/>
                <w:szCs w:val="1"/>
                <w:color w:val="auto"/>
              </w:rPr>
            </w:pPr>
          </w:p>
        </w:tc>
      </w:tr>
      <w:tr>
        <w:trPr>
          <w:trHeight w:val="146"/>
        </w:trPr>
        <w:tc>
          <w:tcPr>
            <w:tcW w:w="3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Unallocated Amounts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Interest income</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207,374</w:t>
            </w:r>
          </w:p>
        </w:tc>
        <w:tc>
          <w:tcPr>
            <w:tcW w:w="0" w:type="dxa"/>
            <w:vAlign w:val="bottom"/>
          </w:tcPr>
          <w:p>
            <w:pPr>
              <w:spacing w:after="0"/>
              <w:rPr>
                <w:sz w:val="1"/>
                <w:szCs w:val="1"/>
                <w:color w:val="auto"/>
              </w:rPr>
            </w:pPr>
          </w:p>
        </w:tc>
      </w:tr>
      <w:tr>
        <w:trPr>
          <w:trHeight w:val="169"/>
        </w:trPr>
        <w:tc>
          <w:tcPr>
            <w:tcW w:w="3740" w:type="dxa"/>
            <w:vAlign w:val="bottom"/>
            <w:gridSpan w:val="2"/>
          </w:tcPr>
          <w:p>
            <w:pPr>
              <w:spacing w:after="0" w:line="169" w:lineRule="exact"/>
              <w:rPr>
                <w:sz w:val="20"/>
                <w:szCs w:val="20"/>
                <w:color w:val="auto"/>
              </w:rPr>
            </w:pPr>
            <w:r>
              <w:rPr>
                <w:rFonts w:ascii="Arial" w:cs="Arial" w:eastAsia="Arial" w:hAnsi="Arial"/>
                <w:sz w:val="15"/>
                <w:szCs w:val="15"/>
                <w:color w:val="auto"/>
              </w:rPr>
              <w:t>Interest expense, net of amounts capitalized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(90,357)</w:t>
            </w:r>
          </w:p>
        </w:tc>
        <w:tc>
          <w:tcPr>
            <w:tcW w:w="0" w:type="dxa"/>
            <w:vAlign w:val="bottom"/>
          </w:tcPr>
          <w:p>
            <w:pPr>
              <w:spacing w:after="0"/>
              <w:rPr>
                <w:sz w:val="1"/>
                <w:szCs w:val="1"/>
                <w:color w:val="auto"/>
              </w:rPr>
            </w:pPr>
          </w:p>
        </w:tc>
      </w:tr>
      <w:tr>
        <w:trPr>
          <w:trHeight w:val="169"/>
        </w:trPr>
        <w:tc>
          <w:tcPr>
            <w:tcW w:w="37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Other, net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(1,770,792)</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line="161" w:lineRule="exact"/>
              <w:rPr>
                <w:sz w:val="20"/>
                <w:szCs w:val="20"/>
                <w:color w:val="auto"/>
              </w:rPr>
            </w:pPr>
            <w:r>
              <w:rPr>
                <w:rFonts w:ascii="Arial" w:cs="Arial" w:eastAsia="Arial" w:hAnsi="Arial"/>
                <w:sz w:val="15"/>
                <w:szCs w:val="15"/>
                <w:color w:val="auto"/>
              </w:rPr>
              <w:t>Income (loss) before income taxes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7"/>
              <w:spacing w:after="0" w:line="161" w:lineRule="exact"/>
              <w:rPr>
                <w:sz w:val="20"/>
                <w:szCs w:val="20"/>
                <w:color w:val="auto"/>
              </w:rPr>
            </w:pPr>
            <w:r>
              <w:rPr>
                <w:rFonts w:ascii="Arial" w:cs="Arial" w:eastAsia="Arial" w:hAnsi="Arial"/>
                <w:sz w:val="15"/>
                <w:szCs w:val="15"/>
                <w:color w:val="auto"/>
              </w:rPr>
              <w:t>(1,931,684)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40">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21" w:name="page222"/>
    <w:bookmarkEnd w:id="22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5"/>
              </w:rPr>
              <w:t>Broadband</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60"/>
              <w:spacing w:after="0" w:line="169" w:lineRule="exact"/>
              <w:rPr>
                <w:sz w:val="20"/>
                <w:szCs w:val="20"/>
                <w:color w:val="auto"/>
              </w:rPr>
            </w:pPr>
            <w:r>
              <w:rPr>
                <w:rFonts w:ascii="Arial" w:cs="Arial" w:eastAsia="Arial" w:hAnsi="Arial"/>
                <w:sz w:val="15"/>
                <w:szCs w:val="15"/>
                <w:b w:val="1"/>
                <w:bCs w:val="1"/>
                <w:color w:val="auto"/>
                <w:w w:val="95"/>
              </w:rPr>
              <w:t>and Satellite</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27"/>
              <w:spacing w:after="0" w:line="169" w:lineRule="exact"/>
              <w:rPr>
                <w:sz w:val="20"/>
                <w:szCs w:val="20"/>
                <w:color w:val="auto"/>
              </w:rPr>
            </w:pPr>
            <w:r>
              <w:rPr>
                <w:rFonts w:ascii="Arial" w:cs="Arial" w:eastAsia="Arial" w:hAnsi="Arial"/>
                <w:sz w:val="15"/>
                <w:szCs w:val="15"/>
                <w:b w:val="1"/>
                <w:bCs w:val="1"/>
                <w:color w:val="auto"/>
                <w:w w:val="94"/>
              </w:rPr>
              <w:t>Consolidated</w:t>
            </w: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ind w:left="280"/>
              <w:spacing w:after="0"/>
              <w:rPr>
                <w:sz w:val="20"/>
                <w:szCs w:val="20"/>
                <w:color w:val="auto"/>
              </w:rPr>
            </w:pPr>
            <w:r>
              <w:rPr>
                <w:rFonts w:ascii="Arial" w:cs="Arial" w:eastAsia="Arial" w:hAnsi="Arial"/>
                <w:sz w:val="15"/>
                <w:szCs w:val="15"/>
                <w:b w:val="1"/>
                <w:bCs w:val="1"/>
                <w:color w:val="auto"/>
              </w:rPr>
              <w:t>Pay-TV</w:t>
            </w:r>
          </w:p>
        </w:tc>
        <w:tc>
          <w:tcPr>
            <w:tcW w:w="980" w:type="dxa"/>
            <w:vAlign w:val="bottom"/>
            <w:gridSpan w:val="2"/>
          </w:tcPr>
          <w:p>
            <w:pPr>
              <w:ind w:left="160"/>
              <w:spacing w:after="0"/>
              <w:rPr>
                <w:sz w:val="20"/>
                <w:szCs w:val="20"/>
                <w:color w:val="auto"/>
              </w:rPr>
            </w:pPr>
            <w:r>
              <w:rPr>
                <w:rFonts w:ascii="Arial" w:cs="Arial" w:eastAsia="Arial" w:hAnsi="Arial"/>
                <w:sz w:val="15"/>
                <w:szCs w:val="15"/>
                <w:b w:val="1"/>
                <w:bCs w:val="1"/>
                <w:color w:val="auto"/>
              </w:rPr>
              <w:t>Wireless</w:t>
            </w:r>
          </w:p>
        </w:tc>
        <w:tc>
          <w:tcPr>
            <w:tcW w:w="9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7"/>
              </w:rPr>
              <w:t>Services</w:t>
            </w:r>
          </w:p>
        </w:tc>
        <w:tc>
          <w:tcPr>
            <w:tcW w:w="1060" w:type="dxa"/>
            <w:vAlign w:val="bottom"/>
            <w:gridSpan w:val="3"/>
          </w:tcPr>
          <w:p>
            <w:pPr>
              <w:ind w:left="60"/>
              <w:spacing w:after="0"/>
              <w:rPr>
                <w:sz w:val="20"/>
                <w:szCs w:val="20"/>
                <w:color w:val="auto"/>
              </w:rPr>
            </w:pPr>
            <w:r>
              <w:rPr>
                <w:rFonts w:ascii="Arial" w:cs="Arial" w:eastAsia="Arial" w:hAnsi="Arial"/>
                <w:sz w:val="15"/>
                <w:szCs w:val="15"/>
                <w:b w:val="1"/>
                <w:bCs w:val="1"/>
                <w:color w:val="auto"/>
              </w:rPr>
              <w:t>Eliminations</w:t>
            </w:r>
          </w:p>
        </w:tc>
        <w:tc>
          <w:tcPr>
            <w:tcW w:w="80" w:type="dxa"/>
            <w:vAlign w:val="bottom"/>
          </w:tcPr>
          <w:p>
            <w:pPr>
              <w:spacing w:after="0"/>
              <w:rPr>
                <w:sz w:val="16"/>
                <w:szCs w:val="16"/>
                <w:color w:val="auto"/>
              </w:rPr>
            </w:pPr>
          </w:p>
        </w:tc>
        <w:tc>
          <w:tcPr>
            <w:tcW w:w="1020" w:type="dxa"/>
            <w:vAlign w:val="bottom"/>
          </w:tcPr>
          <w:p>
            <w:pPr>
              <w:jc w:val="right"/>
              <w:ind w:right="30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1"/>
        </w:trPr>
        <w:tc>
          <w:tcPr>
            <w:tcW w:w="37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For the Year Ended December 31, 2022</w:t>
            </w:r>
          </w:p>
        </w:tc>
        <w:tc>
          <w:tcPr>
            <w:tcW w:w="10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3"/>
              </w:rPr>
              <w:t>(In thousands)</w:t>
            </w:r>
          </w:p>
        </w:tc>
        <w:tc>
          <w:tcPr>
            <w:tcW w:w="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7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70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Revenue</w:t>
            </w:r>
          </w:p>
        </w:tc>
        <w:tc>
          <w:tcPr>
            <w:tcW w:w="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Revenue from external customers:</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Service revenue</w:t>
            </w: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12,348,995</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3,653,892</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1,593,378</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17,596,265</w:t>
            </w:r>
          </w:p>
        </w:tc>
        <w:tc>
          <w:tcPr>
            <w:tcW w:w="0" w:type="dxa"/>
            <w:vAlign w:val="bottom"/>
          </w:tcPr>
          <w:p>
            <w:pPr>
              <w:spacing w:after="0"/>
              <w:rPr>
                <w:sz w:val="1"/>
                <w:szCs w:val="1"/>
                <w:color w:val="auto"/>
              </w:rPr>
            </w:pPr>
          </w:p>
        </w:tc>
      </w:tr>
      <w:tr>
        <w:trPr>
          <w:trHeight w:val="169"/>
        </w:trPr>
        <w:tc>
          <w:tcPr>
            <w:tcW w:w="37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Equipment sales and other revenue</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137,633</w:t>
            </w:r>
          </w:p>
        </w:tc>
        <w:tc>
          <w:tcPr>
            <w:tcW w:w="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525,820</w:t>
            </w:r>
          </w:p>
        </w:tc>
        <w:tc>
          <w:tcPr>
            <w:tcW w:w="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374,528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1,037,981</w:t>
            </w:r>
          </w:p>
        </w:tc>
        <w:tc>
          <w:tcPr>
            <w:tcW w:w="0" w:type="dxa"/>
            <w:vAlign w:val="bottom"/>
          </w:tcPr>
          <w:p>
            <w:pPr>
              <w:spacing w:after="0"/>
              <w:rPr>
                <w:sz w:val="1"/>
                <w:szCs w:val="1"/>
                <w:color w:val="auto"/>
              </w:rPr>
            </w:pPr>
          </w:p>
        </w:tc>
      </w:tr>
      <w:tr>
        <w:trPr>
          <w:trHeight w:val="169"/>
        </w:trPr>
        <w:tc>
          <w:tcPr>
            <w:tcW w:w="37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Intersegment revenue</w:t>
            </w: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18,764</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306</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30,187</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(49,257)</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Revenue</w:t>
            </w:r>
          </w:p>
        </w:tc>
        <w:tc>
          <w:tcPr>
            <w:tcW w:w="10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12,505,392</w:t>
            </w:r>
          </w:p>
        </w:tc>
        <w:tc>
          <w:tcPr>
            <w:tcW w:w="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4,180,018</w:t>
            </w:r>
          </w:p>
        </w:tc>
        <w:tc>
          <w:tcPr>
            <w:tcW w:w="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1,998,093</w:t>
            </w:r>
          </w:p>
        </w:tc>
        <w:tc>
          <w:tcPr>
            <w:tcW w:w="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(49,257)</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18,634,246</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Operating Expenses</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i w:val="1"/>
                <w:iCs w:val="1"/>
                <w:color w:val="auto"/>
              </w:rPr>
              <w:t>Cost of services:</w:t>
            </w: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Programming</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5,584,877</w:t>
            </w:r>
          </w:p>
        </w:tc>
        <w:tc>
          <w:tcPr>
            <w:tcW w:w="60" w:type="dxa"/>
            <w:vAlign w:val="bottom"/>
          </w:tcPr>
          <w:p>
            <w:pPr>
              <w:spacing w:after="0"/>
              <w:rPr>
                <w:sz w:val="14"/>
                <w:szCs w:val="14"/>
                <w:color w:val="auto"/>
              </w:rPr>
            </w:pPr>
          </w:p>
        </w:tc>
        <w:tc>
          <w:tcPr>
            <w:tcW w:w="9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80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5,584,877</w:t>
            </w:r>
          </w:p>
        </w:tc>
        <w:tc>
          <w:tcPr>
            <w:tcW w:w="0" w:type="dxa"/>
            <w:vAlign w:val="bottom"/>
          </w:tcPr>
          <w:p>
            <w:pPr>
              <w:spacing w:after="0"/>
              <w:rPr>
                <w:sz w:val="1"/>
                <w:szCs w:val="1"/>
                <w:color w:val="auto"/>
              </w:rPr>
            </w:pPr>
          </w:p>
        </w:tc>
      </w:tr>
      <w:tr>
        <w:trPr>
          <w:trHeight w:val="169"/>
        </w:trPr>
        <w:tc>
          <w:tcPr>
            <w:tcW w:w="372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Connectivity services</w:t>
            </w: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261,942</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1,680,811</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204,384</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(5,799)</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2,141,338</w:t>
            </w:r>
          </w:p>
        </w:tc>
        <w:tc>
          <w:tcPr>
            <w:tcW w:w="0" w:type="dxa"/>
            <w:vAlign w:val="bottom"/>
          </w:tcPr>
          <w:p>
            <w:pPr>
              <w:spacing w:after="0"/>
              <w:rPr>
                <w:sz w:val="1"/>
                <w:szCs w:val="1"/>
                <w:color w:val="auto"/>
              </w:rPr>
            </w:pPr>
          </w:p>
        </w:tc>
      </w:tr>
      <w:tr>
        <w:trPr>
          <w:trHeight w:val="169"/>
        </w:trPr>
        <w:tc>
          <w:tcPr>
            <w:tcW w:w="37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Other</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1,576,608</w:t>
            </w:r>
          </w:p>
        </w:tc>
        <w:tc>
          <w:tcPr>
            <w:tcW w:w="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454,262</w:t>
            </w:r>
          </w:p>
        </w:tc>
        <w:tc>
          <w:tcPr>
            <w:tcW w:w="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362,927</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(8,671)</w:t>
            </w:r>
          </w:p>
        </w:tc>
        <w:tc>
          <w:tcPr>
            <w:tcW w:w="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2,385,126</w:t>
            </w:r>
          </w:p>
        </w:tc>
        <w:tc>
          <w:tcPr>
            <w:tcW w:w="0" w:type="dxa"/>
            <w:vAlign w:val="bottom"/>
          </w:tcPr>
          <w:p>
            <w:pPr>
              <w:spacing w:after="0"/>
              <w:rPr>
                <w:sz w:val="1"/>
                <w:szCs w:val="1"/>
                <w:color w:val="auto"/>
              </w:rPr>
            </w:pPr>
          </w:p>
        </w:tc>
      </w:tr>
      <w:tr>
        <w:trPr>
          <w:trHeight w:val="162"/>
        </w:trPr>
        <w:tc>
          <w:tcPr>
            <w:tcW w:w="372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Total cost of services</w:t>
            </w:r>
          </w:p>
        </w:tc>
        <w:tc>
          <w:tcPr>
            <w:tcW w:w="10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7,423,427</w:t>
            </w:r>
          </w:p>
        </w:tc>
        <w:tc>
          <w:tcPr>
            <w:tcW w:w="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2,135,073</w:t>
            </w:r>
          </w:p>
        </w:tc>
        <w:tc>
          <w:tcPr>
            <w:tcW w:w="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567,311</w:t>
            </w: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(14,470)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10,111,341</w:t>
            </w: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line="161" w:lineRule="exact"/>
              <w:rPr>
                <w:sz w:val="20"/>
                <w:szCs w:val="20"/>
                <w:color w:val="auto"/>
              </w:rPr>
            </w:pPr>
            <w:r>
              <w:rPr>
                <w:rFonts w:ascii="Arial" w:cs="Arial" w:eastAsia="Arial" w:hAnsi="Arial"/>
                <w:sz w:val="15"/>
                <w:szCs w:val="15"/>
                <w:color w:val="auto"/>
              </w:rPr>
              <w:t>Cost of services - equipment and other</w:t>
            </w:r>
          </w:p>
        </w:tc>
        <w:tc>
          <w:tcPr>
            <w:tcW w:w="1020" w:type="dxa"/>
            <w:vAlign w:val="bottom"/>
          </w:tcPr>
          <w:p>
            <w:pPr>
              <w:jc w:val="right"/>
              <w:spacing w:after="0" w:line="161" w:lineRule="exact"/>
              <w:rPr>
                <w:sz w:val="20"/>
                <w:szCs w:val="20"/>
                <w:color w:val="auto"/>
              </w:rPr>
            </w:pPr>
            <w:r>
              <w:rPr>
                <w:rFonts w:ascii="Arial" w:cs="Arial" w:eastAsia="Arial" w:hAnsi="Arial"/>
                <w:sz w:val="15"/>
                <w:szCs w:val="15"/>
                <w:color w:val="auto"/>
              </w:rPr>
              <w:t>97,315</w:t>
            </w:r>
          </w:p>
        </w:tc>
        <w:tc>
          <w:tcPr>
            <w:tcW w:w="60" w:type="dxa"/>
            <w:vAlign w:val="bottom"/>
          </w:tcPr>
          <w:p>
            <w:pPr>
              <w:spacing w:after="0"/>
              <w:rPr>
                <w:sz w:val="14"/>
                <w:szCs w:val="14"/>
                <w:color w:val="auto"/>
              </w:rPr>
            </w:pPr>
          </w:p>
        </w:tc>
        <w:tc>
          <w:tcPr>
            <w:tcW w:w="920" w:type="dxa"/>
            <w:vAlign w:val="bottom"/>
          </w:tcPr>
          <w:p>
            <w:pPr>
              <w:jc w:val="right"/>
              <w:spacing w:after="0" w:line="161" w:lineRule="exact"/>
              <w:rPr>
                <w:sz w:val="20"/>
                <w:szCs w:val="20"/>
                <w:color w:val="auto"/>
              </w:rPr>
            </w:pPr>
            <w:r>
              <w:rPr>
                <w:rFonts w:ascii="Arial" w:cs="Arial" w:eastAsia="Arial" w:hAnsi="Arial"/>
                <w:sz w:val="15"/>
                <w:szCs w:val="15"/>
                <w:color w:val="auto"/>
              </w:rPr>
              <w:t>1,715,276</w:t>
            </w:r>
          </w:p>
        </w:tc>
        <w:tc>
          <w:tcPr>
            <w:tcW w:w="60" w:type="dxa"/>
            <w:vAlign w:val="bottom"/>
          </w:tcPr>
          <w:p>
            <w:pPr>
              <w:spacing w:after="0"/>
              <w:rPr>
                <w:sz w:val="14"/>
                <w:szCs w:val="14"/>
                <w:color w:val="auto"/>
              </w:rPr>
            </w:pPr>
          </w:p>
        </w:tc>
        <w:tc>
          <w:tcPr>
            <w:tcW w:w="920" w:type="dxa"/>
            <w:vAlign w:val="bottom"/>
          </w:tcPr>
          <w:p>
            <w:pPr>
              <w:jc w:val="right"/>
              <w:spacing w:after="0" w:line="161" w:lineRule="exact"/>
              <w:rPr>
                <w:sz w:val="20"/>
                <w:szCs w:val="20"/>
                <w:color w:val="auto"/>
              </w:rPr>
            </w:pPr>
            <w:r>
              <w:rPr>
                <w:rFonts w:ascii="Arial" w:cs="Arial" w:eastAsia="Arial" w:hAnsi="Arial"/>
                <w:sz w:val="15"/>
                <w:szCs w:val="15"/>
                <w:color w:val="auto"/>
              </w:rPr>
              <w:t>294,683</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line="161" w:lineRule="exact"/>
              <w:rPr>
                <w:sz w:val="20"/>
                <w:szCs w:val="20"/>
                <w:color w:val="auto"/>
              </w:rPr>
            </w:pPr>
            <w:r>
              <w:rPr>
                <w:rFonts w:ascii="Arial" w:cs="Arial" w:eastAsia="Arial" w:hAnsi="Arial"/>
                <w:sz w:val="15"/>
                <w:szCs w:val="15"/>
                <w:color w:val="auto"/>
              </w:rPr>
              <w:t>(8,138)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line="161" w:lineRule="exact"/>
              <w:rPr>
                <w:sz w:val="20"/>
                <w:szCs w:val="20"/>
                <w:color w:val="auto"/>
              </w:rPr>
            </w:pPr>
            <w:r>
              <w:rPr>
                <w:rFonts w:ascii="Arial" w:cs="Arial" w:eastAsia="Arial" w:hAnsi="Arial"/>
                <w:sz w:val="15"/>
                <w:szCs w:val="15"/>
                <w:color w:val="auto"/>
              </w:rPr>
              <w:t>2,099,136</w:t>
            </w:r>
          </w:p>
        </w:tc>
        <w:tc>
          <w:tcPr>
            <w:tcW w:w="0" w:type="dxa"/>
            <w:vAlign w:val="bottom"/>
          </w:tcPr>
          <w:p>
            <w:pPr>
              <w:spacing w:after="0"/>
              <w:rPr>
                <w:sz w:val="1"/>
                <w:szCs w:val="1"/>
                <w:color w:val="auto"/>
              </w:rPr>
            </w:pPr>
          </w:p>
        </w:tc>
      </w:tr>
      <w:tr>
        <w:trPr>
          <w:trHeight w:val="169"/>
        </w:trPr>
        <w:tc>
          <w:tcPr>
            <w:tcW w:w="37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i w:val="1"/>
                <w:iCs w:val="1"/>
                <w:color w:val="auto"/>
              </w:rPr>
              <w:t>Selling, general and administrative expenses:</w:t>
            </w: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Subscriber acquisition costs</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879,620</w:t>
            </w:r>
          </w:p>
        </w:tc>
        <w:tc>
          <w:tcPr>
            <w:tcW w:w="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512,721</w:t>
            </w:r>
          </w:p>
        </w:tc>
        <w:tc>
          <w:tcPr>
            <w:tcW w:w="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254,751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(7,669)</w:t>
            </w:r>
          </w:p>
        </w:tc>
        <w:tc>
          <w:tcPr>
            <w:tcW w:w="8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1,639,423</w:t>
            </w:r>
          </w:p>
        </w:tc>
        <w:tc>
          <w:tcPr>
            <w:tcW w:w="0" w:type="dxa"/>
            <w:vAlign w:val="bottom"/>
          </w:tcPr>
          <w:p>
            <w:pPr>
              <w:spacing w:after="0"/>
              <w:rPr>
                <w:sz w:val="1"/>
                <w:szCs w:val="1"/>
                <w:color w:val="auto"/>
              </w:rPr>
            </w:pPr>
          </w:p>
        </w:tc>
      </w:tr>
      <w:tr>
        <w:trPr>
          <w:trHeight w:val="169"/>
        </w:trPr>
        <w:tc>
          <w:tcPr>
            <w:tcW w:w="372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5"/>
                <w:szCs w:val="15"/>
                <w:color w:val="auto"/>
              </w:rPr>
              <w:t>Selling, general and administrative expenses</w:t>
            </w: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742,661</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416,578</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236,274</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(19,611)</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1,375,902</w:t>
            </w:r>
          </w:p>
        </w:tc>
        <w:tc>
          <w:tcPr>
            <w:tcW w:w="0" w:type="dxa"/>
            <w:vAlign w:val="bottom"/>
          </w:tcPr>
          <w:p>
            <w:pPr>
              <w:spacing w:after="0"/>
              <w:rPr>
                <w:sz w:val="1"/>
                <w:szCs w:val="1"/>
                <w:color w:val="auto"/>
              </w:rPr>
            </w:pPr>
          </w:p>
        </w:tc>
      </w:tr>
      <w:tr>
        <w:trPr>
          <w:trHeight w:val="162"/>
        </w:trPr>
        <w:tc>
          <w:tcPr>
            <w:tcW w:w="3720" w:type="dxa"/>
            <w:vAlign w:val="bottom"/>
            <w:tcBorders>
              <w:bottom w:val="single" w:sz="8" w:color="CCEEFF"/>
            </w:tcBorders>
            <w:gridSpan w:val="2"/>
          </w:tcPr>
          <w:p>
            <w:pPr>
              <w:spacing w:after="0" w:line="161" w:lineRule="exact"/>
              <w:rPr>
                <w:sz w:val="20"/>
                <w:szCs w:val="20"/>
                <w:color w:val="auto"/>
              </w:rPr>
            </w:pPr>
            <w:r>
              <w:rPr>
                <w:rFonts w:ascii="Arial" w:cs="Arial" w:eastAsia="Arial" w:hAnsi="Arial"/>
                <w:sz w:val="15"/>
                <w:szCs w:val="15"/>
                <w:color w:val="auto"/>
              </w:rPr>
              <w:t>Total selling, general and administrative expenses</w:t>
            </w:r>
          </w:p>
        </w:tc>
        <w:tc>
          <w:tcPr>
            <w:tcW w:w="10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1,622,281</w:t>
            </w:r>
          </w:p>
        </w:tc>
        <w:tc>
          <w:tcPr>
            <w:tcW w:w="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929,299</w:t>
            </w:r>
          </w:p>
        </w:tc>
        <w:tc>
          <w:tcPr>
            <w:tcW w:w="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491,025</w:t>
            </w:r>
          </w:p>
        </w:tc>
        <w:tc>
          <w:tcPr>
            <w:tcW w:w="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(27,280)</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3,015,325</w:t>
            </w:r>
          </w:p>
        </w:tc>
        <w:tc>
          <w:tcPr>
            <w:tcW w:w="0" w:type="dxa"/>
            <w:vAlign w:val="bottom"/>
          </w:tcPr>
          <w:p>
            <w:pPr>
              <w:spacing w:after="0"/>
              <w:rPr>
                <w:sz w:val="1"/>
                <w:szCs w:val="1"/>
                <w:color w:val="auto"/>
              </w:rPr>
            </w:pPr>
          </w:p>
        </w:tc>
      </w:tr>
      <w:tr>
        <w:trPr>
          <w:trHeight w:val="162"/>
        </w:trPr>
        <w:tc>
          <w:tcPr>
            <w:tcW w:w="372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Impairments for long-lived assets and goodwill</w:t>
            </w:r>
          </w:p>
        </w:tc>
        <w:tc>
          <w:tcPr>
            <w:tcW w:w="10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711</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711</w:t>
            </w:r>
          </w:p>
        </w:tc>
        <w:tc>
          <w:tcPr>
            <w:tcW w:w="0" w:type="dxa"/>
            <w:vAlign w:val="bottom"/>
          </w:tcPr>
          <w:p>
            <w:pPr>
              <w:spacing w:after="0"/>
              <w:rPr>
                <w:sz w:val="1"/>
                <w:szCs w:val="1"/>
                <w:color w:val="auto"/>
              </w:rPr>
            </w:pPr>
          </w:p>
        </w:tc>
      </w:tr>
    </w:tbl>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3720" w:type="dxa"/>
            <w:vAlign w:val="bottom"/>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162"/>
        </w:trPr>
        <w:tc>
          <w:tcPr>
            <w:tcW w:w="372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OIBDA</w:t>
            </w:r>
          </w:p>
        </w:tc>
        <w:tc>
          <w:tcPr>
            <w:tcW w:w="1080" w:type="dxa"/>
            <w:vAlign w:val="bottom"/>
            <w:tcBorders>
              <w:right w:val="single" w:sz="8" w:color="CCEEFF"/>
            </w:tcBorders>
            <w:shd w:val="clear" w:color="auto" w:fill="CCEEFF"/>
          </w:tcPr>
          <w:p>
            <w:pPr>
              <w:jc w:val="right"/>
              <w:ind w:right="27"/>
              <w:spacing w:after="0" w:line="161" w:lineRule="exact"/>
              <w:rPr>
                <w:sz w:val="20"/>
                <w:szCs w:val="20"/>
                <w:color w:val="auto"/>
              </w:rPr>
            </w:pPr>
            <w:r>
              <w:rPr>
                <w:rFonts w:ascii="Arial" w:cs="Arial" w:eastAsia="Arial" w:hAnsi="Arial"/>
                <w:sz w:val="15"/>
                <w:szCs w:val="15"/>
                <w:b w:val="1"/>
                <w:bCs w:val="1"/>
                <w:color w:val="auto"/>
              </w:rPr>
              <w:t>3,362,369</w:t>
            </w:r>
          </w:p>
        </w:tc>
        <w:tc>
          <w:tcPr>
            <w:tcW w:w="980" w:type="dxa"/>
            <w:vAlign w:val="bottom"/>
            <w:tcBorders>
              <w:right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(599,630)</w:t>
            </w:r>
          </w:p>
        </w:tc>
        <w:tc>
          <w:tcPr>
            <w:tcW w:w="16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27"/>
              <w:spacing w:after="0" w:line="161" w:lineRule="exact"/>
              <w:rPr>
                <w:sz w:val="20"/>
                <w:szCs w:val="20"/>
                <w:color w:val="auto"/>
              </w:rPr>
            </w:pPr>
            <w:r>
              <w:rPr>
                <w:rFonts w:ascii="Arial" w:cs="Arial" w:eastAsia="Arial" w:hAnsi="Arial"/>
                <w:sz w:val="15"/>
                <w:szCs w:val="15"/>
                <w:b w:val="1"/>
                <w:bCs w:val="1"/>
                <w:color w:val="auto"/>
              </w:rPr>
              <w:t>644,363</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631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3,407,733</w:t>
            </w:r>
          </w:p>
        </w:tc>
      </w:tr>
      <w:tr>
        <w:trPr>
          <w:trHeight w:val="162"/>
        </w:trPr>
        <w:tc>
          <w:tcPr>
            <w:tcW w:w="37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169"/>
        </w:trPr>
        <w:tc>
          <w:tcPr>
            <w:tcW w:w="37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Depreciation and amortization</w:t>
            </w:r>
          </w:p>
        </w:tc>
        <w:tc>
          <w:tcPr>
            <w:tcW w:w="1080" w:type="dxa"/>
            <w:vAlign w:val="bottom"/>
            <w:tcBorders>
              <w:right w:val="single" w:sz="8" w:color="CCEEFF"/>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428,471</w:t>
            </w:r>
          </w:p>
        </w:tc>
        <w:tc>
          <w:tcPr>
            <w:tcW w:w="980" w:type="dxa"/>
            <w:vAlign w:val="bottom"/>
            <w:tcBorders>
              <w:right w:val="single" w:sz="8" w:color="CCEEFF"/>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288,602</w:t>
            </w:r>
          </w:p>
        </w:tc>
        <w:tc>
          <w:tcPr>
            <w:tcW w:w="16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462,748</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(4,926)</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1,174,895</w:t>
            </w:r>
          </w:p>
        </w:tc>
      </w:tr>
      <w:tr>
        <w:trPr>
          <w:trHeight w:val="162"/>
        </w:trPr>
        <w:tc>
          <w:tcPr>
            <w:tcW w:w="372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Total costs and expenses</w:t>
            </w:r>
          </w:p>
        </w:tc>
        <w:tc>
          <w:tcPr>
            <w:tcW w:w="1080" w:type="dxa"/>
            <w:vAlign w:val="bottom"/>
            <w:tcBorders>
              <w:top w:val="single" w:sz="8" w:color="auto"/>
              <w:bottom w:val="single" w:sz="8" w:color="auto"/>
            </w:tcBorders>
          </w:tcPr>
          <w:p>
            <w:pPr>
              <w:jc w:val="right"/>
              <w:ind w:right="27"/>
              <w:spacing w:after="0" w:line="161" w:lineRule="exact"/>
              <w:rPr>
                <w:sz w:val="20"/>
                <w:szCs w:val="20"/>
                <w:color w:val="auto"/>
              </w:rPr>
            </w:pPr>
            <w:r>
              <w:rPr>
                <w:rFonts w:ascii="Arial" w:cs="Arial" w:eastAsia="Arial" w:hAnsi="Arial"/>
                <w:sz w:val="15"/>
                <w:szCs w:val="15"/>
                <w:color w:val="auto"/>
              </w:rPr>
              <w:t>9,571,494</w:t>
            </w:r>
          </w:p>
        </w:tc>
        <w:tc>
          <w:tcPr>
            <w:tcW w:w="980" w:type="dxa"/>
            <w:vAlign w:val="bottom"/>
            <w:tcBorders>
              <w:top w:val="single" w:sz="8" w:color="auto"/>
              <w:bottom w:val="single" w:sz="8" w:color="auto"/>
            </w:tcBorders>
          </w:tcPr>
          <w:p>
            <w:pPr>
              <w:jc w:val="right"/>
              <w:ind w:right="27"/>
              <w:spacing w:after="0" w:line="161" w:lineRule="exact"/>
              <w:rPr>
                <w:sz w:val="20"/>
                <w:szCs w:val="20"/>
                <w:color w:val="auto"/>
              </w:rPr>
            </w:pPr>
            <w:r>
              <w:rPr>
                <w:rFonts w:ascii="Arial" w:cs="Arial" w:eastAsia="Arial" w:hAnsi="Arial"/>
                <w:sz w:val="15"/>
                <w:szCs w:val="15"/>
                <w:color w:val="auto"/>
              </w:rPr>
              <w:t>5,068,250</w:t>
            </w: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
              <w:spacing w:after="0" w:line="161" w:lineRule="exact"/>
              <w:rPr>
                <w:sz w:val="20"/>
                <w:szCs w:val="20"/>
                <w:color w:val="auto"/>
              </w:rPr>
            </w:pPr>
            <w:r>
              <w:rPr>
                <w:rFonts w:ascii="Arial" w:cs="Arial" w:eastAsia="Arial" w:hAnsi="Arial"/>
                <w:sz w:val="15"/>
                <w:szCs w:val="15"/>
                <w:color w:val="auto"/>
              </w:rPr>
              <w:t>1,816,478</w:t>
            </w: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(54,814)</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16,401,408</w:t>
            </w:r>
          </w:p>
        </w:tc>
      </w:tr>
      <w:tr>
        <w:trPr>
          <w:trHeight w:val="162"/>
        </w:trPr>
        <w:tc>
          <w:tcPr>
            <w:tcW w:w="3720" w:type="dxa"/>
            <w:vAlign w:val="bottom"/>
            <w:shd w:val="clear" w:color="auto" w:fill="CCEEFF"/>
          </w:tcPr>
          <w:p>
            <w:pPr>
              <w:spacing w:after="0"/>
              <w:rPr>
                <w:sz w:val="14"/>
                <w:szCs w:val="14"/>
                <w:color w:val="auto"/>
              </w:rPr>
            </w:pPr>
          </w:p>
        </w:tc>
        <w:tc>
          <w:tcPr>
            <w:tcW w:w="1080" w:type="dxa"/>
            <w:vAlign w:val="bottom"/>
            <w:tcBorders>
              <w:bottom w:val="single" w:sz="8" w:color="auto"/>
              <w:right w:val="single" w:sz="8" w:color="CCEEFF"/>
            </w:tcBorders>
            <w:shd w:val="clear" w:color="auto" w:fill="CCEEFF"/>
          </w:tcPr>
          <w:p>
            <w:pPr>
              <w:spacing w:after="0"/>
              <w:rPr>
                <w:sz w:val="14"/>
                <w:szCs w:val="14"/>
                <w:color w:val="auto"/>
              </w:rPr>
            </w:pPr>
          </w:p>
        </w:tc>
        <w:tc>
          <w:tcPr>
            <w:tcW w:w="980" w:type="dxa"/>
            <w:vAlign w:val="bottom"/>
            <w:tcBorders>
              <w:bottom w:val="single" w:sz="8" w:color="auto"/>
              <w:right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r>
      <w:tr>
        <w:trPr>
          <w:trHeight w:val="202"/>
        </w:trPr>
        <w:tc>
          <w:tcPr>
            <w:tcW w:w="372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color w:val="auto"/>
              </w:rPr>
              <w:t>Operating income (loss)</w:t>
            </w:r>
          </w:p>
        </w:tc>
        <w:tc>
          <w:tcPr>
            <w:tcW w:w="1080" w:type="dxa"/>
            <w:vAlign w:val="bottom"/>
            <w:tcBorders>
              <w:bottom w:val="single" w:sz="8" w:color="auto"/>
            </w:tcBorders>
          </w:tcPr>
          <w:p>
            <w:pPr>
              <w:jc w:val="right"/>
              <w:ind w:right="127"/>
              <w:spacing w:after="0" w:line="161" w:lineRule="exact"/>
              <w:rPr>
                <w:sz w:val="20"/>
                <w:szCs w:val="20"/>
                <w:color w:val="auto"/>
              </w:rPr>
            </w:pPr>
            <w:r>
              <w:rPr>
                <w:rFonts w:ascii="Arial" w:cs="Arial" w:eastAsia="Arial" w:hAnsi="Arial"/>
                <w:sz w:val="15"/>
                <w:szCs w:val="15"/>
                <w:color w:val="auto"/>
              </w:rPr>
              <w:t>$  2,933,898</w:t>
            </w:r>
          </w:p>
        </w:tc>
        <w:tc>
          <w:tcPr>
            <w:tcW w:w="980" w:type="dxa"/>
            <w:vAlign w:val="bottom"/>
            <w:tcBorders>
              <w:bottom w:val="single" w:sz="8" w:color="auto"/>
            </w:tcBorders>
          </w:tcPr>
          <w:p>
            <w:pPr>
              <w:jc w:val="right"/>
              <w:ind w:right="87"/>
              <w:spacing w:after="0" w:line="161" w:lineRule="exact"/>
              <w:rPr>
                <w:sz w:val="20"/>
                <w:szCs w:val="20"/>
                <w:color w:val="auto"/>
              </w:rPr>
            </w:pPr>
            <w:r>
              <w:rPr>
                <w:rFonts w:ascii="Arial" w:cs="Arial" w:eastAsia="Arial" w:hAnsi="Arial"/>
                <w:sz w:val="15"/>
                <w:szCs w:val="15"/>
                <w:color w:val="auto"/>
              </w:rPr>
              <w:t>$ (888,232)</w:t>
            </w:r>
          </w:p>
        </w:tc>
        <w:tc>
          <w:tcPr>
            <w:tcW w:w="160" w:type="dxa"/>
            <w:vAlign w:val="bottom"/>
            <w:tcBorders>
              <w:bottom w:val="single" w:sz="8" w:color="auto"/>
            </w:tcBorders>
          </w:tcPr>
          <w:p>
            <w:pPr>
              <w:jc w:val="right"/>
              <w:ind w:right="7"/>
              <w:spacing w:after="0" w:line="161"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47"/>
              <w:spacing w:after="0" w:line="161" w:lineRule="exact"/>
              <w:rPr>
                <w:sz w:val="20"/>
                <w:szCs w:val="20"/>
                <w:color w:val="auto"/>
              </w:rPr>
            </w:pPr>
            <w:r>
              <w:rPr>
                <w:rFonts w:ascii="Arial" w:cs="Arial" w:eastAsia="Arial" w:hAnsi="Arial"/>
                <w:sz w:val="15"/>
                <w:szCs w:val="15"/>
                <w:color w:val="auto"/>
              </w:rPr>
              <w:t>181,615</w:t>
            </w:r>
          </w:p>
        </w:tc>
        <w:tc>
          <w:tcPr>
            <w:tcW w:w="220" w:type="dxa"/>
            <w:vAlign w:val="bottom"/>
            <w:tcBorders>
              <w:bottom w:val="single" w:sz="8" w:color="auto"/>
            </w:tcBorders>
          </w:tcPr>
          <w:p>
            <w:pPr>
              <w:jc w:val="right"/>
              <w:ind w:right="67"/>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67"/>
              <w:spacing w:after="0" w:line="161" w:lineRule="exact"/>
              <w:rPr>
                <w:sz w:val="20"/>
                <w:szCs w:val="20"/>
                <w:color w:val="auto"/>
              </w:rPr>
            </w:pPr>
            <w:r>
              <w:rPr>
                <w:rFonts w:ascii="Arial" w:cs="Arial" w:eastAsia="Arial" w:hAnsi="Arial"/>
                <w:sz w:val="15"/>
                <w:szCs w:val="15"/>
                <w:color w:val="auto"/>
              </w:rPr>
              <w:t>5,557</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7"/>
              <w:spacing w:after="0" w:line="161" w:lineRule="exact"/>
              <w:rPr>
                <w:sz w:val="20"/>
                <w:szCs w:val="20"/>
                <w:color w:val="auto"/>
              </w:rPr>
            </w:pPr>
            <w:r>
              <w:rPr>
                <w:rFonts w:ascii="Arial" w:cs="Arial" w:eastAsia="Arial" w:hAnsi="Arial"/>
                <w:sz w:val="15"/>
                <w:szCs w:val="15"/>
                <w:color w:val="auto"/>
              </w:rPr>
              <w:t>2,232,838</w:t>
            </w:r>
          </w:p>
        </w:tc>
      </w:tr>
      <w:tr>
        <w:trPr>
          <w:trHeight w:val="146"/>
        </w:trPr>
        <w:tc>
          <w:tcPr>
            <w:tcW w:w="372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b w:val="1"/>
                <w:bCs w:val="1"/>
                <w:color w:val="auto"/>
              </w:rPr>
              <w:t>Unallocated Amounts</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9"/>
        </w:trPr>
        <w:tc>
          <w:tcPr>
            <w:tcW w:w="37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income</w:t>
            </w:r>
          </w:p>
        </w:tc>
        <w:tc>
          <w:tcPr>
            <w:tcW w:w="1080" w:type="dxa"/>
            <w:vAlign w:val="bottom"/>
            <w:tcBorders>
              <w:right w:val="single" w:sz="8" w:color="CCEEFF"/>
            </w:tcBorders>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93,240</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Interest expense, net of amounts capitalized</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(79,217)</w:t>
            </w:r>
          </w:p>
        </w:tc>
      </w:tr>
      <w:tr>
        <w:trPr>
          <w:trHeight w:val="169"/>
        </w:trPr>
        <w:tc>
          <w:tcPr>
            <w:tcW w:w="37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net</w:t>
            </w:r>
          </w:p>
        </w:tc>
        <w:tc>
          <w:tcPr>
            <w:tcW w:w="1080" w:type="dxa"/>
            <w:vAlign w:val="bottom"/>
            <w:tcBorders>
              <w:right w:val="single" w:sz="8" w:color="CCEEFF"/>
            </w:tcBorders>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1,088,441</w:t>
            </w:r>
          </w:p>
        </w:tc>
      </w:tr>
      <w:tr>
        <w:trPr>
          <w:trHeight w:val="162"/>
        </w:trPr>
        <w:tc>
          <w:tcPr>
            <w:tcW w:w="3720" w:type="dxa"/>
            <w:vAlign w:val="bottom"/>
          </w:tcPr>
          <w:p>
            <w:pPr>
              <w:spacing w:after="0" w:line="161" w:lineRule="exact"/>
              <w:rPr>
                <w:sz w:val="20"/>
                <w:szCs w:val="20"/>
                <w:color w:val="auto"/>
              </w:rPr>
            </w:pPr>
            <w:r>
              <w:rPr>
                <w:rFonts w:ascii="Arial" w:cs="Arial" w:eastAsia="Arial" w:hAnsi="Arial"/>
                <w:sz w:val="15"/>
                <w:szCs w:val="15"/>
                <w:color w:val="auto"/>
              </w:rPr>
              <w:t>Income (loss) before income taxes</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7"/>
              <w:spacing w:after="0" w:line="161"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67"/>
              <w:spacing w:after="0" w:line="161" w:lineRule="exact"/>
              <w:rPr>
                <w:sz w:val="20"/>
                <w:szCs w:val="20"/>
                <w:color w:val="auto"/>
              </w:rPr>
            </w:pPr>
            <w:r>
              <w:rPr>
                <w:rFonts w:ascii="Arial" w:cs="Arial" w:eastAsia="Arial" w:hAnsi="Arial"/>
                <w:sz w:val="15"/>
                <w:szCs w:val="15"/>
                <w:color w:val="auto"/>
              </w:rPr>
              <w:t>3,335,302</w:t>
            </w:r>
          </w:p>
        </w:tc>
      </w:tr>
      <w:tr>
        <w:trPr>
          <w:trHeight w:val="20"/>
        </w:trPr>
        <w:tc>
          <w:tcPr>
            <w:tcW w:w="3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41">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22" w:name="page223"/>
    <w:bookmarkEnd w:id="22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purchases of property and equipment, net of refunds, (including capitalized interest related to Regulatory authorizations)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by segment were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7"/>
              <w:spacing w:after="0"/>
              <w:rPr>
                <w:sz w:val="20"/>
                <w:szCs w:val="20"/>
                <w:color w:val="auto"/>
              </w:rPr>
            </w:pPr>
            <w:r>
              <w:rPr>
                <w:rFonts w:ascii="Arial" w:cs="Arial" w:eastAsia="Arial" w:hAnsi="Arial"/>
                <w:sz w:val="15"/>
                <w:szCs w:val="15"/>
                <w:b w:val="1"/>
                <w:bCs w:val="1"/>
                <w:color w:val="auto"/>
                <w:w w:val="95"/>
              </w:rPr>
              <w:t>Broadband</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auto"/>
                <w:w w:val="95"/>
              </w:rPr>
              <w:t>and Satellite</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98"/>
              </w:rPr>
              <w:t>Pay-TV</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rPr>
              <w:t>Wireless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
              <w:spacing w:after="0"/>
              <w:rPr>
                <w:sz w:val="20"/>
                <w:szCs w:val="20"/>
                <w:color w:val="auto"/>
              </w:rPr>
            </w:pPr>
            <w:r>
              <w:rPr>
                <w:rFonts w:ascii="Arial" w:cs="Arial" w:eastAsia="Arial" w:hAnsi="Arial"/>
                <w:sz w:val="15"/>
                <w:szCs w:val="15"/>
                <w:b w:val="1"/>
                <w:bCs w:val="1"/>
                <w:color w:val="auto"/>
                <w:w w:val="97"/>
              </w:rPr>
              <w:t>Services</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Eliminations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5"/>
                <w:szCs w:val="15"/>
                <w:color w:val="auto"/>
                <w:w w:val="97"/>
              </w:rPr>
              <w:t>(In thousands)</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For the Year Ended December 31, 2024</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5"/>
                <w:szCs w:val="15"/>
                <w:color w:val="auto"/>
              </w:rPr>
              <w:t>Purchases of property and equipment, net of refunds,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00" w:type="dxa"/>
            <w:vAlign w:val="bottom"/>
            <w:gridSpan w:val="2"/>
          </w:tcPr>
          <w:p>
            <w:pPr>
              <w:spacing w:after="0" w:line="169" w:lineRule="exact"/>
              <w:rPr>
                <w:sz w:val="20"/>
                <w:szCs w:val="20"/>
                <w:color w:val="auto"/>
              </w:rPr>
            </w:pPr>
            <w:r>
              <w:rPr>
                <w:rFonts w:ascii="Arial" w:cs="Arial" w:eastAsia="Arial" w:hAnsi="Arial"/>
                <w:sz w:val="15"/>
                <w:szCs w:val="15"/>
                <w:color w:val="auto"/>
              </w:rPr>
              <w:t>(including capitalized interest related to regulatory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00" w:type="dxa"/>
            <w:vAlign w:val="bottom"/>
            <w:gridSpan w:val="2"/>
          </w:tcPr>
          <w:p>
            <w:pPr>
              <w:spacing w:after="0"/>
              <w:rPr>
                <w:sz w:val="20"/>
                <w:szCs w:val="20"/>
                <w:color w:val="auto"/>
              </w:rPr>
            </w:pPr>
            <w:r>
              <w:rPr>
                <w:rFonts w:ascii="Arial" w:cs="Arial" w:eastAsia="Arial" w:hAnsi="Arial"/>
                <w:sz w:val="15"/>
                <w:szCs w:val="15"/>
                <w:color w:val="auto"/>
              </w:rPr>
              <w:t>authorizations)</w:t>
            </w:r>
          </w:p>
        </w:tc>
        <w:tc>
          <w:tcPr>
            <w:tcW w:w="3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218,473</w:t>
            </w:r>
          </w:p>
        </w:tc>
        <w:tc>
          <w:tcPr>
            <w:tcW w:w="3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2,065,570</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212,581</w:t>
            </w: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2,496,624</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58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For the Year Ended December 31, 2023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Purchases of property and equipment, net of refunds,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(including capitalized interest related to regulatory</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authorizations)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242,736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3,748,624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233,423</w:t>
            </w:r>
          </w:p>
        </w:tc>
        <w:tc>
          <w:tcPr>
            <w:tcW w:w="32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4,224,783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5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For the Year Ended December 31, 2022</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5"/>
                <w:szCs w:val="15"/>
                <w:color w:val="auto"/>
              </w:rPr>
              <w:t>Purchases of property and equipment, net of refunds,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00" w:type="dxa"/>
            <w:vAlign w:val="bottom"/>
            <w:gridSpan w:val="2"/>
          </w:tcPr>
          <w:p>
            <w:pPr>
              <w:spacing w:after="0" w:line="169" w:lineRule="exact"/>
              <w:rPr>
                <w:sz w:val="20"/>
                <w:szCs w:val="20"/>
                <w:color w:val="auto"/>
              </w:rPr>
            </w:pPr>
            <w:r>
              <w:rPr>
                <w:rFonts w:ascii="Arial" w:cs="Arial" w:eastAsia="Arial" w:hAnsi="Arial"/>
                <w:sz w:val="15"/>
                <w:szCs w:val="15"/>
                <w:color w:val="auto"/>
              </w:rPr>
              <w:t>(including capitalized interest related to regulatory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600" w:type="dxa"/>
            <w:vAlign w:val="bottom"/>
            <w:gridSpan w:val="2"/>
          </w:tcPr>
          <w:p>
            <w:pPr>
              <w:spacing w:after="0"/>
              <w:rPr>
                <w:sz w:val="20"/>
                <w:szCs w:val="20"/>
                <w:color w:val="auto"/>
              </w:rPr>
            </w:pPr>
            <w:r>
              <w:rPr>
                <w:rFonts w:ascii="Arial" w:cs="Arial" w:eastAsia="Arial" w:hAnsi="Arial"/>
                <w:sz w:val="15"/>
                <w:szCs w:val="15"/>
                <w:color w:val="auto"/>
              </w:rPr>
              <w:t>authorizations)</w:t>
            </w:r>
          </w:p>
        </w:tc>
        <w:tc>
          <w:tcPr>
            <w:tcW w:w="3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131,093</w:t>
            </w:r>
          </w:p>
        </w:tc>
        <w:tc>
          <w:tcPr>
            <w:tcW w:w="3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3,580,518</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325,891</w:t>
            </w: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(2,721)</w:t>
            </w:r>
          </w:p>
        </w:tc>
        <w:tc>
          <w:tcPr>
            <w:tcW w:w="3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4,034,781</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0" w:right="179"/>
        <w:spacing w:after="0" w:line="249" w:lineRule="auto"/>
        <w:rPr>
          <w:sz w:val="20"/>
          <w:szCs w:val="20"/>
          <w:color w:val="auto"/>
        </w:rPr>
      </w:pPr>
      <w:r>
        <w:rPr>
          <w:rFonts w:ascii="Arial" w:cs="Arial" w:eastAsia="Arial" w:hAnsi="Arial"/>
          <w:sz w:val="16"/>
          <w:szCs w:val="16"/>
          <w:b w:val="1"/>
          <w:bCs w:val="1"/>
          <w:i w:val="1"/>
          <w:iCs w:val="1"/>
          <w:color w:val="auto"/>
        </w:rPr>
        <w:t xml:space="preserve">Geographic Information. </w:t>
      </w:r>
      <w:r>
        <w:rPr>
          <w:rFonts w:ascii="Arial" w:cs="Arial" w:eastAsia="Arial" w:hAnsi="Arial"/>
          <w:sz w:val="16"/>
          <w:szCs w:val="16"/>
          <w:color w:val="auto"/>
        </w:rPr>
        <w:t>Revenue is attributed to geographic regions based upon the customer billing location. Long-lived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are associated with the geographic regions based upon the location where the asset resides. Geographic regions consist of: (i) North America, including the U.S. and its territories, Mexico, and Canada; (ii) Foreign, including South and Central America, Asia, Africa, Australia, Europe, India, and the Middle East.</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020" w:type="dxa"/>
            <w:vAlign w:val="bottom"/>
            <w:gridSpan w:val="2"/>
          </w:tcPr>
          <w:p>
            <w:pPr>
              <w:spacing w:after="0"/>
              <w:rPr>
                <w:sz w:val="20"/>
                <w:szCs w:val="20"/>
                <w:color w:val="auto"/>
              </w:rPr>
            </w:pPr>
            <w:r>
              <w:rPr>
                <w:rFonts w:ascii="Arial" w:cs="Arial" w:eastAsia="Arial" w:hAnsi="Arial"/>
                <w:sz w:val="16"/>
                <w:szCs w:val="16"/>
                <w:color w:val="auto"/>
              </w:rPr>
              <w:t>The following table summarizes revenue by geographic region:</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6"/>
                <w:szCs w:val="16"/>
                <w:b w:val="1"/>
                <w:bCs w:val="1"/>
                <w:color w:val="auto"/>
              </w:rPr>
              <w:t>For the Years Ended December 31,</w:t>
            </w:r>
          </w:p>
        </w:tc>
        <w:tc>
          <w:tcPr>
            <w:tcW w:w="0" w:type="dxa"/>
            <w:vAlign w:val="bottom"/>
          </w:tcPr>
          <w:p>
            <w:pPr>
              <w:spacing w:after="0"/>
              <w:rPr>
                <w:sz w:val="1"/>
                <w:szCs w:val="1"/>
                <w:color w:val="auto"/>
              </w:rPr>
            </w:pPr>
          </w:p>
        </w:tc>
      </w:tr>
      <w:tr>
        <w:trPr>
          <w:trHeight w:val="182"/>
        </w:trPr>
        <w:tc>
          <w:tcPr>
            <w:tcW w:w="50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19"/>
              <w:spacing w:after="0" w:line="181"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74"/>
        </w:trPr>
        <w:tc>
          <w:tcPr>
            <w:tcW w:w="4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Borders>
              <w:top w:val="single" w:sz="8" w:color="auto"/>
            </w:tcBorders>
            <w:gridSpan w:val="2"/>
          </w:tcPr>
          <w:p>
            <w:pPr>
              <w:jc w:val="center"/>
              <w:spacing w:after="0" w:line="174" w:lineRule="exact"/>
              <w:rPr>
                <w:sz w:val="20"/>
                <w:szCs w:val="20"/>
                <w:color w:val="auto"/>
              </w:rPr>
            </w:pPr>
            <w:r>
              <w:rPr>
                <w:rFonts w:ascii="Arial" w:cs="Arial" w:eastAsia="Arial" w:hAnsi="Arial"/>
                <w:sz w:val="16"/>
                <w:szCs w:val="16"/>
                <w:color w:val="auto"/>
                <w:w w:val="99"/>
              </w:rPr>
              <w:t>(In thousands)</w:t>
            </w: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North America</w:t>
            </w:r>
          </w:p>
        </w:tc>
        <w:tc>
          <w:tcPr>
            <w:tcW w:w="200" w:type="dxa"/>
            <w:vAlign w:val="bottom"/>
            <w:shd w:val="clear" w:color="auto" w:fill="CCEEFF"/>
          </w:tcPr>
          <w:p>
            <w:pPr>
              <w:jc w:val="right"/>
              <w:ind w:right="19"/>
              <w:spacing w:after="0" w:line="181"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15,508,769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16,670,377</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18,244,417</w:t>
            </w:r>
          </w:p>
        </w:tc>
        <w:tc>
          <w:tcPr>
            <w:tcW w:w="0" w:type="dxa"/>
            <w:vAlign w:val="bottom"/>
          </w:tcPr>
          <w:p>
            <w:pPr>
              <w:spacing w:after="0"/>
              <w:rPr>
                <w:sz w:val="1"/>
                <w:szCs w:val="1"/>
                <w:color w:val="auto"/>
              </w:rPr>
            </w:pPr>
          </w:p>
        </w:tc>
      </w:tr>
      <w:tr>
        <w:trPr>
          <w:trHeight w:val="182"/>
        </w:trPr>
        <w:tc>
          <w:tcPr>
            <w:tcW w:w="5020" w:type="dxa"/>
            <w:vAlign w:val="bottom"/>
            <w:tcBorders>
              <w:bottom w:val="single" w:sz="8" w:color="CCEEFF"/>
            </w:tcBorders>
            <w:gridSpan w:val="2"/>
          </w:tcPr>
          <w:p>
            <w:pPr>
              <w:spacing w:after="0" w:line="181" w:lineRule="exact"/>
              <w:rPr>
                <w:sz w:val="20"/>
                <w:szCs w:val="20"/>
                <w:color w:val="auto"/>
              </w:rPr>
            </w:pPr>
            <w:r>
              <w:rPr>
                <w:rFonts w:ascii="Arial" w:cs="Arial" w:eastAsia="Arial" w:hAnsi="Arial"/>
                <w:sz w:val="16"/>
                <w:szCs w:val="16"/>
                <w:color w:val="auto"/>
              </w:rPr>
              <w:t>Foreign</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316,747</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345,221</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389,829</w:t>
            </w:r>
          </w:p>
        </w:tc>
        <w:tc>
          <w:tcPr>
            <w:tcW w:w="0" w:type="dxa"/>
            <w:vAlign w:val="bottom"/>
          </w:tcPr>
          <w:p>
            <w:pPr>
              <w:spacing w:after="0"/>
              <w:rPr>
                <w:sz w:val="1"/>
                <w:szCs w:val="1"/>
                <w:color w:val="auto"/>
              </w:rPr>
            </w:pPr>
          </w:p>
        </w:tc>
      </w:tr>
      <w:tr>
        <w:trPr>
          <w:trHeight w:val="174"/>
        </w:trPr>
        <w:tc>
          <w:tcPr>
            <w:tcW w:w="5020" w:type="dxa"/>
            <w:vAlign w:val="bottom"/>
            <w:tcBorders>
              <w:bottom w:val="single" w:sz="8" w:color="CCEEFF"/>
            </w:tcBorders>
            <w:gridSpan w:val="2"/>
            <w:shd w:val="clear" w:color="auto" w:fill="CCEEFF"/>
          </w:tcPr>
          <w:p>
            <w:pPr>
              <w:spacing w:after="0" w:line="174" w:lineRule="exact"/>
              <w:rPr>
                <w:sz w:val="20"/>
                <w:szCs w:val="20"/>
                <w:color w:val="auto"/>
              </w:rPr>
            </w:pPr>
            <w:r>
              <w:rPr>
                <w:rFonts w:ascii="Arial" w:cs="Arial" w:eastAsia="Arial" w:hAnsi="Arial"/>
                <w:sz w:val="16"/>
                <w:szCs w:val="16"/>
                <w:b w:val="1"/>
                <w:bCs w:val="1"/>
                <w:color w:val="auto"/>
              </w:rPr>
              <w:t>Total revenue</w:t>
            </w:r>
          </w:p>
        </w:tc>
        <w:tc>
          <w:tcPr>
            <w:tcW w:w="200" w:type="dxa"/>
            <w:vAlign w:val="bottom"/>
            <w:tcBorders>
              <w:bottom w:val="single" w:sz="8" w:color="auto"/>
            </w:tcBorders>
            <w:shd w:val="clear" w:color="auto" w:fill="CCEEFF"/>
          </w:tcPr>
          <w:p>
            <w:pPr>
              <w:jc w:val="right"/>
              <w:ind w:right="19"/>
              <w:spacing w:after="0" w:line="174"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15,825,516</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17,015,598</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18,634,246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580" w:type="dxa"/>
            <w:vAlign w:val="bottom"/>
            <w:gridSpan w:val="3"/>
          </w:tcPr>
          <w:p>
            <w:pPr>
              <w:spacing w:after="0"/>
              <w:rPr>
                <w:sz w:val="20"/>
                <w:szCs w:val="20"/>
                <w:color w:val="auto"/>
              </w:rPr>
            </w:pPr>
            <w:r>
              <w:rPr>
                <w:rFonts w:ascii="Arial" w:cs="Arial" w:eastAsia="Arial" w:hAnsi="Arial"/>
                <w:sz w:val="16"/>
                <w:szCs w:val="16"/>
                <w:color w:val="auto"/>
              </w:rPr>
              <w:t>The following table summarizes long-lived assets by geographic region: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580" w:type="dxa"/>
            <w:vAlign w:val="bottom"/>
            <w:gridSpan w:val="3"/>
            <w:vMerge w:val="restart"/>
          </w:tcPr>
          <w:p>
            <w:pPr>
              <w:ind w:left="900"/>
              <w:spacing w:after="0"/>
              <w:rPr>
                <w:sz w:val="20"/>
                <w:szCs w:val="20"/>
                <w:color w:val="auto"/>
              </w:rPr>
            </w:pPr>
            <w:r>
              <w:rPr>
                <w:rFonts w:ascii="Arial" w:cs="Arial" w:eastAsia="Arial" w:hAnsi="Arial"/>
                <w:sz w:val="16"/>
                <w:szCs w:val="16"/>
                <w:b w:val="1"/>
                <w:bCs w:val="1"/>
                <w:color w:val="auto"/>
              </w:rPr>
              <w:t>Long-lived assets:</w:t>
            </w: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82"/>
        </w:trPr>
        <w:tc>
          <w:tcPr>
            <w:tcW w:w="55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99"/>
              <w:spacing w:after="0" w:line="181" w:lineRule="exact"/>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4"/>
          </w:tcPr>
          <w:p>
            <w:pPr>
              <w:jc w:val="right"/>
              <w:ind w:right="639"/>
              <w:spacing w:after="0" w:line="174" w:lineRule="exact"/>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46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North America</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51,729,583</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50,965,318</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4680" w:type="dxa"/>
            <w:vAlign w:val="bottom"/>
            <w:tcBorders>
              <w:bottom w:val="single" w:sz="8" w:color="CCEEFF"/>
            </w:tcBorders>
            <w:gridSpan w:val="2"/>
          </w:tcPr>
          <w:p>
            <w:pPr>
              <w:spacing w:after="0" w:line="181" w:lineRule="exact"/>
              <w:rPr>
                <w:sz w:val="20"/>
                <w:szCs w:val="20"/>
                <w:color w:val="auto"/>
              </w:rPr>
            </w:pPr>
            <w:r>
              <w:rPr>
                <w:rFonts w:ascii="Arial" w:cs="Arial" w:eastAsia="Arial" w:hAnsi="Arial"/>
                <w:sz w:val="16"/>
                <w:szCs w:val="16"/>
                <w:color w:val="auto"/>
              </w:rPr>
              <w:t>Foreign</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160,483</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234,944</w:t>
            </w:r>
          </w:p>
        </w:tc>
        <w:tc>
          <w:tcPr>
            <w:tcW w:w="0" w:type="dxa"/>
            <w:vAlign w:val="bottom"/>
          </w:tcPr>
          <w:p>
            <w:pPr>
              <w:spacing w:after="0"/>
              <w:rPr>
                <w:sz w:val="1"/>
                <w:szCs w:val="1"/>
                <w:color w:val="auto"/>
              </w:rPr>
            </w:pPr>
          </w:p>
        </w:tc>
      </w:tr>
      <w:tr>
        <w:trPr>
          <w:trHeight w:val="174"/>
        </w:trPr>
        <w:tc>
          <w:tcPr>
            <w:tcW w:w="900" w:type="dxa"/>
            <w:vAlign w:val="bottom"/>
          </w:tcPr>
          <w:p>
            <w:pPr>
              <w:spacing w:after="0"/>
              <w:rPr>
                <w:sz w:val="15"/>
                <w:szCs w:val="15"/>
                <w:color w:val="auto"/>
              </w:rPr>
            </w:pPr>
          </w:p>
        </w:tc>
        <w:tc>
          <w:tcPr>
            <w:tcW w:w="4680" w:type="dxa"/>
            <w:vAlign w:val="bottom"/>
            <w:tcBorders>
              <w:bottom w:val="single" w:sz="8" w:color="CCEEFF"/>
            </w:tcBorders>
            <w:gridSpan w:val="2"/>
            <w:shd w:val="clear" w:color="auto" w:fill="CCEEFF"/>
          </w:tcPr>
          <w:p>
            <w:pPr>
              <w:spacing w:after="0" w:line="174" w:lineRule="exact"/>
              <w:rPr>
                <w:sz w:val="20"/>
                <w:szCs w:val="20"/>
                <w:color w:val="auto"/>
              </w:rPr>
            </w:pPr>
            <w:r>
              <w:rPr>
                <w:rFonts w:ascii="Arial" w:cs="Arial" w:eastAsia="Arial" w:hAnsi="Arial"/>
                <w:sz w:val="16"/>
                <w:szCs w:val="16"/>
                <w:b w:val="1"/>
                <w:bCs w:val="1"/>
                <w:color w:val="auto"/>
              </w:rPr>
              <w:t>Total long-lived assets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51,890,066</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51,200,262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42">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23" w:name="page224"/>
    <w:bookmarkEnd w:id="22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revenue from external customers disaggregated by major revenue source was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7"/>
          </w:tcPr>
          <w:p>
            <w:pPr>
              <w:jc w:val="center"/>
              <w:ind w:right="119"/>
              <w:spacing w:after="0"/>
              <w:rPr>
                <w:sz w:val="20"/>
                <w:szCs w:val="20"/>
                <w:color w:val="auto"/>
              </w:rPr>
            </w:pPr>
            <w:r>
              <w:rPr>
                <w:rFonts w:ascii="Arial" w:cs="Arial" w:eastAsia="Arial" w:hAnsi="Arial"/>
                <w:sz w:val="16"/>
                <w:szCs w:val="16"/>
                <w:b w:val="1"/>
                <w:bCs w:val="1"/>
                <w:color w:val="auto"/>
                <w:w w:val="99"/>
              </w:rPr>
              <w:t>For the Years Ended December 31,</w:t>
            </w:r>
          </w:p>
        </w:tc>
      </w:tr>
      <w:tr>
        <w:trPr>
          <w:trHeight w:val="182"/>
        </w:trPr>
        <w:tc>
          <w:tcPr>
            <w:tcW w:w="4920" w:type="dxa"/>
            <w:vAlign w:val="bottom"/>
            <w:gridSpan w:val="2"/>
          </w:tcPr>
          <w:p>
            <w:pPr>
              <w:spacing w:after="0"/>
              <w:rPr>
                <w:sz w:val="20"/>
                <w:szCs w:val="20"/>
                <w:color w:val="auto"/>
              </w:rPr>
            </w:pPr>
            <w:r>
              <w:rPr>
                <w:rFonts w:ascii="Arial" w:cs="Arial" w:eastAsia="Arial" w:hAnsi="Arial"/>
                <w:sz w:val="15"/>
                <w:szCs w:val="15"/>
                <w:b w:val="1"/>
                <w:bCs w:val="1"/>
                <w:color w:val="auto"/>
              </w:rPr>
              <w:t>Category:</w:t>
            </w:r>
          </w:p>
        </w:tc>
        <w:tc>
          <w:tcPr>
            <w:tcW w:w="200" w:type="dxa"/>
            <w:vAlign w:val="bottom"/>
          </w:tcPr>
          <w:p>
            <w:pPr>
              <w:spacing w:after="0"/>
              <w:rPr>
                <w:sz w:val="15"/>
                <w:szCs w:val="15"/>
                <w:color w:val="auto"/>
              </w:rPr>
            </w:pPr>
          </w:p>
        </w:tc>
        <w:tc>
          <w:tcPr>
            <w:tcW w:w="98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79"/>
              <w:spacing w:after="0" w:line="181" w:lineRule="exact"/>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39"/>
              <w:spacing w:after="0" w:line="181" w:lineRule="exact"/>
              <w:rPr>
                <w:sz w:val="20"/>
                <w:szCs w:val="20"/>
                <w:color w:val="auto"/>
              </w:rPr>
            </w:pPr>
            <w:r>
              <w:rPr>
                <w:rFonts w:ascii="Arial" w:cs="Arial" w:eastAsia="Arial" w:hAnsi="Arial"/>
                <w:sz w:val="16"/>
                <w:szCs w:val="16"/>
                <w:b w:val="1"/>
                <w:bCs w:val="1"/>
                <w:color w:val="auto"/>
              </w:rPr>
              <w:t>2022</w:t>
            </w:r>
          </w:p>
        </w:tc>
      </w:tr>
      <w:tr>
        <w:trPr>
          <w:trHeight w:val="174"/>
        </w:trPr>
        <w:tc>
          <w:tcPr>
            <w:tcW w:w="4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gridSpan w:val="2"/>
          </w:tcPr>
          <w:p>
            <w:pPr>
              <w:jc w:val="center"/>
              <w:spacing w:after="0" w:line="174"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182"/>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Pay-TV subscriber and related revenue</w:t>
            </w:r>
          </w:p>
        </w:tc>
        <w:tc>
          <w:tcPr>
            <w:tcW w:w="200" w:type="dxa"/>
            <w:vAlign w:val="bottom"/>
            <w:shd w:val="clear" w:color="auto" w:fill="CCEEFF"/>
          </w:tcPr>
          <w:p>
            <w:pPr>
              <w:jc w:val="right"/>
              <w:ind w:right="19"/>
              <w:spacing w:after="0" w:line="181" w:lineRule="exact"/>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10,613,653</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9"/>
              <w:spacing w:after="0" w:line="181"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11,385,961</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1" w:lineRule="exact"/>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12,360,601</w:t>
            </w:r>
          </w:p>
        </w:tc>
      </w:tr>
      <w:tr>
        <w:trPr>
          <w:trHeight w:val="182"/>
        </w:trPr>
        <w:tc>
          <w:tcPr>
            <w:tcW w:w="4920" w:type="dxa"/>
            <w:vAlign w:val="bottom"/>
            <w:gridSpan w:val="2"/>
          </w:tcPr>
          <w:p>
            <w:pPr>
              <w:spacing w:after="0"/>
              <w:rPr>
                <w:sz w:val="20"/>
                <w:szCs w:val="20"/>
                <w:color w:val="auto"/>
              </w:rPr>
            </w:pPr>
            <w:r>
              <w:rPr>
                <w:rFonts w:ascii="Arial" w:cs="Arial" w:eastAsia="Arial" w:hAnsi="Arial"/>
                <w:sz w:val="15"/>
                <w:szCs w:val="15"/>
                <w:color w:val="auto"/>
              </w:rPr>
              <w:t>Wireless services and related revenue</w:t>
            </w:r>
          </w:p>
        </w:tc>
        <w:tc>
          <w:tcPr>
            <w:tcW w:w="20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3,156,760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3,337,240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3,653,909</w:t>
            </w:r>
          </w:p>
        </w:tc>
      </w:tr>
      <w:tr>
        <w:trPr>
          <w:trHeight w:val="182"/>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Broadband and satellite services and other revenue</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1,204,938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1,443,616</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1,611,069</w:t>
            </w:r>
          </w:p>
        </w:tc>
      </w:tr>
      <w:tr>
        <w:trPr>
          <w:trHeight w:val="182"/>
        </w:trPr>
        <w:tc>
          <w:tcPr>
            <w:tcW w:w="4920" w:type="dxa"/>
            <w:vAlign w:val="bottom"/>
            <w:gridSpan w:val="2"/>
          </w:tcPr>
          <w:p>
            <w:pPr>
              <w:spacing w:after="0"/>
              <w:rPr>
                <w:sz w:val="20"/>
                <w:szCs w:val="20"/>
                <w:color w:val="auto"/>
              </w:rPr>
            </w:pPr>
            <w:r>
              <w:rPr>
                <w:rFonts w:ascii="Arial" w:cs="Arial" w:eastAsia="Arial" w:hAnsi="Arial"/>
                <w:sz w:val="15"/>
                <w:szCs w:val="15"/>
                <w:color w:val="auto"/>
              </w:rPr>
              <w:t>Pay-TV equipment sales and other revenue</w:t>
            </w:r>
          </w:p>
        </w:tc>
        <w:tc>
          <w:tcPr>
            <w:tcW w:w="20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74,551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185,198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144,791</w:t>
            </w:r>
          </w:p>
        </w:tc>
      </w:tr>
      <w:tr>
        <w:trPr>
          <w:trHeight w:val="182"/>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Wireless equipment sales and other revenue</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451,223</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394,920</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526,109</w:t>
            </w:r>
          </w:p>
        </w:tc>
      </w:tr>
      <w:tr>
        <w:trPr>
          <w:trHeight w:val="182"/>
        </w:trPr>
        <w:tc>
          <w:tcPr>
            <w:tcW w:w="4920" w:type="dxa"/>
            <w:vAlign w:val="bottom"/>
            <w:gridSpan w:val="2"/>
          </w:tcPr>
          <w:p>
            <w:pPr>
              <w:spacing w:after="0"/>
              <w:rPr>
                <w:sz w:val="20"/>
                <w:szCs w:val="20"/>
                <w:color w:val="auto"/>
              </w:rPr>
            </w:pPr>
            <w:r>
              <w:rPr>
                <w:rFonts w:ascii="Arial" w:cs="Arial" w:eastAsia="Arial" w:hAnsi="Arial"/>
                <w:sz w:val="15"/>
                <w:szCs w:val="15"/>
                <w:color w:val="auto"/>
              </w:rPr>
              <w:t>Broadband equipment and other revenue</w:t>
            </w:r>
          </w:p>
        </w:tc>
        <w:tc>
          <w:tcPr>
            <w:tcW w:w="20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370,850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311,943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387,024</w:t>
            </w:r>
          </w:p>
        </w:tc>
      </w:tr>
      <w:tr>
        <w:trPr>
          <w:trHeight w:val="182"/>
        </w:trPr>
        <w:tc>
          <w:tcPr>
            <w:tcW w:w="4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Eliminations</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(46,459)</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(43,280)</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(49,257)</w:t>
            </w:r>
          </w:p>
        </w:tc>
      </w:tr>
      <w:tr>
        <w:trPr>
          <w:trHeight w:val="174"/>
        </w:trPr>
        <w:tc>
          <w:tcPr>
            <w:tcW w:w="4920" w:type="dxa"/>
            <w:vAlign w:val="bottom"/>
            <w:gridSpan w:val="2"/>
          </w:tcPr>
          <w:p>
            <w:pPr>
              <w:spacing w:after="0"/>
              <w:rPr>
                <w:sz w:val="20"/>
                <w:szCs w:val="20"/>
                <w:color w:val="auto"/>
              </w:rPr>
            </w:pPr>
            <w:r>
              <w:rPr>
                <w:rFonts w:ascii="Arial" w:cs="Arial" w:eastAsia="Arial" w:hAnsi="Arial"/>
                <w:sz w:val="15"/>
                <w:szCs w:val="15"/>
                <w:b w:val="1"/>
                <w:bCs w:val="1"/>
                <w:color w:val="auto"/>
              </w:rPr>
              <w:t>Total</w:t>
            </w:r>
          </w:p>
        </w:tc>
        <w:tc>
          <w:tcPr>
            <w:tcW w:w="200" w:type="dxa"/>
            <w:vAlign w:val="bottom"/>
            <w:tcBorders>
              <w:top w:val="single" w:sz="8" w:color="auto"/>
              <w:bottom w:val="single" w:sz="8" w:color="auto"/>
            </w:tcBorders>
          </w:tcPr>
          <w:p>
            <w:pPr>
              <w:jc w:val="right"/>
              <w:ind w:right="19"/>
              <w:spacing w:after="0" w:line="174"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15,825,516</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74"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17,015,598</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74"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18,634,246</w:t>
            </w: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17.  Revenue Recognition</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allowance for credit losses as of December 31, 2024, 2023 and 2022 were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5"/>
                <w:szCs w:val="15"/>
                <w:b w:val="1"/>
                <w:bCs w:val="1"/>
                <w:color w:val="auto"/>
              </w:rPr>
              <w:t>Broadband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2"/>
        </w:trPr>
        <w:tc>
          <w:tcPr>
            <w:tcW w:w="3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5"/>
                <w:szCs w:val="15"/>
                <w:b w:val="1"/>
                <w:bCs w:val="1"/>
                <w:color w:val="auto"/>
              </w:rPr>
              <w:t>Pay-TV</w:t>
            </w: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5"/>
                <w:szCs w:val="15"/>
                <w:b w:val="1"/>
                <w:bCs w:val="1"/>
                <w:color w:val="auto"/>
              </w:rPr>
              <w:t>Wireless</w:t>
            </w:r>
          </w:p>
        </w:tc>
        <w:tc>
          <w:tcPr>
            <w:tcW w:w="80" w:type="dxa"/>
            <w:vAlign w:val="bottom"/>
          </w:tcPr>
          <w:p>
            <w:pPr>
              <w:spacing w:after="0"/>
              <w:rPr>
                <w:sz w:val="15"/>
                <w:szCs w:val="15"/>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7"/>
              </w:rPr>
              <w:t>Satellite Services</w:t>
            </w: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rPr>
              <w:t>Total</w:t>
            </w:r>
          </w:p>
        </w:tc>
      </w:tr>
      <w:tr>
        <w:trPr>
          <w:trHeight w:val="149"/>
        </w:trPr>
        <w:tc>
          <w:tcPr>
            <w:tcW w:w="37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right"/>
              <w:ind w:right="728"/>
              <w:spacing w:after="0" w:line="149" w:lineRule="exact"/>
              <w:rPr>
                <w:sz w:val="20"/>
                <w:szCs w:val="20"/>
                <w:color w:val="auto"/>
              </w:rPr>
            </w:pPr>
            <w:r>
              <w:rPr>
                <w:rFonts w:ascii="Arial" w:cs="Arial" w:eastAsia="Arial" w:hAnsi="Arial"/>
                <w:sz w:val="15"/>
                <w:szCs w:val="15"/>
                <w:color w:val="auto"/>
              </w:rPr>
              <w:t>(In thousands)</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162"/>
        </w:trPr>
        <w:tc>
          <w:tcPr>
            <w:tcW w:w="378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Balance, December 31, 2021</w:t>
            </w:r>
          </w:p>
        </w:tc>
        <w:tc>
          <w:tcPr>
            <w:tcW w:w="220" w:type="dxa"/>
            <w:vAlign w:val="bottom"/>
            <w:tcBorders>
              <w:bottom w:val="single" w:sz="8" w:color="auto"/>
            </w:tcBorders>
            <w:shd w:val="clear" w:color="auto" w:fill="CCEEFF"/>
          </w:tcPr>
          <w:p>
            <w:pPr>
              <w:jc w:val="right"/>
              <w:ind w:right="47"/>
              <w:spacing w:after="0" w:line="161" w:lineRule="exact"/>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32,947</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47"/>
              <w:spacing w:after="0" w:line="161" w:lineRule="exact"/>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5,587</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14,588</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7"/>
              <w:spacing w:after="0" w:line="161"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53,122</w:t>
            </w:r>
          </w:p>
        </w:tc>
      </w:tr>
      <w:tr>
        <w:trPr>
          <w:trHeight w:val="162"/>
        </w:trPr>
        <w:tc>
          <w:tcPr>
            <w:tcW w:w="3780" w:type="dxa"/>
            <w:vAlign w:val="bottom"/>
          </w:tcPr>
          <w:p>
            <w:pPr>
              <w:spacing w:after="0" w:line="161" w:lineRule="exact"/>
              <w:rPr>
                <w:sz w:val="20"/>
                <w:szCs w:val="20"/>
                <w:color w:val="auto"/>
              </w:rPr>
            </w:pPr>
            <w:r>
              <w:rPr>
                <w:rFonts w:ascii="Arial" w:cs="Arial" w:eastAsia="Arial" w:hAnsi="Arial"/>
                <w:sz w:val="15"/>
                <w:szCs w:val="15"/>
                <w:color w:val="auto"/>
              </w:rPr>
              <w:t>Current period provision for expected credit losses</w:t>
            </w:r>
          </w:p>
        </w:tc>
        <w:tc>
          <w:tcPr>
            <w:tcW w:w="220" w:type="dxa"/>
            <w:vAlign w:val="bottom"/>
          </w:tcPr>
          <w:p>
            <w:pPr>
              <w:spacing w:after="0"/>
              <w:rPr>
                <w:sz w:val="14"/>
                <w:szCs w:val="14"/>
                <w:color w:val="auto"/>
              </w:rPr>
            </w:pPr>
          </w:p>
        </w:tc>
        <w:tc>
          <w:tcPr>
            <w:tcW w:w="1000" w:type="dxa"/>
            <w:vAlign w:val="bottom"/>
          </w:tcPr>
          <w:p>
            <w:pPr>
              <w:jc w:val="right"/>
              <w:spacing w:after="0" w:line="161" w:lineRule="exact"/>
              <w:rPr>
                <w:sz w:val="20"/>
                <w:szCs w:val="20"/>
                <w:color w:val="auto"/>
              </w:rPr>
            </w:pPr>
            <w:r>
              <w:rPr>
                <w:rFonts w:ascii="Arial" w:cs="Arial" w:eastAsia="Arial" w:hAnsi="Arial"/>
                <w:sz w:val="15"/>
                <w:szCs w:val="15"/>
                <w:color w:val="auto"/>
              </w:rPr>
              <w:t>75,518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line="161" w:lineRule="exact"/>
              <w:rPr>
                <w:sz w:val="20"/>
                <w:szCs w:val="20"/>
                <w:color w:val="auto"/>
              </w:rPr>
            </w:pPr>
            <w:r>
              <w:rPr>
                <w:rFonts w:ascii="Arial" w:cs="Arial" w:eastAsia="Arial" w:hAnsi="Arial"/>
                <w:sz w:val="15"/>
                <w:szCs w:val="15"/>
                <w:color w:val="auto"/>
              </w:rPr>
              <w:t>4,146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line="161" w:lineRule="exact"/>
              <w:rPr>
                <w:sz w:val="20"/>
                <w:szCs w:val="20"/>
                <w:color w:val="auto"/>
              </w:rPr>
            </w:pPr>
            <w:r>
              <w:rPr>
                <w:rFonts w:ascii="Arial" w:cs="Arial" w:eastAsia="Arial" w:hAnsi="Arial"/>
                <w:sz w:val="15"/>
                <w:szCs w:val="15"/>
                <w:color w:val="auto"/>
              </w:rPr>
              <w:t>32,911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line="161" w:lineRule="exact"/>
              <w:rPr>
                <w:sz w:val="20"/>
                <w:szCs w:val="20"/>
                <w:color w:val="auto"/>
              </w:rPr>
            </w:pPr>
            <w:r>
              <w:rPr>
                <w:rFonts w:ascii="Arial" w:cs="Arial" w:eastAsia="Arial" w:hAnsi="Arial"/>
                <w:sz w:val="15"/>
                <w:szCs w:val="15"/>
                <w:color w:val="auto"/>
              </w:rPr>
              <w:t>112,575</w:t>
            </w:r>
          </w:p>
        </w:tc>
      </w:tr>
      <w:tr>
        <w:trPr>
          <w:trHeight w:val="169"/>
        </w:trPr>
        <w:tc>
          <w:tcPr>
            <w:tcW w:w="37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Write-offs charged against allowance</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(67,823)</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5"/>
                <w:szCs w:val="15"/>
                <w:color w:val="auto"/>
              </w:rPr>
              <w:t>(6,022)</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(36,011)</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(109,856)</w:t>
            </w:r>
          </w:p>
        </w:tc>
      </w:tr>
      <w:tr>
        <w:trPr>
          <w:trHeight w:val="169"/>
        </w:trPr>
        <w:tc>
          <w:tcPr>
            <w:tcW w:w="3780" w:type="dxa"/>
            <w:vAlign w:val="bottom"/>
          </w:tcPr>
          <w:p>
            <w:pPr>
              <w:spacing w:after="0" w:line="169" w:lineRule="exact"/>
              <w:rPr>
                <w:sz w:val="20"/>
                <w:szCs w:val="20"/>
                <w:color w:val="auto"/>
              </w:rPr>
            </w:pPr>
            <w:r>
              <w:rPr>
                <w:rFonts w:ascii="Arial" w:cs="Arial" w:eastAsia="Arial" w:hAnsi="Arial"/>
                <w:sz w:val="15"/>
                <w:szCs w:val="15"/>
                <w:color w:val="auto"/>
              </w:rPr>
              <w:t>Acquisitions</w:t>
            </w:r>
          </w:p>
        </w:tc>
        <w:tc>
          <w:tcPr>
            <w:tcW w:w="220" w:type="dxa"/>
            <w:vAlign w:val="bottom"/>
          </w:tcPr>
          <w:p>
            <w:pPr>
              <w:spacing w:after="0"/>
              <w:rPr>
                <w:sz w:val="14"/>
                <w:szCs w:val="14"/>
                <w:color w:val="auto"/>
              </w:rPr>
            </w:pPr>
          </w:p>
        </w:tc>
        <w:tc>
          <w:tcPr>
            <w:tcW w:w="106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10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78</w:t>
            </w:r>
          </w:p>
        </w:tc>
      </w:tr>
      <w:tr>
        <w:trPr>
          <w:trHeight w:val="169"/>
        </w:trPr>
        <w:tc>
          <w:tcPr>
            <w:tcW w:w="37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Foreign currency translation</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3,871</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3,871</w:t>
            </w:r>
          </w:p>
        </w:tc>
      </w:tr>
      <w:tr>
        <w:trPr>
          <w:trHeight w:val="162"/>
        </w:trPr>
        <w:tc>
          <w:tcPr>
            <w:tcW w:w="378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b w:val="1"/>
                <w:bCs w:val="1"/>
                <w:color w:val="auto"/>
              </w:rPr>
              <w:t>Balance, December 31, 2022</w:t>
            </w:r>
          </w:p>
        </w:tc>
        <w:tc>
          <w:tcPr>
            <w:tcW w:w="220" w:type="dxa"/>
            <w:vAlign w:val="bottom"/>
            <w:tcBorders>
              <w:top w:val="single" w:sz="8" w:color="auto"/>
              <w:bottom w:val="single" w:sz="8" w:color="auto"/>
            </w:tcBorders>
          </w:tcPr>
          <w:p>
            <w:pPr>
              <w:jc w:val="right"/>
              <w:ind w:right="47"/>
              <w:spacing w:after="0" w:line="161" w:lineRule="exact"/>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40,642</w:t>
            </w:r>
          </w:p>
        </w:tc>
        <w:tc>
          <w:tcPr>
            <w:tcW w:w="6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7"/>
              <w:spacing w:after="0" w:line="161" w:lineRule="exact"/>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3,789</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15,359</w:t>
            </w:r>
          </w:p>
        </w:tc>
        <w:tc>
          <w:tcPr>
            <w:tcW w:w="6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7"/>
              <w:spacing w:after="0" w:line="16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59,790</w:t>
            </w:r>
          </w:p>
        </w:tc>
      </w:tr>
      <w:tr>
        <w:trPr>
          <w:trHeight w:val="162"/>
        </w:trPr>
        <w:tc>
          <w:tcPr>
            <w:tcW w:w="37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Current period provision for expected credit losses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56,421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10,881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34,085</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101,387</w:t>
            </w:r>
          </w:p>
        </w:tc>
      </w:tr>
      <w:tr>
        <w:trPr>
          <w:trHeight w:val="169"/>
        </w:trPr>
        <w:tc>
          <w:tcPr>
            <w:tcW w:w="3780" w:type="dxa"/>
            <w:vAlign w:val="bottom"/>
          </w:tcPr>
          <w:p>
            <w:pPr>
              <w:spacing w:after="0" w:line="169" w:lineRule="exact"/>
              <w:rPr>
                <w:sz w:val="20"/>
                <w:szCs w:val="20"/>
                <w:color w:val="auto"/>
              </w:rPr>
            </w:pPr>
            <w:r>
              <w:rPr>
                <w:rFonts w:ascii="Arial" w:cs="Arial" w:eastAsia="Arial" w:hAnsi="Arial"/>
                <w:sz w:val="15"/>
                <w:szCs w:val="15"/>
                <w:color w:val="auto"/>
              </w:rPr>
              <w:t>Write-offs charged against allowance</w:t>
            </w:r>
          </w:p>
        </w:tc>
        <w:tc>
          <w:tcPr>
            <w:tcW w:w="220" w:type="dxa"/>
            <w:vAlign w:val="bottom"/>
          </w:tcPr>
          <w:p>
            <w:pPr>
              <w:spacing w:after="0"/>
              <w:rPr>
                <w:sz w:val="14"/>
                <w:szCs w:val="14"/>
                <w:color w:val="auto"/>
              </w:rPr>
            </w:pPr>
          </w:p>
        </w:tc>
        <w:tc>
          <w:tcPr>
            <w:tcW w:w="10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(61,743)</w:t>
            </w:r>
          </w:p>
        </w:tc>
        <w:tc>
          <w:tcPr>
            <w:tcW w:w="22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4,001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(29,371)</w:t>
            </w:r>
          </w:p>
        </w:tc>
        <w:tc>
          <w:tcPr>
            <w:tcW w:w="28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(87,113)</w:t>
            </w:r>
          </w:p>
        </w:tc>
      </w:tr>
      <w:tr>
        <w:trPr>
          <w:trHeight w:val="169"/>
        </w:trPr>
        <w:tc>
          <w:tcPr>
            <w:tcW w:w="37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Foreign currency translation</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326</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326</w:t>
            </w:r>
          </w:p>
        </w:tc>
      </w:tr>
      <w:tr>
        <w:trPr>
          <w:trHeight w:val="162"/>
        </w:trPr>
        <w:tc>
          <w:tcPr>
            <w:tcW w:w="378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b w:val="1"/>
                <w:bCs w:val="1"/>
                <w:color w:val="auto"/>
              </w:rPr>
              <w:t>Balance, December 31, 2023</w:t>
            </w:r>
          </w:p>
        </w:tc>
        <w:tc>
          <w:tcPr>
            <w:tcW w:w="220" w:type="dxa"/>
            <w:vAlign w:val="bottom"/>
            <w:tcBorders>
              <w:top w:val="single" w:sz="8" w:color="auto"/>
              <w:bottom w:val="single" w:sz="8" w:color="auto"/>
            </w:tcBorders>
          </w:tcPr>
          <w:p>
            <w:pPr>
              <w:jc w:val="right"/>
              <w:ind w:right="47"/>
              <w:spacing w:after="0" w:line="161" w:lineRule="exact"/>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35,320</w:t>
            </w:r>
          </w:p>
        </w:tc>
        <w:tc>
          <w:tcPr>
            <w:tcW w:w="6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7"/>
              <w:spacing w:after="0" w:line="161" w:lineRule="exact"/>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18,671</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20,399</w:t>
            </w:r>
          </w:p>
        </w:tc>
        <w:tc>
          <w:tcPr>
            <w:tcW w:w="6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7"/>
              <w:spacing w:after="0" w:line="16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74,390</w:t>
            </w:r>
          </w:p>
        </w:tc>
      </w:tr>
      <w:tr>
        <w:trPr>
          <w:trHeight w:val="162"/>
        </w:trPr>
        <w:tc>
          <w:tcPr>
            <w:tcW w:w="37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Current period provision for expected credit losses</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56,729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24,989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25,653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107,371</w:t>
            </w:r>
          </w:p>
        </w:tc>
      </w:tr>
      <w:tr>
        <w:trPr>
          <w:trHeight w:val="169"/>
        </w:trPr>
        <w:tc>
          <w:tcPr>
            <w:tcW w:w="3780" w:type="dxa"/>
            <w:vAlign w:val="bottom"/>
          </w:tcPr>
          <w:p>
            <w:pPr>
              <w:spacing w:after="0" w:line="169" w:lineRule="exact"/>
              <w:rPr>
                <w:sz w:val="20"/>
                <w:szCs w:val="20"/>
                <w:color w:val="auto"/>
              </w:rPr>
            </w:pPr>
            <w:r>
              <w:rPr>
                <w:rFonts w:ascii="Arial" w:cs="Arial" w:eastAsia="Arial" w:hAnsi="Arial"/>
                <w:sz w:val="15"/>
                <w:szCs w:val="15"/>
                <w:color w:val="auto"/>
              </w:rPr>
              <w:t>Write-offs charged against allowance</w:t>
            </w:r>
          </w:p>
        </w:tc>
        <w:tc>
          <w:tcPr>
            <w:tcW w:w="220" w:type="dxa"/>
            <w:vAlign w:val="bottom"/>
          </w:tcPr>
          <w:p>
            <w:pPr>
              <w:spacing w:after="0"/>
              <w:rPr>
                <w:sz w:val="14"/>
                <w:szCs w:val="14"/>
                <w:color w:val="auto"/>
              </w:rPr>
            </w:pPr>
          </w:p>
        </w:tc>
        <w:tc>
          <w:tcPr>
            <w:tcW w:w="10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(49,474)</w:t>
            </w:r>
          </w:p>
        </w:tc>
        <w:tc>
          <w:tcPr>
            <w:tcW w:w="220" w:type="dxa"/>
            <w:vAlign w:val="bottom"/>
          </w:tcPr>
          <w:p>
            <w:pPr>
              <w:spacing w:after="0"/>
              <w:rPr>
                <w:sz w:val="14"/>
                <w:szCs w:val="14"/>
                <w:color w:val="auto"/>
              </w:rPr>
            </w:pPr>
          </w:p>
        </w:tc>
        <w:tc>
          <w:tcPr>
            <w:tcW w:w="11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(14,921)</w:t>
            </w:r>
          </w:p>
        </w:tc>
        <w:tc>
          <w:tcPr>
            <w:tcW w:w="80" w:type="dxa"/>
            <w:vAlign w:val="bottom"/>
          </w:tcPr>
          <w:p>
            <w:pPr>
              <w:spacing w:after="0"/>
              <w:rPr>
                <w:sz w:val="14"/>
                <w:szCs w:val="14"/>
                <w:color w:val="auto"/>
              </w:rPr>
            </w:pPr>
          </w:p>
        </w:tc>
        <w:tc>
          <w:tcPr>
            <w:tcW w:w="12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(34,193)</w:t>
            </w:r>
          </w:p>
        </w:tc>
        <w:tc>
          <w:tcPr>
            <w:tcW w:w="28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5"/>
                <w:szCs w:val="15"/>
                <w:color w:val="auto"/>
              </w:rPr>
              <w:t>(98,588)</w:t>
            </w:r>
          </w:p>
        </w:tc>
      </w:tr>
      <w:tr>
        <w:trPr>
          <w:trHeight w:val="169"/>
        </w:trPr>
        <w:tc>
          <w:tcPr>
            <w:tcW w:w="37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Foreign currency translation</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(545)</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(545)</w:t>
            </w:r>
          </w:p>
        </w:tc>
      </w:tr>
      <w:tr>
        <w:trPr>
          <w:trHeight w:val="202"/>
        </w:trPr>
        <w:tc>
          <w:tcPr>
            <w:tcW w:w="3780" w:type="dxa"/>
            <w:vAlign w:val="bottom"/>
            <w:tcBorders>
              <w:bottom w:val="single" w:sz="8" w:color="CCEEFF"/>
            </w:tcBorders>
          </w:tcPr>
          <w:p>
            <w:pPr>
              <w:spacing w:after="0" w:line="161" w:lineRule="exact"/>
              <w:rPr>
                <w:sz w:val="20"/>
                <w:szCs w:val="20"/>
                <w:color w:val="auto"/>
              </w:rPr>
            </w:pPr>
            <w:r>
              <w:rPr>
                <w:rFonts w:ascii="Arial" w:cs="Arial" w:eastAsia="Arial" w:hAnsi="Arial"/>
                <w:sz w:val="15"/>
                <w:szCs w:val="15"/>
                <w:b w:val="1"/>
                <w:bCs w:val="1"/>
                <w:color w:val="auto"/>
              </w:rPr>
              <w:t>Balance, December 31, 2024</w:t>
            </w:r>
          </w:p>
        </w:tc>
        <w:tc>
          <w:tcPr>
            <w:tcW w:w="220" w:type="dxa"/>
            <w:vAlign w:val="bottom"/>
            <w:tcBorders>
              <w:top w:val="single" w:sz="8" w:color="auto"/>
              <w:bottom w:val="single" w:sz="8" w:color="auto"/>
            </w:tcBorders>
          </w:tcPr>
          <w:p>
            <w:pPr>
              <w:jc w:val="right"/>
              <w:ind w:right="47"/>
              <w:spacing w:after="0" w:line="161" w:lineRule="exact"/>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42,575</w:t>
            </w:r>
          </w:p>
        </w:tc>
        <w:tc>
          <w:tcPr>
            <w:tcW w:w="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7"/>
              <w:spacing w:after="0" w:line="161" w:lineRule="exact"/>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28,739</w:t>
            </w: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61"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11,314</w:t>
            </w:r>
          </w:p>
        </w:tc>
        <w:tc>
          <w:tcPr>
            <w:tcW w:w="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line="161"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82,628</w:t>
            </w:r>
          </w:p>
        </w:tc>
      </w:tr>
      <w:tr>
        <w:trPr>
          <w:trHeight w:val="158"/>
        </w:trPr>
        <w:tc>
          <w:tcPr>
            <w:tcW w:w="3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bl>
    <w:p>
      <w:pPr>
        <w:spacing w:after="0" w:line="165" w:lineRule="exact"/>
        <w:rPr>
          <w:sz w:val="20"/>
          <w:szCs w:val="20"/>
          <w:color w:val="auto"/>
        </w:rPr>
      </w:pPr>
    </w:p>
    <w:p>
      <w:pPr>
        <w:jc w:val="both"/>
        <w:ind w:left="40" w:right="279"/>
        <w:spacing w:after="0" w:line="256" w:lineRule="auto"/>
        <w:rPr>
          <w:sz w:val="20"/>
          <w:szCs w:val="20"/>
          <w:color w:val="auto"/>
        </w:rPr>
      </w:pPr>
      <w:r>
        <w:rPr>
          <w:rFonts w:ascii="Arial" w:cs="Arial" w:eastAsia="Arial" w:hAnsi="Arial"/>
          <w:sz w:val="16"/>
          <w:szCs w:val="16"/>
          <w:color w:val="auto"/>
        </w:rPr>
        <w:t>Contract assets arise when we recognize revenue for providing a service in advance of billing our customers. Our contract assets typically relate to our long-term contracts where we recognize revenue using the cost-based input method and the revenue recognized exceeds the amount billed to the customer.</w:t>
      </w:r>
    </w:p>
    <w:p>
      <w:pPr>
        <w:spacing w:after="0" w:line="137" w:lineRule="exact"/>
        <w:rPr>
          <w:sz w:val="20"/>
          <w:szCs w:val="20"/>
          <w:color w:val="auto"/>
        </w:rPr>
      </w:pPr>
    </w:p>
    <w:p>
      <w:pPr>
        <w:jc w:val="both"/>
        <w:ind w:left="40" w:right="179"/>
        <w:spacing w:after="0" w:line="256" w:lineRule="auto"/>
        <w:rPr>
          <w:sz w:val="20"/>
          <w:szCs w:val="20"/>
          <w:color w:val="auto"/>
        </w:rPr>
      </w:pPr>
      <w:r>
        <w:rPr>
          <w:rFonts w:ascii="Arial" w:cs="Arial" w:eastAsia="Arial" w:hAnsi="Arial"/>
          <w:sz w:val="16"/>
          <w:szCs w:val="16"/>
          <w:color w:val="auto"/>
        </w:rPr>
        <w:t>Our contract assets also include receivables related to sales-type leases recognized over the lease term as the customer is billed. Contract assets are amortized as the customer is billed for services. Contract assets are recorded in “Trade accounts receivable, net” on our Consolidated Balance Sheets.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our contract asset balances: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3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3"/>
          </w:tcPr>
          <w:p>
            <w:pPr>
              <w:jc w:val="center"/>
              <w:ind w:left="1167"/>
              <w:spacing w:after="0"/>
              <w:rPr>
                <w:sz w:val="20"/>
                <w:szCs w:val="20"/>
                <w:color w:val="auto"/>
              </w:rPr>
            </w:pPr>
            <w:r>
              <w:rPr>
                <w:rFonts w:ascii="Arial" w:cs="Arial" w:eastAsia="Arial" w:hAnsi="Arial"/>
                <w:sz w:val="15"/>
                <w:szCs w:val="15"/>
                <w:b w:val="1"/>
                <w:bCs w:val="1"/>
                <w:color w:val="auto"/>
                <w:w w:val="97"/>
              </w:rPr>
              <w:t>As of December 31,</w:t>
            </w:r>
          </w:p>
        </w:tc>
        <w:tc>
          <w:tcPr>
            <w:tcW w:w="1860" w:type="dxa"/>
            <w:vAlign w:val="bottom"/>
            <w:tcBorders>
              <w:bottom w:val="single" w:sz="8" w:color="auto"/>
            </w:tcBorders>
          </w:tcPr>
          <w:p>
            <w:pPr>
              <w:spacing w:after="0"/>
              <w:rPr>
                <w:sz w:val="15"/>
                <w:szCs w:val="15"/>
                <w:color w:val="auto"/>
              </w:rPr>
            </w:pPr>
          </w:p>
        </w:tc>
      </w:tr>
      <w:tr>
        <w:trPr>
          <w:trHeight w:val="169"/>
        </w:trPr>
        <w:tc>
          <w:tcPr>
            <w:tcW w:w="3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jc w:val="right"/>
              <w:ind w:right="1087"/>
              <w:spacing w:after="0" w:line="169" w:lineRule="exact"/>
              <w:rPr>
                <w:sz w:val="20"/>
                <w:szCs w:val="20"/>
                <w:color w:val="auto"/>
              </w:rPr>
            </w:pPr>
            <w:r>
              <w:rPr>
                <w:rFonts w:ascii="Arial" w:cs="Arial" w:eastAsia="Arial" w:hAnsi="Arial"/>
                <w:sz w:val="15"/>
                <w:szCs w:val="15"/>
                <w:b w:val="1"/>
                <w:bCs w:val="1"/>
                <w:color w:val="auto"/>
              </w:rPr>
              <w:t>2024</w:t>
            </w:r>
          </w:p>
        </w:tc>
        <w:tc>
          <w:tcPr>
            <w:tcW w:w="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1087"/>
              <w:spacing w:after="0" w:line="169" w:lineRule="exact"/>
              <w:rPr>
                <w:sz w:val="20"/>
                <w:szCs w:val="20"/>
                <w:color w:val="auto"/>
              </w:rPr>
            </w:pPr>
            <w:r>
              <w:rPr>
                <w:rFonts w:ascii="Arial" w:cs="Arial" w:eastAsia="Arial" w:hAnsi="Arial"/>
                <w:sz w:val="15"/>
                <w:szCs w:val="15"/>
                <w:b w:val="1"/>
                <w:bCs w:val="1"/>
                <w:color w:val="auto"/>
              </w:rPr>
              <w:t>2023</w:t>
            </w:r>
          </w:p>
        </w:tc>
      </w:tr>
      <w:tr>
        <w:trPr>
          <w:trHeight w:val="149"/>
        </w:trPr>
        <w:tc>
          <w:tcPr>
            <w:tcW w:w="3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20" w:type="dxa"/>
            <w:vAlign w:val="bottom"/>
            <w:gridSpan w:val="3"/>
          </w:tcPr>
          <w:p>
            <w:pPr>
              <w:jc w:val="center"/>
              <w:ind w:left="1167"/>
              <w:spacing w:after="0" w:line="149" w:lineRule="exact"/>
              <w:rPr>
                <w:sz w:val="20"/>
                <w:szCs w:val="20"/>
                <w:color w:val="auto"/>
              </w:rPr>
            </w:pPr>
            <w:r>
              <w:rPr>
                <w:rFonts w:ascii="Arial" w:cs="Arial" w:eastAsia="Arial" w:hAnsi="Arial"/>
                <w:sz w:val="15"/>
                <w:szCs w:val="15"/>
                <w:color w:val="auto"/>
                <w:w w:val="95"/>
              </w:rPr>
              <w:t>(In thousands)</w:t>
            </w:r>
          </w:p>
        </w:tc>
        <w:tc>
          <w:tcPr>
            <w:tcW w:w="1860" w:type="dxa"/>
            <w:vAlign w:val="bottom"/>
          </w:tcPr>
          <w:p>
            <w:pPr>
              <w:spacing w:after="0"/>
              <w:rPr>
                <w:sz w:val="12"/>
                <w:szCs w:val="12"/>
                <w:color w:val="auto"/>
              </w:rPr>
            </w:pPr>
          </w:p>
        </w:tc>
      </w:tr>
      <w:tr>
        <w:trPr>
          <w:trHeight w:val="169"/>
        </w:trPr>
        <w:tc>
          <w:tcPr>
            <w:tcW w:w="31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Contract assets</w:t>
            </w:r>
          </w:p>
        </w:tc>
        <w:tc>
          <w:tcPr>
            <w:tcW w:w="620" w:type="dxa"/>
            <w:vAlign w:val="bottom"/>
            <w:shd w:val="clear" w:color="auto" w:fill="CCEEFF"/>
          </w:tcPr>
          <w:p>
            <w:pPr>
              <w:jc w:val="right"/>
              <w:ind w:right="467"/>
              <w:spacing w:after="0" w:line="169" w:lineRule="exact"/>
              <w:rPr>
                <w:sz w:val="20"/>
                <w:szCs w:val="20"/>
                <w:color w:val="auto"/>
              </w:rPr>
            </w:pPr>
            <w:r>
              <w:rPr>
                <w:rFonts w:ascii="Arial" w:cs="Arial" w:eastAsia="Arial" w:hAnsi="Arial"/>
                <w:sz w:val="15"/>
                <w:szCs w:val="15"/>
                <w:color w:val="auto"/>
                <w:w w:val="71"/>
              </w:rPr>
              <w:t>$</w:t>
            </w:r>
          </w:p>
        </w:tc>
        <w:tc>
          <w:tcPr>
            <w:tcW w:w="20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108,092</w:t>
            </w: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27"/>
              <w:spacing w:after="0" w:line="169" w:lineRule="exact"/>
              <w:rPr>
                <w:sz w:val="20"/>
                <w:szCs w:val="20"/>
                <w:color w:val="auto"/>
              </w:rPr>
            </w:pPr>
            <w:r>
              <w:rPr>
                <w:rFonts w:ascii="Arial" w:cs="Arial" w:eastAsia="Arial" w:hAnsi="Arial"/>
                <w:sz w:val="15"/>
                <w:szCs w:val="15"/>
                <w:color w:val="auto"/>
                <w:w w:val="95"/>
              </w:rPr>
              <w:t>$</w:t>
            </w:r>
          </w:p>
        </w:tc>
        <w:tc>
          <w:tcPr>
            <w:tcW w:w="18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66,103</w:t>
            </w:r>
          </w:p>
        </w:tc>
      </w:tr>
    </w:tbl>
    <w:p>
      <w:pPr>
        <w:spacing w:after="0" w:line="165" w:lineRule="exact"/>
        <w:rPr>
          <w:sz w:val="20"/>
          <w:szCs w:val="20"/>
          <w:color w:val="auto"/>
        </w:rPr>
      </w:pPr>
    </w:p>
    <w:p>
      <w:pPr>
        <w:ind w:left="40" w:right="219"/>
        <w:spacing w:after="0" w:line="275" w:lineRule="auto"/>
        <w:rPr>
          <w:sz w:val="20"/>
          <w:szCs w:val="20"/>
          <w:color w:val="auto"/>
        </w:rPr>
      </w:pPr>
      <w:r>
        <w:rPr>
          <w:rFonts w:ascii="Arial" w:cs="Arial" w:eastAsia="Arial" w:hAnsi="Arial"/>
          <w:sz w:val="16"/>
          <w:szCs w:val="16"/>
          <w:color w:val="auto"/>
        </w:rPr>
        <w:t>Contract liabilities arise when we bill our customers and receive consideration in advance of providing the service. Contract liabilities are recognized as revenue when the service has been provided to the customer.</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43">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24" w:name="page225"/>
    <w:bookmarkEnd w:id="22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40" w:right="579"/>
        <w:spacing w:after="0" w:line="275" w:lineRule="auto"/>
        <w:rPr>
          <w:sz w:val="20"/>
          <w:szCs w:val="20"/>
          <w:color w:val="auto"/>
        </w:rPr>
      </w:pPr>
      <w:r>
        <w:rPr>
          <w:rFonts w:ascii="Arial" w:cs="Arial" w:eastAsia="Arial" w:hAnsi="Arial"/>
          <w:sz w:val="16"/>
          <w:szCs w:val="16"/>
          <w:color w:val="auto"/>
        </w:rPr>
        <w:t>Contract liabilities are recorded in “Deferred revenue and other” and “Long-term deferred revenue and other long-term liabilities” on our Consolidated Balance Sheets.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summarizes our contract liability balances: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40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center"/>
              <w:ind w:left="947"/>
              <w:spacing w:after="0"/>
              <w:rPr>
                <w:sz w:val="20"/>
                <w:szCs w:val="20"/>
                <w:color w:val="auto"/>
              </w:rPr>
            </w:pPr>
            <w:r>
              <w:rPr>
                <w:rFonts w:ascii="Arial" w:cs="Arial" w:eastAsia="Arial" w:hAnsi="Arial"/>
                <w:sz w:val="15"/>
                <w:szCs w:val="15"/>
                <w:b w:val="1"/>
                <w:bCs w:val="1"/>
                <w:color w:val="auto"/>
                <w:w w:val="96"/>
              </w:rPr>
              <w:t>As of December 31,</w:t>
            </w:r>
          </w:p>
        </w:tc>
        <w:tc>
          <w:tcPr>
            <w:tcW w:w="1520" w:type="dxa"/>
            <w:vAlign w:val="bottom"/>
            <w:tcBorders>
              <w:bottom w:val="single" w:sz="8" w:color="auto"/>
            </w:tcBorders>
          </w:tcPr>
          <w:p>
            <w:pPr>
              <w:spacing w:after="0"/>
              <w:rPr>
                <w:sz w:val="15"/>
                <w:szCs w:val="15"/>
                <w:color w:val="auto"/>
              </w:rPr>
            </w:pPr>
          </w:p>
        </w:tc>
      </w:tr>
      <w:tr>
        <w:trPr>
          <w:trHeight w:val="169"/>
        </w:trPr>
        <w:tc>
          <w:tcPr>
            <w:tcW w:w="40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67"/>
              <w:spacing w:after="0" w:line="169" w:lineRule="exact"/>
              <w:rPr>
                <w:sz w:val="20"/>
                <w:szCs w:val="20"/>
                <w:color w:val="auto"/>
              </w:rPr>
            </w:pPr>
            <w:r>
              <w:rPr>
                <w:rFonts w:ascii="Arial" w:cs="Arial" w:eastAsia="Arial" w:hAnsi="Arial"/>
                <w:sz w:val="15"/>
                <w:szCs w:val="15"/>
                <w:b w:val="1"/>
                <w:bCs w:val="1"/>
                <w:color w:val="auto"/>
              </w:rPr>
              <w:t>2024</w:t>
            </w:r>
          </w:p>
        </w:tc>
        <w:tc>
          <w:tcPr>
            <w:tcW w:w="4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87"/>
              <w:spacing w:after="0" w:line="169" w:lineRule="exact"/>
              <w:rPr>
                <w:sz w:val="20"/>
                <w:szCs w:val="20"/>
                <w:color w:val="auto"/>
              </w:rPr>
            </w:pPr>
            <w:r>
              <w:rPr>
                <w:rFonts w:ascii="Arial" w:cs="Arial" w:eastAsia="Arial" w:hAnsi="Arial"/>
                <w:sz w:val="15"/>
                <w:szCs w:val="15"/>
                <w:b w:val="1"/>
                <w:bCs w:val="1"/>
                <w:color w:val="auto"/>
              </w:rPr>
              <w:t>2023</w:t>
            </w:r>
          </w:p>
        </w:tc>
      </w:tr>
      <w:tr>
        <w:trPr>
          <w:trHeight w:val="149"/>
        </w:trPr>
        <w:tc>
          <w:tcPr>
            <w:tcW w:w="4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40" w:type="dxa"/>
            <w:vAlign w:val="bottom"/>
            <w:gridSpan w:val="3"/>
          </w:tcPr>
          <w:p>
            <w:pPr>
              <w:jc w:val="center"/>
              <w:ind w:left="947"/>
              <w:spacing w:after="0" w:line="149" w:lineRule="exact"/>
              <w:rPr>
                <w:sz w:val="20"/>
                <w:szCs w:val="20"/>
                <w:color w:val="auto"/>
              </w:rPr>
            </w:pPr>
            <w:r>
              <w:rPr>
                <w:rFonts w:ascii="Arial" w:cs="Arial" w:eastAsia="Arial" w:hAnsi="Arial"/>
                <w:sz w:val="15"/>
                <w:szCs w:val="15"/>
                <w:color w:val="auto"/>
                <w:w w:val="97"/>
              </w:rPr>
              <w:t>(In thousands)</w:t>
            </w:r>
          </w:p>
        </w:tc>
        <w:tc>
          <w:tcPr>
            <w:tcW w:w="1520" w:type="dxa"/>
            <w:vAlign w:val="bottom"/>
          </w:tcPr>
          <w:p>
            <w:pPr>
              <w:spacing w:after="0"/>
              <w:rPr>
                <w:sz w:val="12"/>
                <w:szCs w:val="12"/>
                <w:color w:val="auto"/>
              </w:rPr>
            </w:pP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Contract liabilities</w:t>
            </w:r>
          </w:p>
        </w:tc>
        <w:tc>
          <w:tcPr>
            <w:tcW w:w="500" w:type="dxa"/>
            <w:vAlign w:val="bottom"/>
            <w:shd w:val="clear" w:color="auto" w:fill="CCEEFF"/>
          </w:tcPr>
          <w:p>
            <w:pPr>
              <w:jc w:val="right"/>
              <w:ind w:right="347"/>
              <w:spacing w:after="0" w:line="169" w:lineRule="exact"/>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649,054</w:t>
            </w: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67"/>
              <w:spacing w:after="0" w:line="169" w:lineRule="exact"/>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710,456</w:t>
            </w:r>
          </w:p>
        </w:tc>
      </w:tr>
    </w:tbl>
    <w:p>
      <w:pPr>
        <w:spacing w:after="0" w:line="165" w:lineRule="exact"/>
        <w:rPr>
          <w:sz w:val="20"/>
          <w:szCs w:val="20"/>
          <w:color w:val="auto"/>
        </w:rPr>
      </w:pPr>
    </w:p>
    <w:p>
      <w:pPr>
        <w:ind w:left="40" w:right="1119"/>
        <w:spacing w:after="0" w:line="482" w:lineRule="auto"/>
        <w:rPr>
          <w:sz w:val="20"/>
          <w:szCs w:val="20"/>
          <w:color w:val="auto"/>
        </w:rPr>
      </w:pPr>
      <w:r>
        <w:rPr>
          <w:rFonts w:ascii="Arial" w:cs="Arial" w:eastAsia="Arial" w:hAnsi="Arial"/>
          <w:sz w:val="16"/>
          <w:szCs w:val="16"/>
          <w:color w:val="auto"/>
        </w:rPr>
        <w:t xml:space="preserve">Our beginning of period contract liability recorded as customer contract revenue during 2024 was $664 million. </w:t>
      </w:r>
      <w:r>
        <w:rPr>
          <w:rFonts w:ascii="Arial" w:cs="Arial" w:eastAsia="Arial" w:hAnsi="Arial"/>
          <w:sz w:val="16"/>
          <w:szCs w:val="16"/>
          <w:b w:val="1"/>
          <w:bCs w:val="1"/>
          <w:i w:val="1"/>
          <w:iCs w:val="1"/>
          <w:color w:val="auto"/>
        </w:rPr>
        <w:t>Performance Obligations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Pay-TV and Wireless Segments</w:t>
      </w:r>
    </w:p>
    <w:p>
      <w:pPr>
        <w:spacing w:after="0" w:line="189" w:lineRule="exact"/>
        <w:rPr>
          <w:sz w:val="20"/>
          <w:szCs w:val="20"/>
          <w:color w:val="auto"/>
        </w:rPr>
      </w:pPr>
    </w:p>
    <w:p>
      <w:pPr>
        <w:jc w:val="both"/>
        <w:ind w:left="40" w:right="79"/>
        <w:spacing w:after="0" w:line="256" w:lineRule="auto"/>
        <w:rPr>
          <w:sz w:val="20"/>
          <w:szCs w:val="20"/>
          <w:color w:val="auto"/>
        </w:rPr>
      </w:pPr>
      <w:r>
        <w:rPr>
          <w:rFonts w:ascii="Arial" w:cs="Arial" w:eastAsia="Arial" w:hAnsi="Arial"/>
          <w:sz w:val="16"/>
          <w:szCs w:val="16"/>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Broadband and Satellite Services Segment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2024, the remaining performance obligations for our customer contracts was approximately $1.6 billion.</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Performance obligations expected to be satisfied within one year and greater than one year are 27% and 73%, respectively.</w:t>
      </w:r>
    </w:p>
    <w:p>
      <w:pPr>
        <w:ind w:left="40"/>
        <w:spacing w:after="0"/>
        <w:rPr>
          <w:sz w:val="20"/>
          <w:szCs w:val="20"/>
          <w:color w:val="auto"/>
        </w:rPr>
      </w:pPr>
      <w:r>
        <w:rPr>
          <w:rFonts w:ascii="Arial" w:cs="Arial" w:eastAsia="Arial" w:hAnsi="Arial"/>
          <w:sz w:val="16"/>
          <w:szCs w:val="16"/>
          <w:color w:val="auto"/>
        </w:rPr>
        <w:t>This amount and percentages exclude leasing arrangements and agreements with consumer customers.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Contract Acquisition Costs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presents the activity in our contract acquisition costs, net:</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center"/>
              <w:ind w:left="687"/>
              <w:spacing w:after="0"/>
              <w:rPr>
                <w:sz w:val="20"/>
                <w:szCs w:val="20"/>
                <w:color w:val="auto"/>
              </w:rPr>
            </w:pPr>
            <w:r>
              <w:rPr>
                <w:rFonts w:ascii="Arial" w:cs="Arial" w:eastAsia="Arial" w:hAnsi="Arial"/>
                <w:sz w:val="15"/>
                <w:szCs w:val="15"/>
                <w:b w:val="1"/>
                <w:bCs w:val="1"/>
                <w:color w:val="auto"/>
                <w:w w:val="96"/>
              </w:rPr>
              <w:t>For the Years Ended December 31,</w:t>
            </w:r>
          </w:p>
        </w:tc>
        <w:tc>
          <w:tcPr>
            <w:tcW w:w="1080" w:type="dxa"/>
            <w:vAlign w:val="bottom"/>
            <w:tcBorders>
              <w:bottom w:val="single" w:sz="8" w:color="auto"/>
            </w:tcBorders>
          </w:tcPr>
          <w:p>
            <w:pPr>
              <w:spacing w:after="0"/>
              <w:rPr>
                <w:sz w:val="16"/>
                <w:szCs w:val="16"/>
                <w:color w:val="auto"/>
              </w:rPr>
            </w:pPr>
          </w:p>
        </w:tc>
      </w:tr>
      <w:tr>
        <w:trPr>
          <w:trHeight w:val="169"/>
        </w:trPr>
        <w:tc>
          <w:tcPr>
            <w:tcW w:w="3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7"/>
              <w:spacing w:after="0" w:line="169" w:lineRule="exact"/>
              <w:rPr>
                <w:sz w:val="20"/>
                <w:szCs w:val="20"/>
                <w:color w:val="auto"/>
              </w:rPr>
            </w:pPr>
            <w:r>
              <w:rPr>
                <w:rFonts w:ascii="Arial" w:cs="Arial" w:eastAsia="Arial" w:hAnsi="Arial"/>
                <w:sz w:val="15"/>
                <w:szCs w:val="15"/>
                <w:b w:val="1"/>
                <w:bCs w:val="1"/>
                <w:color w:val="auto"/>
              </w:rPr>
              <w:t>2024</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87"/>
              <w:spacing w:after="0" w:line="169" w:lineRule="exact"/>
              <w:rPr>
                <w:sz w:val="20"/>
                <w:szCs w:val="20"/>
                <w:color w:val="auto"/>
              </w:rPr>
            </w:pPr>
            <w:r>
              <w:rPr>
                <w:rFonts w:ascii="Arial" w:cs="Arial" w:eastAsia="Arial" w:hAnsi="Arial"/>
                <w:sz w:val="15"/>
                <w:szCs w:val="15"/>
                <w:b w:val="1"/>
                <w:bCs w:val="1"/>
                <w:color w:val="auto"/>
                <w:w w:val="95"/>
              </w:rPr>
              <w:t>2023</w:t>
            </w: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7"/>
              <w:spacing w:after="0" w:line="169" w:lineRule="exact"/>
              <w:rPr>
                <w:sz w:val="20"/>
                <w:szCs w:val="20"/>
                <w:color w:val="auto"/>
              </w:rPr>
            </w:pPr>
            <w:r>
              <w:rPr>
                <w:rFonts w:ascii="Arial" w:cs="Arial" w:eastAsia="Arial" w:hAnsi="Arial"/>
                <w:sz w:val="15"/>
                <w:szCs w:val="15"/>
                <w:b w:val="1"/>
                <w:bCs w:val="1"/>
                <w:color w:val="auto"/>
              </w:rPr>
              <w:t>2022</w:t>
            </w:r>
          </w:p>
        </w:tc>
      </w:tr>
      <w:tr>
        <w:trPr>
          <w:trHeight w:val="149"/>
        </w:trPr>
        <w:tc>
          <w:tcPr>
            <w:tcW w:w="3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7"/>
              <w:spacing w:after="0" w:line="149" w:lineRule="exact"/>
              <w:rPr>
                <w:sz w:val="20"/>
                <w:szCs w:val="20"/>
                <w:color w:val="auto"/>
              </w:rPr>
            </w:pPr>
            <w:r>
              <w:rPr>
                <w:rFonts w:ascii="Arial" w:cs="Arial" w:eastAsia="Arial" w:hAnsi="Arial"/>
                <w:sz w:val="15"/>
                <w:szCs w:val="15"/>
                <w:color w:val="auto"/>
                <w:w w:val="95"/>
              </w:rPr>
              <w:t>(In thousands)</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9"/>
        </w:trPr>
        <w:tc>
          <w:tcPr>
            <w:tcW w:w="39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Balance, beginning of period</w:t>
            </w:r>
          </w:p>
        </w:tc>
        <w:tc>
          <w:tcPr>
            <w:tcW w:w="340" w:type="dxa"/>
            <w:vAlign w:val="bottom"/>
            <w:shd w:val="clear" w:color="auto" w:fill="CCEEFF"/>
          </w:tcPr>
          <w:p>
            <w:pPr>
              <w:jc w:val="right"/>
              <w:ind w:right="167"/>
              <w:spacing w:after="0" w:line="169" w:lineRule="exact"/>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352,114</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460,876</w:t>
            </w: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7"/>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555,614</w:t>
            </w:r>
          </w:p>
        </w:tc>
      </w:tr>
      <w:tr>
        <w:trPr>
          <w:trHeight w:val="169"/>
        </w:trPr>
        <w:tc>
          <w:tcPr>
            <w:tcW w:w="3960" w:type="dxa"/>
            <w:vAlign w:val="bottom"/>
          </w:tcPr>
          <w:p>
            <w:pPr>
              <w:spacing w:after="0" w:line="169" w:lineRule="exact"/>
              <w:rPr>
                <w:sz w:val="20"/>
                <w:szCs w:val="20"/>
                <w:color w:val="auto"/>
              </w:rPr>
            </w:pPr>
            <w:r>
              <w:rPr>
                <w:rFonts w:ascii="Arial" w:cs="Arial" w:eastAsia="Arial" w:hAnsi="Arial"/>
                <w:sz w:val="15"/>
                <w:szCs w:val="15"/>
                <w:color w:val="auto"/>
              </w:rPr>
              <w:t>Additions</w:t>
            </w:r>
          </w:p>
        </w:tc>
        <w:tc>
          <w:tcPr>
            <w:tcW w:w="34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5"/>
                <w:szCs w:val="15"/>
                <w:color w:val="auto"/>
              </w:rPr>
              <w:t>260,403</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Arial" w:cs="Arial" w:eastAsia="Arial" w:hAnsi="Arial"/>
                <w:sz w:val="15"/>
                <w:szCs w:val="15"/>
                <w:color w:val="auto"/>
              </w:rPr>
              <w:t>321,470</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400,124</w:t>
            </w:r>
          </w:p>
        </w:tc>
      </w:tr>
      <w:tr>
        <w:trPr>
          <w:trHeight w:val="169"/>
        </w:trPr>
        <w:tc>
          <w:tcPr>
            <w:tcW w:w="3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Amortization expense</w:t>
            </w:r>
          </w:p>
        </w:tc>
        <w:tc>
          <w:tcPr>
            <w:tcW w:w="3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(321,717)</w:t>
            </w:r>
          </w:p>
        </w:tc>
        <w:tc>
          <w:tcPr>
            <w:tcW w:w="1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(431,181)</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(495,456)</w:t>
            </w:r>
          </w:p>
        </w:tc>
      </w:tr>
      <w:tr>
        <w:trPr>
          <w:trHeight w:val="169"/>
        </w:trPr>
        <w:tc>
          <w:tcPr>
            <w:tcW w:w="3960" w:type="dxa"/>
            <w:vAlign w:val="bottom"/>
          </w:tcPr>
          <w:p>
            <w:pPr>
              <w:spacing w:after="0" w:line="169" w:lineRule="exact"/>
              <w:rPr>
                <w:sz w:val="20"/>
                <w:szCs w:val="20"/>
                <w:color w:val="auto"/>
              </w:rPr>
            </w:pPr>
            <w:r>
              <w:rPr>
                <w:rFonts w:ascii="Arial" w:cs="Arial" w:eastAsia="Arial" w:hAnsi="Arial"/>
                <w:sz w:val="15"/>
                <w:szCs w:val="15"/>
                <w:color w:val="auto"/>
              </w:rPr>
              <w:t>Foreign currency translation</w:t>
            </w:r>
          </w:p>
        </w:tc>
        <w:tc>
          <w:tcPr>
            <w:tcW w:w="340" w:type="dxa"/>
            <w:vAlign w:val="bottom"/>
          </w:tcPr>
          <w:p>
            <w:pPr>
              <w:spacing w:after="0"/>
              <w:rPr>
                <w:sz w:val="14"/>
                <w:szCs w:val="14"/>
                <w:color w:val="auto"/>
              </w:rPr>
            </w:pPr>
          </w:p>
        </w:tc>
        <w:tc>
          <w:tcPr>
            <w:tcW w:w="142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(1,600)</w:t>
            </w:r>
          </w:p>
        </w:tc>
        <w:tc>
          <w:tcPr>
            <w:tcW w:w="160" w:type="dxa"/>
            <w:vAlign w:val="bottom"/>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Arial" w:cs="Arial" w:eastAsia="Arial" w:hAnsi="Arial"/>
                <w:sz w:val="15"/>
                <w:szCs w:val="15"/>
                <w:color w:val="auto"/>
              </w:rPr>
              <w:t>949</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5"/>
                <w:szCs w:val="15"/>
                <w:color w:val="auto"/>
              </w:rPr>
              <w:t>594</w:t>
            </w:r>
          </w:p>
        </w:tc>
      </w:tr>
      <w:tr>
        <w:trPr>
          <w:trHeight w:val="162"/>
        </w:trPr>
        <w:tc>
          <w:tcPr>
            <w:tcW w:w="396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Balance, end of period</w:t>
            </w:r>
          </w:p>
        </w:tc>
        <w:tc>
          <w:tcPr>
            <w:tcW w:w="340" w:type="dxa"/>
            <w:vAlign w:val="bottom"/>
            <w:tcBorders>
              <w:top w:val="single" w:sz="8" w:color="auto"/>
              <w:bottom w:val="single" w:sz="8" w:color="auto"/>
            </w:tcBorders>
            <w:shd w:val="clear" w:color="auto" w:fill="CCEEFF"/>
          </w:tcPr>
          <w:p>
            <w:pPr>
              <w:jc w:val="right"/>
              <w:ind w:right="167"/>
              <w:spacing w:after="0" w:line="161" w:lineRule="exact"/>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289,200</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7"/>
              <w:spacing w:after="0" w:line="161" w:lineRule="exact"/>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352,114</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7"/>
              <w:spacing w:after="0" w:line="161"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460,876</w:t>
            </w:r>
          </w:p>
        </w:tc>
      </w:tr>
      <w:tr>
        <w:trPr>
          <w:trHeight w:val="20"/>
        </w:trPr>
        <w:tc>
          <w:tcPr>
            <w:tcW w:w="3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18.  Related Party Transactions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Sale of Assets to CONX</w:t>
      </w:r>
    </w:p>
    <w:p>
      <w:pPr>
        <w:spacing w:after="0" w:line="177" w:lineRule="exact"/>
        <w:rPr>
          <w:sz w:val="20"/>
          <w:szCs w:val="20"/>
          <w:color w:val="auto"/>
        </w:rPr>
      </w:pPr>
    </w:p>
    <w:p>
      <w:pPr>
        <w:ind w:left="60" w:right="79" w:hanging="10"/>
        <w:spacing w:after="0" w:line="247" w:lineRule="auto"/>
        <w:rPr>
          <w:sz w:val="20"/>
          <w:szCs w:val="20"/>
          <w:color w:val="auto"/>
        </w:rPr>
      </w:pPr>
      <w:r>
        <w:rPr>
          <w:rFonts w:ascii="Arial" w:cs="Arial" w:eastAsia="Arial" w:hAnsi="Arial"/>
          <w:sz w:val="16"/>
          <w:szCs w:val="16"/>
          <w:color w:val="auto"/>
        </w:rPr>
        <w:t>On March 10, 2024, CONX, a special purpose acquisition company, partially owned by Charles W. Ergen, our Chairman, and EchoStar Real Estate Holding L.L.C. (“Seller”), our subsidiary, entered into a definitive purchase and sale agreement, which provides for CONX’s purchase from the Seller of the commercial real estate property in Littleton, Colorado, comprising the corporate headquarters of DISH Wireless, for a purchase price of $26.75 million, net of deferred tax. The transaction closed May 1, 2024. The difference between our net carrying value of the assets sold and the purchase price was $3 million recorded in “Additional paid-in capital” on our Consolidated Balance Sheets as of December 31, 2024.</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44">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25" w:name="page226"/>
    <w:bookmarkEnd w:id="22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5" w:lineRule="exact"/>
        <w:rPr>
          <w:sz w:val="20"/>
          <w:szCs w:val="20"/>
          <w:color w:val="auto"/>
        </w:rPr>
      </w:pPr>
    </w:p>
    <w:p>
      <w:pPr>
        <w:ind w:left="60" w:right="79" w:hanging="10"/>
        <w:spacing w:after="0" w:line="256" w:lineRule="auto"/>
        <w:rPr>
          <w:sz w:val="20"/>
          <w:szCs w:val="20"/>
          <w:color w:val="auto"/>
        </w:rPr>
      </w:pPr>
      <w:r>
        <w:rPr>
          <w:rFonts w:ascii="Arial" w:cs="Arial" w:eastAsia="Arial" w:hAnsi="Arial"/>
          <w:sz w:val="16"/>
          <w:szCs w:val="16"/>
          <w:color w:val="auto"/>
        </w:rPr>
        <w:t>Concurrently with the transaction closing on May 1, 2024 we entered into an agreement to lease back the property from CONX for an initial 10 year term. During the year ended December 31, 2024, we recorded $2 million for this lease in “Selling, general and administrative expenses” on our Consolidated Statements of Operations and Comprehensive Income (Loss).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PIPE Shares</w:t>
      </w:r>
    </w:p>
    <w:p>
      <w:pPr>
        <w:spacing w:after="0" w:line="177" w:lineRule="exact"/>
        <w:rPr>
          <w:sz w:val="20"/>
          <w:szCs w:val="20"/>
          <w:color w:val="auto"/>
        </w:rPr>
      </w:pPr>
    </w:p>
    <w:p>
      <w:pPr>
        <w:ind w:left="60" w:right="119" w:hanging="10"/>
        <w:spacing w:after="0" w:line="246" w:lineRule="auto"/>
        <w:rPr>
          <w:sz w:val="20"/>
          <w:szCs w:val="20"/>
          <w:color w:val="auto"/>
        </w:rPr>
      </w:pPr>
      <w:r>
        <w:rPr>
          <w:rFonts w:ascii="Arial" w:cs="Arial" w:eastAsia="Arial" w:hAnsi="Arial"/>
          <w:sz w:val="16"/>
          <w:szCs w:val="16"/>
          <w:color w:val="222222"/>
        </w:rPr>
        <w:t xml:space="preserve">On September 30, 2024, we entered into the PIPE Investment with certain accredited investors including </w:t>
      </w:r>
      <w:r>
        <w:rPr>
          <w:rFonts w:ascii="Arial" w:cs="Arial" w:eastAsia="Arial" w:hAnsi="Arial"/>
          <w:sz w:val="16"/>
          <w:szCs w:val="16"/>
          <w:color w:val="000000"/>
        </w:rPr>
        <w:t>CONX, an entity</w:t>
      </w:r>
      <w:r>
        <w:rPr>
          <w:rFonts w:ascii="Arial" w:cs="Arial" w:eastAsia="Arial" w:hAnsi="Arial"/>
          <w:sz w:val="16"/>
          <w:szCs w:val="16"/>
          <w:color w:val="222222"/>
        </w:rPr>
        <w:t xml:space="preserve"> </w:t>
      </w:r>
      <w:r>
        <w:rPr>
          <w:rFonts w:ascii="Arial" w:cs="Arial" w:eastAsia="Arial" w:hAnsi="Arial"/>
          <w:sz w:val="16"/>
          <w:szCs w:val="16"/>
          <w:color w:val="000000"/>
        </w:rPr>
        <w:t>partially owned by Charles W. Ergen, our Chairman</w:t>
      </w:r>
      <w:r>
        <w:rPr>
          <w:rFonts w:ascii="Arial" w:cs="Arial" w:eastAsia="Arial" w:hAnsi="Arial"/>
          <w:sz w:val="16"/>
          <w:szCs w:val="16"/>
          <w:color w:val="222222"/>
        </w:rPr>
        <w:t>. The portion of the PIPE Investment represented by the CONX</w:t>
      </w:r>
      <w:r>
        <w:rPr>
          <w:rFonts w:ascii="Arial" w:cs="Arial" w:eastAsia="Arial" w:hAnsi="Arial"/>
          <w:sz w:val="16"/>
          <w:szCs w:val="16"/>
          <w:color w:val="000000"/>
        </w:rPr>
        <w:t xml:space="preserve"> </w:t>
      </w:r>
      <w:r>
        <w:rPr>
          <w:rFonts w:ascii="Arial" w:cs="Arial" w:eastAsia="Arial" w:hAnsi="Arial"/>
          <w:sz w:val="16"/>
          <w:szCs w:val="16"/>
          <w:color w:val="222222"/>
        </w:rPr>
        <w:t>Subscription Agreement represented an agreement to purchase from us an aggregate of 1.551 million shares of our Class A Common Stock for an aggregate cash purchase price of approximately $43.5 million. The PIPE Shares were issued and settled on November 12, 2024.</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10 3/4% Senior Secured Notes due 2029</w:t>
      </w:r>
    </w:p>
    <w:p>
      <w:pPr>
        <w:spacing w:after="0" w:line="177" w:lineRule="exact"/>
        <w:rPr>
          <w:sz w:val="20"/>
          <w:szCs w:val="20"/>
          <w:color w:val="auto"/>
        </w:rPr>
      </w:pPr>
    </w:p>
    <w:p>
      <w:pPr>
        <w:jc w:val="both"/>
        <w:ind w:left="40" w:right="79"/>
        <w:spacing w:after="0" w:line="244" w:lineRule="auto"/>
        <w:rPr>
          <w:sz w:val="20"/>
          <w:szCs w:val="20"/>
          <w:color w:val="auto"/>
        </w:rPr>
      </w:pPr>
      <w:r>
        <w:rPr>
          <w:rFonts w:ascii="Arial" w:cs="Arial" w:eastAsia="Arial" w:hAnsi="Arial"/>
          <w:sz w:val="16"/>
          <w:szCs w:val="16"/>
          <w:color w:val="222222"/>
        </w:rPr>
        <w:t>Prior to the November 12, 2024 issuance of our new 10 3/4% Senior Secured Notes due 2029, a related party of Charles W. Ergen, our chairman, agreed to commit to purchase and/or backstop an aggregate of $100 million of our new 10 3/4% Senior Secured Notes due 2029. Subsequently, such party assigned $5 million of such $100 million commitment to Hamid Akhavan, EchoStar’s President and Chief Executive Officer. On November 12, 2024, the related party of Charles W. Ergen and Hamid Akhavan purchased an aggregate of $95 million and $5 million, respectively, of our new 10 3/4% Senior Secured Notes due 2029.</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Hughes Systique Corporation</w:t>
      </w:r>
    </w:p>
    <w:p>
      <w:pPr>
        <w:spacing w:after="0" w:line="177" w:lineRule="exact"/>
        <w:rPr>
          <w:sz w:val="20"/>
          <w:szCs w:val="20"/>
          <w:color w:val="auto"/>
        </w:rPr>
      </w:pPr>
    </w:p>
    <w:p>
      <w:pPr>
        <w:ind w:left="40" w:right="79"/>
        <w:spacing w:after="0" w:line="246" w:lineRule="auto"/>
        <w:rPr>
          <w:sz w:val="20"/>
          <w:szCs w:val="20"/>
          <w:color w:val="auto"/>
        </w:rPr>
      </w:pPr>
      <w:r>
        <w:rPr>
          <w:rFonts w:ascii="Arial" w:cs="Arial" w:eastAsia="Arial" w:hAnsi="Arial"/>
          <w:sz w:val="16"/>
          <w:szCs w:val="16"/>
          <w:color w:val="auto"/>
        </w:rPr>
        <w:t>We own 42% of Hughes Systique Corporation (“Hughes Systique”) and contract with Hughes Systique for software development services. Prior to December 31, 2023, we consolidated Hughes Systique’s financial statements into our Consolidated Financial Statements. As of December 31, 2023, we have deconsolidated the Hughes Systique results from our Consolidated Financial Statements and recorded the investment as a cost method investment in “Other investments, net” on our Consolidated Balance Sheets.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table below summarizes our transactions with Hughes Systique:</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center"/>
              <w:ind w:right="247"/>
              <w:spacing w:after="0"/>
              <w:rPr>
                <w:sz w:val="20"/>
                <w:szCs w:val="20"/>
                <w:color w:val="auto"/>
              </w:rPr>
            </w:pPr>
            <w:r>
              <w:rPr>
                <w:rFonts w:ascii="Arial" w:cs="Arial" w:eastAsia="Arial" w:hAnsi="Arial"/>
                <w:sz w:val="15"/>
                <w:szCs w:val="15"/>
                <w:b w:val="1"/>
                <w:bCs w:val="1"/>
                <w:color w:val="auto"/>
                <w:w w:val="96"/>
              </w:rPr>
              <w:t>For the Years Ended December 31,</w:t>
            </w: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7"/>
              <w:spacing w:after="0" w:line="169" w:lineRule="exact"/>
              <w:rPr>
                <w:sz w:val="20"/>
                <w:szCs w:val="20"/>
                <w:color w:val="auto"/>
              </w:rPr>
            </w:pPr>
            <w:r>
              <w:rPr>
                <w:rFonts w:ascii="Arial" w:cs="Arial" w:eastAsia="Arial" w:hAnsi="Arial"/>
                <w:sz w:val="15"/>
                <w:szCs w:val="15"/>
                <w:b w:val="1"/>
                <w:bCs w:val="1"/>
                <w:color w:val="auto"/>
              </w:rPr>
              <w:t>2024</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7"/>
              <w:spacing w:after="0" w:line="169" w:lineRule="exact"/>
              <w:rPr>
                <w:sz w:val="20"/>
                <w:szCs w:val="20"/>
                <w:color w:val="auto"/>
              </w:rPr>
            </w:pPr>
            <w:r>
              <w:rPr>
                <w:rFonts w:ascii="Arial" w:cs="Arial" w:eastAsia="Arial" w:hAnsi="Arial"/>
                <w:sz w:val="15"/>
                <w:szCs w:val="15"/>
                <w:b w:val="1"/>
                <w:bCs w:val="1"/>
                <w:color w:val="auto"/>
              </w:rPr>
              <w:t>2023</w:t>
            </w:r>
          </w:p>
        </w:tc>
        <w:tc>
          <w:tcPr>
            <w:tcW w:w="0" w:type="dxa"/>
            <w:vAlign w:val="bottom"/>
          </w:tcPr>
          <w:p>
            <w:pPr>
              <w:spacing w:after="0"/>
              <w:rPr>
                <w:sz w:val="1"/>
                <w:szCs w:val="1"/>
                <w:color w:val="auto"/>
              </w:rPr>
            </w:pPr>
          </w:p>
        </w:tc>
      </w:tr>
      <w:tr>
        <w:trPr>
          <w:trHeight w:val="184"/>
        </w:trPr>
        <w:tc>
          <w:tcPr>
            <w:tcW w:w="5400" w:type="dxa"/>
            <w:vAlign w:val="bottom"/>
            <w:vMerge w:val="restart"/>
          </w:tcPr>
          <w:p>
            <w:pPr>
              <w:spacing w:after="0"/>
              <w:rPr>
                <w:sz w:val="20"/>
                <w:szCs w:val="20"/>
                <w:color w:val="auto"/>
              </w:rPr>
            </w:pPr>
            <w:r>
              <w:rPr>
                <w:rFonts w:ascii="Arial" w:cs="Arial" w:eastAsia="Arial" w:hAnsi="Arial"/>
                <w:sz w:val="15"/>
                <w:szCs w:val="15"/>
                <w:b w:val="1"/>
                <w:bCs w:val="1"/>
                <w:color w:val="auto"/>
              </w:rPr>
              <w:t>Purchases:</w:t>
            </w:r>
          </w:p>
        </w:tc>
        <w:tc>
          <w:tcPr>
            <w:tcW w:w="340" w:type="dxa"/>
            <w:vAlign w:val="bottom"/>
          </w:tcPr>
          <w:p>
            <w:pPr>
              <w:spacing w:after="0"/>
              <w:rPr>
                <w:sz w:val="15"/>
                <w:szCs w:val="15"/>
                <w:color w:val="auto"/>
              </w:rPr>
            </w:pPr>
          </w:p>
        </w:tc>
        <w:tc>
          <w:tcPr>
            <w:tcW w:w="2060" w:type="dxa"/>
            <w:vAlign w:val="bottom"/>
            <w:gridSpan w:val="3"/>
          </w:tcPr>
          <w:p>
            <w:pPr>
              <w:jc w:val="center"/>
              <w:ind w:left="707"/>
              <w:spacing w:after="0"/>
              <w:rPr>
                <w:sz w:val="20"/>
                <w:szCs w:val="20"/>
                <w:color w:val="auto"/>
              </w:rPr>
            </w:pPr>
            <w:r>
              <w:rPr>
                <w:rFonts w:ascii="Arial" w:cs="Arial" w:eastAsia="Arial" w:hAnsi="Arial"/>
                <w:sz w:val="15"/>
                <w:szCs w:val="15"/>
                <w:color w:val="auto"/>
                <w:w w:val="95"/>
              </w:rPr>
              <w:t>(In thousands)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4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40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Purchases from Hughes Systique</w:t>
            </w:r>
          </w:p>
        </w:tc>
        <w:tc>
          <w:tcPr>
            <w:tcW w:w="340" w:type="dxa"/>
            <w:vAlign w:val="bottom"/>
            <w:tcBorders>
              <w:bottom w:val="single" w:sz="8" w:color="auto"/>
            </w:tcBorders>
            <w:shd w:val="clear" w:color="auto" w:fill="CCEEFF"/>
          </w:tcPr>
          <w:p>
            <w:pPr>
              <w:jc w:val="right"/>
              <w:ind w:right="167"/>
              <w:spacing w:after="0" w:line="169" w:lineRule="exact"/>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17,528</w:t>
            </w:r>
          </w:p>
        </w:tc>
        <w:tc>
          <w:tcPr>
            <w:tcW w:w="3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27"/>
              <w:spacing w:after="0" w:line="169" w:lineRule="exact"/>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19,597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54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5"/>
                <w:szCs w:val="15"/>
                <w:b w:val="1"/>
                <w:bCs w:val="1"/>
                <w:color w:val="auto"/>
                <w:w w:val="96"/>
              </w:rPr>
              <w:t>As of December 31,</w:t>
            </w:r>
          </w:p>
        </w:tc>
        <w:tc>
          <w:tcPr>
            <w:tcW w:w="1020" w:type="dxa"/>
            <w:vAlign w:val="bottom"/>
            <w:tcBorders>
              <w:bottom w:val="single" w:sz="8" w:color="auto"/>
            </w:tcBorders>
            <w:shd w:val="clear" w:color="auto" w:fill="CCEEFF"/>
          </w:tcPr>
          <w:p>
            <w:pPr>
              <w:spacing w:after="0"/>
              <w:rPr>
                <w:sz w:val="15"/>
                <w:szCs w:val="15"/>
                <w:color w:val="auto"/>
              </w:rPr>
            </w:pPr>
          </w:p>
        </w:tc>
      </w:tr>
      <w:tr>
        <w:trPr>
          <w:trHeight w:val="169"/>
        </w:trPr>
        <w:tc>
          <w:tcPr>
            <w:tcW w:w="54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2024</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67"/>
              <w:spacing w:after="0" w:line="169" w:lineRule="exact"/>
              <w:rPr>
                <w:sz w:val="20"/>
                <w:szCs w:val="20"/>
                <w:color w:val="auto"/>
              </w:rPr>
            </w:pPr>
            <w:r>
              <w:rPr>
                <w:rFonts w:ascii="Arial" w:cs="Arial" w:eastAsia="Arial" w:hAnsi="Arial"/>
                <w:sz w:val="15"/>
                <w:szCs w:val="15"/>
                <w:b w:val="1"/>
                <w:bCs w:val="1"/>
                <w:color w:val="auto"/>
              </w:rPr>
              <w:t>2023</w:t>
            </w:r>
          </w:p>
        </w:tc>
      </w:tr>
      <w:tr>
        <w:trPr>
          <w:trHeight w:val="149"/>
        </w:trPr>
        <w:tc>
          <w:tcPr>
            <w:tcW w:w="54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5"/>
                <w:szCs w:val="15"/>
                <w:color w:val="auto"/>
                <w:w w:val="95"/>
              </w:rPr>
              <w:t>(In thousands)</w:t>
            </w:r>
          </w:p>
        </w:tc>
        <w:tc>
          <w:tcPr>
            <w:tcW w:w="1020" w:type="dxa"/>
            <w:vAlign w:val="bottom"/>
            <w:shd w:val="clear" w:color="auto" w:fill="CCEEFF"/>
          </w:tcPr>
          <w:p>
            <w:pPr>
              <w:spacing w:after="0"/>
              <w:rPr>
                <w:sz w:val="12"/>
                <w:szCs w:val="12"/>
                <w:color w:val="auto"/>
              </w:rPr>
            </w:pPr>
          </w:p>
        </w:tc>
      </w:tr>
      <w:tr>
        <w:trPr>
          <w:trHeight w:val="169"/>
        </w:trPr>
        <w:tc>
          <w:tcPr>
            <w:tcW w:w="5400" w:type="dxa"/>
            <w:vAlign w:val="bottom"/>
          </w:tcPr>
          <w:p>
            <w:pPr>
              <w:spacing w:after="0" w:line="169" w:lineRule="exact"/>
              <w:rPr>
                <w:sz w:val="20"/>
                <w:szCs w:val="20"/>
                <w:color w:val="auto"/>
              </w:rPr>
            </w:pPr>
            <w:r>
              <w:rPr>
                <w:rFonts w:ascii="Arial" w:cs="Arial" w:eastAsia="Arial" w:hAnsi="Arial"/>
                <w:sz w:val="15"/>
                <w:szCs w:val="15"/>
                <w:b w:val="1"/>
                <w:bCs w:val="1"/>
                <w:color w:val="auto"/>
              </w:rPr>
              <w:t>Amounts Payable:</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540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5"/>
                <w:szCs w:val="15"/>
                <w:color w:val="auto"/>
              </w:rPr>
              <w:t>Amounts payable to Hughes Systique</w:t>
            </w:r>
          </w:p>
        </w:tc>
        <w:tc>
          <w:tcPr>
            <w:tcW w:w="1040" w:type="dxa"/>
            <w:vAlign w:val="bottom"/>
            <w:tcBorders>
              <w:bottom w:val="single" w:sz="8" w:color="auto"/>
            </w:tcBorders>
            <w:shd w:val="clear" w:color="auto" w:fill="CCEEFF"/>
          </w:tcPr>
          <w:p>
            <w:pPr>
              <w:jc w:val="right"/>
              <w:ind w:right="867"/>
              <w:spacing w:after="0" w:line="169"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1,466</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27"/>
              <w:spacing w:after="0" w:line="169" w:lineRule="exact"/>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1,704</w:t>
            </w:r>
          </w:p>
        </w:tc>
      </w:tr>
      <w:tr>
        <w:trPr>
          <w:trHeight w:val="20"/>
        </w:trPr>
        <w:tc>
          <w:tcPr>
            <w:tcW w:w="5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45">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26" w:name="page227"/>
    <w:bookmarkEnd w:id="22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ECHOSTAR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NagraStar</w:t>
      </w:r>
    </w:p>
    <w:p>
      <w:pPr>
        <w:spacing w:after="0" w:line="177" w:lineRule="exact"/>
        <w:rPr>
          <w:sz w:val="20"/>
          <w:szCs w:val="20"/>
          <w:color w:val="auto"/>
        </w:rPr>
      </w:pPr>
    </w:p>
    <w:p>
      <w:pPr>
        <w:ind w:left="40" w:right="79"/>
        <w:spacing w:after="0" w:line="242" w:lineRule="auto"/>
        <w:rPr>
          <w:sz w:val="20"/>
          <w:szCs w:val="20"/>
          <w:color w:val="auto"/>
        </w:rPr>
      </w:pPr>
      <w:r>
        <w:rPr>
          <w:rFonts w:ascii="Arial" w:cs="Arial" w:eastAsia="Arial" w:hAnsi="Arial"/>
          <w:sz w:val="16"/>
          <w:szCs w:val="16"/>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Consolidated Statements of Operations and Comprehensive Income (Loss). In addition, certain other payments are initially included in “Inventory” and are subsequently capitalized as “Property and equipment, net” on our Consolidated Balance Sheets or expensed as “Selling, general and administrative expenses” or “Cost of services” on our Consolidated Statements of Operations and Comprehensive Income (Loss) when the equipment is deployed. We record all payables in “Trade accounts payable” or “Other accrued expenses and liabilities” on our Consolidated Balance Sheets. Our investment in NagraStar is accounted for using the equity method.</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table below summarizes our transactions with NagraStar:</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center"/>
              <w:ind w:left="27"/>
              <w:spacing w:after="0"/>
              <w:rPr>
                <w:sz w:val="20"/>
                <w:szCs w:val="20"/>
                <w:color w:val="auto"/>
              </w:rPr>
            </w:pPr>
            <w:r>
              <w:rPr>
                <w:rFonts w:ascii="Arial" w:cs="Arial" w:eastAsia="Arial" w:hAnsi="Arial"/>
                <w:sz w:val="15"/>
                <w:szCs w:val="15"/>
                <w:b w:val="1"/>
                <w:bCs w:val="1"/>
                <w:color w:val="auto"/>
                <w:w w:val="96"/>
              </w:rPr>
              <w:t>For the Years Ended December 31,</w:t>
            </w:r>
          </w:p>
        </w:tc>
        <w:tc>
          <w:tcPr>
            <w:tcW w:w="9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2024</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27"/>
              <w:spacing w:after="0" w:line="169" w:lineRule="exact"/>
              <w:rPr>
                <w:sz w:val="20"/>
                <w:szCs w:val="20"/>
                <w:color w:val="auto"/>
              </w:rPr>
            </w:pPr>
            <w:r>
              <w:rPr>
                <w:rFonts w:ascii="Arial" w:cs="Arial" w:eastAsia="Arial" w:hAnsi="Arial"/>
                <w:sz w:val="15"/>
                <w:szCs w:val="15"/>
                <w:b w:val="1"/>
                <w:bCs w:val="1"/>
                <w:color w:val="auto"/>
              </w:rPr>
              <w:t>2023</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7"/>
              <w:spacing w:after="0" w:line="169" w:lineRule="exact"/>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87"/>
              <w:spacing w:after="0" w:line="149" w:lineRule="exact"/>
              <w:rPr>
                <w:sz w:val="20"/>
                <w:szCs w:val="20"/>
                <w:color w:val="auto"/>
              </w:rPr>
            </w:pPr>
            <w:r>
              <w:rPr>
                <w:rFonts w:ascii="Arial" w:cs="Arial" w:eastAsia="Arial" w:hAnsi="Arial"/>
                <w:sz w:val="15"/>
                <w:szCs w:val="15"/>
                <w:color w:val="auto"/>
                <w:w w:val="95"/>
              </w:rPr>
              <w:t>(In thousands)</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312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Purchases (including fees):</w:t>
            </w:r>
          </w:p>
        </w:tc>
        <w:tc>
          <w:tcPr>
            <w:tcW w:w="1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120" w:type="dxa"/>
            <w:vAlign w:val="bottom"/>
          </w:tcPr>
          <w:p>
            <w:pPr>
              <w:spacing w:after="0" w:line="169" w:lineRule="exact"/>
              <w:rPr>
                <w:sz w:val="20"/>
                <w:szCs w:val="20"/>
                <w:color w:val="auto"/>
              </w:rPr>
            </w:pPr>
            <w:r>
              <w:rPr>
                <w:rFonts w:ascii="Arial" w:cs="Arial" w:eastAsia="Arial" w:hAnsi="Arial"/>
                <w:sz w:val="15"/>
                <w:szCs w:val="15"/>
                <w:color w:val="auto"/>
              </w:rPr>
              <w:t>Purchases from NagraStar</w:t>
            </w:r>
          </w:p>
        </w:tc>
        <w:tc>
          <w:tcPr>
            <w:tcW w:w="2060" w:type="dxa"/>
            <w:vAlign w:val="bottom"/>
            <w:gridSpan w:val="2"/>
          </w:tcPr>
          <w:p>
            <w:pPr>
              <w:jc w:val="right"/>
              <w:ind w:right="667"/>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w w:val="91"/>
              </w:rPr>
              <w:t>32,508</w:t>
            </w:r>
          </w:p>
        </w:tc>
        <w:tc>
          <w:tcPr>
            <w:tcW w:w="4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37,068</w:t>
            </w:r>
          </w:p>
        </w:tc>
        <w:tc>
          <w:tcPr>
            <w:tcW w:w="300" w:type="dxa"/>
            <w:vAlign w:val="bottom"/>
          </w:tcPr>
          <w:p>
            <w:pPr>
              <w:spacing w:after="0"/>
              <w:rPr>
                <w:sz w:val="14"/>
                <w:szCs w:val="14"/>
                <w:color w:val="auto"/>
              </w:rPr>
            </w:pPr>
          </w:p>
        </w:tc>
        <w:tc>
          <w:tcPr>
            <w:tcW w:w="340" w:type="dxa"/>
            <w:vAlign w:val="bottom"/>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43,416</w:t>
            </w: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5"/>
                <w:szCs w:val="15"/>
                <w:b w:val="1"/>
                <w:bCs w:val="1"/>
                <w:color w:val="auto"/>
              </w:rPr>
              <w:t>As of December 31,</w:t>
            </w:r>
          </w:p>
        </w:tc>
        <w:tc>
          <w:tcPr>
            <w:tcW w:w="4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2024</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2023</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gridSpan w:val="3"/>
          </w:tcPr>
          <w:p>
            <w:pPr>
              <w:jc w:val="right"/>
              <w:ind w:right="467"/>
              <w:spacing w:after="0" w:line="149" w:lineRule="exact"/>
              <w:rPr>
                <w:sz w:val="20"/>
                <w:szCs w:val="20"/>
                <w:color w:val="auto"/>
              </w:rPr>
            </w:pPr>
            <w:r>
              <w:rPr>
                <w:rFonts w:ascii="Arial" w:cs="Arial" w:eastAsia="Arial" w:hAnsi="Arial"/>
                <w:sz w:val="15"/>
                <w:szCs w:val="15"/>
                <w:color w:val="auto"/>
              </w:rPr>
              <w:t>(In thousands)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42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Amounts Payable and Commitments:</w:t>
            </w:r>
          </w:p>
        </w:tc>
        <w:tc>
          <w:tcPr>
            <w:tcW w:w="17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4260" w:type="dxa"/>
            <w:vAlign w:val="bottom"/>
          </w:tcPr>
          <w:p>
            <w:pPr>
              <w:spacing w:after="0" w:line="169" w:lineRule="exact"/>
              <w:rPr>
                <w:sz w:val="20"/>
                <w:szCs w:val="20"/>
                <w:color w:val="auto"/>
              </w:rPr>
            </w:pPr>
            <w:r>
              <w:rPr>
                <w:rFonts w:ascii="Arial" w:cs="Arial" w:eastAsia="Arial" w:hAnsi="Arial"/>
                <w:sz w:val="15"/>
                <w:szCs w:val="15"/>
                <w:color w:val="auto"/>
              </w:rPr>
              <w:t>Amounts payable to NagraStar</w:t>
            </w:r>
          </w:p>
        </w:tc>
        <w:tc>
          <w:tcPr>
            <w:tcW w:w="2560" w:type="dxa"/>
            <w:vAlign w:val="bottom"/>
            <w:gridSpan w:val="2"/>
          </w:tcPr>
          <w:p>
            <w:pPr>
              <w:jc w:val="right"/>
              <w:ind w:right="707"/>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5,569</w:t>
            </w:r>
          </w:p>
        </w:tc>
        <w:tc>
          <w:tcPr>
            <w:tcW w:w="1120" w:type="dxa"/>
            <w:vAlign w:val="bottom"/>
            <w:gridSpan w:val="2"/>
          </w:tcPr>
          <w:p>
            <w:pPr>
              <w:jc w:val="right"/>
              <w:ind w:right="667"/>
              <w:spacing w:after="0" w:line="169"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w w:val="95"/>
              </w:rPr>
              <w:t>9,821</w:t>
            </w:r>
          </w:p>
        </w:tc>
        <w:tc>
          <w:tcPr>
            <w:tcW w:w="60" w:type="dxa"/>
            <w:vAlign w:val="bottom"/>
          </w:tcPr>
          <w:p>
            <w:pPr>
              <w:spacing w:after="0"/>
              <w:rPr>
                <w:sz w:val="18"/>
                <w:szCs w:val="18"/>
                <w:color w:val="auto"/>
              </w:rPr>
            </w:pPr>
          </w:p>
        </w:tc>
      </w:tr>
      <w:tr>
        <w:trPr>
          <w:trHeight w:val="146"/>
        </w:trPr>
        <w:tc>
          <w:tcPr>
            <w:tcW w:w="20" w:type="dxa"/>
            <w:vAlign w:val="bottom"/>
          </w:tcPr>
          <w:p>
            <w:pPr>
              <w:spacing w:after="0"/>
              <w:rPr>
                <w:sz w:val="12"/>
                <w:szCs w:val="12"/>
                <w:color w:val="auto"/>
              </w:rPr>
            </w:pPr>
          </w:p>
        </w:tc>
        <w:tc>
          <w:tcPr>
            <w:tcW w:w="4260" w:type="dxa"/>
            <w:vAlign w:val="bottom"/>
            <w:tcBorders>
              <w:top w:val="single" w:sz="8" w:color="CCEEFF"/>
              <w:bottom w:val="single" w:sz="8" w:color="CCEEFF"/>
            </w:tcBorders>
            <w:shd w:val="clear" w:color="auto" w:fill="CCEEFF"/>
          </w:tcPr>
          <w:p>
            <w:pPr>
              <w:spacing w:after="0" w:line="146" w:lineRule="exact"/>
              <w:rPr>
                <w:sz w:val="20"/>
                <w:szCs w:val="20"/>
                <w:color w:val="auto"/>
              </w:rPr>
            </w:pPr>
            <w:r>
              <w:rPr>
                <w:rFonts w:ascii="Arial" w:cs="Arial" w:eastAsia="Arial" w:hAnsi="Arial"/>
                <w:sz w:val="15"/>
                <w:szCs w:val="15"/>
                <w:color w:val="auto"/>
              </w:rPr>
              <w:t>Commitments to NagraStar</w:t>
            </w:r>
          </w:p>
        </w:tc>
        <w:tc>
          <w:tcPr>
            <w:tcW w:w="170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ind w:right="707"/>
              <w:spacing w:after="0" w:line="146"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5"/>
                <w:szCs w:val="15"/>
                <w:color w:val="auto"/>
              </w:rPr>
              <w:t>883</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667"/>
              <w:spacing w:after="0" w:line="14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5"/>
                <w:szCs w:val="15"/>
                <w:color w:val="auto"/>
                <w:w w:val="95"/>
              </w:rPr>
              <w:t>1,727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316230</wp:posOffset>
            </wp:positionV>
            <wp:extent cx="567118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46">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474" w:right="1440" w:bottom="1440" w:gutter="0" w:footer="0" w:header="0"/>
        </w:sectPr>
      </w:pPr>
    </w:p>
    <w:bookmarkStart w:id="227" w:name="page228"/>
    <w:bookmarkEnd w:id="22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ECHOSTAR CORPORATION</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 AND RESTATED INSIDER TRADING POLICY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February 21, 2025</w:t>
      </w:r>
    </w:p>
    <w:p>
      <w:pPr>
        <w:spacing w:after="0" w:line="203" w:lineRule="exact"/>
        <w:rPr>
          <w:sz w:val="20"/>
          <w:szCs w:val="20"/>
          <w:color w:val="auto"/>
        </w:rPr>
      </w:pPr>
    </w:p>
    <w:p>
      <w:pPr>
        <w:jc w:val="both"/>
        <w:ind w:left="200" w:right="219" w:firstLine="581"/>
        <w:spacing w:after="0" w:line="263" w:lineRule="auto"/>
        <w:rPr>
          <w:sz w:val="20"/>
          <w:szCs w:val="20"/>
          <w:color w:val="auto"/>
        </w:rPr>
      </w:pPr>
      <w:r>
        <w:rPr>
          <w:rFonts w:ascii="Times New Roman" w:cs="Times New Roman" w:eastAsia="Times New Roman" w:hAnsi="Times New Roman"/>
          <w:sz w:val="16"/>
          <w:szCs w:val="16"/>
          <w:color w:val="auto"/>
        </w:rPr>
        <w:t>EchoStar Corporation and its subsidiaries (hereinafter collectively referred to as the “Company”) have established this Insider Trading Policy (this “Policy”). The Company has adopted this Policy in order to ensure compliance with the law and to avoid even the appearance of improper conduct by anyone associated with the Company. You are responsible for understanding and complying with this Policy.</w:t>
      </w:r>
    </w:p>
    <w:p>
      <w:pPr>
        <w:spacing w:after="0" w:line="160" w:lineRule="exact"/>
        <w:rPr>
          <w:sz w:val="20"/>
          <w:szCs w:val="20"/>
          <w:color w:val="auto"/>
        </w:rPr>
      </w:pPr>
    </w:p>
    <w:p>
      <w:pPr>
        <w:ind w:left="500" w:hanging="300"/>
        <w:spacing w:after="0"/>
        <w:tabs>
          <w:tab w:leader="none" w:pos="50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Scope of Policy</w:t>
      </w:r>
    </w:p>
    <w:p>
      <w:pPr>
        <w:spacing w:after="0" w:line="201" w:lineRule="exact"/>
        <w:rPr>
          <w:rFonts w:ascii="Times New Roman" w:cs="Times New Roman" w:eastAsia="Times New Roman" w:hAnsi="Times New Roman"/>
          <w:sz w:val="16"/>
          <w:szCs w:val="16"/>
          <w:b w:val="1"/>
          <w:bCs w:val="1"/>
          <w:color w:val="auto"/>
        </w:rPr>
      </w:pPr>
    </w:p>
    <w:p>
      <w:pPr>
        <w:jc w:val="both"/>
        <w:ind w:left="780" w:right="219" w:hanging="289"/>
        <w:spacing w:after="0" w:line="259" w:lineRule="auto"/>
        <w:tabs>
          <w:tab w:leader="none" w:pos="78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Persons Covered. </w:t>
      </w:r>
      <w:r>
        <w:rPr>
          <w:rFonts w:ascii="Times New Roman" w:cs="Times New Roman" w:eastAsia="Times New Roman" w:hAnsi="Times New Roman"/>
          <w:sz w:val="16"/>
          <w:szCs w:val="16"/>
          <w:color w:val="auto"/>
        </w:rPr>
        <w:t>The restrictions set forth in this Policy apply to all Company officers, members of its board of directors,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Employees, wherever located (collectively, “</w:t>
      </w:r>
      <w:r>
        <w:rPr>
          <w:rFonts w:ascii="Times New Roman" w:cs="Times New Roman" w:eastAsia="Times New Roman" w:hAnsi="Times New Roman"/>
          <w:sz w:val="16"/>
          <w:szCs w:val="16"/>
          <w:i w:val="1"/>
          <w:iCs w:val="1"/>
          <w:color w:val="auto"/>
        </w:rPr>
        <w:t>Employees</w:t>
      </w:r>
      <w:r>
        <w:rPr>
          <w:rFonts w:ascii="Times New Roman" w:cs="Times New Roman" w:eastAsia="Times New Roman" w:hAnsi="Times New Roman"/>
          <w:sz w:val="16"/>
          <w:szCs w:val="16"/>
          <w:color w:val="auto"/>
        </w:rPr>
        <w:t>”). This Policy also applies to “</w:t>
      </w:r>
      <w:r>
        <w:rPr>
          <w:rFonts w:ascii="Times New Roman" w:cs="Times New Roman" w:eastAsia="Times New Roman" w:hAnsi="Times New Roman"/>
          <w:sz w:val="16"/>
          <w:szCs w:val="16"/>
          <w:i w:val="1"/>
          <w:iCs w:val="1"/>
          <w:color w:val="auto"/>
        </w:rPr>
        <w:t>Related Persons</w:t>
      </w:r>
      <w:r>
        <w:rPr>
          <w:rFonts w:ascii="Times New Roman" w:cs="Times New Roman" w:eastAsia="Times New Roman" w:hAnsi="Times New Roman"/>
          <w:sz w:val="16"/>
          <w:szCs w:val="16"/>
          <w:color w:val="auto"/>
        </w:rPr>
        <w:t>” of employees which are defined as (1) members of an Employee’s immediate family (i.e., spouse, parents, natural and adopted minor children, mothers-and fathers-in-law, sons-and daughters-in-law, and brothers-and-sisters-in law) no matter where they reside; (2) any person sharing the household of the Employee; (3) any other persons over whose securities trading decisions the Employee exercises substantial control and (4) any trust or other estate in which an Employee has a substantial beneficial interest or as to which the Employee serves as trustee or in a similar fiduciary capacity.</w:t>
      </w:r>
    </w:p>
    <w:p>
      <w:pPr>
        <w:spacing w:after="0" w:line="159" w:lineRule="exact"/>
        <w:rPr>
          <w:rFonts w:ascii="Times New Roman" w:cs="Times New Roman" w:eastAsia="Times New Roman" w:hAnsi="Times New Roman"/>
          <w:sz w:val="16"/>
          <w:szCs w:val="16"/>
          <w:color w:val="auto"/>
        </w:rPr>
      </w:pPr>
    </w:p>
    <w:p>
      <w:pPr>
        <w:jc w:val="both"/>
        <w:ind w:left="780" w:right="219" w:hanging="289"/>
        <w:spacing w:after="0" w:line="256" w:lineRule="auto"/>
        <w:tabs>
          <w:tab w:leader="none" w:pos="78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Transactions and Securities Covered. </w:t>
      </w:r>
      <w:r>
        <w:rPr>
          <w:rFonts w:ascii="Times New Roman" w:cs="Times New Roman" w:eastAsia="Times New Roman" w:hAnsi="Times New Roman"/>
          <w:sz w:val="16"/>
          <w:szCs w:val="16"/>
          <w:color w:val="auto"/>
        </w:rPr>
        <w:t>This policy applies to trading in securities of all types. The term “</w:t>
      </w:r>
      <w:r>
        <w:rPr>
          <w:rFonts w:ascii="Times New Roman" w:cs="Times New Roman" w:eastAsia="Times New Roman" w:hAnsi="Times New Roman"/>
          <w:sz w:val="16"/>
          <w:szCs w:val="16"/>
          <w:i w:val="1"/>
          <w:iCs w:val="1"/>
          <w:color w:val="auto"/>
        </w:rPr>
        <w:t>trading</w:t>
      </w:r>
      <w:r>
        <w:rPr>
          <w:rFonts w:ascii="Times New Roman" w:cs="Times New Roman" w:eastAsia="Times New Roman" w:hAnsi="Times New Roman"/>
          <w:sz w:val="16"/>
          <w:szCs w:val="16"/>
          <w:color w:val="auto"/>
        </w:rPr>
        <w:t>” as used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this Policy includes purchases and sales of equity securities, convertible securities, options, including publicly-traded options, debt securities, including bonds and notes, and derivatives of any of the foregoing. This Policy also applies to the pledging as collateral of any Company securities, including establishing or increasing margin loans. The trading restrictions in this Policy do not apply to exercises of stock options granted pursuant to any Company stock option plan where no Company common stock is sold. The trading restrictions do apply, however, to changes in your Employee Stock Purchase Plan, sales of Company common stock in your Employee Stock Purchase Plan account or 401(k) account, and sales of Company common stock received upon the exercise of options, including (if applicable) a cashless exercise of options in which the proceeds from the sale of common stock underlying the options are used to fund the option exercise price or related taxes. See Section 3 below for additional prohibited transactions.</w:t>
      </w:r>
    </w:p>
    <w:p>
      <w:pPr>
        <w:spacing w:after="0" w:line="167" w:lineRule="exact"/>
        <w:rPr>
          <w:rFonts w:ascii="Times New Roman" w:cs="Times New Roman" w:eastAsia="Times New Roman" w:hAnsi="Times New Roman"/>
          <w:sz w:val="16"/>
          <w:szCs w:val="16"/>
          <w:color w:val="auto"/>
        </w:rPr>
      </w:pPr>
    </w:p>
    <w:p>
      <w:pPr>
        <w:jc w:val="both"/>
        <w:ind w:left="780" w:right="219" w:hanging="289"/>
        <w:spacing w:after="0" w:line="259" w:lineRule="auto"/>
        <w:tabs>
          <w:tab w:leader="none" w:pos="78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Companies Covered</w:t>
      </w:r>
      <w:r>
        <w:rPr>
          <w:rFonts w:ascii="Times New Roman" w:cs="Times New Roman" w:eastAsia="Times New Roman" w:hAnsi="Times New Roman"/>
          <w:sz w:val="16"/>
          <w:szCs w:val="16"/>
          <w:color w:val="auto"/>
        </w:rPr>
        <w:t>. This Policy applies to the securities of the Company, DISH Network Corporation and its subsidiaries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(DISH Network Corporation and its subsidiaries collectively, “</w:t>
      </w:r>
      <w:r>
        <w:rPr>
          <w:rFonts w:ascii="Times New Roman" w:cs="Times New Roman" w:eastAsia="Times New Roman" w:hAnsi="Times New Roman"/>
          <w:sz w:val="16"/>
          <w:szCs w:val="16"/>
          <w:i w:val="1"/>
          <w:iCs w:val="1"/>
          <w:color w:val="auto"/>
        </w:rPr>
        <w:t>DISH Network</w:t>
      </w:r>
      <w:r>
        <w:rPr>
          <w:rFonts w:ascii="Times New Roman" w:cs="Times New Roman" w:eastAsia="Times New Roman" w:hAnsi="Times New Roman"/>
          <w:sz w:val="16"/>
          <w:szCs w:val="16"/>
          <w:color w:val="auto"/>
        </w:rPr>
        <w:t>”), and any other company about which you acquire material nonpublic information in the course of your duties for the Company, such as suppliers or vendors (each, a “</w:t>
      </w:r>
      <w:r>
        <w:rPr>
          <w:rFonts w:ascii="Times New Roman" w:cs="Times New Roman" w:eastAsia="Times New Roman" w:hAnsi="Times New Roman"/>
          <w:sz w:val="16"/>
          <w:szCs w:val="16"/>
          <w:i w:val="1"/>
          <w:iCs w:val="1"/>
          <w:color w:val="auto"/>
        </w:rPr>
        <w:t>Covered Company</w:t>
      </w:r>
      <w:r>
        <w:rPr>
          <w:rFonts w:ascii="Times New Roman" w:cs="Times New Roman" w:eastAsia="Times New Roman" w:hAnsi="Times New Roman"/>
          <w:sz w:val="16"/>
          <w:szCs w:val="16"/>
          <w:color w:val="auto"/>
        </w:rPr>
        <w:t>”). You may not trade the securities of any Covered Company while in possession of material nonpublic information regarding such company, or disclose this information to any other person, except as otherwise permitted in this Policy. Since it can be very difficult for an employee to determine when it may be appropriate to trade in the securities of a supplier or vendor, you are discouraged from making such investments.</w:t>
      </w:r>
    </w:p>
    <w:p>
      <w:pPr>
        <w:spacing w:after="0" w:line="161" w:lineRule="exact"/>
        <w:rPr>
          <w:rFonts w:ascii="Times New Roman" w:cs="Times New Roman" w:eastAsia="Times New Roman" w:hAnsi="Times New Roman"/>
          <w:sz w:val="16"/>
          <w:szCs w:val="16"/>
          <w:color w:val="auto"/>
        </w:rPr>
      </w:pPr>
    </w:p>
    <w:p>
      <w:pPr>
        <w:ind w:left="500" w:hanging="300"/>
        <w:spacing w:after="0"/>
        <w:tabs>
          <w:tab w:leader="none" w:pos="50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Statement of Policy</w:t>
      </w:r>
    </w:p>
    <w:p>
      <w:pPr>
        <w:spacing w:after="0" w:line="201" w:lineRule="exact"/>
        <w:rPr>
          <w:rFonts w:ascii="Times New Roman" w:cs="Times New Roman" w:eastAsia="Times New Roman" w:hAnsi="Times New Roman"/>
          <w:sz w:val="16"/>
          <w:szCs w:val="16"/>
          <w:b w:val="1"/>
          <w:bCs w:val="1"/>
          <w:color w:val="auto"/>
        </w:rPr>
      </w:pPr>
    </w:p>
    <w:p>
      <w:pPr>
        <w:jc w:val="both"/>
        <w:ind w:left="860" w:right="219" w:hanging="297"/>
        <w:spacing w:after="0" w:line="265" w:lineRule="auto"/>
        <w:tabs>
          <w:tab w:leader="none" w:pos="860"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No Insider Trading. </w:t>
      </w:r>
      <w:r>
        <w:rPr>
          <w:rFonts w:ascii="Times New Roman" w:cs="Times New Roman" w:eastAsia="Times New Roman" w:hAnsi="Times New Roman"/>
          <w:sz w:val="16"/>
          <w:szCs w:val="16"/>
          <w:color w:val="auto"/>
        </w:rPr>
        <w:t>You may not trade in securities of the Company, directly or through Related Persons, if you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aware of material nonpublic information about the Company. You also may not trade in the securities of any other Covered Company if you have obtained material nonpublic information about that company during the course of your duties for the Company.</w:t>
      </w:r>
    </w:p>
    <w:p>
      <w:pPr>
        <w:spacing w:after="0" w:line="119" w:lineRule="exact"/>
        <w:rPr>
          <w:rFonts w:ascii="Times New Roman" w:cs="Times New Roman" w:eastAsia="Times New Roman" w:hAnsi="Times New Roman"/>
          <w:sz w:val="16"/>
          <w:szCs w:val="16"/>
          <w:color w:val="auto"/>
        </w:rPr>
      </w:pPr>
    </w:p>
    <w:p>
      <w:pPr>
        <w:jc w:val="both"/>
        <w:ind w:left="860" w:right="219" w:hanging="297"/>
        <w:spacing w:after="0" w:line="259" w:lineRule="auto"/>
        <w:tabs>
          <w:tab w:leader="none" w:pos="860"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No Tipping. </w:t>
      </w:r>
      <w:r>
        <w:rPr>
          <w:rFonts w:ascii="Times New Roman" w:cs="Times New Roman" w:eastAsia="Times New Roman" w:hAnsi="Times New Roman"/>
          <w:sz w:val="16"/>
          <w:szCs w:val="16"/>
          <w:color w:val="auto"/>
        </w:rPr>
        <w:t>You may not disclose material nonpublic information to any other person (including other Employees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except when and solely to the extent necessary to fulfill the responsibilities of your job. In addition to violating this Policy, it is illegal to convey such information to another or recommend to anyone to trade any securities or refrain from trading any securities when you are aware of such information (“tipping”) regardless of whether the person makes a trade. These restrictions apply regardless of whether you receive any monetary benefit from the individual you tip off (the “tippee”). In addition, you should never advise another Employee (or any other person) regarding whether or not to trade in the Company’s securities.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320040</wp:posOffset>
            </wp:positionV>
            <wp:extent cx="5471160" cy="228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7">
                      <a:extLst>
                        <a:ext uri="{28A0092B-C50C-407E-A947-70E740481C1C}"/>
                      </a:extLst>
                    </a:blip>
                    <a:srcRect/>
                    <a:stretch>
                      <a:fillRect/>
                    </a:stretch>
                  </pic:blipFill>
                  <pic:spPr bwMode="auto">
                    <a:xfrm>
                      <a:off x="0" y="0"/>
                      <a:ext cx="5471160" cy="22860"/>
                    </a:xfrm>
                    <a:prstGeom prst="rect">
                      <a:avLst/>
                    </a:prstGeom>
                    <a:noFill/>
                  </pic:spPr>
                </pic:pic>
              </a:graphicData>
            </a:graphic>
          </wp:anchor>
        </w:drawing>
      </w:r>
    </w:p>
    <w:p>
      <w:pPr>
        <w:sectPr>
          <w:pgSz w:w="11900" w:h="16838" w:orient="portrait"/>
          <w:cols w:equalWidth="0" w:num="1">
            <w:col w:w="9019"/>
          </w:cols>
          <w:pgMar w:left="1440" w:top="310" w:right="1440" w:bottom="1440" w:gutter="0" w:footer="0" w:header="0"/>
        </w:sectPr>
      </w:pPr>
    </w:p>
    <w:bookmarkStart w:id="228" w:name="page229"/>
    <w:bookmarkEnd w:id="228"/>
    <w:p>
      <w:pPr>
        <w:jc w:val="both"/>
        <w:ind w:left="860" w:right="219" w:hanging="297"/>
        <w:spacing w:after="0" w:line="262" w:lineRule="auto"/>
        <w:tabs>
          <w:tab w:leader="none" w:pos="860"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Trading Blackouts </w:t>
      </w:r>
      <w:r>
        <w:rPr>
          <w:rFonts w:ascii="Times New Roman" w:cs="Times New Roman" w:eastAsia="Times New Roman" w:hAnsi="Times New Roman"/>
          <w:sz w:val="16"/>
          <w:szCs w:val="16"/>
          <w:color w:val="auto"/>
        </w:rPr>
        <w:t>Specified Persons (as defined in Section 6 below), including members of the Company’s board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directors, executive officers, persons at or above the vice-president level and certain other designated Employees who, by virtue of their position in the Company, are routinely aware of material nonpublic information, may not trade in Company securities during any trading blackout applicable to such Specified Person. See Section 6 for addition information regarding trading blackouts.</w:t>
      </w:r>
    </w:p>
    <w:p>
      <w:pPr>
        <w:spacing w:after="0" w:line="157" w:lineRule="exact"/>
        <w:rPr>
          <w:rFonts w:ascii="Times New Roman" w:cs="Times New Roman" w:eastAsia="Times New Roman" w:hAnsi="Times New Roman"/>
          <w:sz w:val="16"/>
          <w:szCs w:val="16"/>
          <w:color w:val="auto"/>
        </w:rPr>
      </w:pPr>
    </w:p>
    <w:p>
      <w:pPr>
        <w:jc w:val="both"/>
        <w:ind w:left="860" w:right="219" w:hanging="297"/>
        <w:spacing w:after="0" w:line="265" w:lineRule="auto"/>
        <w:tabs>
          <w:tab w:leader="none" w:pos="860"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Pre-Clearance of Trades. </w:t>
      </w:r>
      <w:r>
        <w:rPr>
          <w:rFonts w:ascii="Times New Roman" w:cs="Times New Roman" w:eastAsia="Times New Roman" w:hAnsi="Times New Roman"/>
          <w:sz w:val="16"/>
          <w:szCs w:val="16"/>
          <w:color w:val="auto"/>
        </w:rPr>
        <w:t>All Specified Persons must pre-clear all trades in Company securities, which may only take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place during trading windows in accordance with Section 6 of this Policy. Special restrictions on trading are in place for members of the Company’s board of directors or executive officers under Section 16 of the Securities Exchange Act of 1934. See Section 6 for addition information regarding pre-clearance requirements.</w:t>
      </w:r>
    </w:p>
    <w:p>
      <w:pPr>
        <w:spacing w:after="0" w:line="157" w:lineRule="exact"/>
        <w:rPr>
          <w:rFonts w:ascii="Times New Roman" w:cs="Times New Roman" w:eastAsia="Times New Roman" w:hAnsi="Times New Roman"/>
          <w:sz w:val="16"/>
          <w:szCs w:val="16"/>
          <w:color w:val="auto"/>
        </w:rPr>
      </w:pPr>
    </w:p>
    <w:p>
      <w:pPr>
        <w:ind w:left="500" w:hanging="300"/>
        <w:spacing w:after="0"/>
        <w:tabs>
          <w:tab w:leader="none" w:pos="50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Additional Prohibited Transactions</w:t>
      </w:r>
    </w:p>
    <w:p>
      <w:pPr>
        <w:spacing w:after="0" w:line="205" w:lineRule="exact"/>
        <w:rPr>
          <w:rFonts w:ascii="Times New Roman" w:cs="Times New Roman" w:eastAsia="Times New Roman" w:hAnsi="Times New Roman"/>
          <w:sz w:val="16"/>
          <w:szCs w:val="16"/>
          <w:b w:val="1"/>
          <w:bCs w:val="1"/>
          <w:color w:val="auto"/>
        </w:rPr>
      </w:pPr>
    </w:p>
    <w:p>
      <w:pPr>
        <w:jc w:val="both"/>
        <w:ind w:left="500" w:right="219"/>
        <w:spacing w:after="0" w:line="26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considers it inappropriate for Employees to engage in certain short-term or speculative transactions in the Company’s securities, as it is inconsistent with Employees’ expected commitment to the long-term prospects for the Company. In addition, these types of short-term or speculative transactions may lead to inadvertent violations of the insider trading laws. For these reasons, this Policy also prohibits the following types of transactions, unless the Employee obtains the prior written approval of the General Counsel for the specific transaction in which he/she wishes to engage:</w:t>
      </w:r>
    </w:p>
    <w:p>
      <w:pPr>
        <w:spacing w:after="0" w:line="161" w:lineRule="exact"/>
        <w:rPr>
          <w:rFonts w:ascii="Times New Roman" w:cs="Times New Roman" w:eastAsia="Times New Roman" w:hAnsi="Times New Roman"/>
          <w:sz w:val="16"/>
          <w:szCs w:val="16"/>
          <w:b w:val="1"/>
          <w:bCs w:val="1"/>
          <w:color w:val="auto"/>
        </w:rPr>
      </w:pPr>
    </w:p>
    <w:p>
      <w:pPr>
        <w:jc w:val="both"/>
        <w:ind w:left="780" w:right="219" w:hanging="289"/>
        <w:spacing w:after="0" w:line="271" w:lineRule="auto"/>
        <w:tabs>
          <w:tab w:leader="none" w:pos="78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Short Term Trading. </w:t>
      </w:r>
      <w:r>
        <w:rPr>
          <w:rFonts w:ascii="Times New Roman" w:cs="Times New Roman" w:eastAsia="Times New Roman" w:hAnsi="Times New Roman"/>
          <w:sz w:val="16"/>
          <w:szCs w:val="16"/>
          <w:color w:val="auto"/>
        </w:rPr>
        <w:t>Employees may not engage in short-term trading, defined as selling Company securities within six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months of purchasing such securities. Purchases and sales of shares in your Company sponsored 401(k) Plan, Employee Stock Purchase Plan and Stock Option Plan are not prohibited.</w:t>
      </w:r>
    </w:p>
    <w:p>
      <w:pPr>
        <w:spacing w:after="0" w:line="151" w:lineRule="exact"/>
        <w:rPr>
          <w:rFonts w:ascii="Times New Roman" w:cs="Times New Roman" w:eastAsia="Times New Roman" w:hAnsi="Times New Roman"/>
          <w:sz w:val="16"/>
          <w:szCs w:val="16"/>
          <w:color w:val="auto"/>
        </w:rPr>
      </w:pPr>
    </w:p>
    <w:p>
      <w:pPr>
        <w:jc w:val="both"/>
        <w:ind w:left="780" w:right="219" w:hanging="289"/>
        <w:spacing w:after="0" w:line="271" w:lineRule="auto"/>
        <w:tabs>
          <w:tab w:leader="none" w:pos="78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Short Sales</w:t>
      </w:r>
      <w:r>
        <w:rPr>
          <w:rFonts w:ascii="Times New Roman" w:cs="Times New Roman" w:eastAsia="Times New Roman" w:hAnsi="Times New Roman"/>
          <w:sz w:val="16"/>
          <w:szCs w:val="16"/>
          <w:color w:val="auto"/>
        </w:rPr>
        <w:t>. Employees may not sell Company securities that the Employee does not own, or engage in any sale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securities that is completed by the delivery securities borrowed by the Employee. This prohibition also includes the practice of selling for future delivery of Company stock already owned (known as “selling against the box”).</w:t>
      </w:r>
    </w:p>
    <w:p>
      <w:pPr>
        <w:spacing w:after="0" w:line="151" w:lineRule="exact"/>
        <w:rPr>
          <w:rFonts w:ascii="Times New Roman" w:cs="Times New Roman" w:eastAsia="Times New Roman" w:hAnsi="Times New Roman"/>
          <w:sz w:val="16"/>
          <w:szCs w:val="16"/>
          <w:color w:val="auto"/>
        </w:rPr>
      </w:pPr>
    </w:p>
    <w:p>
      <w:pPr>
        <w:jc w:val="both"/>
        <w:ind w:left="780" w:right="219" w:hanging="289"/>
        <w:spacing w:after="0" w:line="265" w:lineRule="auto"/>
        <w:tabs>
          <w:tab w:leader="none" w:pos="78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Options Trading</w:t>
      </w:r>
      <w:r>
        <w:rPr>
          <w:rFonts w:ascii="Times New Roman" w:cs="Times New Roman" w:eastAsia="Times New Roman" w:hAnsi="Times New Roman"/>
          <w:sz w:val="16"/>
          <w:szCs w:val="16"/>
          <w:color w:val="auto"/>
        </w:rPr>
        <w:t>. Employees may not buy or sell put or call options or other derivative securities on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securities. THIS PROHIBITION ON OPTIONS TRADING DOES NOT PRECLUDE YOU FROM EXERCISING ANY EMPLOYEE STOCK OPTION WHICH MAY BE ISSUED BY THE COMPANY. However, sales of Company common stock received upon the exercise of options remain subject to this Policy.</w:t>
      </w:r>
    </w:p>
    <w:p>
      <w:pPr>
        <w:spacing w:after="0" w:line="155" w:lineRule="exact"/>
        <w:rPr>
          <w:rFonts w:ascii="Times New Roman" w:cs="Times New Roman" w:eastAsia="Times New Roman" w:hAnsi="Times New Roman"/>
          <w:sz w:val="16"/>
          <w:szCs w:val="16"/>
          <w:color w:val="auto"/>
        </w:rPr>
      </w:pPr>
    </w:p>
    <w:p>
      <w:pPr>
        <w:ind w:left="780" w:right="219" w:hanging="289"/>
        <w:spacing w:after="0" w:line="291" w:lineRule="auto"/>
        <w:tabs>
          <w:tab w:leader="none" w:pos="78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Trading on Margin</w:t>
      </w:r>
      <w:r>
        <w:rPr>
          <w:rFonts w:ascii="Times New Roman" w:cs="Times New Roman" w:eastAsia="Times New Roman" w:hAnsi="Times New Roman"/>
          <w:sz w:val="16"/>
          <w:szCs w:val="16"/>
          <w:color w:val="auto"/>
        </w:rPr>
        <w:t>. Employees may not hold Company securities in a margin account or pledge Company securities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collateral for a loan.</w:t>
      </w:r>
    </w:p>
    <w:p>
      <w:pPr>
        <w:spacing w:after="0" w:line="134" w:lineRule="exact"/>
        <w:rPr>
          <w:rFonts w:ascii="Times New Roman" w:cs="Times New Roman" w:eastAsia="Times New Roman" w:hAnsi="Times New Roman"/>
          <w:sz w:val="16"/>
          <w:szCs w:val="16"/>
          <w:color w:val="auto"/>
        </w:rPr>
      </w:pPr>
    </w:p>
    <w:p>
      <w:pPr>
        <w:ind w:left="780" w:right="219" w:hanging="289"/>
        <w:spacing w:after="0" w:line="291" w:lineRule="auto"/>
        <w:tabs>
          <w:tab w:leader="none" w:pos="78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Hedging</w:t>
      </w:r>
      <w:r>
        <w:rPr>
          <w:rFonts w:ascii="Times New Roman" w:cs="Times New Roman" w:eastAsia="Times New Roman" w:hAnsi="Times New Roman"/>
          <w:sz w:val="16"/>
          <w:szCs w:val="16"/>
          <w:color w:val="auto"/>
        </w:rPr>
        <w:t>. Employees may not engage in any type of hedging or monetization transaction with respect to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securities.</w:t>
      </w:r>
    </w:p>
    <w:p>
      <w:pPr>
        <w:spacing w:after="0" w:line="136" w:lineRule="exact"/>
        <w:rPr>
          <w:rFonts w:ascii="Times New Roman" w:cs="Times New Roman" w:eastAsia="Times New Roman" w:hAnsi="Times New Roman"/>
          <w:sz w:val="16"/>
          <w:szCs w:val="16"/>
          <w:color w:val="auto"/>
        </w:rPr>
      </w:pPr>
    </w:p>
    <w:p>
      <w:pPr>
        <w:ind w:left="500" w:hanging="300"/>
        <w:spacing w:after="0"/>
        <w:tabs>
          <w:tab w:leader="none" w:pos="50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 of Material Nonpublic Information</w:t>
      </w:r>
    </w:p>
    <w:p>
      <w:pPr>
        <w:spacing w:after="0" w:line="201" w:lineRule="exact"/>
        <w:rPr>
          <w:rFonts w:ascii="Times New Roman" w:cs="Times New Roman" w:eastAsia="Times New Roman" w:hAnsi="Times New Roman"/>
          <w:sz w:val="16"/>
          <w:szCs w:val="16"/>
          <w:b w:val="1"/>
          <w:bCs w:val="1"/>
          <w:color w:val="auto"/>
        </w:rPr>
      </w:pPr>
    </w:p>
    <w:p>
      <w:pPr>
        <w:ind w:left="780" w:hanging="289"/>
        <w:spacing w:after="0"/>
        <w:tabs>
          <w:tab w:leader="none" w:pos="78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Material Information</w:t>
      </w:r>
      <w:r>
        <w:rPr>
          <w:rFonts w:ascii="Times New Roman" w:cs="Times New Roman" w:eastAsia="Times New Roman" w:hAnsi="Times New Roman"/>
          <w:sz w:val="16"/>
          <w:szCs w:val="16"/>
          <w:color w:val="auto"/>
        </w:rPr>
        <w:t>. Under this Policy and United States securities laws, information is “</w:t>
      </w:r>
      <w:r>
        <w:rPr>
          <w:rFonts w:ascii="Times New Roman" w:cs="Times New Roman" w:eastAsia="Times New Roman" w:hAnsi="Times New Roman"/>
          <w:sz w:val="16"/>
          <w:szCs w:val="16"/>
          <w:i w:val="1"/>
          <w:iCs w:val="1"/>
          <w:color w:val="auto"/>
        </w:rPr>
        <w:t>material</w:t>
      </w:r>
      <w:r>
        <w:rPr>
          <w:rFonts w:ascii="Times New Roman" w:cs="Times New Roman" w:eastAsia="Times New Roman" w:hAnsi="Times New Roman"/>
          <w:sz w:val="16"/>
          <w:szCs w:val="16"/>
          <w:color w:val="auto"/>
        </w:rPr>
        <w:t>” if:</w:t>
      </w:r>
    </w:p>
    <w:p>
      <w:pPr>
        <w:spacing w:after="0" w:line="207" w:lineRule="exact"/>
        <w:rPr>
          <w:rFonts w:ascii="Times New Roman" w:cs="Times New Roman" w:eastAsia="Times New Roman" w:hAnsi="Times New Roman"/>
          <w:sz w:val="16"/>
          <w:szCs w:val="16"/>
          <w:color w:val="auto"/>
        </w:rPr>
      </w:pPr>
    </w:p>
    <w:p>
      <w:pPr>
        <w:ind w:left="1080" w:right="219" w:hanging="299"/>
        <w:spacing w:after="0" w:line="284" w:lineRule="auto"/>
        <w:tabs>
          <w:tab w:leader="none" w:pos="1080" w:val="left"/>
        </w:tabs>
        <w:numPr>
          <w:ilvl w:val="3"/>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 substantial likelihood that a reasonable investor would consider the information important in determining whether to trade in a security; or</w:t>
      </w:r>
    </w:p>
    <w:p>
      <w:pPr>
        <w:ind w:left="1080" w:right="219" w:hanging="299"/>
        <w:spacing w:after="0" w:line="286" w:lineRule="auto"/>
        <w:tabs>
          <w:tab w:leader="none" w:pos="1080" w:val="left"/>
        </w:tabs>
        <w:numPr>
          <w:ilvl w:val="3"/>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if made public, likely would affect (either negatively or positively) the market price of a company's securities.</w:t>
      </w:r>
    </w:p>
    <w:p>
      <w:pPr>
        <w:spacing w:after="0" w:line="142" w:lineRule="exact"/>
        <w:rPr>
          <w:sz w:val="20"/>
          <w:szCs w:val="20"/>
          <w:color w:val="auto"/>
        </w:rPr>
      </w:pPr>
    </w:p>
    <w:p>
      <w:pPr>
        <w:jc w:val="both"/>
        <w:ind w:left="780" w:right="219"/>
        <w:spacing w:after="0" w:line="260" w:lineRule="auto"/>
        <w:rPr>
          <w:sz w:val="20"/>
          <w:szCs w:val="20"/>
          <w:color w:val="auto"/>
        </w:rPr>
      </w:pPr>
      <w:r>
        <w:rPr>
          <w:rFonts w:ascii="Times New Roman" w:cs="Times New Roman" w:eastAsia="Times New Roman" w:hAnsi="Times New Roman"/>
          <w:sz w:val="16"/>
          <w:szCs w:val="16"/>
          <w:color w:val="auto"/>
        </w:rPr>
        <w:t>Information may be material even if it relates to future, speculative or contingent events and even if it is significant only when considered in combination with publicly available information. As a practical matter, if you are in possession of nonpublic information that causes you to want to buy or sell Company securities, you should consider that information material and you must refrain from any transactions in Company securities in accordance with this Policy. Depending on the facts and circumstances, information that could be considered material includes, but is not limited to:</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320040</wp:posOffset>
            </wp:positionV>
            <wp:extent cx="547116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8">
                      <a:extLst>
                        <a:ext uri="{28A0092B-C50C-407E-A947-70E740481C1C}"/>
                      </a:extLst>
                    </a:blip>
                    <a:srcRect/>
                    <a:stretch>
                      <a:fillRect/>
                    </a:stretch>
                  </pic:blipFill>
                  <pic:spPr bwMode="auto">
                    <a:xfrm>
                      <a:off x="0" y="0"/>
                      <a:ext cx="5471160" cy="15240"/>
                    </a:xfrm>
                    <a:prstGeom prst="rect">
                      <a:avLst/>
                    </a:prstGeom>
                    <a:noFill/>
                  </pic:spPr>
                </pic:pic>
              </a:graphicData>
            </a:graphic>
          </wp:anchor>
        </w:drawing>
      </w:r>
    </w:p>
    <w:p>
      <w:pPr>
        <w:sectPr>
          <w:pgSz w:w="11900" w:h="16838" w:orient="portrait"/>
          <w:cols w:equalWidth="0" w:num="1">
            <w:col w:w="9019"/>
          </w:cols>
          <w:pgMar w:left="1440" w:top="664" w:right="1440" w:bottom="1440" w:gutter="0" w:footer="0" w:header="0"/>
        </w:sectPr>
      </w:pPr>
    </w:p>
    <w:bookmarkStart w:id="229" w:name="page230"/>
    <w:bookmarkEnd w:id="229"/>
    <w:p>
      <w:pPr>
        <w:ind w:left="1080" w:right="219" w:hanging="299"/>
        <w:spacing w:after="0" w:line="284" w:lineRule="auto"/>
        <w:tabs>
          <w:tab w:leader="none" w:pos="108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information (annual, quarterly, and monthly financial results, as well as guidance or projections related to future results);</w:t>
      </w:r>
    </w:p>
    <w:p>
      <w:pPr>
        <w:ind w:left="1080" w:hanging="299"/>
        <w:spacing w:after="0"/>
        <w:tabs>
          <w:tab w:leader="none" w:pos="108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the senior management of the Company;</w:t>
      </w:r>
    </w:p>
    <w:p>
      <w:pPr>
        <w:spacing w:after="0" w:line="58" w:lineRule="exact"/>
        <w:rPr>
          <w:rFonts w:ascii="Times New Roman" w:cs="Times New Roman" w:eastAsia="Times New Roman" w:hAnsi="Times New Roman"/>
          <w:sz w:val="16"/>
          <w:szCs w:val="16"/>
          <w:color w:val="auto"/>
        </w:rPr>
      </w:pPr>
    </w:p>
    <w:p>
      <w:pPr>
        <w:ind w:left="1080" w:hanging="299"/>
        <w:spacing w:after="0"/>
        <w:tabs>
          <w:tab w:leader="none" w:pos="108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acquisition, merger, or sale of a business or business unit;</w:t>
      </w:r>
    </w:p>
    <w:p>
      <w:pPr>
        <w:spacing w:after="0" w:line="58" w:lineRule="exact"/>
        <w:rPr>
          <w:rFonts w:ascii="Times New Roman" w:cs="Times New Roman" w:eastAsia="Times New Roman" w:hAnsi="Times New Roman"/>
          <w:sz w:val="16"/>
          <w:szCs w:val="16"/>
          <w:color w:val="auto"/>
        </w:rPr>
      </w:pPr>
    </w:p>
    <w:p>
      <w:pPr>
        <w:ind w:left="1080" w:hanging="299"/>
        <w:spacing w:after="0"/>
        <w:tabs>
          <w:tab w:leader="none" w:pos="108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or curtailment of operations;</w:t>
      </w:r>
    </w:p>
    <w:p>
      <w:pPr>
        <w:spacing w:after="0" w:line="58" w:lineRule="exact"/>
        <w:rPr>
          <w:rFonts w:ascii="Times New Roman" w:cs="Times New Roman" w:eastAsia="Times New Roman" w:hAnsi="Times New Roman"/>
          <w:sz w:val="16"/>
          <w:szCs w:val="16"/>
          <w:color w:val="auto"/>
        </w:rPr>
      </w:pPr>
    </w:p>
    <w:p>
      <w:pPr>
        <w:ind w:left="1080" w:hanging="299"/>
        <w:spacing w:after="0"/>
        <w:tabs>
          <w:tab w:leader="none" w:pos="108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 of new products or services;</w:t>
      </w:r>
    </w:p>
    <w:p>
      <w:pPr>
        <w:spacing w:after="0" w:line="58" w:lineRule="exact"/>
        <w:rPr>
          <w:rFonts w:ascii="Times New Roman" w:cs="Times New Roman" w:eastAsia="Times New Roman" w:hAnsi="Times New Roman"/>
          <w:sz w:val="16"/>
          <w:szCs w:val="16"/>
          <w:color w:val="auto"/>
        </w:rPr>
      </w:pPr>
    </w:p>
    <w:p>
      <w:pPr>
        <w:ind w:left="1080" w:right="219" w:hanging="299"/>
        <w:spacing w:after="0" w:line="284" w:lineRule="auto"/>
        <w:tabs>
          <w:tab w:leader="none" w:pos="108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litigation or government actions involving the Company, or a significant change in ongoing litigation or government actions;</w:t>
      </w:r>
    </w:p>
    <w:p>
      <w:pPr>
        <w:ind w:left="1080" w:hanging="299"/>
        <w:spacing w:after="0"/>
        <w:tabs>
          <w:tab w:leader="none" w:pos="108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analyst recommendations or debt ratings; and</w:t>
      </w:r>
    </w:p>
    <w:p>
      <w:pPr>
        <w:spacing w:after="0" w:line="58" w:lineRule="exact"/>
        <w:rPr>
          <w:rFonts w:ascii="Times New Roman" w:cs="Times New Roman" w:eastAsia="Times New Roman" w:hAnsi="Times New Roman"/>
          <w:sz w:val="16"/>
          <w:szCs w:val="16"/>
          <w:color w:val="auto"/>
        </w:rPr>
      </w:pPr>
    </w:p>
    <w:p>
      <w:pPr>
        <w:ind w:left="1080" w:hanging="299"/>
        <w:spacing w:after="0"/>
        <w:tabs>
          <w:tab w:leader="none" w:pos="108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auditors or an auditor notification that the Company may no longer rely on an audit report; and</w:t>
      </w:r>
    </w:p>
    <w:p>
      <w:pPr>
        <w:spacing w:after="0" w:line="58" w:lineRule="exact"/>
        <w:rPr>
          <w:rFonts w:ascii="Times New Roman" w:cs="Times New Roman" w:eastAsia="Times New Roman" w:hAnsi="Times New Roman"/>
          <w:sz w:val="16"/>
          <w:szCs w:val="16"/>
          <w:color w:val="auto"/>
        </w:rPr>
      </w:pPr>
    </w:p>
    <w:p>
      <w:pPr>
        <w:ind w:left="1080" w:hanging="299"/>
        <w:spacing w:after="0"/>
        <w:tabs>
          <w:tab w:leader="none" w:pos="108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similar to these items for any supplier, customer, or vendor of the Company.</w:t>
      </w:r>
    </w:p>
    <w:p>
      <w:pPr>
        <w:spacing w:after="0" w:line="199" w:lineRule="exact"/>
        <w:rPr>
          <w:rFonts w:ascii="Times New Roman" w:cs="Times New Roman" w:eastAsia="Times New Roman" w:hAnsi="Times New Roman"/>
          <w:sz w:val="16"/>
          <w:szCs w:val="16"/>
          <w:color w:val="auto"/>
        </w:rPr>
      </w:pPr>
    </w:p>
    <w:p>
      <w:pPr>
        <w:jc w:val="right"/>
        <w:ind w:left="820" w:right="219" w:hanging="339"/>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b w:val="1"/>
          <w:bCs w:val="1"/>
          <w:i w:val="1"/>
          <w:iCs w:val="1"/>
          <w:color w:val="auto"/>
        </w:rPr>
        <w:t>Nonpublic Information.</w:t>
      </w:r>
      <w:r>
        <w:rPr>
          <w:rFonts w:ascii="Times New Roman" w:cs="Times New Roman" w:eastAsia="Times New Roman" w:hAnsi="Times New Roman"/>
          <w:sz w:val="16"/>
          <w:szCs w:val="16"/>
          <w:color w:val="auto"/>
        </w:rPr>
        <w:t xml:space="preserve">  Nonpublic information is information that has not been adequately disclosed to the public. Information is “</w:t>
      </w:r>
      <w:r>
        <w:rPr>
          <w:rFonts w:ascii="Times New Roman" w:cs="Times New Roman" w:eastAsia="Times New Roman" w:hAnsi="Times New Roman"/>
          <w:sz w:val="16"/>
          <w:szCs w:val="16"/>
          <w:i w:val="1"/>
          <w:iCs w:val="1"/>
          <w:color w:val="auto"/>
        </w:rPr>
        <w:t>adequately disclosed to the public</w:t>
      </w:r>
      <w:r>
        <w:rPr>
          <w:rFonts w:ascii="Times New Roman" w:cs="Times New Roman" w:eastAsia="Times New Roman" w:hAnsi="Times New Roman"/>
          <w:sz w:val="16"/>
          <w:szCs w:val="16"/>
          <w:color w:val="auto"/>
        </w:rPr>
        <w:t>” if (1) the information is publicly disseminated and (2) sufficient time</w:t>
      </w:r>
    </w:p>
    <w:p>
      <w:pPr>
        <w:spacing w:after="0" w:line="1" w:lineRule="exact"/>
        <w:rPr>
          <w:sz w:val="20"/>
          <w:szCs w:val="20"/>
          <w:color w:val="auto"/>
        </w:rPr>
      </w:pPr>
    </w:p>
    <w:p>
      <w:pPr>
        <w:jc w:val="both"/>
        <w:ind w:left="780" w:right="219"/>
        <w:spacing w:after="0" w:line="253" w:lineRule="auto"/>
        <w:rPr>
          <w:sz w:val="20"/>
          <w:szCs w:val="20"/>
          <w:color w:val="auto"/>
        </w:rPr>
      </w:pPr>
      <w:r>
        <w:rPr>
          <w:rFonts w:ascii="Times New Roman" w:cs="Times New Roman" w:eastAsia="Times New Roman" w:hAnsi="Times New Roman"/>
          <w:sz w:val="16"/>
          <w:szCs w:val="16"/>
          <w:color w:val="auto"/>
        </w:rPr>
        <w:t>has passed for the securities markets to digest the information. The Company generally considers information to have been adequately disclosed to the public at the beginning of the first trading day after (1) the information has been released to the media by means of a press release, media advisory or other official oral or written communication intended for wide distribution (note that media reports of rumors are not necessarily sufficient for this purpose) or (2) the filing of the information in a disclosure document the Company files with the Securities and Exchange Commission (the “SEC”). Thus, if a press release is issued on Thursday afternoon after the securities markets have closed and published by the media that same day, the information would normally be considered adequately disclosed to the public on the following Monday (assuming Friday and Monday are trading days). If a document is filed with the SEC on Monday morning before the securities markets have opened, the information is considered adequately disclosed to the public on Tuesday (assuming Monday and Tuesday are trading days). However, the Legal Department will make the final determination specifically as to when the window will open. This is not a guarantee that the Legal Department will always send out a notification regarding the window opening or closing, especially if such closure is temporary or only applicable to Specified Persons.</w:t>
      </w:r>
    </w:p>
    <w:p>
      <w:pPr>
        <w:spacing w:after="0" w:line="172" w:lineRule="exact"/>
        <w:rPr>
          <w:sz w:val="20"/>
          <w:szCs w:val="20"/>
          <w:color w:val="auto"/>
        </w:rPr>
      </w:pPr>
    </w:p>
    <w:p>
      <w:pPr>
        <w:ind w:left="500" w:hanging="300"/>
        <w:spacing w:after="0"/>
        <w:tabs>
          <w:tab w:leader="none" w:pos="50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Confidentiality</w:t>
      </w:r>
    </w:p>
    <w:p>
      <w:pPr>
        <w:spacing w:after="0" w:line="205" w:lineRule="exact"/>
        <w:rPr>
          <w:rFonts w:ascii="Times New Roman" w:cs="Times New Roman" w:eastAsia="Times New Roman" w:hAnsi="Times New Roman"/>
          <w:sz w:val="16"/>
          <w:szCs w:val="16"/>
          <w:b w:val="1"/>
          <w:bCs w:val="1"/>
          <w:color w:val="auto"/>
        </w:rPr>
      </w:pPr>
    </w:p>
    <w:p>
      <w:pPr>
        <w:ind w:left="500" w:right="219"/>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Policy establishes safeguards against insider trading and tipping. Your failure to follow the safeguards established below is itself a violation of this Policy.</w:t>
      </w:r>
    </w:p>
    <w:p>
      <w:pPr>
        <w:spacing w:after="0" w:line="138" w:lineRule="exact"/>
        <w:rPr>
          <w:rFonts w:ascii="Times New Roman" w:cs="Times New Roman" w:eastAsia="Times New Roman" w:hAnsi="Times New Roman"/>
          <w:sz w:val="16"/>
          <w:szCs w:val="16"/>
          <w:b w:val="1"/>
          <w:bCs w:val="1"/>
          <w:color w:val="auto"/>
        </w:rPr>
      </w:pPr>
    </w:p>
    <w:p>
      <w:pPr>
        <w:jc w:val="both"/>
        <w:ind w:left="780" w:right="219" w:hanging="289"/>
        <w:spacing w:after="0" w:line="259" w:lineRule="auto"/>
        <w:tabs>
          <w:tab w:leader="none" w:pos="780"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Disclosure of Material Nonpublic Information. </w:t>
      </w:r>
      <w:r>
        <w:rPr>
          <w:rFonts w:ascii="Times New Roman" w:cs="Times New Roman" w:eastAsia="Times New Roman" w:hAnsi="Times New Roman"/>
          <w:sz w:val="16"/>
          <w:szCs w:val="16"/>
          <w:color w:val="auto"/>
        </w:rPr>
        <w:t>If material information relating to the Company or its business has not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been disclosed to the general public, such information must be kept in strict confidence and should be discussed only with persons who have a “need to know” the information for a legitimate business purpose. The utmost care must be exercised at all times in order to protect the Company’s confidential information. If, in connection with the fulfillment of your responsibilities, it will be necessary for you to disclose material nonpublic information to persons or organizations outside of the Company, you should contact the Legal Department prior to disclosure to determine what steps (e.g., execution of a nondisclosure agreement) should be taken to prevent unauthorized dissemination of the sensitive information.</w:t>
      </w:r>
    </w:p>
    <w:p>
      <w:pPr>
        <w:spacing w:after="0" w:line="159" w:lineRule="exact"/>
        <w:rPr>
          <w:rFonts w:ascii="Times New Roman" w:cs="Times New Roman" w:eastAsia="Times New Roman" w:hAnsi="Times New Roman"/>
          <w:sz w:val="16"/>
          <w:szCs w:val="16"/>
          <w:color w:val="auto"/>
        </w:rPr>
      </w:pPr>
    </w:p>
    <w:p>
      <w:pPr>
        <w:jc w:val="both"/>
        <w:ind w:left="820" w:right="219" w:hanging="329"/>
        <w:spacing w:after="0" w:line="265" w:lineRule="auto"/>
        <w:tabs>
          <w:tab w:leader="none" w:pos="775"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Requests for Information. </w:t>
      </w:r>
      <w:r>
        <w:rPr>
          <w:rFonts w:ascii="Times New Roman" w:cs="Times New Roman" w:eastAsia="Times New Roman" w:hAnsi="Times New Roman"/>
          <w:sz w:val="16"/>
          <w:szCs w:val="16"/>
          <w:color w:val="auto"/>
        </w:rPr>
        <w:t>Employees may be the recipient of questions concerning various activities of the Company.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Such inquiries can come from the media, securities analysts and others regarding the Company’s business, rumors, trading</w:t>
      </w:r>
    </w:p>
    <w:p>
      <w:pPr>
        <w:spacing w:after="0" w:line="1" w:lineRule="exact"/>
        <w:rPr>
          <w:sz w:val="20"/>
          <w:szCs w:val="20"/>
          <w:color w:val="auto"/>
        </w:rPr>
      </w:pPr>
    </w:p>
    <w:p>
      <w:pPr>
        <w:jc w:val="both"/>
        <w:ind w:left="780" w:right="219"/>
        <w:spacing w:after="0" w:line="255" w:lineRule="auto"/>
        <w:rPr>
          <w:sz w:val="20"/>
          <w:szCs w:val="20"/>
          <w:color w:val="auto"/>
        </w:rPr>
      </w:pPr>
      <w:r>
        <w:rPr>
          <w:rFonts w:ascii="Times New Roman" w:cs="Times New Roman" w:eastAsia="Times New Roman" w:hAnsi="Times New Roman"/>
          <w:sz w:val="16"/>
          <w:szCs w:val="16"/>
          <w:color w:val="auto"/>
        </w:rPr>
        <w:t>activity, current and future prospects and plans, acquisition or divestiture activities and other similar important information. Under no circumstances should an Employee attempt to handle these inquiries without prior authorization. Only Company individuals specifically authorized to do so may answer questions about or disclose information concerning the Company. If you receive a request for information from members of the public, you should refer such inquiries to the Company’s Media Relations Department.</w:t>
      </w:r>
    </w:p>
    <w:p>
      <w:pPr>
        <w:spacing w:after="0" w:line="166" w:lineRule="exact"/>
        <w:rPr>
          <w:sz w:val="20"/>
          <w:szCs w:val="20"/>
          <w:color w:val="auto"/>
        </w:rPr>
      </w:pPr>
    </w:p>
    <w:p>
      <w:pPr>
        <w:ind w:left="500" w:hanging="300"/>
        <w:spacing w:after="0"/>
        <w:tabs>
          <w:tab w:leader="none" w:pos="500"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Additional Restrictions on Directors, Executive Officers and Designated Employees</w:t>
      </w:r>
    </w:p>
    <w:p>
      <w:pPr>
        <w:spacing w:after="0" w:line="203" w:lineRule="exact"/>
        <w:rPr>
          <w:sz w:val="20"/>
          <w:szCs w:val="20"/>
          <w:color w:val="auto"/>
        </w:rPr>
      </w:pPr>
    </w:p>
    <w:p>
      <w:pPr>
        <w:ind w:left="200" w:right="219"/>
        <w:spacing w:after="0" w:line="288" w:lineRule="auto"/>
        <w:rPr>
          <w:sz w:val="20"/>
          <w:szCs w:val="20"/>
          <w:color w:val="auto"/>
        </w:rPr>
      </w:pPr>
      <w:r>
        <w:rPr>
          <w:rFonts w:ascii="Times New Roman" w:cs="Times New Roman" w:eastAsia="Times New Roman" w:hAnsi="Times New Roman"/>
          <w:sz w:val="16"/>
          <w:szCs w:val="16"/>
          <w:color w:val="auto"/>
        </w:rPr>
        <w:t>To avoid even the appearance of impropriety, additional trading restrictions apply to “</w:t>
      </w:r>
      <w:r>
        <w:rPr>
          <w:rFonts w:ascii="Times New Roman" w:cs="Times New Roman" w:eastAsia="Times New Roman" w:hAnsi="Times New Roman"/>
          <w:sz w:val="16"/>
          <w:szCs w:val="16"/>
          <w:i w:val="1"/>
          <w:iCs w:val="1"/>
          <w:color w:val="auto"/>
        </w:rPr>
        <w:t>Specified Persons</w:t>
      </w:r>
      <w:r>
        <w:rPr>
          <w:rFonts w:ascii="Times New Roman" w:cs="Times New Roman" w:eastAsia="Times New Roman" w:hAnsi="Times New Roman"/>
          <w:sz w:val="16"/>
          <w:szCs w:val="16"/>
          <w:color w:val="auto"/>
        </w:rPr>
        <w:t>,” which are defined as all members of the Company’s board of directors, executive officers, persons at or above the vice-president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320040</wp:posOffset>
            </wp:positionV>
            <wp:extent cx="547116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9">
                      <a:extLst>
                        <a:ext uri="{28A0092B-C50C-407E-A947-70E740481C1C}"/>
                      </a:extLst>
                    </a:blip>
                    <a:srcRect/>
                    <a:stretch>
                      <a:fillRect/>
                    </a:stretch>
                  </pic:blipFill>
                  <pic:spPr bwMode="auto">
                    <a:xfrm>
                      <a:off x="0" y="0"/>
                      <a:ext cx="5471160" cy="15240"/>
                    </a:xfrm>
                    <a:prstGeom prst="rect">
                      <a:avLst/>
                    </a:prstGeom>
                    <a:noFill/>
                  </pic:spPr>
                </pic:pic>
              </a:graphicData>
            </a:graphic>
          </wp:anchor>
        </w:drawing>
      </w:r>
    </w:p>
    <w:p>
      <w:pPr>
        <w:sectPr>
          <w:pgSz w:w="11900" w:h="16838" w:orient="portrait"/>
          <w:cols w:equalWidth="0" w:num="1">
            <w:col w:w="9019"/>
          </w:cols>
          <w:pgMar w:left="1440" w:top="667" w:right="1440" w:bottom="1440" w:gutter="0" w:footer="0" w:header="0"/>
        </w:sectPr>
      </w:pPr>
    </w:p>
    <w:bookmarkStart w:id="230" w:name="page231"/>
    <w:bookmarkEnd w:id="230"/>
    <w:p>
      <w:pPr>
        <w:jc w:val="both"/>
        <w:ind w:left="200" w:right="219"/>
        <w:spacing w:after="0" w:line="263" w:lineRule="auto"/>
        <w:rPr>
          <w:sz w:val="20"/>
          <w:szCs w:val="20"/>
          <w:color w:val="auto"/>
        </w:rPr>
      </w:pPr>
      <w:r>
        <w:rPr>
          <w:rFonts w:ascii="Times New Roman" w:cs="Times New Roman" w:eastAsia="Times New Roman" w:hAnsi="Times New Roman"/>
          <w:sz w:val="16"/>
          <w:szCs w:val="16"/>
          <w:color w:val="auto"/>
        </w:rPr>
        <w:t>level and certain other designated Employees who have been informed of such designation, as well as the Related Persons of such individuals who, by virtue of their position in the Company, are routinely aware of material nonpublic information. This Policy generally prohibits Specified Persons from trading in Company securities during Blackout Periods (as defined below), and requires such persons to receive pre-clearance for all transactions in Company securities.</w:t>
      </w:r>
    </w:p>
    <w:p>
      <w:pPr>
        <w:spacing w:after="0" w:line="158" w:lineRule="exact"/>
        <w:rPr>
          <w:sz w:val="20"/>
          <w:szCs w:val="20"/>
          <w:color w:val="auto"/>
        </w:rPr>
      </w:pPr>
    </w:p>
    <w:p>
      <w:pPr>
        <w:jc w:val="both"/>
        <w:ind w:left="780" w:right="219" w:hanging="289"/>
        <w:spacing w:after="0" w:line="262" w:lineRule="auto"/>
        <w:tabs>
          <w:tab w:leader="none" w:pos="7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Blackout Periods. </w:t>
      </w:r>
      <w:r>
        <w:rPr>
          <w:rFonts w:ascii="Times New Roman" w:cs="Times New Roman" w:eastAsia="Times New Roman" w:hAnsi="Times New Roman"/>
          <w:sz w:val="16"/>
          <w:szCs w:val="16"/>
          <w:color w:val="auto"/>
        </w:rPr>
        <w:t>No Specified Person, may trade in the Company’s securities during certain designated blackout periods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Blackout Periods</w:t>
      </w:r>
      <w:r>
        <w:rPr>
          <w:rFonts w:ascii="Times New Roman" w:cs="Times New Roman" w:eastAsia="Times New Roman" w:hAnsi="Times New Roman"/>
          <w:sz w:val="16"/>
          <w:szCs w:val="16"/>
          <w:color w:val="auto"/>
        </w:rPr>
        <w:t>”). This prohibition also applies to changes in your Employee Stock Purchase Plan, sales of Company common stock in your Employee Stock Purchase Plan account or 401(k) account, and sales of Company common stock received upon the exercise of options, including (if applicable) a cashless exercise of options in which the proceeds from the sale of common stock underlying the options are used to fund the option exercise price or related taxes.</w:t>
      </w:r>
    </w:p>
    <w:p>
      <w:pPr>
        <w:spacing w:after="0" w:line="161" w:lineRule="exact"/>
        <w:rPr>
          <w:rFonts w:ascii="Times New Roman" w:cs="Times New Roman" w:eastAsia="Times New Roman" w:hAnsi="Times New Roman"/>
          <w:sz w:val="16"/>
          <w:szCs w:val="16"/>
          <w:color w:val="auto"/>
        </w:rPr>
      </w:pPr>
    </w:p>
    <w:p>
      <w:pPr>
        <w:jc w:val="both"/>
        <w:ind w:left="1360" w:right="219" w:hanging="288"/>
        <w:spacing w:after="0" w:line="254" w:lineRule="auto"/>
        <w:tabs>
          <w:tab w:leader="none" w:pos="136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Quarterly Blackout Periods</w:t>
      </w:r>
      <w:r>
        <w:rPr>
          <w:rFonts w:ascii="Times New Roman" w:cs="Times New Roman" w:eastAsia="Times New Roman" w:hAnsi="Times New Roman"/>
          <w:sz w:val="16"/>
          <w:szCs w:val="16"/>
          <w:color w:val="auto"/>
        </w:rPr>
        <w:t>. The Company’s Quarterly Blackout Periods commence on the fifteenth day of the last month of each fiscal quarter (i.e., March 15, June 15, September 15, and December 15) and generally ends at the start of the first trading day after one full trading day has passed since the earlier of the filing by the Company of its next 10-Q or 10-K with the SEC or the public release of earnings for the completed quarter unless the end date of the Blackout Period is after another Blackout Period has begun. For example, in the third quarter, the Blackout Period begins on September 15. If the third quarter 10-Q is filed with the SEC before the market opens on November 14 and November 15 is a trading day, then the last day of the Blackout Period will be November 14 and the window will open on November 15. However, if the third quarter 10-Q is filed with the SEC after the market opens on November 14 and November 15 is a trading day, then the last day of the Blackout Period will be November 15 and the window will open on November 16.</w:t>
      </w:r>
    </w:p>
    <w:p>
      <w:pPr>
        <w:spacing w:after="0" w:line="5" w:lineRule="exact"/>
        <w:rPr>
          <w:rFonts w:ascii="Times New Roman" w:cs="Times New Roman" w:eastAsia="Times New Roman" w:hAnsi="Times New Roman"/>
          <w:sz w:val="16"/>
          <w:szCs w:val="16"/>
          <w:color w:val="auto"/>
        </w:rPr>
      </w:pPr>
    </w:p>
    <w:p>
      <w:pPr>
        <w:jc w:val="both"/>
        <w:ind w:left="1360" w:right="219" w:hanging="288"/>
        <w:spacing w:after="0" w:line="252" w:lineRule="auto"/>
        <w:tabs>
          <w:tab w:leader="none" w:pos="136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Special Blackout Periods</w:t>
      </w:r>
      <w:r>
        <w:rPr>
          <w:rFonts w:ascii="Times New Roman" w:cs="Times New Roman" w:eastAsia="Times New Roman" w:hAnsi="Times New Roman"/>
          <w:sz w:val="16"/>
          <w:szCs w:val="16"/>
          <w:color w:val="auto"/>
        </w:rPr>
        <w:t xml:space="preserve">. From time to time, other types of material nonpublic information regarding the Company may be pending and not be publicly disclosed. While such material nonpublic information is pending, the Company may impose special Blackout Periods during which some or all Specified Persons are prohibited from trading in the Company’s securities. The existence of a special Blackout Period may not be announced. </w:t>
      </w:r>
      <w:r>
        <w:rPr>
          <w:rFonts w:ascii="Times New Roman" w:cs="Times New Roman" w:eastAsia="Times New Roman" w:hAnsi="Times New Roman"/>
          <w:sz w:val="16"/>
          <w:szCs w:val="16"/>
          <w:b w:val="1"/>
          <w:bCs w:val="1"/>
          <w:color w:val="auto"/>
        </w:rPr>
        <w:t>Any</w:t>
      </w:r>
    </w:p>
    <w:p>
      <w:pPr>
        <w:spacing w:after="0" w:line="1" w:lineRule="exact"/>
        <w:rPr>
          <w:rFonts w:ascii="Times New Roman" w:cs="Times New Roman" w:eastAsia="Times New Roman" w:hAnsi="Times New Roman"/>
          <w:sz w:val="16"/>
          <w:szCs w:val="16"/>
          <w:color w:val="auto"/>
        </w:rPr>
      </w:pPr>
    </w:p>
    <w:p>
      <w:pPr>
        <w:jc w:val="both"/>
        <w:ind w:left="1360" w:right="21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Specified Person who is made aware of an unannounced Blackout Period may not disclose its existence to any other person</w:t>
      </w:r>
      <w:r>
        <w:rPr>
          <w:rFonts w:ascii="Times New Roman" w:cs="Times New Roman" w:eastAsia="Times New Roman" w:hAnsi="Times New Roman"/>
          <w:sz w:val="16"/>
          <w:szCs w:val="16"/>
          <w:color w:val="auto"/>
        </w:rPr>
        <w:t>. Certain special Blackout Periods (for example, relating to a contemplated transaction)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apply to Employees who are not Specified Persons. Such Employees will be notified of the existence of any such special Blackout Period and, </w:t>
      </w:r>
      <w:r>
        <w:rPr>
          <w:rFonts w:ascii="Times New Roman" w:cs="Times New Roman" w:eastAsia="Times New Roman" w:hAnsi="Times New Roman"/>
          <w:sz w:val="16"/>
          <w:szCs w:val="16"/>
          <w:b w:val="1"/>
          <w:bCs w:val="1"/>
          <w:color w:val="auto"/>
        </w:rPr>
        <w:t>such Employees may not disclose its existence to any other person</w:t>
      </w:r>
      <w:r>
        <w:rPr>
          <w:rFonts w:ascii="Times New Roman" w:cs="Times New Roman" w:eastAsia="Times New Roman" w:hAnsi="Times New Roman"/>
          <w:sz w:val="16"/>
          <w:szCs w:val="16"/>
          <w:color w:val="auto"/>
        </w:rPr>
        <w:t>.</w:t>
      </w:r>
    </w:p>
    <w:p>
      <w:pPr>
        <w:spacing w:after="0" w:line="163" w:lineRule="exact"/>
        <w:rPr>
          <w:rFonts w:ascii="Times New Roman" w:cs="Times New Roman" w:eastAsia="Times New Roman" w:hAnsi="Times New Roman"/>
          <w:sz w:val="16"/>
          <w:szCs w:val="16"/>
          <w:color w:val="auto"/>
        </w:rPr>
      </w:pPr>
    </w:p>
    <w:p>
      <w:pPr>
        <w:jc w:val="both"/>
        <w:ind w:left="780" w:right="219" w:hanging="289"/>
        <w:spacing w:after="0" w:line="259" w:lineRule="auto"/>
        <w:tabs>
          <w:tab w:leader="none" w:pos="7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Pre-Clearance of Trades</w:t>
      </w:r>
      <w:r>
        <w:rPr>
          <w:rFonts w:ascii="Times New Roman" w:cs="Times New Roman" w:eastAsia="Times New Roman" w:hAnsi="Times New Roman"/>
          <w:sz w:val="16"/>
          <w:szCs w:val="16"/>
          <w:color w:val="auto"/>
        </w:rPr>
        <w:t>. Specified Persons are permitted to trade in the Company’s securities when no Blackout Period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effect only upon receiving a pre-clearance from the Company’s Legal Department. Pre-clearance can be sought by emailing tradingapproval@echostar.com. Members of the Company’s board of directors and executive officers under Section 16 of the Securities Exchange Act of 1934 must receive pre-clearance from the General Counsel (or his designee). Clearance of a transaction is valid only for a 48-hour period. If the transaction order is not executed within that 48-hour period, clearance of the transaction must be re-requested. If clearance is denied, the fact of such denial must be kept confidential by the person requesting the clearance.</w:t>
      </w:r>
    </w:p>
    <w:p>
      <w:pPr>
        <w:spacing w:after="0" w:line="159" w:lineRule="exact"/>
        <w:rPr>
          <w:rFonts w:ascii="Times New Roman" w:cs="Times New Roman" w:eastAsia="Times New Roman" w:hAnsi="Times New Roman"/>
          <w:sz w:val="16"/>
          <w:szCs w:val="16"/>
          <w:color w:val="auto"/>
        </w:rPr>
      </w:pPr>
    </w:p>
    <w:p>
      <w:pPr>
        <w:jc w:val="both"/>
        <w:ind w:left="780" w:right="219" w:hanging="289"/>
        <w:spacing w:after="0" w:line="256" w:lineRule="auto"/>
        <w:tabs>
          <w:tab w:leader="none" w:pos="7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Exception for Securities Trading Plans. </w:t>
      </w:r>
      <w:r>
        <w:rPr>
          <w:rFonts w:ascii="Times New Roman" w:cs="Times New Roman" w:eastAsia="Times New Roman" w:hAnsi="Times New Roman"/>
          <w:sz w:val="16"/>
          <w:szCs w:val="16"/>
          <w:color w:val="auto"/>
        </w:rPr>
        <w:t>The trading restrictions regarding Blackout Periods and pre-clearance of trades do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 apply to transactions executed under a pre-existing trading plan that complies with Rule 10b5-1 of the Securities and Exchange Act of 1934 (a “Trading Plan”). To be eligible for this exception: (i) you must use the form Trading Plan available from the Company’s Legal Department or the Company’s stock plan administrator (which is Fidelity Investments, as of the date of the adoption of this Policy), which may not be modified; (ii) you must submit the Trading Plan to the Legal Department for approval; and (iii) the Trading Plan must be provided to the Company’s stock plan administrator for adoption. Trading Plans may not be adopted when the Employee is in possession of material nonpublic information about the Company or during any Blackout Period. Trading Plans may only be amended or replaced during periods when trading is permitted in accordance with this Policy. In addition, the Trading Plan must be entered into in good faith and not as part of a scheme to evade the prohibitions of applicable laws and regulations or this Policy. For further details about rules and guidelines concerning Trading Plans, please contact the Legal Department or the Company’s stock plan administrator.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320040</wp:posOffset>
            </wp:positionV>
            <wp:extent cx="547116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50">
                      <a:extLst>
                        <a:ext uri="{28A0092B-C50C-407E-A947-70E740481C1C}"/>
                      </a:extLst>
                    </a:blip>
                    <a:srcRect/>
                    <a:stretch>
                      <a:fillRect/>
                    </a:stretch>
                  </pic:blipFill>
                  <pic:spPr bwMode="auto">
                    <a:xfrm>
                      <a:off x="0" y="0"/>
                      <a:ext cx="5471160" cy="15240"/>
                    </a:xfrm>
                    <a:prstGeom prst="rect">
                      <a:avLst/>
                    </a:prstGeom>
                    <a:noFill/>
                  </pic:spPr>
                </pic:pic>
              </a:graphicData>
            </a:graphic>
          </wp:anchor>
        </w:drawing>
      </w:r>
    </w:p>
    <w:p>
      <w:pPr>
        <w:sectPr>
          <w:pgSz w:w="11900" w:h="16838" w:orient="portrait"/>
          <w:cols w:equalWidth="0" w:num="1">
            <w:col w:w="9019"/>
          </w:cols>
          <w:pgMar w:left="1440" w:top="668" w:right="1440" w:bottom="1440" w:gutter="0" w:footer="0" w:header="0"/>
        </w:sectPr>
      </w:pPr>
    </w:p>
    <w:bookmarkStart w:id="231" w:name="page232"/>
    <w:bookmarkEnd w:id="231"/>
    <w:p>
      <w:pPr>
        <w:ind w:left="780" w:hanging="289"/>
        <w:spacing w:after="0"/>
        <w:tabs>
          <w:tab w:leader="none" w:pos="7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SEC Reporting Requirements</w:t>
      </w:r>
    </w:p>
    <w:p>
      <w:pPr>
        <w:spacing w:after="0" w:line="205" w:lineRule="exact"/>
        <w:rPr>
          <w:rFonts w:ascii="Times New Roman" w:cs="Times New Roman" w:eastAsia="Times New Roman" w:hAnsi="Times New Roman"/>
          <w:sz w:val="16"/>
          <w:szCs w:val="16"/>
          <w:color w:val="auto"/>
        </w:rPr>
      </w:pPr>
    </w:p>
    <w:p>
      <w:pPr>
        <w:ind w:left="780" w:right="639"/>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and certain officers designated by the Board of Directors (“</w:t>
      </w:r>
      <w:r>
        <w:rPr>
          <w:rFonts w:ascii="Times New Roman" w:cs="Times New Roman" w:eastAsia="Times New Roman" w:hAnsi="Times New Roman"/>
          <w:sz w:val="16"/>
          <w:szCs w:val="16"/>
          <w:i w:val="1"/>
          <w:iCs w:val="1"/>
          <w:color w:val="auto"/>
        </w:rPr>
        <w:t>Section 16 Filers</w:t>
      </w:r>
      <w:r>
        <w:rPr>
          <w:rFonts w:ascii="Times New Roman" w:cs="Times New Roman" w:eastAsia="Times New Roman" w:hAnsi="Times New Roman"/>
          <w:sz w:val="16"/>
          <w:szCs w:val="16"/>
          <w:color w:val="auto"/>
        </w:rPr>
        <w:t>”) are required to file beneficial ownership forms with the SEC pursuant to Section 16 of the Securities Exchange Act of 1934, including:</w:t>
      </w:r>
    </w:p>
    <w:p>
      <w:pPr>
        <w:spacing w:after="0" w:line="141" w:lineRule="exact"/>
        <w:rPr>
          <w:rFonts w:ascii="Times New Roman" w:cs="Times New Roman" w:eastAsia="Times New Roman" w:hAnsi="Times New Roman"/>
          <w:sz w:val="16"/>
          <w:szCs w:val="16"/>
          <w:color w:val="auto"/>
        </w:rPr>
      </w:pPr>
    </w:p>
    <w:p>
      <w:pPr>
        <w:jc w:val="both"/>
        <w:ind w:left="1080" w:right="219" w:hanging="299"/>
        <w:spacing w:after="0" w:line="269" w:lineRule="auto"/>
        <w:tabs>
          <w:tab w:leader="none" w:pos="108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initial statement summarizing the Section 16 Filer’s beneficial ownership of equity securities of the Company, usually filed at the time of becoming a director or Section 16 Filer, regardless of whether the person actually owns any such securities (Form 3).</w:t>
      </w:r>
    </w:p>
    <w:p>
      <w:pPr>
        <w:spacing w:after="0" w:line="10" w:lineRule="exact"/>
        <w:rPr>
          <w:rFonts w:ascii="Times New Roman" w:cs="Times New Roman" w:eastAsia="Times New Roman" w:hAnsi="Times New Roman"/>
          <w:sz w:val="16"/>
          <w:szCs w:val="16"/>
          <w:color w:val="auto"/>
        </w:rPr>
      </w:pPr>
    </w:p>
    <w:p>
      <w:pPr>
        <w:ind w:left="1080" w:right="219" w:hanging="299"/>
        <w:spacing w:after="0" w:line="284" w:lineRule="auto"/>
        <w:tabs>
          <w:tab w:leader="none" w:pos="108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Statements of changes in each Section 16 Filer’s beneficial ownership of equity securities of the Company, or derivatives thereof, to be filed before the end of the second business day after any such change (Form 4).</w:t>
      </w:r>
    </w:p>
    <w:p>
      <w:pPr>
        <w:ind w:left="1080" w:right="219" w:hanging="299"/>
        <w:spacing w:after="0" w:line="286" w:lineRule="auto"/>
        <w:tabs>
          <w:tab w:leader="none" w:pos="108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statement of each Section 16 Filer’s beneficial ownership of equity securities, filed within 45 days of the end of the Company’s fiscal year, but only to the extent securities transactions were not earlier reported (Form 5).</w:t>
      </w:r>
    </w:p>
    <w:p>
      <w:pPr>
        <w:spacing w:after="0" w:line="142" w:lineRule="exact"/>
        <w:rPr>
          <w:sz w:val="20"/>
          <w:szCs w:val="20"/>
          <w:color w:val="auto"/>
        </w:rPr>
      </w:pPr>
    </w:p>
    <w:p>
      <w:pPr>
        <w:jc w:val="both"/>
        <w:ind w:left="780" w:right="219"/>
        <w:spacing w:after="0" w:line="269" w:lineRule="auto"/>
        <w:rPr>
          <w:sz w:val="20"/>
          <w:szCs w:val="20"/>
          <w:color w:val="auto"/>
        </w:rPr>
      </w:pPr>
      <w:r>
        <w:rPr>
          <w:rFonts w:ascii="Times New Roman" w:cs="Times New Roman" w:eastAsia="Times New Roman" w:hAnsi="Times New Roman"/>
          <w:sz w:val="16"/>
          <w:szCs w:val="16"/>
          <w:color w:val="auto"/>
        </w:rPr>
        <w:t>In addition, members of the Company’s board of directors and certain officers must comply with the requirements of Rule 144 under the Securities Act of 1933 with respect to the sale of any Company securities, including the detailed reporting requirements on Form 144, and strict limitations and requirements regarding:</w:t>
      </w:r>
    </w:p>
    <w:p>
      <w:pPr>
        <w:spacing w:after="0" w:line="156" w:lineRule="exact"/>
        <w:rPr>
          <w:sz w:val="20"/>
          <w:szCs w:val="20"/>
          <w:color w:val="auto"/>
        </w:rPr>
      </w:pPr>
    </w:p>
    <w:p>
      <w:pPr>
        <w:ind w:left="1080" w:hanging="299"/>
        <w:spacing w:after="0"/>
        <w:tabs>
          <w:tab w:leader="none" w:pos="10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that may be sold during an established period of time;</w:t>
      </w:r>
    </w:p>
    <w:p>
      <w:pPr>
        <w:spacing w:after="0" w:line="58" w:lineRule="exact"/>
        <w:rPr>
          <w:rFonts w:ascii="Times New Roman" w:cs="Times New Roman" w:eastAsia="Times New Roman" w:hAnsi="Times New Roman"/>
          <w:sz w:val="16"/>
          <w:szCs w:val="16"/>
          <w:color w:val="auto"/>
        </w:rPr>
      </w:pPr>
    </w:p>
    <w:p>
      <w:pPr>
        <w:ind w:left="1080" w:hanging="299"/>
        <w:spacing w:after="0"/>
        <w:tabs>
          <w:tab w:leader="none" w:pos="10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certain securities, the length of time for which they must be held before they are sold;</w:t>
      </w:r>
    </w:p>
    <w:p>
      <w:pPr>
        <w:spacing w:after="0" w:line="58" w:lineRule="exact"/>
        <w:rPr>
          <w:rFonts w:ascii="Times New Roman" w:cs="Times New Roman" w:eastAsia="Times New Roman" w:hAnsi="Times New Roman"/>
          <w:sz w:val="16"/>
          <w:szCs w:val="16"/>
          <w:color w:val="auto"/>
        </w:rPr>
      </w:pPr>
    </w:p>
    <w:p>
      <w:pPr>
        <w:ind w:left="1080" w:hanging="299"/>
        <w:spacing w:after="0"/>
        <w:tabs>
          <w:tab w:leader="none" w:pos="10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 availability of information about the Company; and</w:t>
      </w:r>
    </w:p>
    <w:p>
      <w:pPr>
        <w:spacing w:after="0" w:line="58" w:lineRule="exact"/>
        <w:rPr>
          <w:rFonts w:ascii="Times New Roman" w:cs="Times New Roman" w:eastAsia="Times New Roman" w:hAnsi="Times New Roman"/>
          <w:sz w:val="16"/>
          <w:szCs w:val="16"/>
          <w:color w:val="auto"/>
        </w:rPr>
      </w:pPr>
    </w:p>
    <w:p>
      <w:pPr>
        <w:ind w:left="1080" w:hanging="299"/>
        <w:spacing w:after="0"/>
        <w:tabs>
          <w:tab w:leader="none" w:pos="10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manner of sale.</w:t>
      </w:r>
    </w:p>
    <w:p>
      <w:pPr>
        <w:spacing w:after="0" w:line="252" w:lineRule="exact"/>
        <w:rPr>
          <w:sz w:val="20"/>
          <w:szCs w:val="20"/>
          <w:color w:val="auto"/>
        </w:rPr>
      </w:pPr>
    </w:p>
    <w:p>
      <w:pPr>
        <w:ind w:left="780" w:right="399"/>
        <w:spacing w:after="0" w:line="269" w:lineRule="auto"/>
        <w:rPr>
          <w:sz w:val="20"/>
          <w:szCs w:val="20"/>
          <w:color w:val="auto"/>
        </w:rPr>
      </w:pPr>
      <w:r>
        <w:rPr>
          <w:rFonts w:ascii="Times New Roman" w:cs="Times New Roman" w:eastAsia="Times New Roman" w:hAnsi="Times New Roman"/>
          <w:sz w:val="16"/>
          <w:szCs w:val="16"/>
          <w:color w:val="auto"/>
        </w:rPr>
        <w:t>Although the General Counsel will provide information to its Section 16 Filers concerning the requirements of Rule 144 and Section 16, each officer and director bears legal responsibility for complying with these requirements. Please contact the General Counsel or, if you prefer, your individual legal counsel, regarding any questions you have in this area.</w:t>
      </w:r>
    </w:p>
    <w:p>
      <w:pPr>
        <w:spacing w:after="0" w:line="154" w:lineRule="exact"/>
        <w:rPr>
          <w:sz w:val="20"/>
          <w:szCs w:val="20"/>
          <w:color w:val="auto"/>
        </w:rPr>
      </w:pPr>
    </w:p>
    <w:p>
      <w:pPr>
        <w:ind w:left="500" w:hanging="300"/>
        <w:spacing w:after="0"/>
        <w:tabs>
          <w:tab w:leader="none" w:pos="50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Violations of this Policy</w:t>
      </w:r>
    </w:p>
    <w:p>
      <w:pPr>
        <w:spacing w:after="0" w:line="201" w:lineRule="exact"/>
        <w:rPr>
          <w:rFonts w:ascii="Times New Roman" w:cs="Times New Roman" w:eastAsia="Times New Roman" w:hAnsi="Times New Roman"/>
          <w:sz w:val="16"/>
          <w:szCs w:val="16"/>
          <w:b w:val="1"/>
          <w:bCs w:val="1"/>
          <w:color w:val="auto"/>
        </w:rPr>
      </w:pPr>
    </w:p>
    <w:p>
      <w:pPr>
        <w:jc w:val="both"/>
        <w:ind w:left="780" w:right="219" w:hanging="289"/>
        <w:spacing w:after="0" w:line="260" w:lineRule="auto"/>
        <w:tabs>
          <w:tab w:leader="none" w:pos="78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Civil and Criminal Penalties. </w:t>
      </w:r>
      <w:r>
        <w:rPr>
          <w:rFonts w:ascii="Times New Roman" w:cs="Times New Roman" w:eastAsia="Times New Roman" w:hAnsi="Times New Roman"/>
          <w:sz w:val="16"/>
          <w:szCs w:val="16"/>
          <w:color w:val="auto"/>
        </w:rPr>
        <w:t>Federal and state securities laws impose or permit severe civil and criminal penalties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illegally trading securities while in possession of material nonpublic information, including but not limited to jail sentences, criminal fines, disgorgement of profits gained or losses avoided, and civil penalties. Such penalties can be applied even to persons who do not personally profit from their activities (e.g., in cases of tipping or where the trades did not result in profits). The Company will not be responsible for the legal costs and expenses of any Employee who violates this policy and is accused of wrongdoing related to the violation.</w:t>
      </w:r>
    </w:p>
    <w:p>
      <w:pPr>
        <w:spacing w:after="0" w:line="159" w:lineRule="exact"/>
        <w:rPr>
          <w:rFonts w:ascii="Times New Roman" w:cs="Times New Roman" w:eastAsia="Times New Roman" w:hAnsi="Times New Roman"/>
          <w:sz w:val="16"/>
          <w:szCs w:val="16"/>
          <w:color w:val="auto"/>
        </w:rPr>
      </w:pPr>
    </w:p>
    <w:p>
      <w:pPr>
        <w:jc w:val="both"/>
        <w:ind w:left="780" w:right="219" w:hanging="289"/>
        <w:spacing w:after="0" w:line="262" w:lineRule="auto"/>
        <w:tabs>
          <w:tab w:leader="none" w:pos="780"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Disciplinary Actions. </w:t>
      </w:r>
      <w:r>
        <w:rPr>
          <w:rFonts w:ascii="Times New Roman" w:cs="Times New Roman" w:eastAsia="Times New Roman" w:hAnsi="Times New Roman"/>
          <w:sz w:val="16"/>
          <w:szCs w:val="16"/>
          <w:color w:val="auto"/>
        </w:rPr>
        <w:t>Employees who violate this Policy may also be subject to discipline by the Company, up to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termination of employment for cause, whether or not the failure to comply with this Policy results in a violation of law. If you are located or engaged in dealings outside the U.S., be aware that laws regarding insider trading and similar offenses differ from country to country. Employees must abide by the laws in the country where located. However, you are required to comply with this Policy even if local law is less restrictive.</w:t>
      </w:r>
    </w:p>
    <w:p>
      <w:pPr>
        <w:spacing w:after="0" w:line="159" w:lineRule="exact"/>
        <w:rPr>
          <w:rFonts w:ascii="Times New Roman" w:cs="Times New Roman" w:eastAsia="Times New Roman" w:hAnsi="Times New Roman"/>
          <w:sz w:val="16"/>
          <w:szCs w:val="16"/>
          <w:color w:val="auto"/>
        </w:rPr>
      </w:pPr>
    </w:p>
    <w:p>
      <w:pPr>
        <w:ind w:left="500" w:hanging="300"/>
        <w:spacing w:after="0"/>
        <w:tabs>
          <w:tab w:leader="none" w:pos="50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Questions and Further Information</w:t>
      </w:r>
    </w:p>
    <w:p>
      <w:pPr>
        <w:spacing w:after="0" w:line="205" w:lineRule="exact"/>
        <w:rPr>
          <w:sz w:val="20"/>
          <w:szCs w:val="20"/>
          <w:color w:val="auto"/>
        </w:rPr>
      </w:pPr>
    </w:p>
    <w:p>
      <w:pPr>
        <w:jc w:val="both"/>
        <w:ind w:left="200" w:right="219"/>
        <w:spacing w:after="0" w:line="263" w:lineRule="auto"/>
        <w:rPr>
          <w:sz w:val="20"/>
          <w:szCs w:val="20"/>
          <w:color w:val="auto"/>
        </w:rPr>
      </w:pPr>
      <w:r>
        <w:rPr>
          <w:rFonts w:ascii="Times New Roman" w:cs="Times New Roman" w:eastAsia="Times New Roman" w:hAnsi="Times New Roman"/>
          <w:sz w:val="16"/>
          <w:szCs w:val="16"/>
          <w:color w:val="auto"/>
        </w:rPr>
        <w:t>If you have any doubts about the materiality of any nonpublic information, or if you have reason to doubt whether material nonpublic information has been adequately disclosed to the public, you should consult with the Legal Department before disclosing any such information to any other person or trading a security while in possession of such information. If after reading this Policy, or at any other time, you have questions about insider trading, you should contact the Legal Department.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320040</wp:posOffset>
            </wp:positionV>
            <wp:extent cx="5471160"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51">
                      <a:extLst>
                        <a:ext uri="{28A0092B-C50C-407E-A947-70E740481C1C}"/>
                      </a:extLst>
                    </a:blip>
                    <a:srcRect/>
                    <a:stretch>
                      <a:fillRect/>
                    </a:stretch>
                  </pic:blipFill>
                  <pic:spPr bwMode="auto">
                    <a:xfrm>
                      <a:off x="0" y="0"/>
                      <a:ext cx="5471160" cy="15240"/>
                    </a:xfrm>
                    <a:prstGeom prst="rect">
                      <a:avLst/>
                    </a:prstGeom>
                    <a:noFill/>
                  </pic:spPr>
                </pic:pic>
              </a:graphicData>
            </a:graphic>
          </wp:anchor>
        </w:drawing>
      </w:r>
    </w:p>
    <w:p>
      <w:pPr>
        <w:sectPr>
          <w:pgSz w:w="11900" w:h="16838" w:orient="portrait"/>
          <w:cols w:equalWidth="0" w:num="1">
            <w:col w:w="9019"/>
          </w:cols>
          <w:pgMar w:left="1440" w:top="663" w:right="1440" w:bottom="1440" w:gutter="0" w:footer="0" w:header="0"/>
        </w:sectPr>
      </w:pPr>
    </w:p>
    <w:bookmarkStart w:id="232" w:name="page233"/>
    <w:bookmarkEnd w:id="232"/>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ECHOSTAR CORPORATION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LIST OF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As of December 31, 2024</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State or Country</w:t>
            </w:r>
          </w:p>
        </w:tc>
        <w:tc>
          <w:tcPr>
            <w:tcW w:w="92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 of</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191"/>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of Incorporation</w:t>
            </w:r>
          </w:p>
        </w:tc>
        <w:tc>
          <w:tcPr>
            <w:tcW w:w="920" w:type="dxa"/>
            <w:vAlign w:val="bottom"/>
          </w:tcPr>
          <w:p>
            <w:pPr>
              <w:ind w:left="200"/>
              <w:spacing w:after="0"/>
              <w:rPr>
                <w:sz w:val="20"/>
                <w:szCs w:val="20"/>
                <w:color w:val="auto"/>
              </w:rPr>
            </w:pPr>
            <w:r>
              <w:rPr>
                <w:rFonts w:ascii="Times New Roman" w:cs="Times New Roman" w:eastAsia="Times New Roman" w:hAnsi="Times New Roman"/>
                <w:sz w:val="15"/>
                <w:szCs w:val="15"/>
                <w:b w:val="1"/>
                <w:bCs w:val="1"/>
                <w:color w:val="auto"/>
                <w:w w:val="98"/>
              </w:rPr>
              <w:t>Ownership</w:t>
            </w:r>
          </w:p>
        </w:tc>
        <w:tc>
          <w:tcPr>
            <w:tcW w:w="200" w:type="dxa"/>
            <w:vAlign w:val="bottom"/>
          </w:tcPr>
          <w:p>
            <w:pPr>
              <w:spacing w:after="0"/>
              <w:rPr>
                <w:sz w:val="16"/>
                <w:szCs w:val="16"/>
                <w:color w:val="auto"/>
              </w:rPr>
            </w:pP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Name Doing Business As</w:t>
            </w:r>
          </w:p>
        </w:tc>
      </w:tr>
      <w:tr>
        <w:trPr>
          <w:trHeight w:val="178"/>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DISH Network Corporation</w:t>
            </w: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Nevada</w:t>
            </w: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DISH</w:t>
            </w:r>
          </w:p>
        </w:tc>
      </w:tr>
      <w:tr>
        <w:trPr>
          <w:trHeight w:val="182"/>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DISH DBS Corporation</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6"/>
              </w:rPr>
              <w:t>Colorado</w:t>
            </w:r>
          </w:p>
        </w:tc>
        <w:tc>
          <w:tcPr>
            <w:tcW w:w="9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DDBS</w:t>
            </w:r>
          </w:p>
        </w:tc>
      </w:tr>
      <w:tr>
        <w:trPr>
          <w:trHeight w:val="182"/>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DISH Network L.L.C.</w:t>
            </w:r>
          </w:p>
        </w:tc>
        <w:tc>
          <w:tcPr>
            <w:tcW w:w="1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6"/>
              </w:rPr>
              <w:t>Colorado</w:t>
            </w: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DNLLC</w:t>
            </w:r>
          </w:p>
        </w:tc>
      </w:tr>
      <w:tr>
        <w:trPr>
          <w:trHeight w:val="182"/>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DISH Wireless Holding L.L.C.</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6"/>
              </w:rPr>
              <w:t>Colorado</w:t>
            </w:r>
          </w:p>
        </w:tc>
        <w:tc>
          <w:tcPr>
            <w:tcW w:w="9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DISH Wireless Holding</w:t>
            </w:r>
          </w:p>
        </w:tc>
      </w:tr>
      <w:tr>
        <w:trPr>
          <w:trHeight w:val="182"/>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DISH Wireless L.L.C.</w:t>
            </w:r>
          </w:p>
        </w:tc>
        <w:tc>
          <w:tcPr>
            <w:tcW w:w="1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w w:val="96"/>
              </w:rPr>
              <w:t>Colorado</w:t>
            </w: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DISH Wireless</w:t>
            </w:r>
          </w:p>
        </w:tc>
      </w:tr>
      <w:tr>
        <w:trPr>
          <w:trHeight w:val="182"/>
        </w:trPr>
        <w:tc>
          <w:tcPr>
            <w:tcW w:w="3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Hughes Satellite Systems Corporation</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w w:val="96"/>
              </w:rPr>
              <w:t>Colorado</w:t>
            </w:r>
          </w:p>
        </w:tc>
        <w:tc>
          <w:tcPr>
            <w:tcW w:w="9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tcPr>
          <w:p>
            <w:pPr>
              <w:spacing w:after="0"/>
              <w:rPr>
                <w:sz w:val="15"/>
                <w:szCs w:val="15"/>
                <w:color w:val="auto"/>
              </w:rPr>
            </w:pP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HSSC</w:t>
            </w:r>
          </w:p>
        </w:tc>
      </w:tr>
      <w:tr>
        <w:trPr>
          <w:trHeight w:val="182"/>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Hughes Communications, Inc.</w:t>
            </w:r>
          </w:p>
        </w:tc>
        <w:tc>
          <w:tcPr>
            <w:tcW w:w="1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w w:val="97"/>
              </w:rPr>
              <w:t>Delaware</w:t>
            </w: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Hughes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184150</wp:posOffset>
            </wp:positionV>
            <wp:extent cx="141414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52">
                      <a:extLst>
                        <a:ext uri="{28A0092B-C50C-407E-A947-70E740481C1C}"/>
                      </a:extLst>
                    </a:blip>
                    <a:srcRect/>
                    <a:stretch>
                      <a:fillRect/>
                    </a:stretch>
                  </pic:blipFill>
                  <pic:spPr bwMode="auto">
                    <a:xfrm>
                      <a:off x="0" y="0"/>
                      <a:ext cx="1414145" cy="7620"/>
                    </a:xfrm>
                    <a:prstGeom prst="rect">
                      <a:avLst/>
                    </a:prstGeom>
                    <a:noFill/>
                  </pic:spPr>
                </pic:pic>
              </a:graphicData>
            </a:graphic>
          </wp:anchor>
        </w:drawing>
      </w:r>
    </w:p>
    <w:p>
      <w:pPr>
        <w:spacing w:after="0" w:line="351" w:lineRule="exact"/>
        <w:rPr>
          <w:sz w:val="20"/>
          <w:szCs w:val="20"/>
          <w:color w:val="auto"/>
        </w:rPr>
      </w:pPr>
    </w:p>
    <w:p>
      <w:pPr>
        <w:ind w:left="620" w:hanging="295"/>
        <w:spacing w:after="0"/>
        <w:tabs>
          <w:tab w:leader="none" w:pos="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a subsidiary of DISH Network Corporation</w:t>
      </w:r>
    </w:p>
    <w:p>
      <w:pPr>
        <w:spacing w:after="0" w:line="25" w:lineRule="exact"/>
        <w:rPr>
          <w:rFonts w:ascii="Times New Roman" w:cs="Times New Roman" w:eastAsia="Times New Roman" w:hAnsi="Times New Roman"/>
          <w:sz w:val="16"/>
          <w:szCs w:val="16"/>
          <w:color w:val="auto"/>
        </w:rPr>
      </w:pPr>
    </w:p>
    <w:p>
      <w:pPr>
        <w:ind w:left="620" w:hanging="295"/>
        <w:spacing w:after="0"/>
        <w:tabs>
          <w:tab w:leader="none" w:pos="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a subsidiary of DISH DBS Corporation</w:t>
      </w:r>
    </w:p>
    <w:p>
      <w:pPr>
        <w:spacing w:after="0" w:line="9" w:lineRule="exact"/>
        <w:rPr>
          <w:rFonts w:ascii="Times New Roman" w:cs="Times New Roman" w:eastAsia="Times New Roman" w:hAnsi="Times New Roman"/>
          <w:sz w:val="16"/>
          <w:szCs w:val="16"/>
          <w:color w:val="auto"/>
        </w:rPr>
      </w:pPr>
    </w:p>
    <w:p>
      <w:pPr>
        <w:ind w:left="620" w:hanging="295"/>
        <w:spacing w:after="0"/>
        <w:tabs>
          <w:tab w:leader="none" w:pos="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a subsidiary of DISH Wireless Holding L.L.C.</w:t>
      </w:r>
    </w:p>
    <w:p>
      <w:pPr>
        <w:spacing w:after="0" w:line="9" w:lineRule="exact"/>
        <w:rPr>
          <w:rFonts w:ascii="Times New Roman" w:cs="Times New Roman" w:eastAsia="Times New Roman" w:hAnsi="Times New Roman"/>
          <w:sz w:val="16"/>
          <w:szCs w:val="16"/>
          <w:color w:val="auto"/>
        </w:rPr>
      </w:pPr>
    </w:p>
    <w:p>
      <w:pPr>
        <w:ind w:left="620" w:hanging="295"/>
        <w:spacing w:after="0"/>
        <w:tabs>
          <w:tab w:leader="none" w:pos="62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is a subsidiary of Hughes Satellite Systems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313690</wp:posOffset>
            </wp:positionV>
            <wp:extent cx="5671185" cy="228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53">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3" w:name="page234"/>
    <w:bookmarkEnd w:id="233"/>
    <w:p>
      <w:pPr>
        <w:ind w:left="8100"/>
        <w:spacing w:after="0"/>
        <w:rPr>
          <w:sz w:val="20"/>
          <w:szCs w:val="20"/>
          <w:color w:val="auto"/>
        </w:rPr>
      </w:pPr>
      <w:r>
        <w:rPr>
          <w:rFonts w:ascii="Times New Roman" w:cs="Times New Roman" w:eastAsia="Times New Roman" w:hAnsi="Times New Roman"/>
          <w:sz w:val="16"/>
          <w:szCs w:val="16"/>
          <w:b w:val="1"/>
          <w:bCs w:val="1"/>
          <w:color w:val="auto"/>
        </w:rPr>
        <w:t>Exhibit 22</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List of Subsidiary Guarantors</w:t>
      </w:r>
    </w:p>
    <w:p>
      <w:pPr>
        <w:spacing w:after="0" w:line="229" w:lineRule="exact"/>
        <w:rPr>
          <w:sz w:val="20"/>
          <w:szCs w:val="20"/>
          <w:color w:val="auto"/>
        </w:rPr>
      </w:pPr>
    </w:p>
    <w:p>
      <w:pPr>
        <w:ind w:left="200" w:right="359"/>
        <w:spacing w:after="0" w:line="269" w:lineRule="auto"/>
        <w:rPr>
          <w:sz w:val="20"/>
          <w:szCs w:val="20"/>
          <w:color w:val="auto"/>
        </w:rPr>
      </w:pPr>
      <w:r>
        <w:rPr>
          <w:rFonts w:ascii="Times New Roman" w:cs="Times New Roman" w:eastAsia="Times New Roman" w:hAnsi="Times New Roman"/>
          <w:sz w:val="16"/>
          <w:szCs w:val="16"/>
          <w:color w:val="auto"/>
        </w:rPr>
        <w:t>The following subsidiaries of EchoStar Corporation are the guarantors of the 10.75% Senior Spectrum Secured Notes due 2029, 6.75% Senior Spectrum Secured Exchange Notes due 2030 and the 3.875% Convertible Senior Secured Notes due 2030. The notes are unconditionally guaranteed on a senior secured basis.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820" w:type="dxa"/>
            <w:vAlign w:val="bottom"/>
            <w:gridSpan w:val="2"/>
          </w:tcPr>
          <w:p>
            <w:pPr>
              <w:jc w:val="center"/>
              <w:ind w:left="2059"/>
              <w:spacing w:after="0"/>
              <w:rPr>
                <w:sz w:val="20"/>
                <w:szCs w:val="20"/>
                <w:color w:val="auto"/>
              </w:rPr>
            </w:pPr>
            <w:r>
              <w:rPr>
                <w:rFonts w:ascii="Times New Roman" w:cs="Times New Roman" w:eastAsia="Times New Roman" w:hAnsi="Times New Roman"/>
                <w:sz w:val="16"/>
                <w:szCs w:val="16"/>
                <w:b w:val="1"/>
                <w:bCs w:val="1"/>
                <w:color w:val="auto"/>
              </w:rPr>
              <w:t>Jurisdiction of</w:t>
            </w:r>
          </w:p>
        </w:tc>
      </w:tr>
      <w:tr>
        <w:trPr>
          <w:trHeight w:val="194"/>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820" w:type="dxa"/>
            <w:vAlign w:val="bottom"/>
            <w:gridSpan w:val="2"/>
          </w:tcPr>
          <w:p>
            <w:pPr>
              <w:jc w:val="center"/>
              <w:ind w:left="2059"/>
              <w:spacing w:after="0"/>
              <w:rPr>
                <w:sz w:val="20"/>
                <w:szCs w:val="20"/>
                <w:color w:val="auto"/>
              </w:rPr>
            </w:pPr>
            <w:r>
              <w:rPr>
                <w:rFonts w:ascii="Times New Roman" w:cs="Times New Roman" w:eastAsia="Times New Roman" w:hAnsi="Times New Roman"/>
                <w:sz w:val="16"/>
                <w:szCs w:val="16"/>
                <w:b w:val="1"/>
                <w:bCs w:val="1"/>
                <w:color w:val="auto"/>
              </w:rPr>
              <w:t>Incorporation or</w:t>
            </w:r>
          </w:p>
        </w:tc>
      </w:tr>
      <w:tr>
        <w:trPr>
          <w:trHeight w:val="212"/>
        </w:trPr>
        <w:tc>
          <w:tcPr>
            <w:tcW w:w="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3820" w:type="dxa"/>
            <w:vAlign w:val="bottom"/>
            <w:gridSpan w:val="2"/>
          </w:tcPr>
          <w:p>
            <w:pPr>
              <w:jc w:val="center"/>
              <w:ind w:left="2059"/>
              <w:spacing w:after="0"/>
              <w:rPr>
                <w:sz w:val="20"/>
                <w:szCs w:val="20"/>
                <w:color w:val="auto"/>
              </w:rPr>
            </w:pPr>
            <w:r>
              <w:rPr>
                <w:rFonts w:ascii="Times New Roman" w:cs="Times New Roman" w:eastAsia="Times New Roman" w:hAnsi="Times New Roman"/>
                <w:sz w:val="16"/>
                <w:szCs w:val="16"/>
                <w:b w:val="1"/>
                <w:bCs w:val="1"/>
                <w:color w:val="auto"/>
              </w:rPr>
              <w:t>Organization</w:t>
            </w:r>
          </w:p>
        </w:tc>
      </w:tr>
      <w:tr>
        <w:trPr>
          <w:trHeight w:val="25"/>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820" w:type="dxa"/>
            <w:vAlign w:val="bottom"/>
            <w:gridSpan w:val="2"/>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NorthStar Wireless, LLC</w:t>
            </w:r>
          </w:p>
        </w:tc>
        <w:tc>
          <w:tcPr>
            <w:tcW w:w="3800" w:type="dxa"/>
            <w:vAlign w:val="bottom"/>
            <w:tcBorders>
              <w:bottom w:val="single" w:sz="8" w:color="CCEEFF"/>
            </w:tcBorders>
            <w:shd w:val="clear" w:color="auto" w:fill="CCEEFF"/>
          </w:tcPr>
          <w:p>
            <w:pPr>
              <w:jc w:val="center"/>
              <w:ind w:left="2059"/>
              <w:spacing w:after="0"/>
              <w:rPr>
                <w:sz w:val="20"/>
                <w:szCs w:val="20"/>
                <w:color w:val="auto"/>
              </w:rPr>
            </w:pPr>
            <w:r>
              <w:rPr>
                <w:rFonts w:ascii="Times New Roman" w:cs="Times New Roman" w:eastAsia="Times New Roman" w:hAnsi="Times New Roman"/>
                <w:sz w:val="16"/>
                <w:szCs w:val="16"/>
                <w:color w:val="auto"/>
              </w:rPr>
              <w:t>Delaware</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SNR Wireless HoldCo, LLC</w:t>
            </w:r>
          </w:p>
        </w:tc>
        <w:tc>
          <w:tcPr>
            <w:tcW w:w="3820" w:type="dxa"/>
            <w:vAlign w:val="bottom"/>
            <w:gridSpan w:val="2"/>
          </w:tcPr>
          <w:p>
            <w:pPr>
              <w:jc w:val="center"/>
              <w:ind w:left="2039"/>
              <w:spacing w:after="0"/>
              <w:rPr>
                <w:sz w:val="20"/>
                <w:szCs w:val="20"/>
                <w:color w:val="auto"/>
              </w:rPr>
            </w:pPr>
            <w:r>
              <w:rPr>
                <w:rFonts w:ascii="Times New Roman" w:cs="Times New Roman" w:eastAsia="Times New Roman" w:hAnsi="Times New Roman"/>
                <w:sz w:val="16"/>
                <w:szCs w:val="16"/>
                <w:color w:val="auto"/>
              </w:rPr>
              <w:t>Delaware</w:t>
            </w:r>
          </w:p>
        </w:tc>
      </w:tr>
      <w:tr>
        <w:trPr>
          <w:trHeight w:val="25"/>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820" w:type="dxa"/>
            <w:vAlign w:val="bottom"/>
            <w:gridSpan w:val="2"/>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231F20"/>
              </w:rPr>
              <w:t>DBSD Corporation</w:t>
            </w:r>
          </w:p>
        </w:tc>
        <w:tc>
          <w:tcPr>
            <w:tcW w:w="3800" w:type="dxa"/>
            <w:vAlign w:val="bottom"/>
            <w:tcBorders>
              <w:bottom w:val="single" w:sz="8" w:color="CCEEFF"/>
            </w:tcBorders>
            <w:shd w:val="clear" w:color="auto" w:fill="CCEEFF"/>
          </w:tcPr>
          <w:p>
            <w:pPr>
              <w:jc w:val="center"/>
              <w:ind w:left="2079"/>
              <w:spacing w:after="0"/>
              <w:rPr>
                <w:sz w:val="20"/>
                <w:szCs w:val="20"/>
                <w:color w:val="auto"/>
              </w:rPr>
            </w:pPr>
            <w:r>
              <w:rPr>
                <w:rFonts w:ascii="Times New Roman" w:cs="Times New Roman" w:eastAsia="Times New Roman" w:hAnsi="Times New Roman"/>
                <w:sz w:val="16"/>
                <w:szCs w:val="16"/>
                <w:color w:val="231F20"/>
              </w:rPr>
              <w:t>Colorado</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Gamma Acquisition L.L.C.</w:t>
            </w:r>
          </w:p>
        </w:tc>
        <w:tc>
          <w:tcPr>
            <w:tcW w:w="3820" w:type="dxa"/>
            <w:vAlign w:val="bottom"/>
            <w:gridSpan w:val="2"/>
          </w:tcPr>
          <w:p>
            <w:pPr>
              <w:jc w:val="center"/>
              <w:ind w:left="2059"/>
              <w:spacing w:after="0"/>
              <w:rPr>
                <w:sz w:val="20"/>
                <w:szCs w:val="20"/>
                <w:color w:val="auto"/>
              </w:rPr>
            </w:pPr>
            <w:r>
              <w:rPr>
                <w:rFonts w:ascii="Times New Roman" w:cs="Times New Roman" w:eastAsia="Times New Roman" w:hAnsi="Times New Roman"/>
                <w:sz w:val="16"/>
                <w:szCs w:val="16"/>
                <w:color w:val="231F20"/>
              </w:rPr>
              <w:t>Colorado</w:t>
            </w:r>
          </w:p>
        </w:tc>
      </w:tr>
      <w:tr>
        <w:trPr>
          <w:trHeight w:val="25"/>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820" w:type="dxa"/>
            <w:vAlign w:val="bottom"/>
            <w:gridSpan w:val="2"/>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Northstar Spectrum LLC</w:t>
            </w:r>
          </w:p>
        </w:tc>
        <w:tc>
          <w:tcPr>
            <w:tcW w:w="3800" w:type="dxa"/>
            <w:vAlign w:val="bottom"/>
            <w:tcBorders>
              <w:bottom w:val="single" w:sz="8" w:color="CCEEFF"/>
            </w:tcBorders>
            <w:shd w:val="clear" w:color="auto" w:fill="CCEEFF"/>
          </w:tcPr>
          <w:p>
            <w:pPr>
              <w:jc w:val="center"/>
              <w:ind w:left="2059"/>
              <w:spacing w:after="0"/>
              <w:rPr>
                <w:sz w:val="20"/>
                <w:szCs w:val="20"/>
                <w:color w:val="auto"/>
              </w:rPr>
            </w:pPr>
            <w:r>
              <w:rPr>
                <w:rFonts w:ascii="Times New Roman" w:cs="Times New Roman" w:eastAsia="Times New Roman" w:hAnsi="Times New Roman"/>
                <w:sz w:val="16"/>
                <w:szCs w:val="16"/>
                <w:color w:val="auto"/>
              </w:rPr>
              <w:t>Delaware</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SNR Wireless LicenseCo, LLC</w:t>
            </w:r>
          </w:p>
        </w:tc>
        <w:tc>
          <w:tcPr>
            <w:tcW w:w="3820" w:type="dxa"/>
            <w:vAlign w:val="bottom"/>
            <w:gridSpan w:val="2"/>
          </w:tcPr>
          <w:p>
            <w:pPr>
              <w:jc w:val="center"/>
              <w:ind w:left="2039"/>
              <w:spacing w:after="0"/>
              <w:rPr>
                <w:sz w:val="20"/>
                <w:szCs w:val="20"/>
                <w:color w:val="auto"/>
              </w:rPr>
            </w:pPr>
            <w:r>
              <w:rPr>
                <w:rFonts w:ascii="Times New Roman" w:cs="Times New Roman" w:eastAsia="Times New Roman" w:hAnsi="Times New Roman"/>
                <w:sz w:val="16"/>
                <w:szCs w:val="16"/>
                <w:color w:val="auto"/>
              </w:rPr>
              <w:t>Delaware</w:t>
            </w:r>
          </w:p>
        </w:tc>
      </w:tr>
      <w:tr>
        <w:trPr>
          <w:trHeight w:val="25"/>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820" w:type="dxa"/>
            <w:vAlign w:val="bottom"/>
            <w:gridSpan w:val="2"/>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231F20"/>
              </w:rPr>
              <w:t>DBSD Services Limited</w:t>
            </w:r>
          </w:p>
        </w:tc>
        <w:tc>
          <w:tcPr>
            <w:tcW w:w="3800" w:type="dxa"/>
            <w:vAlign w:val="bottom"/>
            <w:tcBorders>
              <w:bottom w:val="single" w:sz="8" w:color="CCEEFF"/>
            </w:tcBorders>
            <w:shd w:val="clear" w:color="auto" w:fill="CCEEFF"/>
          </w:tcPr>
          <w:p>
            <w:pPr>
              <w:jc w:val="center"/>
              <w:ind w:left="2059"/>
              <w:spacing w:after="0"/>
              <w:rPr>
                <w:sz w:val="20"/>
                <w:szCs w:val="20"/>
                <w:color w:val="auto"/>
              </w:rPr>
            </w:pPr>
            <w:r>
              <w:rPr>
                <w:rFonts w:ascii="Times New Roman" w:cs="Times New Roman" w:eastAsia="Times New Roman" w:hAnsi="Times New Roman"/>
                <w:sz w:val="16"/>
                <w:szCs w:val="16"/>
                <w:color w:val="231F20"/>
              </w:rPr>
              <w:t>United Kingdom</w:t>
            </w:r>
          </w:p>
        </w:tc>
        <w:tc>
          <w:tcPr>
            <w:tcW w:w="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Gamma Acquisition HoldCo, L.L.C.</w:t>
            </w:r>
          </w:p>
        </w:tc>
        <w:tc>
          <w:tcPr>
            <w:tcW w:w="3820" w:type="dxa"/>
            <w:vAlign w:val="bottom"/>
            <w:gridSpan w:val="2"/>
          </w:tcPr>
          <w:p>
            <w:pPr>
              <w:jc w:val="center"/>
              <w:ind w:left="2059"/>
              <w:spacing w:after="0"/>
              <w:rPr>
                <w:sz w:val="20"/>
                <w:szCs w:val="20"/>
                <w:color w:val="auto"/>
              </w:rPr>
            </w:pPr>
            <w:r>
              <w:rPr>
                <w:rFonts w:ascii="Times New Roman" w:cs="Times New Roman" w:eastAsia="Times New Roman" w:hAnsi="Times New Roman"/>
                <w:sz w:val="16"/>
                <w:szCs w:val="16"/>
                <w:color w:val="auto"/>
              </w:rPr>
              <w:t>Colorado</w:t>
            </w:r>
          </w:p>
        </w:tc>
      </w:tr>
      <w:tr>
        <w:trPr>
          <w:trHeight w:val="743"/>
        </w:trPr>
        <w:tc>
          <w:tcPr>
            <w:tcW w:w="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34" w:name="page235"/>
    <w:bookmarkEnd w:id="234"/>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Exhibit 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69" w:lineRule="exact"/>
        <w:rPr>
          <w:sz w:val="20"/>
          <w:szCs w:val="20"/>
          <w:color w:val="auto"/>
        </w:rPr>
      </w:pPr>
    </w:p>
    <w:p>
      <w:pPr>
        <w:jc w:val="both"/>
        <w:ind w:left="40" w:right="239"/>
        <w:spacing w:after="0" w:line="263"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(Nos. 333-280012, 333-274837, 333-276339, 333-218658, 333-218657, 333-162339, 333-148416) on Form S-8 and (Nos. 333-283213, 333-276368, 333-276338) on Form S-3ASR of our report dated February 26, 2025, with respect to the consolidated financial statements of EchoStar Corporation and the effectiveness of internal control over financial reporting.</w:t>
      </w:r>
    </w:p>
    <w:p>
      <w:pPr>
        <w:spacing w:after="0" w:line="3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/s/ KPMG LLP</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Denver, Colorado</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452120</wp:posOffset>
            </wp:positionV>
            <wp:extent cx="567118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54">
                      <a:extLst>
                        <a:ext uri="{28A0092B-C50C-407E-A947-70E740481C1C}"/>
                      </a:extLst>
                    </a:blip>
                    <a:srcRect/>
                    <a:stretch>
                      <a:fillRect/>
                    </a:stretch>
                  </pic:blipFill>
                  <pic:spPr bwMode="auto">
                    <a:xfrm>
                      <a:off x="0" y="0"/>
                      <a:ext cx="5671185" cy="1524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6"/>
          <w:szCs w:val="16"/>
          <w:b w:val="1"/>
          <w:bCs w:val="1"/>
          <w:color w:val="auto"/>
        </w:rPr>
        <w:t>EXHIBIT 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Dean A. Manson, individually, as the true and lawful attorney-in-fact and agent of the undersigned, with full power of substitution and resubstitution, for and in the name, place and stead of the undersigned, in any and all capacities, to sign the Annual Report on Form 10-K of EchoStar Corporation, a Nevada corporation formed in October 2007, for the year ended December 31, 2024, and any and all amendments thereto and to file the same, with all exhibits thereto and other documents in connection therewith, with the United States Securities and Exchange Commission, and hereby grants to each such attorney-in-fact and agent full power and authority to do and perform each and every act and thing requisite and necessary to be done in connection therewith, as fully as to all intents and purposes as the undersigned might or could do in person, hereby ratifying and confirming all that such attorney-in-fact and agent, or his substitute, may lawfully do or cause to be done by virtue hereof.</w:t>
      </w:r>
    </w:p>
    <w:p>
      <w:pPr>
        <w:spacing w:after="0" w:line="1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Power of Attorney has been signed by the following persons in the capacities and on the date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440" w:type="dxa"/>
            <w:vAlign w:val="bottom"/>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420" w:type="dxa"/>
            <w:vAlign w:val="bottom"/>
          </w:tcPr>
          <w:p>
            <w:pPr>
              <w:spacing w:after="0"/>
              <w:rPr>
                <w:sz w:val="18"/>
                <w:szCs w:val="18"/>
                <w:color w:val="auto"/>
              </w:rPr>
            </w:pPr>
          </w:p>
        </w:tc>
        <w:tc>
          <w:tcPr>
            <w:tcW w:w="31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573"/>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Charles W. Ergen</w:t>
            </w:r>
          </w:p>
        </w:tc>
        <w:tc>
          <w:tcPr>
            <w:tcW w:w="4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Chairman</w:t>
            </w:r>
          </w:p>
        </w:tc>
        <w:tc>
          <w:tcPr>
            <w:tcW w:w="35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February 27, 2025</w:t>
            </w: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Charles W. Ergen</w:t>
            </w: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65"/>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Kathleen Q. Abernathy</w:t>
            </w:r>
          </w:p>
        </w:tc>
        <w:tc>
          <w:tcPr>
            <w:tcW w:w="4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35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February 27, 2025</w:t>
            </w: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Kathleen Q. Abernathy</w:t>
            </w: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65"/>
        </w:trPr>
        <w:tc>
          <w:tcPr>
            <w:tcW w:w="3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/s/ George R. Brokaw</w:t>
            </w:r>
          </w:p>
        </w:tc>
        <w:tc>
          <w:tcPr>
            <w:tcW w:w="4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35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February 27, 2025</w:t>
            </w: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George R. Brokaw</w:t>
            </w: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65"/>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Stephen J. Bye</w:t>
            </w:r>
          </w:p>
        </w:tc>
        <w:tc>
          <w:tcPr>
            <w:tcW w:w="4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35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February 27, 2025</w:t>
            </w: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Stephen J. Bye</w:t>
            </w: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65"/>
        </w:trPr>
        <w:tc>
          <w:tcPr>
            <w:tcW w:w="3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/s/ James DeFranco</w:t>
            </w:r>
          </w:p>
        </w:tc>
        <w:tc>
          <w:tcPr>
            <w:tcW w:w="4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35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February 27, 2025</w:t>
            </w: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DeFranco</w:t>
            </w: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65"/>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R. Stanton Dodge</w:t>
            </w:r>
          </w:p>
        </w:tc>
        <w:tc>
          <w:tcPr>
            <w:tcW w:w="4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35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February 27, 2025</w:t>
            </w: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 Stanton Dodge</w:t>
            </w: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65"/>
        </w:trPr>
        <w:tc>
          <w:tcPr>
            <w:tcW w:w="3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/s/ Cantey M. Ergen</w:t>
            </w:r>
          </w:p>
        </w:tc>
        <w:tc>
          <w:tcPr>
            <w:tcW w:w="4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35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February 27, 2025</w:t>
            </w: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Cantey M. Ergen</w:t>
            </w: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65"/>
        </w:trPr>
        <w:tc>
          <w:tcPr>
            <w:tcW w:w="3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/s/ Lisa W. Hershman</w:t>
            </w:r>
          </w:p>
        </w:tc>
        <w:tc>
          <w:tcPr>
            <w:tcW w:w="4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35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February 27, 2025</w:t>
            </w: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Lisa W. Hershman</w:t>
            </w: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65"/>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Tom A. Ortolf</w:t>
            </w:r>
          </w:p>
        </w:tc>
        <w:tc>
          <w:tcPr>
            <w:tcW w:w="4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35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February 27, 2025</w:t>
            </w: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Tom A. Ortolf</w:t>
            </w: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65"/>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w:t>
            </w:r>
          </w:p>
        </w:tc>
        <w:tc>
          <w:tcPr>
            <w:tcW w:w="3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William D. Wade</w:t>
            </w:r>
          </w:p>
        </w:tc>
        <w:tc>
          <w:tcPr>
            <w:tcW w:w="4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35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February 27, 2025</w:t>
            </w:r>
          </w:p>
        </w:tc>
      </w:tr>
      <w:tr>
        <w:trPr>
          <w:trHeight w:val="202"/>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William D. Wade</w:t>
            </w:r>
          </w:p>
        </w:tc>
        <w:tc>
          <w:tcPr>
            <w:tcW w:w="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896"/>
        </w:trPr>
        <w:tc>
          <w:tcPr>
            <w:tcW w:w="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36" w:name="page237"/>
    <w:bookmarkEnd w:id="236"/>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Certification</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Hamid Akhavan, certify that:</w:t>
      </w:r>
    </w:p>
    <w:p>
      <w:pPr>
        <w:spacing w:after="0" w:line="203" w:lineRule="exact"/>
        <w:rPr>
          <w:sz w:val="20"/>
          <w:szCs w:val="20"/>
          <w:color w:val="auto"/>
        </w:rPr>
      </w:pPr>
    </w:p>
    <w:p>
      <w:pPr>
        <w:ind w:left="320" w:hanging="285"/>
        <w:spacing w:after="0"/>
        <w:tabs>
          <w:tab w:leader="none" w:pos="3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EchoStar Corporation;</w:t>
      </w:r>
    </w:p>
    <w:p>
      <w:pPr>
        <w:spacing w:after="0" w:line="203" w:lineRule="exact"/>
        <w:rPr>
          <w:rFonts w:ascii="Times New Roman" w:cs="Times New Roman" w:eastAsia="Times New Roman" w:hAnsi="Times New Roman"/>
          <w:sz w:val="16"/>
          <w:szCs w:val="16"/>
          <w:color w:val="auto"/>
        </w:rPr>
      </w:pPr>
    </w:p>
    <w:p>
      <w:pPr>
        <w:ind w:left="320" w:right="99" w:hanging="285"/>
        <w:spacing w:after="0" w:line="269" w:lineRule="auto"/>
        <w:tabs>
          <w:tab w:leader="none" w:pos="3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320" w:right="79" w:hanging="285"/>
        <w:spacing w:after="0" w:line="269" w:lineRule="auto"/>
        <w:tabs>
          <w:tab w:leader="none" w:pos="3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6"/>
          <w:szCs w:val="16"/>
          <w:color w:val="auto"/>
        </w:rPr>
      </w:pPr>
    </w:p>
    <w:p>
      <w:pPr>
        <w:ind w:left="320" w:right="59" w:hanging="285"/>
        <w:spacing w:after="0" w:line="269" w:lineRule="auto"/>
        <w:tabs>
          <w:tab w:leader="none" w:pos="3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6"/>
          <w:szCs w:val="16"/>
          <w:color w:val="auto"/>
        </w:rPr>
      </w:pPr>
    </w:p>
    <w:p>
      <w:pPr>
        <w:ind w:left="620" w:right="159" w:hanging="295"/>
        <w:spacing w:after="0" w:line="269" w:lineRule="auto"/>
        <w:tabs>
          <w:tab w:leader="none" w:pos="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ind w:left="620" w:right="279" w:hanging="295"/>
        <w:spacing w:after="0" w:line="269" w:lineRule="auto"/>
        <w:tabs>
          <w:tab w:leader="none" w:pos="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620" w:right="79" w:hanging="295"/>
        <w:spacing w:after="0" w:line="269" w:lineRule="auto"/>
        <w:tabs>
          <w:tab w:leader="none" w:pos="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620" w:right="379" w:hanging="295"/>
        <w:spacing w:after="0" w:line="269" w:lineRule="auto"/>
        <w:tabs>
          <w:tab w:leader="none" w:pos="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Times New Roman" w:cs="Times New Roman" w:eastAsia="Times New Roman" w:hAnsi="Times New Roman"/>
          <w:sz w:val="16"/>
          <w:szCs w:val="16"/>
          <w:color w:val="auto"/>
        </w:rPr>
      </w:pPr>
    </w:p>
    <w:p>
      <w:pPr>
        <w:ind w:left="320" w:right="119" w:hanging="285"/>
        <w:spacing w:after="0" w:line="269" w:lineRule="auto"/>
        <w:tabs>
          <w:tab w:leader="none" w:pos="3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620" w:right="139" w:hanging="295"/>
        <w:spacing w:after="0" w:line="269" w:lineRule="auto"/>
        <w:tabs>
          <w:tab w:leader="none" w:pos="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620" w:right="159" w:hanging="295"/>
        <w:spacing w:after="0" w:line="286" w:lineRule="auto"/>
        <w:tabs>
          <w:tab w:leader="none" w:pos="62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27, 2025</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 Hamid Akhavan</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459740</wp:posOffset>
            </wp:positionV>
            <wp:extent cx="5671185" cy="228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55">
                      <a:extLst>
                        <a:ext uri="{28A0092B-C50C-407E-A947-70E740481C1C}"/>
                      </a:extLst>
                    </a:blip>
                    <a:srcRect/>
                    <a:stretch>
                      <a:fillRect/>
                    </a:stretch>
                  </pic:blipFill>
                  <pic:spPr bwMode="auto">
                    <a:xfrm>
                      <a:off x="0" y="0"/>
                      <a:ext cx="5671185" cy="2286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-116205</wp:posOffset>
            </wp:positionV>
            <wp:extent cx="283527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56">
                      <a:extLst>
                        <a:ext uri="{28A0092B-C50C-407E-A947-70E740481C1C}"/>
                      </a:extLst>
                    </a:blip>
                    <a:srcRect/>
                    <a:stretch>
                      <a:fillRect/>
                    </a:stretch>
                  </pic:blipFill>
                  <pic:spPr bwMode="auto">
                    <a:xfrm>
                      <a:off x="0" y="0"/>
                      <a:ext cx="2835275" cy="762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7" w:name="page238"/>
    <w:bookmarkEnd w:id="237"/>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302 Certification</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Paul W. Orban, certify that:</w:t>
      </w:r>
    </w:p>
    <w:p>
      <w:pPr>
        <w:spacing w:after="0" w:line="203" w:lineRule="exact"/>
        <w:rPr>
          <w:sz w:val="20"/>
          <w:szCs w:val="20"/>
          <w:color w:val="auto"/>
        </w:rPr>
      </w:pPr>
    </w:p>
    <w:p>
      <w:pPr>
        <w:ind w:left="320" w:hanging="285"/>
        <w:spacing w:after="0"/>
        <w:tabs>
          <w:tab w:leader="none" w:pos="3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EchoStar Corporation;</w:t>
      </w:r>
    </w:p>
    <w:p>
      <w:pPr>
        <w:spacing w:after="0" w:line="203" w:lineRule="exact"/>
        <w:rPr>
          <w:rFonts w:ascii="Times New Roman" w:cs="Times New Roman" w:eastAsia="Times New Roman" w:hAnsi="Times New Roman"/>
          <w:sz w:val="16"/>
          <w:szCs w:val="16"/>
          <w:color w:val="auto"/>
        </w:rPr>
      </w:pPr>
    </w:p>
    <w:p>
      <w:pPr>
        <w:ind w:left="320" w:right="99" w:hanging="285"/>
        <w:spacing w:after="0" w:line="269" w:lineRule="auto"/>
        <w:tabs>
          <w:tab w:leader="none" w:pos="3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Times New Roman" w:cs="Times New Roman" w:eastAsia="Times New Roman" w:hAnsi="Times New Roman"/>
          <w:sz w:val="16"/>
          <w:szCs w:val="16"/>
          <w:color w:val="auto"/>
        </w:rPr>
      </w:pPr>
    </w:p>
    <w:p>
      <w:pPr>
        <w:ind w:left="320" w:right="79" w:hanging="285"/>
        <w:spacing w:after="0" w:line="269" w:lineRule="auto"/>
        <w:tabs>
          <w:tab w:leader="none" w:pos="3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Times New Roman" w:cs="Times New Roman" w:eastAsia="Times New Roman" w:hAnsi="Times New Roman"/>
          <w:sz w:val="16"/>
          <w:szCs w:val="16"/>
          <w:color w:val="auto"/>
        </w:rPr>
      </w:pPr>
    </w:p>
    <w:p>
      <w:pPr>
        <w:ind w:left="320" w:right="59" w:hanging="285"/>
        <w:spacing w:after="0" w:line="269" w:lineRule="auto"/>
        <w:tabs>
          <w:tab w:leader="none" w:pos="3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5" w:lineRule="exact"/>
        <w:rPr>
          <w:rFonts w:ascii="Times New Roman" w:cs="Times New Roman" w:eastAsia="Times New Roman" w:hAnsi="Times New Roman"/>
          <w:sz w:val="16"/>
          <w:szCs w:val="16"/>
          <w:color w:val="auto"/>
        </w:rPr>
      </w:pPr>
    </w:p>
    <w:p>
      <w:pPr>
        <w:ind w:left="620" w:right="159" w:hanging="295"/>
        <w:spacing w:after="0" w:line="269" w:lineRule="auto"/>
        <w:tabs>
          <w:tab w:leader="none" w:pos="620"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ind w:left="620" w:right="279" w:hanging="295"/>
        <w:spacing w:after="0" w:line="269" w:lineRule="auto"/>
        <w:tabs>
          <w:tab w:leader="none" w:pos="620"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620" w:right="79" w:hanging="295"/>
        <w:spacing w:after="0" w:line="269" w:lineRule="auto"/>
        <w:tabs>
          <w:tab w:leader="none" w:pos="620"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Times New Roman" w:cs="Times New Roman" w:eastAsia="Times New Roman" w:hAnsi="Times New Roman"/>
          <w:sz w:val="16"/>
          <w:szCs w:val="16"/>
          <w:color w:val="auto"/>
        </w:rPr>
      </w:pPr>
    </w:p>
    <w:p>
      <w:pPr>
        <w:ind w:left="620" w:right="379" w:hanging="295"/>
        <w:spacing w:after="0" w:line="269" w:lineRule="auto"/>
        <w:tabs>
          <w:tab w:leader="none" w:pos="620"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Times New Roman" w:cs="Times New Roman" w:eastAsia="Times New Roman" w:hAnsi="Times New Roman"/>
          <w:sz w:val="16"/>
          <w:szCs w:val="16"/>
          <w:color w:val="auto"/>
        </w:rPr>
      </w:pPr>
    </w:p>
    <w:p>
      <w:pPr>
        <w:ind w:left="320" w:right="119" w:hanging="285"/>
        <w:spacing w:after="0" w:line="269" w:lineRule="auto"/>
        <w:tabs>
          <w:tab w:leader="none" w:pos="32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620" w:right="139" w:hanging="295"/>
        <w:spacing w:after="0" w:line="269" w:lineRule="auto"/>
        <w:tabs>
          <w:tab w:leader="none" w:pos="620"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620" w:right="159" w:hanging="295"/>
        <w:spacing w:after="0" w:line="286" w:lineRule="auto"/>
        <w:tabs>
          <w:tab w:leader="none" w:pos="620"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27, 2025</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 Paul W. Orban</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459740</wp:posOffset>
            </wp:positionV>
            <wp:extent cx="5671185" cy="22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7">
                      <a:extLst>
                        <a:ext uri="{28A0092B-C50C-407E-A947-70E740481C1C}"/>
                      </a:extLst>
                    </a:blip>
                    <a:srcRect/>
                    <a:stretch>
                      <a:fillRect/>
                    </a:stretch>
                  </pic:blipFill>
                  <pic:spPr bwMode="auto">
                    <a:xfrm>
                      <a:off x="0" y="0"/>
                      <a:ext cx="5671185" cy="2286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-116205</wp:posOffset>
            </wp:positionV>
            <wp:extent cx="283527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8">
                      <a:extLst>
                        <a:ext uri="{28A0092B-C50C-407E-A947-70E740481C1C}"/>
                      </a:extLst>
                    </a:blip>
                    <a:srcRect/>
                    <a:stretch>
                      <a:fillRect/>
                    </a:stretch>
                  </pic:blipFill>
                  <pic:spPr bwMode="auto">
                    <a:xfrm>
                      <a:off x="0" y="0"/>
                      <a:ext cx="2835275" cy="762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8" w:name="page239"/>
    <w:bookmarkEnd w:id="238"/>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Certification</w:t>
      </w:r>
    </w:p>
    <w:p>
      <w:pPr>
        <w:spacing w:after="0" w:line="187" w:lineRule="exact"/>
        <w:rPr>
          <w:sz w:val="20"/>
          <w:szCs w:val="20"/>
          <w:color w:val="auto"/>
        </w:rPr>
      </w:pPr>
    </w:p>
    <w:p>
      <w:pPr>
        <w:jc w:val="both"/>
        <w:ind w:left="40" w:right="299"/>
        <w:spacing w:after="0" w:line="263" w:lineRule="auto"/>
        <w:rPr>
          <w:sz w:val="20"/>
          <w:szCs w:val="20"/>
          <w:color w:val="auto"/>
        </w:rPr>
      </w:pPr>
      <w:r>
        <w:rPr>
          <w:rFonts w:ascii="Times New Roman" w:cs="Times New Roman" w:eastAsia="Times New Roman" w:hAnsi="Times New Roman"/>
          <w:sz w:val="16"/>
          <w:szCs w:val="16"/>
          <w:color w:val="auto"/>
        </w:rPr>
        <w:t>Pursuant to 18 U.S.C. § 1350, the undersigned officer of EchoStar Corporation (the “Company”) hereby certifies that to the best of his knowledge the Company’s Annual Report on Form 10-K for the year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4"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6"/>
          <w:szCs w:val="16"/>
          <w:color w:val="auto"/>
        </w:rPr>
        <w:t>Dated:</w:t>
        <w:tab/>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16510</wp:posOffset>
            </wp:positionV>
            <wp:extent cx="252031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9">
                      <a:extLst>
                        <a:ext uri="{28A0092B-C50C-407E-A947-70E740481C1C}"/>
                      </a:extLst>
                    </a:blip>
                    <a:srcRect/>
                    <a:stretch>
                      <a:fillRect/>
                    </a:stretch>
                  </pic:blipFill>
                  <pic:spPr bwMode="auto">
                    <a:xfrm>
                      <a:off x="0" y="0"/>
                      <a:ext cx="2520315" cy="7620"/>
                    </a:xfrm>
                    <a:prstGeom prst="rect">
                      <a:avLst/>
                    </a:prstGeom>
                    <a:noFill/>
                  </pic:spPr>
                </pic:pic>
              </a:graphicData>
            </a:graphic>
          </wp:anchor>
        </w:drawing>
      </w:r>
    </w:p>
    <w:p>
      <w:pPr>
        <w:spacing w:after="0" w:line="19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 xml:space="preserve">Name: </w:t>
      </w:r>
      <w:r>
        <w:rPr>
          <w:rFonts w:ascii="Times New Roman" w:cs="Times New Roman" w:eastAsia="Times New Roman" w:hAnsi="Times New Roman"/>
          <w:sz w:val="16"/>
          <w:szCs w:val="16"/>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17780</wp:posOffset>
            </wp:positionV>
            <wp:extent cx="252031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60">
                      <a:extLst>
                        <a:ext uri="{28A0092B-C50C-407E-A947-70E740481C1C}"/>
                      </a:extLst>
                    </a:blip>
                    <a:srcRect/>
                    <a:stretch>
                      <a:fillRect/>
                    </a:stretch>
                  </pic:blipFill>
                  <pic:spPr bwMode="auto">
                    <a:xfrm>
                      <a:off x="0" y="0"/>
                      <a:ext cx="2520315" cy="7620"/>
                    </a:xfrm>
                    <a:prstGeom prst="rect">
                      <a:avLst/>
                    </a:prstGeom>
                    <a:noFill/>
                  </pic:spPr>
                </pic:pic>
              </a:graphicData>
            </a:graphic>
          </wp:anchor>
        </w:drawing>
      </w:r>
    </w:p>
    <w:p>
      <w:pPr>
        <w:spacing w:after="0" w:line="19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6"/>
          <w:szCs w:val="16"/>
          <w:color w:val="auto"/>
        </w:rPr>
        <w:t>Title:</w:t>
        <w:tab/>
        <w:t>President and Chief Executive Officer</w:t>
      </w:r>
    </w:p>
    <w:p>
      <w:pPr>
        <w:spacing w:after="0" w:line="227" w:lineRule="exact"/>
        <w:rPr>
          <w:sz w:val="20"/>
          <w:szCs w:val="20"/>
          <w:color w:val="auto"/>
        </w:rPr>
      </w:pPr>
    </w:p>
    <w:p>
      <w:pPr>
        <w:ind w:left="40" w:right="479"/>
        <w:spacing w:after="0" w:line="286" w:lineRule="auto"/>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 1350 and is not being filed as part of the Report or as a separate disclosure document.</w:t>
      </w:r>
    </w:p>
    <w:p>
      <w:pPr>
        <w:spacing w:after="0" w:line="142"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297815</wp:posOffset>
            </wp:positionV>
            <wp:extent cx="5671185" cy="228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61">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9" w:name="page240"/>
    <w:bookmarkEnd w:id="239"/>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Certification</w:t>
      </w:r>
    </w:p>
    <w:p>
      <w:pPr>
        <w:spacing w:after="0" w:line="187" w:lineRule="exact"/>
        <w:rPr>
          <w:sz w:val="20"/>
          <w:szCs w:val="20"/>
          <w:color w:val="auto"/>
        </w:rPr>
      </w:pPr>
    </w:p>
    <w:p>
      <w:pPr>
        <w:jc w:val="both"/>
        <w:ind w:left="40" w:right="299"/>
        <w:spacing w:after="0" w:line="263" w:lineRule="auto"/>
        <w:rPr>
          <w:sz w:val="20"/>
          <w:szCs w:val="20"/>
          <w:color w:val="auto"/>
        </w:rPr>
      </w:pPr>
      <w:r>
        <w:rPr>
          <w:rFonts w:ascii="Times New Roman" w:cs="Times New Roman" w:eastAsia="Times New Roman" w:hAnsi="Times New Roman"/>
          <w:sz w:val="16"/>
          <w:szCs w:val="16"/>
          <w:color w:val="auto"/>
        </w:rPr>
        <w:t>Pursuant to 18 U.S.C. § 1350, the undersigned officer of EchoStar Corporation (the “Company”) hereby certifies that to the best of his knowledge the Company’s Annual Report on Form 10-K for the year ended December 31,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4"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6"/>
          <w:szCs w:val="16"/>
          <w:color w:val="auto"/>
        </w:rPr>
        <w:t>Dated:</w:t>
        <w:tab/>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16510</wp:posOffset>
            </wp:positionV>
            <wp:extent cx="252031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62">
                      <a:extLst>
                        <a:ext uri="{28A0092B-C50C-407E-A947-70E740481C1C}"/>
                      </a:extLst>
                    </a:blip>
                    <a:srcRect/>
                    <a:stretch>
                      <a:fillRect/>
                    </a:stretch>
                  </pic:blipFill>
                  <pic:spPr bwMode="auto">
                    <a:xfrm>
                      <a:off x="0" y="0"/>
                      <a:ext cx="2520315" cy="7620"/>
                    </a:xfrm>
                    <a:prstGeom prst="rect">
                      <a:avLst/>
                    </a:prstGeom>
                    <a:noFill/>
                  </pic:spPr>
                </pic:pic>
              </a:graphicData>
            </a:graphic>
          </wp:anchor>
        </w:drawing>
      </w:r>
    </w:p>
    <w:p>
      <w:pPr>
        <w:spacing w:after="0" w:line="19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 xml:space="preserve">Name: </w:t>
      </w:r>
      <w:r>
        <w:rPr>
          <w:rFonts w:ascii="Times New Roman" w:cs="Times New Roman" w:eastAsia="Times New Roman" w:hAnsi="Times New Roman"/>
          <w:sz w:val="16"/>
          <w:szCs w:val="16"/>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17780</wp:posOffset>
            </wp:positionV>
            <wp:extent cx="252031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63">
                      <a:extLst>
                        <a:ext uri="{28A0092B-C50C-407E-A947-70E740481C1C}"/>
                      </a:extLst>
                    </a:blip>
                    <a:srcRect/>
                    <a:stretch>
                      <a:fillRect/>
                    </a:stretch>
                  </pic:blipFill>
                  <pic:spPr bwMode="auto">
                    <a:xfrm>
                      <a:off x="0" y="0"/>
                      <a:ext cx="2520315" cy="7620"/>
                    </a:xfrm>
                    <a:prstGeom prst="rect">
                      <a:avLst/>
                    </a:prstGeom>
                    <a:noFill/>
                  </pic:spPr>
                </pic:pic>
              </a:graphicData>
            </a:graphic>
          </wp:anchor>
        </w:drawing>
      </w:r>
    </w:p>
    <w:p>
      <w:pPr>
        <w:spacing w:after="0" w:line="197"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6"/>
          <w:szCs w:val="16"/>
          <w:color w:val="auto"/>
        </w:rPr>
        <w:t>Title:</w:t>
        <w:tab/>
        <w:t>Principal Financial Officer</w:t>
      </w:r>
    </w:p>
    <w:p>
      <w:pPr>
        <w:spacing w:after="0" w:line="227" w:lineRule="exact"/>
        <w:rPr>
          <w:sz w:val="20"/>
          <w:szCs w:val="20"/>
          <w:color w:val="auto"/>
        </w:rPr>
      </w:pPr>
    </w:p>
    <w:p>
      <w:pPr>
        <w:ind w:left="40" w:right="479"/>
        <w:spacing w:after="0" w:line="286" w:lineRule="auto"/>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 1350 and is not being filed as part of the Report or as a separate disclosure document.</w:t>
      </w:r>
    </w:p>
    <w:p>
      <w:pPr>
        <w:spacing w:after="0" w:line="142" w:lineRule="exact"/>
        <w:rPr>
          <w:sz w:val="20"/>
          <w:szCs w:val="20"/>
          <w:color w:val="auto"/>
        </w:rPr>
      </w:pPr>
    </w:p>
    <w:p>
      <w:pPr>
        <w:ind w:left="40" w:right="59"/>
        <w:spacing w:after="0" w:line="263"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297815</wp:posOffset>
            </wp:positionV>
            <wp:extent cx="5671185" cy="228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64">
                      <a:extLst>
                        <a:ext uri="{28A0092B-C50C-407E-A947-70E740481C1C}"/>
                      </a:extLst>
                    </a:blip>
                    <a:srcRect/>
                    <a:stretch>
                      <a:fillRect/>
                    </a:stretch>
                  </pic:blipFill>
                  <pic:spPr bwMode="auto">
                    <a:xfrm>
                      <a:off x="0" y="0"/>
                      <a:ext cx="5671185" cy="2286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decimal"/>
      <w:start w:val="2"/>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lvl w:ilvl="1">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lvl w:ilvl="1">
      <w:lvlJc w:val="left"/>
      <w:lvlText w:val="●"/>
      <w:numFmt w:val="bullet"/>
      <w:start w:val="1"/>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1)"/>
      <w:numFmt w:val="decimal"/>
      <w:start w:val="4"/>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1)"/>
      <w:numFmt w:val="lowerRoman"/>
      <w:start w:val="2"/>
    </w:lvl>
  </w:abstractNum>
  <w:abstractNum w:abstractNumId="48">
    <w:nsid w:val="540A471C"/>
    <w:multiLevelType w:val="hybridMultilevel"/>
    <w:lvl w:ilvl="0">
      <w:lvlJc w:val="left"/>
      <w:lvlText w:val="(%1)"/>
      <w:numFmt w:val="lowerRoman"/>
      <w:start w:val="1"/>
    </w:lvl>
  </w:abstractNum>
  <w:abstractNum w:abstractNumId="49">
    <w:nsid w:val="7BD3EE7B"/>
    <w:multiLevelType w:val="hybridMultilevel"/>
    <w:lvl w:ilvl="0">
      <w:lvlJc w:val="left"/>
      <w:lvlText w:val="(%1)"/>
      <w:numFmt w:val="lowerLetter"/>
      <w:start w:val="4"/>
    </w:lvl>
  </w:abstractNum>
  <w:abstractNum w:abstractNumId="50">
    <w:nsid w:val="51D9C564"/>
    <w:multiLevelType w:val="hybridMultilevel"/>
    <w:lvl w:ilvl="0">
      <w:lvlJc w:val="left"/>
      <w:lvlText w:val="(%1)"/>
      <w:numFmt w:val="lowerRoman"/>
      <w:start w:val="1"/>
    </w:lvl>
  </w:abstractNum>
  <w:abstractNum w:abstractNumId="51">
    <w:nsid w:val="613EFDC5"/>
    <w:multiLevelType w:val="hybridMultilevel"/>
    <w:lvl w:ilvl="0">
      <w:lvlJc w:val="left"/>
      <w:lvlText w:val="(%1)"/>
      <w:numFmt w:val="decimal"/>
      <w:start w:val="3"/>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1)"/>
      <w:numFmt w:val="decimal"/>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1)"/>
      <w:numFmt w:val="decimal"/>
      <w:start w:val="1"/>
    </w:lvl>
  </w:abstractNum>
  <w:abstractNum w:abstractNumId="79">
    <w:nsid w:val="68EBC550"/>
    <w:multiLevelType w:val="hybridMultilevel"/>
    <w:lvl w:ilvl="0">
      <w:lvlJc w:val="left"/>
      <w:lvlText w:val="(%1)"/>
      <w:numFmt w:val="decimal"/>
      <w:start w:val="1"/>
    </w:lvl>
  </w:abstractNum>
  <w:abstractNum w:abstractNumId="80">
    <w:nsid w:val="2DF6D648"/>
    <w:multiLevelType w:val="hybridMultilevel"/>
    <w:lvl w:ilvl="0">
      <w:lvlJc w:val="left"/>
      <w:lvlText w:val="(%1)"/>
      <w:numFmt w:val="decimal"/>
      <w:start w:val="1"/>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decimal"/>
      <w:start w:val="5"/>
    </w:lvl>
  </w:abstractNum>
  <w:abstractNum w:abstractNumId="84">
    <w:nsid w:val="57FC4FBB"/>
    <w:multiLevelType w:val="hybridMultilevel"/>
    <w:lvl w:ilvl="0">
      <w:lvlJc w:val="left"/>
      <w:lvlText w:val="(%1)"/>
      <w:numFmt w:val="decimal"/>
      <w:start w:val="11"/>
    </w:lvl>
  </w:abstractNum>
  <w:abstractNum w:abstractNumId="85">
    <w:nsid w:val="CC1016F"/>
    <w:multiLevelType w:val="hybridMultilevel"/>
    <w:lvl w:ilvl="0">
      <w:lvlJc w:val="left"/>
      <w:lvlText w:val="(%1)"/>
      <w:numFmt w:val="decimal"/>
      <w:start w:val="4"/>
    </w:lvl>
  </w:abstractNum>
  <w:abstractNum w:abstractNumId="86">
    <w:nsid w:val="43F18422"/>
    <w:multiLevelType w:val="hybridMultilevel"/>
    <w:lvl w:ilvl="0">
      <w:lvlJc w:val="left"/>
      <w:lvlText w:val="(%1)"/>
      <w:numFmt w:val="decimal"/>
      <w:start w:val="1"/>
    </w:lvl>
  </w:abstractNum>
  <w:abstractNum w:abstractNumId="87">
    <w:nsid w:val="60EF0119"/>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88">
    <w:nsid w:val="26F324BA"/>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lvl w:ilvl="3">
      <w:lvlJc w:val="left"/>
      <w:lvlText w:val="●"/>
      <w:numFmt w:val="bullet"/>
      <w:start w:val="1"/>
    </w:lvl>
  </w:abstractNum>
  <w:abstractNum w:abstractNumId="89">
    <w:nsid w:val="7F01579B"/>
    <w:multiLevelType w:val="hybridMultilevel"/>
    <w:lvl w:ilvl="0">
      <w:lvlJc w:val="left"/>
      <w:lvlText w:val="%1."/>
      <w:numFmt w:val="decimal"/>
      <w:start w:val="3"/>
    </w:lvl>
    <w:lvl w:ilvl="1">
      <w:lvlJc w:val="left"/>
      <w:lvlText w:val="%2."/>
      <w:numFmt w:val="upperLetter"/>
      <w:start w:val="1"/>
    </w:lvl>
    <w:lvl w:ilvl="2">
      <w:lvlJc w:val="left"/>
      <w:lvlText w:val="%3"/>
      <w:numFmt w:val="upperLetter"/>
      <w:start w:val="1"/>
    </w:lvl>
    <w:lvl w:ilvl="3">
      <w:lvlJc w:val="left"/>
      <w:lvlText w:val="●"/>
      <w:numFmt w:val="bullet"/>
      <w:start w:val="1"/>
    </w:lvl>
  </w:abstractNum>
  <w:abstractNum w:abstractNumId="90">
    <w:nsid w:val="49DA307D"/>
    <w:multiLevelType w:val="hybridMultilevel"/>
    <w:lvl w:ilvl="0">
      <w:lvlJc w:val="left"/>
      <w:lvlText w:val="%1"/>
      <w:numFmt w:val="upperLetter"/>
      <w:start w:val="1"/>
    </w:lvl>
    <w:lvl w:ilvl="1">
      <w:lvlJc w:val="left"/>
      <w:lvlText w:val="●"/>
      <w:numFmt w:val="bullet"/>
      <w:start w:val="1"/>
    </w:lvl>
  </w:abstractNum>
  <w:abstractNum w:abstractNumId="91">
    <w:nsid w:val="7055A5F5"/>
    <w:multiLevelType w:val="hybridMultilevel"/>
    <w:lvl w:ilvl="0">
      <w:lvlJc w:val="left"/>
      <w:lvlText w:val="%1."/>
      <w:numFmt w:val="decimal"/>
      <w:start w:val="5"/>
    </w:lvl>
    <w:lvl w:ilvl="1">
      <w:lvlJc w:val="left"/>
      <w:lvlText w:val="%2."/>
      <w:numFmt w:val="upperLetter"/>
      <w:start w:val="1"/>
    </w:lvl>
  </w:abstractNum>
  <w:abstractNum w:abstractNumId="92">
    <w:nsid w:val="5FB8370B"/>
    <w:multiLevelType w:val="hybridMultilevel"/>
    <w:lvl w:ilvl="0">
      <w:lvlJc w:val="left"/>
      <w:lvlText w:val="%1."/>
      <w:numFmt w:val="decimal"/>
      <w:start w:val="6"/>
    </w:lvl>
  </w:abstractNum>
  <w:abstractNum w:abstractNumId="93">
    <w:nsid w:val="50801EE1"/>
    <w:multiLevelType w:val="hybridMultilevel"/>
    <w:lvl w:ilvl="0">
      <w:lvlJc w:val="left"/>
      <w:lvlText w:val="%1."/>
      <w:numFmt w:val="upperLetter"/>
      <w:start w:val="1"/>
    </w:lvl>
    <w:lvl w:ilvl="1">
      <w:lvlJc w:val="left"/>
      <w:lvlText w:val="%2)"/>
      <w:numFmt w:val="decimal"/>
      <w:start w:val="1"/>
    </w:lvl>
  </w:abstractNum>
  <w:abstractNum w:abstractNumId="94">
    <w:nsid w:val="488AC1A"/>
    <w:multiLevelType w:val="hybridMultilevel"/>
    <w:lvl w:ilvl="0">
      <w:lvlJc w:val="left"/>
      <w:lvlText w:val="%1."/>
      <w:numFmt w:val="upperLetter"/>
      <w:start w:val="4"/>
    </w:lvl>
    <w:lvl w:ilvl="1">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decimal"/>
      <w:start w:val="7"/>
    </w:lvl>
    <w:lvl w:ilvl="1">
      <w:lvlJc w:val="left"/>
      <w:lvlText w:val="%2."/>
      <w:numFmt w:val="upperLetter"/>
      <w:start w:val="1"/>
    </w:lvl>
  </w:abstractNum>
  <w:abstractNum w:abstractNumId="97">
    <w:nsid w:val="7672BD23"/>
    <w:multiLevelType w:val="hybridMultilevel"/>
    <w:lvl w:ilvl="0">
      <w:lvlJc w:val="left"/>
      <w:lvlText w:val="(%1)"/>
      <w:numFmt w:val="decimal"/>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7" Type="http://schemas.openxmlformats.org/officeDocument/2006/relationships/image" Target="media/image117.png"/><Relationship Id="rId138" Type="http://schemas.openxmlformats.org/officeDocument/2006/relationships/image" Target="media/image118.png"/><Relationship Id="rId147" Type="http://schemas.openxmlformats.org/officeDocument/2006/relationships/image" Target="media/image119.png"/><Relationship Id="rId155" Type="http://schemas.openxmlformats.org/officeDocument/2006/relationships/image" Target="media/image120.png"/><Relationship Id="rId166" Type="http://schemas.openxmlformats.org/officeDocument/2006/relationships/image" Target="media/image121.png"/><Relationship Id="rId176" Type="http://schemas.openxmlformats.org/officeDocument/2006/relationships/image" Target="media/image122.png"/><Relationship Id="rId189" Type="http://schemas.openxmlformats.org/officeDocument/2006/relationships/image" Target="media/image123.png"/><Relationship Id="rId199" Type="http://schemas.openxmlformats.org/officeDocument/2006/relationships/image" Target="media/image124.png"/><Relationship Id="rId209" Type="http://schemas.openxmlformats.org/officeDocument/2006/relationships/image" Target="media/image125.png"/><Relationship Id="rId223" Type="http://schemas.openxmlformats.org/officeDocument/2006/relationships/image" Target="media/image126.png"/><Relationship Id="rId234" Type="http://schemas.openxmlformats.org/officeDocument/2006/relationships/image" Target="media/image127.png"/><Relationship Id="rId237" Type="http://schemas.openxmlformats.org/officeDocument/2006/relationships/image" Target="media/image128.png"/><Relationship Id="rId238" Type="http://schemas.openxmlformats.org/officeDocument/2006/relationships/image" Target="media/image129.png"/><Relationship Id="rId239" Type="http://schemas.openxmlformats.org/officeDocument/2006/relationships/image" Target="media/image130.png"/><Relationship Id="rId240" Type="http://schemas.openxmlformats.org/officeDocument/2006/relationships/image" Target="media/image131.png"/><Relationship Id="rId241" Type="http://schemas.openxmlformats.org/officeDocument/2006/relationships/image" Target="media/image132.png"/><Relationship Id="rId242" Type="http://schemas.openxmlformats.org/officeDocument/2006/relationships/image" Target="media/image133.png"/><Relationship Id="rId243" Type="http://schemas.openxmlformats.org/officeDocument/2006/relationships/image" Target="media/image134.png"/><Relationship Id="rId244" Type="http://schemas.openxmlformats.org/officeDocument/2006/relationships/image" Target="media/image135.png"/><Relationship Id="rId245" Type="http://schemas.openxmlformats.org/officeDocument/2006/relationships/image" Target="media/image136.png"/><Relationship Id="rId246" Type="http://schemas.openxmlformats.org/officeDocument/2006/relationships/image" Target="media/image137.png"/><Relationship Id="rId247" Type="http://schemas.openxmlformats.org/officeDocument/2006/relationships/image" Target="media/image138.png"/><Relationship Id="rId248" Type="http://schemas.openxmlformats.org/officeDocument/2006/relationships/image" Target="media/image139.png"/><Relationship Id="rId249" Type="http://schemas.openxmlformats.org/officeDocument/2006/relationships/image" Target="media/image140.png"/><Relationship Id="rId250" Type="http://schemas.openxmlformats.org/officeDocument/2006/relationships/image" Target="media/image141.png"/><Relationship Id="rId251" Type="http://schemas.openxmlformats.org/officeDocument/2006/relationships/image" Target="media/image142.png"/><Relationship Id="rId252" Type="http://schemas.openxmlformats.org/officeDocument/2006/relationships/image" Target="media/image143.png"/><Relationship Id="rId253" Type="http://schemas.openxmlformats.org/officeDocument/2006/relationships/image" Target="media/image144.png"/><Relationship Id="rId254" Type="http://schemas.openxmlformats.org/officeDocument/2006/relationships/image" Target="media/image145.png"/><Relationship Id="rId255" Type="http://schemas.openxmlformats.org/officeDocument/2006/relationships/image" Target="media/image146.png"/><Relationship Id="rId256" Type="http://schemas.openxmlformats.org/officeDocument/2006/relationships/image" Target="media/image147.png"/><Relationship Id="rId257" Type="http://schemas.openxmlformats.org/officeDocument/2006/relationships/image" Target="media/image148.png"/><Relationship Id="rId258" Type="http://schemas.openxmlformats.org/officeDocument/2006/relationships/image" Target="media/image149.png"/><Relationship Id="rId259" Type="http://schemas.openxmlformats.org/officeDocument/2006/relationships/image" Target="media/image150.png"/><Relationship Id="rId260" Type="http://schemas.openxmlformats.org/officeDocument/2006/relationships/image" Target="media/image151.png"/><Relationship Id="rId261" Type="http://schemas.openxmlformats.org/officeDocument/2006/relationships/image" Target="media/image152.png"/><Relationship Id="rId262" Type="http://schemas.openxmlformats.org/officeDocument/2006/relationships/image" Target="media/image153.png"/><Relationship Id="rId263" Type="http://schemas.openxmlformats.org/officeDocument/2006/relationships/image" Target="media/image154.png"/><Relationship Id="rId264" Type="http://schemas.openxmlformats.org/officeDocument/2006/relationships/image" Target="media/image155.png"/><Relationship Id="rId265" Type="http://schemas.openxmlformats.org/officeDocument/2006/relationships/image" Target="media/image156.png"/><Relationship Id="rId266" Type="http://schemas.openxmlformats.org/officeDocument/2006/relationships/image" Target="media/image157.png"/><Relationship Id="rId267" Type="http://schemas.openxmlformats.org/officeDocument/2006/relationships/image" Target="media/image158.png"/><Relationship Id="rId268" Type="http://schemas.openxmlformats.org/officeDocument/2006/relationships/image" Target="media/image159.png"/><Relationship Id="rId269" Type="http://schemas.openxmlformats.org/officeDocument/2006/relationships/image" Target="media/image160.png"/><Relationship Id="rId270" Type="http://schemas.openxmlformats.org/officeDocument/2006/relationships/image" Target="media/image161.png"/><Relationship Id="rId271" Type="http://schemas.openxmlformats.org/officeDocument/2006/relationships/image" Target="media/image162.png"/><Relationship Id="rId272" Type="http://schemas.openxmlformats.org/officeDocument/2006/relationships/image" Target="media/image163.png"/><Relationship Id="rId273" Type="http://schemas.openxmlformats.org/officeDocument/2006/relationships/image" Target="media/image164.png"/><Relationship Id="rId274" Type="http://schemas.openxmlformats.org/officeDocument/2006/relationships/image" Target="media/image165.png"/><Relationship Id="rId275" Type="http://schemas.openxmlformats.org/officeDocument/2006/relationships/image" Target="media/image166.png"/><Relationship Id="rId276" Type="http://schemas.openxmlformats.org/officeDocument/2006/relationships/image" Target="media/image167.png"/><Relationship Id="rId277" Type="http://schemas.openxmlformats.org/officeDocument/2006/relationships/image" Target="media/image168.png"/><Relationship Id="rId278" Type="http://schemas.openxmlformats.org/officeDocument/2006/relationships/image" Target="media/image169.png"/><Relationship Id="rId279" Type="http://schemas.openxmlformats.org/officeDocument/2006/relationships/image" Target="media/image170.png"/><Relationship Id="rId280" Type="http://schemas.openxmlformats.org/officeDocument/2006/relationships/image" Target="media/image171.png"/><Relationship Id="rId281" Type="http://schemas.openxmlformats.org/officeDocument/2006/relationships/image" Target="media/image172.png"/><Relationship Id="rId282" Type="http://schemas.openxmlformats.org/officeDocument/2006/relationships/image" Target="media/image173.png"/><Relationship Id="rId283" Type="http://schemas.openxmlformats.org/officeDocument/2006/relationships/image" Target="media/image174.png"/><Relationship Id="rId284" Type="http://schemas.openxmlformats.org/officeDocument/2006/relationships/image" Target="media/image175.png"/><Relationship Id="rId285" Type="http://schemas.openxmlformats.org/officeDocument/2006/relationships/image" Target="media/image176.png"/><Relationship Id="rId286" Type="http://schemas.openxmlformats.org/officeDocument/2006/relationships/image" Target="media/image177.png"/><Relationship Id="rId287" Type="http://schemas.openxmlformats.org/officeDocument/2006/relationships/image" Target="media/image178.png"/><Relationship Id="rId288" Type="http://schemas.openxmlformats.org/officeDocument/2006/relationships/image" Target="media/image179.png"/><Relationship Id="rId289" Type="http://schemas.openxmlformats.org/officeDocument/2006/relationships/image" Target="media/image180.png"/><Relationship Id="rId290" Type="http://schemas.openxmlformats.org/officeDocument/2006/relationships/image" Target="media/image181.png"/><Relationship Id="rId291" Type="http://schemas.openxmlformats.org/officeDocument/2006/relationships/image" Target="media/image182.png"/><Relationship Id="rId292" Type="http://schemas.openxmlformats.org/officeDocument/2006/relationships/image" Target="media/image183.png"/><Relationship Id="rId293" Type="http://schemas.openxmlformats.org/officeDocument/2006/relationships/image" Target="media/image184.png"/><Relationship Id="rId294" Type="http://schemas.openxmlformats.org/officeDocument/2006/relationships/image" Target="media/image185.png"/><Relationship Id="rId295" Type="http://schemas.openxmlformats.org/officeDocument/2006/relationships/image" Target="media/image186.png"/><Relationship Id="rId296" Type="http://schemas.openxmlformats.org/officeDocument/2006/relationships/image" Target="media/image187.png"/><Relationship Id="rId297" Type="http://schemas.openxmlformats.org/officeDocument/2006/relationships/image" Target="media/image188.png"/><Relationship Id="rId298" Type="http://schemas.openxmlformats.org/officeDocument/2006/relationships/image" Target="media/image189.png"/><Relationship Id="rId299" Type="http://schemas.openxmlformats.org/officeDocument/2006/relationships/image" Target="media/image190.png"/><Relationship Id="rId300" Type="http://schemas.openxmlformats.org/officeDocument/2006/relationships/image" Target="media/image191.png"/><Relationship Id="rId301" Type="http://schemas.openxmlformats.org/officeDocument/2006/relationships/image" Target="media/image192.png"/><Relationship Id="rId302" Type="http://schemas.openxmlformats.org/officeDocument/2006/relationships/image" Target="media/image193.png"/><Relationship Id="rId303" Type="http://schemas.openxmlformats.org/officeDocument/2006/relationships/image" Target="media/image194.png"/><Relationship Id="rId304" Type="http://schemas.openxmlformats.org/officeDocument/2006/relationships/image" Target="media/image195.png"/><Relationship Id="rId305" Type="http://schemas.openxmlformats.org/officeDocument/2006/relationships/image" Target="media/image196.png"/><Relationship Id="rId306" Type="http://schemas.openxmlformats.org/officeDocument/2006/relationships/image" Target="media/image197.png"/><Relationship Id="rId307" Type="http://schemas.openxmlformats.org/officeDocument/2006/relationships/image" Target="media/image198.png"/><Relationship Id="rId308" Type="http://schemas.openxmlformats.org/officeDocument/2006/relationships/image" Target="media/image199.png"/><Relationship Id="rId309" Type="http://schemas.openxmlformats.org/officeDocument/2006/relationships/image" Target="media/image200.png"/><Relationship Id="rId310" Type="http://schemas.openxmlformats.org/officeDocument/2006/relationships/image" Target="media/image201.png"/><Relationship Id="rId311" Type="http://schemas.openxmlformats.org/officeDocument/2006/relationships/image" Target="media/image202.png"/><Relationship Id="rId312" Type="http://schemas.openxmlformats.org/officeDocument/2006/relationships/image" Target="media/image203.png"/><Relationship Id="rId313" Type="http://schemas.openxmlformats.org/officeDocument/2006/relationships/image" Target="media/image204.png"/><Relationship Id="rId314" Type="http://schemas.openxmlformats.org/officeDocument/2006/relationships/image" Target="media/image205.png"/><Relationship Id="rId315" Type="http://schemas.openxmlformats.org/officeDocument/2006/relationships/image" Target="media/image206.png"/><Relationship Id="rId316" Type="http://schemas.openxmlformats.org/officeDocument/2006/relationships/image" Target="media/image207.png"/><Relationship Id="rId317" Type="http://schemas.openxmlformats.org/officeDocument/2006/relationships/image" Target="media/image208.png"/><Relationship Id="rId318" Type="http://schemas.openxmlformats.org/officeDocument/2006/relationships/image" Target="media/image209.png"/><Relationship Id="rId319" Type="http://schemas.openxmlformats.org/officeDocument/2006/relationships/image" Target="media/image210.png"/><Relationship Id="rId320" Type="http://schemas.openxmlformats.org/officeDocument/2006/relationships/image" Target="media/image211.png"/><Relationship Id="rId321" Type="http://schemas.openxmlformats.org/officeDocument/2006/relationships/image" Target="media/image212.png"/><Relationship Id="rId322" Type="http://schemas.openxmlformats.org/officeDocument/2006/relationships/image" Target="media/image213.png"/><Relationship Id="rId323" Type="http://schemas.openxmlformats.org/officeDocument/2006/relationships/image" Target="media/image214.png"/><Relationship Id="rId324" Type="http://schemas.openxmlformats.org/officeDocument/2006/relationships/image" Target="media/image215.png"/><Relationship Id="rId325" Type="http://schemas.openxmlformats.org/officeDocument/2006/relationships/image" Target="media/image216.png"/><Relationship Id="rId326" Type="http://schemas.openxmlformats.org/officeDocument/2006/relationships/image" Target="media/image217.png"/><Relationship Id="rId327" Type="http://schemas.openxmlformats.org/officeDocument/2006/relationships/image" Target="media/image218.png"/><Relationship Id="rId328" Type="http://schemas.openxmlformats.org/officeDocument/2006/relationships/image" Target="media/image219.png"/><Relationship Id="rId329" Type="http://schemas.openxmlformats.org/officeDocument/2006/relationships/image" Target="media/image220.png"/><Relationship Id="rId330" Type="http://schemas.openxmlformats.org/officeDocument/2006/relationships/image" Target="media/image221.png"/><Relationship Id="rId331" Type="http://schemas.openxmlformats.org/officeDocument/2006/relationships/image" Target="media/image222.png"/><Relationship Id="rId332" Type="http://schemas.openxmlformats.org/officeDocument/2006/relationships/image" Target="media/image223.png"/><Relationship Id="rId333" Type="http://schemas.openxmlformats.org/officeDocument/2006/relationships/image" Target="media/image224.png"/><Relationship Id="rId334" Type="http://schemas.openxmlformats.org/officeDocument/2006/relationships/image" Target="media/image225.png"/><Relationship Id="rId335" Type="http://schemas.openxmlformats.org/officeDocument/2006/relationships/image" Target="media/image226.png"/><Relationship Id="rId336" Type="http://schemas.openxmlformats.org/officeDocument/2006/relationships/image" Target="media/image227.png"/><Relationship Id="rId337" Type="http://schemas.openxmlformats.org/officeDocument/2006/relationships/image" Target="media/image228.png"/><Relationship Id="rId338" Type="http://schemas.openxmlformats.org/officeDocument/2006/relationships/image" Target="media/image229.png"/><Relationship Id="rId339" Type="http://schemas.openxmlformats.org/officeDocument/2006/relationships/image" Target="media/image230.png"/><Relationship Id="rId340" Type="http://schemas.openxmlformats.org/officeDocument/2006/relationships/image" Target="media/image231.png"/><Relationship Id="rId341" Type="http://schemas.openxmlformats.org/officeDocument/2006/relationships/image" Target="media/image232.png"/><Relationship Id="rId342" Type="http://schemas.openxmlformats.org/officeDocument/2006/relationships/image" Target="media/image233.png"/><Relationship Id="rId343" Type="http://schemas.openxmlformats.org/officeDocument/2006/relationships/image" Target="media/image234.png"/><Relationship Id="rId344" Type="http://schemas.openxmlformats.org/officeDocument/2006/relationships/image" Target="media/image235.png"/><Relationship Id="rId345" Type="http://schemas.openxmlformats.org/officeDocument/2006/relationships/image" Target="media/image236.png"/><Relationship Id="rId346" Type="http://schemas.openxmlformats.org/officeDocument/2006/relationships/image" Target="media/image237.png"/><Relationship Id="rId347" Type="http://schemas.openxmlformats.org/officeDocument/2006/relationships/image" Target="media/image238.png"/><Relationship Id="rId348" Type="http://schemas.openxmlformats.org/officeDocument/2006/relationships/image" Target="media/image239.png"/><Relationship Id="rId349" Type="http://schemas.openxmlformats.org/officeDocument/2006/relationships/image" Target="media/image240.png"/><Relationship Id="rId350" Type="http://schemas.openxmlformats.org/officeDocument/2006/relationships/image" Target="media/image241.png"/><Relationship Id="rId351" Type="http://schemas.openxmlformats.org/officeDocument/2006/relationships/image" Target="media/image242.png"/><Relationship Id="rId352" Type="http://schemas.openxmlformats.org/officeDocument/2006/relationships/image" Target="media/image243.png"/><Relationship Id="rId353" Type="http://schemas.openxmlformats.org/officeDocument/2006/relationships/image" Target="media/image244.png"/><Relationship Id="rId354" Type="http://schemas.openxmlformats.org/officeDocument/2006/relationships/image" Target="media/image245.png"/><Relationship Id="rId355" Type="http://schemas.openxmlformats.org/officeDocument/2006/relationships/image" Target="media/image246.png"/><Relationship Id="rId356" Type="http://schemas.openxmlformats.org/officeDocument/2006/relationships/image" Target="media/image247.png"/><Relationship Id="rId357" Type="http://schemas.openxmlformats.org/officeDocument/2006/relationships/image" Target="media/image248.png"/><Relationship Id="rId358" Type="http://schemas.openxmlformats.org/officeDocument/2006/relationships/image" Target="media/image249.png"/><Relationship Id="rId359" Type="http://schemas.openxmlformats.org/officeDocument/2006/relationships/image" Target="media/image250.png"/><Relationship Id="rId360" Type="http://schemas.openxmlformats.org/officeDocument/2006/relationships/image" Target="media/image251.png"/><Relationship Id="rId361" Type="http://schemas.openxmlformats.org/officeDocument/2006/relationships/image" Target="media/image252.png"/><Relationship Id="rId362" Type="http://schemas.openxmlformats.org/officeDocument/2006/relationships/image" Target="media/image253.png"/><Relationship Id="rId363" Type="http://schemas.openxmlformats.org/officeDocument/2006/relationships/image" Target="media/image254.png"/><Relationship Id="rId364" Type="http://schemas.openxmlformats.org/officeDocument/2006/relationships/image" Target="media/image255.png"/><Relationship Id="rId124" Type="http://schemas.openxmlformats.org/officeDocument/2006/relationships/hyperlink" Target="https://www.sec.gov/Archives/edgar/data/1001082/000155837019006461/dish-20190630ex220782796.htm" TargetMode="External"/><Relationship Id="rId125" Type="http://schemas.openxmlformats.org/officeDocument/2006/relationships/hyperlink" Target="https://www.sec.gov/Archives/edgar/data/1001082/000100108220000027/dish-20200617ex9914595c9.htm" TargetMode="External"/><Relationship Id="rId126" Type="http://schemas.openxmlformats.org/officeDocument/2006/relationships/hyperlink" Target="https://www.sec.gov/Archives/edgar/data/1415404/000110465923106152/tm2326297d1_ex2-1.htm" TargetMode="External"/><Relationship Id="rId128" Type="http://schemas.openxmlformats.org/officeDocument/2006/relationships/hyperlink" Target="https://www.sec.gov/Archives/edgar/data/1415404/000155837024002209/tmb-20231231xex3d1.htm" TargetMode="External"/><Relationship Id="rId129" Type="http://schemas.openxmlformats.org/officeDocument/2006/relationships/hyperlink" Target="https://www.sec.gov/Archives/edgar/data/1415404/000155837024002209/tmb-20231231xex3d2.htm" TargetMode="External"/><Relationship Id="rId130" Type="http://schemas.openxmlformats.org/officeDocument/2006/relationships/hyperlink" Target="https://www.sec.gov/Archives/edgar/data/1415404/000103570407000816/d50150a1exv4w1.htm" TargetMode="External"/><Relationship Id="rId131" Type="http://schemas.openxmlformats.org/officeDocument/2006/relationships/hyperlink" Target="https://www.sec.gov/Archives/edgar/data/1415404/000110465911033872/a11-14479_1ex4d1.htm" TargetMode="External"/><Relationship Id="rId132" Type="http://schemas.openxmlformats.org/officeDocument/2006/relationships/hyperlink" Target="https://www.sec.gov/Archives/edgar/data/1001082/000110465916126862/a16-13226_1ex4d1.htm" TargetMode="External"/><Relationship Id="rId133" Type="http://schemas.openxmlformats.org/officeDocument/2006/relationships/hyperlink" Target="https://www.sec.gov/Archives/edgar/data/1415404/000110465916134602/a16-15573_1ex4d1.htm" TargetMode="External"/><Relationship Id="rId134" Type="http://schemas.openxmlformats.org/officeDocument/2006/relationships/hyperlink" Target="https://www.sec.gov/Archives/edgar/data/1415404/000110465916134602/a16-15573_1ex4d2.htm" TargetMode="External"/><Relationship Id="rId135" Type="http://schemas.openxmlformats.org/officeDocument/2006/relationships/hyperlink" Target="https://www.sec.gov/Archives/edgar/data/1415404/000110465916134602/a16-15573_1ex4d4.htm" TargetMode="External"/><Relationship Id="rId136" Type="http://schemas.openxmlformats.org/officeDocument/2006/relationships/hyperlink" Target="https://www.sec.gov/Archives/edgar/data/1001082/000110465916137968/a16-16336_1ex4d1.htm" TargetMode="External"/><Relationship Id="rId137" Type="http://schemas.openxmlformats.org/officeDocument/2006/relationships/hyperlink" Target="https://www.sec.gov/Archives/edgar/data/1345840/000153375817000023/hssc_2017exchexhibit4d19.htm" TargetMode="External"/><Relationship Id="rId139" Type="http://schemas.openxmlformats.org/officeDocument/2006/relationships/hyperlink" Target="https://www.sec.gov/Archives/edgar/data/1345840/000153375817000023/hssc_2017exchexhibitx4d20.htm" TargetMode="External"/><Relationship Id="rId140" Type="http://schemas.openxmlformats.org/officeDocument/2006/relationships/hyperlink" Target="https://www.sec.gov/Archives/edgar/data/1415404/000141540418000005/exhibit424-xjoinderagr.htm" TargetMode="External"/><Relationship Id="rId141" Type="http://schemas.openxmlformats.org/officeDocument/2006/relationships/hyperlink" Target="https://www.sec.gov/Archives/edgar/data/1415404/000141540418000005/exhibit425-xhsscxsecon.htm" TargetMode="External"/><Relationship Id="rId142" Type="http://schemas.openxmlformats.org/officeDocument/2006/relationships/hyperlink" Target="https://www.sec.gov/Archives/edgar/data/1415404/000141540418000005/exhibit426-xhsscxsecon.htm" TargetMode="External"/><Relationship Id="rId143" Type="http://schemas.openxmlformats.org/officeDocument/2006/relationships/hyperlink" Target="https://www.sec.gov/Archives/edgar/data/1042642/000155837018002595/ddbs-20171231ex416308073.htm" TargetMode="External"/><Relationship Id="rId144" Type="http://schemas.openxmlformats.org/officeDocument/2006/relationships/hyperlink" Target="https://www.sec.gov/Archives/edgar/data/1415404/000141540419000033/ex41-joinderagreement.htm" TargetMode="External"/><Relationship Id="rId145" Type="http://schemas.openxmlformats.org/officeDocument/2006/relationships/hyperlink" Target="https://www.sec.gov/Archives/edgar/data/1415404/000141540419000033/ex42-thirdsupplemental.htm" TargetMode="External"/><Relationship Id="rId146" Type="http://schemas.openxmlformats.org/officeDocument/2006/relationships/hyperlink" Target="https://www.sec.gov/Archives/edgar/data/1415404/000141540419000033/ex43-thirdsupplemental.htm" TargetMode="External"/><Relationship Id="rId148" Type="http://schemas.openxmlformats.org/officeDocument/2006/relationships/hyperlink" Target="https://www.sec.gov/Archives/edgar/data/1001082/000110465920079790/tm2023759d1_ex4-1.htm" TargetMode="External"/><Relationship Id="rId149" Type="http://schemas.openxmlformats.org/officeDocument/2006/relationships/hyperlink" Target="https://www.sec.gov/Archives/edgar/data/1001082/000110465920138382/tm2039047d1_ex4-1.htm" TargetMode="External"/><Relationship Id="rId150" Type="http://schemas.openxmlformats.org/officeDocument/2006/relationships/hyperlink" Target="https://www.sec.gov/Archives/edgar/data/1415404/000110465924000089/tm2333745d3_ex4-2.htm" TargetMode="External"/><Relationship Id="rId151" Type="http://schemas.openxmlformats.org/officeDocument/2006/relationships/hyperlink" Target="https://www.sec.gov/Archives/edgar/data/1415404/000110465924000089/tm2333745d3_ex4-4.htm" TargetMode="External"/><Relationship Id="rId152" Type="http://schemas.openxmlformats.org/officeDocument/2006/relationships/hyperlink" Target="https://www.sec.gov/Archives/edgar/data/1415404/000110465924000089/tm2333745d3_ex4-6.htm" TargetMode="External"/><Relationship Id="rId153" Type="http://schemas.openxmlformats.org/officeDocument/2006/relationships/hyperlink" Target="https://www.sec.gov/Archives/edgar/data/1001082/000110465921071173/tm2117189d1_ex4-1.htm" TargetMode="External"/><Relationship Id="rId154" Type="http://schemas.openxmlformats.org/officeDocument/2006/relationships/hyperlink" Target="https://www.sec.gov/Archives/edgar/data/1001082/000110465921143897/tm2133750d1_ex4-1.htm" TargetMode="External"/><Relationship Id="rId156" Type="http://schemas.openxmlformats.org/officeDocument/2006/relationships/hyperlink" Target="https://www.sec.gov/Archives/edgar/data/1001082/000110465921143897/tm2133750d1_ex4-2.htm" TargetMode="External"/><Relationship Id="rId157" Type="http://schemas.openxmlformats.org/officeDocument/2006/relationships/hyperlink" Target="https://www.sec.gov/Archives/edgar/data/1001082/000110465921143897/tm2133750d1_ex4-3.htm" TargetMode="External"/><Relationship Id="rId158" Type="http://schemas.openxmlformats.org/officeDocument/2006/relationships/hyperlink" Target="https://www.sec.gov/Archives/edgar/data/1001082/000110465923007047/tm233537d3_ex4-1.htm" TargetMode="External"/><Relationship Id="rId159" Type="http://schemas.openxmlformats.org/officeDocument/2006/relationships/hyperlink" Target="https://www.sec.gov/Archives/edgar/data/1001082/000110465922119157/tm2229374d3_ex4-2.htm" TargetMode="External"/><Relationship Id="rId160" Type="http://schemas.openxmlformats.org/officeDocument/2006/relationships/hyperlink" Target="https://www.sec.gov/Archives/edgar/data/1415404/000141540420000005/ex425descriptionofourc.htm" TargetMode="External"/><Relationship Id="rId161" Type="http://schemas.openxmlformats.org/officeDocument/2006/relationships/hyperlink" Target="https://www.sec.gov/Archives/edgar/data/1001082/000110465924117961/tm2428023d1_ex4-1.htm" TargetMode="External"/><Relationship Id="rId162" Type="http://schemas.openxmlformats.org/officeDocument/2006/relationships/hyperlink" Target="https://www.sec.gov/Archives/edgar/data/1001082/000110465924117961/tm2428023d1_ex4-2.htm" TargetMode="External"/><Relationship Id="rId163" Type="http://schemas.openxmlformats.org/officeDocument/2006/relationships/hyperlink" Target="https://www.sec.gov/Archives/edgar/data/1001082/000110465924117961/tm2428023d1_ex4-3.htm" TargetMode="External"/><Relationship Id="rId164" Type="http://schemas.openxmlformats.org/officeDocument/2006/relationships/hyperlink" Target="https://www.sec.gov/Archives/edgar/data/1001082/000110465924117961/tm2428023d1_ex4-4.htm" TargetMode="External"/><Relationship Id="rId165" Type="http://schemas.openxmlformats.org/officeDocument/2006/relationships/hyperlink" Target="https://www.sec.gov/Archives/edgar/data/1001082/000110465924117961/tm2428023d1_ex4-5.htm" TargetMode="External"/><Relationship Id="rId167" Type="http://schemas.openxmlformats.org/officeDocument/2006/relationships/hyperlink" Target="https://www.sec.gov/Archives/edgar/data/1001082/000110465924117961/tm2428023d1_ex4-6.htm" TargetMode="External"/><Relationship Id="rId168" Type="http://schemas.openxmlformats.org/officeDocument/2006/relationships/hyperlink" Target="https://www.sec.gov/Archives/edgar/data/1001082/000110465924117961/tm2428023d1_ex4-7.htm" TargetMode="External"/><Relationship Id="rId169" Type="http://schemas.openxmlformats.org/officeDocument/2006/relationships/hyperlink" Target="https://www.sec.gov/Archives/edgar/data/1001082/000110465924117961/tm2428023d1_ex4-8.htm" TargetMode="External"/><Relationship Id="rId170" Type="http://schemas.openxmlformats.org/officeDocument/2006/relationships/hyperlink" Target="https://www.sec.gov/Archives/edgar/data/1001082/000110465924117961/tm2428023d1_ex4-9.htm" TargetMode="External"/><Relationship Id="rId171" Type="http://schemas.openxmlformats.org/officeDocument/2006/relationships/hyperlink" Target="https://www.sec.gov/Archives/edgar/data/1001082/000110465924117961/tm2428023d1_ex4-10.htm" TargetMode="External"/><Relationship Id="rId172" Type="http://schemas.openxmlformats.org/officeDocument/2006/relationships/hyperlink" Target="https://www.sec.gov/Archives/edgar/data/1001082/000110465924117961/tm2428023d1_ex4-11.htm" TargetMode="External"/><Relationship Id="rId173" Type="http://schemas.openxmlformats.org/officeDocument/2006/relationships/hyperlink" Target="https://www.sec.gov/Archives/edgar/data/1001082/000110465924117961/tm2428023d1_ex4-12.htm" TargetMode="External"/><Relationship Id="rId174" Type="http://schemas.openxmlformats.org/officeDocument/2006/relationships/hyperlink" Target="https://www.sec.gov/Archives/edgar/data/1001082/000110465924117961/tm2428023d1_ex4-13.htm" TargetMode="External"/><Relationship Id="rId175" Type="http://schemas.openxmlformats.org/officeDocument/2006/relationships/hyperlink" Target="https://www.sec.gov/Archives/edgar/data/1001082/000110465924117961/tm2428023d1_ex4-14.htm" TargetMode="External"/><Relationship Id="rId177" Type="http://schemas.openxmlformats.org/officeDocument/2006/relationships/hyperlink" Target="https://www.sec.gov/Archives/edgar/data/1001082/000110465924117961/tm2428023d1_ex4-15.htm" TargetMode="External"/><Relationship Id="rId178" Type="http://schemas.openxmlformats.org/officeDocument/2006/relationships/hyperlink" Target="https://www.sec.gov/Archives/edgar/data/1415404/000103570407000816/d50150a1exv10w25.htm" TargetMode="External"/><Relationship Id="rId179" Type="http://schemas.openxmlformats.org/officeDocument/2006/relationships/hyperlink" Target="https://www.sec.gov/Archives/edgar/data/1415404/000110465914067061/a14-20006_2def14a.htm#Appendix1_041118" TargetMode="External"/><Relationship Id="rId180" Type="http://schemas.openxmlformats.org/officeDocument/2006/relationships/hyperlink" Target="https://www.sec.gov/Archives/edgar/data/1415404/000103570409000020/d67044ddef14a.htm#018" TargetMode="External"/><Relationship Id="rId181" Type="http://schemas.openxmlformats.org/officeDocument/2006/relationships/hyperlink" Target="https://www.sec.gov/Archives/edgar/data/1415404/000110465915076360/a15-17922_1ex10d1.htm" TargetMode="External"/><Relationship Id="rId182" Type="http://schemas.openxmlformats.org/officeDocument/2006/relationships/hyperlink" Target="https://www.sec.gov/Archives/edgar/data/1415404/000110465916099355/a15-23459_3ex10d39.htm" TargetMode="External"/><Relationship Id="rId183" Type="http://schemas.openxmlformats.org/officeDocument/2006/relationships/hyperlink" Target="https://www.sec.gov/Archives/edgar/data/1415404/000110465916099355/a15-23459_3ex10d40.htm" TargetMode="External"/><Relationship Id="rId184" Type="http://schemas.openxmlformats.org/officeDocument/2006/relationships/hyperlink" Target="https://www.sec.gov/Archives/edgar/data/1415404/000110465916099355/a15-23459_3ex10d41.htm" TargetMode="External"/><Relationship Id="rId185" Type="http://schemas.openxmlformats.org/officeDocument/2006/relationships/hyperlink" Target="https://www.sec.gov/Archives/edgar/data/1415404/000110465916099355/a15-23459_3ex10d42.htm" TargetMode="External"/><Relationship Id="rId186" Type="http://schemas.openxmlformats.org/officeDocument/2006/relationships/hyperlink" Target="https://www.sec.gov/Archives/edgar/data/1415404/000110465916099355/a15-23459_3ex10d43.htm" TargetMode="External"/><Relationship Id="rId187" Type="http://schemas.openxmlformats.org/officeDocument/2006/relationships/hyperlink" Target="https://www.sec.gov/Archives/edgar/data/1415404/000110465916099355/a15-23459_3ex10d44.htm" TargetMode="External"/><Relationship Id="rId188" Type="http://schemas.openxmlformats.org/officeDocument/2006/relationships/hyperlink" Target="https://www.sec.gov/Archives/edgar/data/1415404/000110465916099355/a15-23459_3ex10d45.htm" TargetMode="External"/><Relationship Id="rId190" Type="http://schemas.openxmlformats.org/officeDocument/2006/relationships/hyperlink" Target="https://www.sec.gov/Archives/edgar/data/1415404/000141540417000022/sats2017proxystatement.htm" TargetMode="External"/><Relationship Id="rId191" Type="http://schemas.openxmlformats.org/officeDocument/2006/relationships/hyperlink" Target="https://www.sec.gov/Archives/edgar/data/1415404/000141540422000080/sats093022-ex105xamendedan.htm" TargetMode="External"/><Relationship Id="rId192" Type="http://schemas.openxmlformats.org/officeDocument/2006/relationships/hyperlink" Target="https://www.sec.gov/Archives/edgar/data/1415404/000141540417000045/a101echostarnon-qualifiedp.htm" TargetMode="External"/><Relationship Id="rId193" Type="http://schemas.openxmlformats.org/officeDocument/2006/relationships/hyperlink" Target="https://www.sec.gov/Archives/edgar/data/1415404/000141540417000045/ex102-formofstockoptionagr.htm" TargetMode="External"/><Relationship Id="rId194" Type="http://schemas.openxmlformats.org/officeDocument/2006/relationships/hyperlink" Target="https://www.sec.gov/Archives/edgar/data/1415404/000141540417000045/ex103-formofstockoptionagr.htm" TargetMode="External"/><Relationship Id="rId195" Type="http://schemas.openxmlformats.org/officeDocument/2006/relationships/hyperlink" Target="https://www.sec.gov/Archives/edgar/data/1415404/000141540417000045/ex104formofnon-employeedir.htm" TargetMode="External"/><Relationship Id="rId196" Type="http://schemas.openxmlformats.org/officeDocument/2006/relationships/hyperlink" Target="https://www.sec.gov/Archives/edgar/data/1415404/000141540417000045/ex105formofrsuagreementfor.htm" TargetMode="External"/><Relationship Id="rId197" Type="http://schemas.openxmlformats.org/officeDocument/2006/relationships/hyperlink" Target="https://www.sec.gov/Archives/edgar/data/1415404/000141540422000080/sats093022-ex101xformofsto.htm" TargetMode="External"/><Relationship Id="rId198" Type="http://schemas.openxmlformats.org/officeDocument/2006/relationships/hyperlink" Target="https://www.sec.gov/Archives/edgar/data/1415404/000141540422000080/sats093022-ex102xformofsto.htm" TargetMode="External"/><Relationship Id="rId200" Type="http://schemas.openxmlformats.org/officeDocument/2006/relationships/hyperlink" Target="https://www.sec.gov/Archives/edgar/data/1415404/000141540422000080/sats093022-ex103xformofnon.htm" TargetMode="External"/><Relationship Id="rId201" Type="http://schemas.openxmlformats.org/officeDocument/2006/relationships/hyperlink" Target="https://www.sec.gov/Archives/edgar/data/1415404/000141540422000080/sats093022-ex104xformofrsu.htm" TargetMode="External"/><Relationship Id="rId202" Type="http://schemas.openxmlformats.org/officeDocument/2006/relationships/hyperlink" Target="https://www.sec.gov/Archives/edgar/data/1415404/000141540422000042/sats03312210-qxexx102.htm" TargetMode="External"/><Relationship Id="rId203" Type="http://schemas.openxmlformats.org/officeDocument/2006/relationships/hyperlink" Target="https://www.sec.gov/Archives/edgar/data/1415404/000141540422000042/sats03312210-qxexx103.htm" TargetMode="External"/><Relationship Id="rId204" Type="http://schemas.openxmlformats.org/officeDocument/2006/relationships/hyperlink" Target="https://www.sec.gov/Archives/edgar/data/1415404/000141540419000003/ex1035amendmenttonon-q.htm" TargetMode="External"/><Relationship Id="rId205" Type="http://schemas.openxmlformats.org/officeDocument/2006/relationships/hyperlink" Target="https://www.sec.gov/Archives/edgar/data/1415404/000141540419000033/sats063019ex-101.htm" TargetMode="External"/><Relationship Id="rId206" Type="http://schemas.openxmlformats.org/officeDocument/2006/relationships/hyperlink" Target="https://www.sec.gov/Archives/edgar/data/1415404/000141540420000033/ex-101xadoptionagreeme.htm" TargetMode="External"/><Relationship Id="rId207" Type="http://schemas.openxmlformats.org/officeDocument/2006/relationships/hyperlink" Target="https://www.sec.gov/Archives/edgar/data/1415404/000141540421000011/a2021satsproxystatement.htm#i6d1879bc289540a3ba8fc082b625c96b_1265" TargetMode="External"/><Relationship Id="rId208" Type="http://schemas.openxmlformats.org/officeDocument/2006/relationships/hyperlink" Target="https://www.sec.gov/Archives/edgar/data/1415404/000141540422000005/sats202110-kxexx1030.htm" TargetMode="External"/><Relationship Id="rId210" Type="http://schemas.openxmlformats.org/officeDocument/2006/relationships/hyperlink" Target="https://www.sec.gov/Archives/edgar/data/1001082/000095013402003359/d95798ddef14a.txt" TargetMode="External"/><Relationship Id="rId211" Type="http://schemas.openxmlformats.org/officeDocument/2006/relationships/hyperlink" Target="https://www.sec.gov/Archives/edgar/data/1001082/000103570405000342/d26860exv99w6.htm" TargetMode="External"/><Relationship Id="rId212" Type="http://schemas.openxmlformats.org/officeDocument/2006/relationships/hyperlink" Target="https://www.sec.gov/Archives/edgar/data/1001082/000110465914067158/a14-20516_2def14a.htm" TargetMode="External"/><Relationship Id="rId213" Type="http://schemas.openxmlformats.org/officeDocument/2006/relationships/hyperlink" Target="https://www.sec.gov/Archives/edgar/data/1001082/000103570409000018/d67042def14a.htm" TargetMode="External"/><Relationship Id="rId214" Type="http://schemas.openxmlformats.org/officeDocument/2006/relationships/hyperlink" Target="https://www.sec.gov/Archives/edgar/data/1001082/000110465915068740/a15-20572_1ex10d2.htm" TargetMode="External"/><Relationship Id="rId215" Type="http://schemas.openxmlformats.org/officeDocument/2006/relationships/hyperlink" Target="https://www.sec.gov/Archives/edgar/data/1001082/000110465915068740/a15-20572_1ex10d4.htm" TargetMode="External"/><Relationship Id="rId216" Type="http://schemas.openxmlformats.org/officeDocument/2006/relationships/hyperlink" Target="https://www.sec.gov/Archives/edgar/data/1001082/000110465916137968/a16-16336_1ex10d1.htm" TargetMode="External"/><Relationship Id="rId217" Type="http://schemas.openxmlformats.org/officeDocument/2006/relationships/hyperlink" Target="https://www.sec.gov/Archives/edgar/data/1001082/000110465916137968/a16-16336_1ex10d2.htm" TargetMode="External"/><Relationship Id="rId218" Type="http://schemas.openxmlformats.org/officeDocument/2006/relationships/hyperlink" Target="https://www.sec.gov/Archives/edgar/data/1001082/000110465916161284/a16-22870_18k.htm" TargetMode="External"/><Relationship Id="rId219" Type="http://schemas.openxmlformats.org/officeDocument/2006/relationships/hyperlink" Target="https://www.sec.gov/Archives/edgar/data/1001082/000100108218000015/dish-20180823x8k.htm" TargetMode="External"/><Relationship Id="rId220" Type="http://schemas.openxmlformats.org/officeDocument/2006/relationships/hyperlink" Target="https://www.sec.gov/Archives/edgar/data/1001082/000155837020013008/dish-20200930xex10d1.htm" TargetMode="External"/><Relationship Id="rId221" Type="http://schemas.openxmlformats.org/officeDocument/2006/relationships/hyperlink" Target="https://www.sec.gov/Archives/edgar/data/1001082/000155837020013008/dish-20200930xex10d2.htm" TargetMode="External"/><Relationship Id="rId222" Type="http://schemas.openxmlformats.org/officeDocument/2006/relationships/hyperlink" Target="https://www.sec.gov/Archives/edgar/data/1001082/000155837020013008/dish-20200930xex10d3.htm" TargetMode="External"/><Relationship Id="rId224" Type="http://schemas.openxmlformats.org/officeDocument/2006/relationships/hyperlink" Target="https://www.sec.gov/Archives/edgar/data/1001082/000155837020013008/dish-20200930xex10d4.htm" TargetMode="External"/><Relationship Id="rId225" Type="http://schemas.openxmlformats.org/officeDocument/2006/relationships/hyperlink" Target="https://www.sec.gov/Archives/edgar/data/1001082/000155837020013008/dish-20200930xex10d5.htm" TargetMode="External"/><Relationship Id="rId226" Type="http://schemas.openxmlformats.org/officeDocument/2006/relationships/hyperlink" Target="https://www.sec.gov/Archives/edgar/data/1001082/000155837021014419/dish-20210930xex10d1.htm" TargetMode="External"/><Relationship Id="rId227" Type="http://schemas.openxmlformats.org/officeDocument/2006/relationships/hyperlink" Target="https://www.sec.gov/Archives/edgar/data/1415404/000110465923106157/tm2327406-1_s4.htm#tANXB" TargetMode="External"/><Relationship Id="rId228" Type="http://schemas.openxmlformats.org/officeDocument/2006/relationships/hyperlink" Target="https://www.sec.gov/Archives/edgar/data/1415404/000110465923106157/tm2327406d2_ex10-2.htm" TargetMode="External"/><Relationship Id="rId229" Type="http://schemas.openxmlformats.org/officeDocument/2006/relationships/hyperlink" Target="https://www.sec.gov/Archives/edgar/data/1415404/000110465923106157/tm2327406d2_ex10-3.htm" TargetMode="External"/><Relationship Id="rId230" Type="http://schemas.openxmlformats.org/officeDocument/2006/relationships/hyperlink" Target="https://www.sec.gov/Archives/edgar/data/1415404/000110465924000089/tm2333745d3_ex10-1.htm" TargetMode="External"/><Relationship Id="rId231" Type="http://schemas.openxmlformats.org/officeDocument/2006/relationships/hyperlink" Target="https://www.sec.gov/Archives/edgar/data/1415404/000110465924000089/tm2333745d3_ex4-8.htm" TargetMode="External"/><Relationship Id="rId232" Type="http://schemas.openxmlformats.org/officeDocument/2006/relationships/hyperlink" Target="https://www.sec.gov/Archives/edgar/data/1415404/000110465924000089/tm2333745d3_ex4-9.htm" TargetMode="External"/><Relationship Id="rId233" Type="http://schemas.openxmlformats.org/officeDocument/2006/relationships/hyperlink" Target="https://www.sec.gov/Archives/edgar/data/1415404/000110465924000089/tm2333745d3_ex4-11.htm" TargetMode="External"/><Relationship Id="rId235" Type="http://schemas.openxmlformats.org/officeDocument/2006/relationships/hyperlink" Target="https://www.sec.gov/Archives/edgar/data/1415404/000155837024002209/tmb-20231231xex97.htm" TargetMode="External"/><Relationship Id="rId236" Type="http://schemas.openxmlformats.org/officeDocument/2006/relationships/hyperlink" Target="https://www.sec.gov/Archives/edgar/data/1001082/000155837021010868/dish-20210630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2025-02-27T05:50:35Z</dcterms:created>
  <dcterms:modified xsi:type="dcterms:W3CDTF">2025-02-27T05:50:35Z</dcterms:modified>
</cp:coreProperties>
</file>