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pPr>
      <w:r>
        <w:rPr>
          <w:rFonts w:ascii="Arial;sans-serif" w:hAnsi="Arial;sans-serif"/>
          <w:b/>
          <w:color w:val="000000"/>
          <w:sz w:val="28"/>
        </w:rPr>
        <w:t>WASHINGTON, D.C.  20549</w:t>
      </w:r>
      <w:r>
        <w:rPr>
          <w:color w:val="000000"/>
        </w:rPr>
        <w:t> </w:t>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FORM 10-K</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(Mark One)</w:t>
      </w:r>
    </w:p>
    <w:p>
      <w:pPr>
        <w:pStyle w:val="TextBody"/>
        <w:bidi w:val="0"/>
        <w:spacing w:lineRule="auto" w:line="288" w:before="0" w:after="0"/>
        <w:ind w:left="0" w:right="0" w:hanging="450"/>
        <w:jc w:val="center"/>
        <w:rPr/>
      </w:pPr>
      <w:r>
        <w:rPr>
          <w:color w:val="000000"/>
        </w:rPr>
        <w:t>☒    </w:t>
      </w:r>
      <w:r>
        <w:rPr>
          <w:rFonts w:ascii="Arial;sans-serif" w:hAnsi="Arial;sans-serif"/>
          <w:b/>
          <w:color w:val="000000"/>
          <w:sz w:val="16"/>
        </w:rPr>
        <w:t>ANNUAL REPORT PURSUANT TO SECTION 13 OR 15(d) OF THE SECURITIES EXCHANGE ACT OF 1934  </w:t>
      </w:r>
    </w:p>
    <w:p>
      <w:pPr>
        <w:pStyle w:val="TextBody"/>
        <w:bidi w:val="0"/>
        <w:spacing w:lineRule="auto" w:line="288" w:before="0" w:after="0"/>
        <w:ind w:left="0" w:right="0" w:hanging="450"/>
        <w:jc w:val="center"/>
        <w:rPr>
          <w:rFonts w:ascii="Arial;sans-serif" w:hAnsi="Arial;sans-serif"/>
          <w:b/>
          <w:color w:val="000000"/>
          <w:sz w:val="16"/>
        </w:rPr>
      </w:pPr>
      <w:r>
        <w:rPr>
          <w:rFonts w:ascii="Arial;sans-serif" w:hAnsi="Arial;sans-serif"/>
          <w:b/>
          <w:color w:val="000000"/>
          <w:sz w:val="16"/>
        </w:rPr>
        <w:t>For the fiscal year ended December 31, 2023.</w:t>
      </w:r>
    </w:p>
    <w:p>
      <w:pPr>
        <w:pStyle w:val="TextBody"/>
        <w:bidi w:val="0"/>
        <w:spacing w:lineRule="auto" w:line="288" w:before="0" w:after="0"/>
        <w:jc w:val="center"/>
        <w:rPr/>
      </w:pPr>
      <w:r>
        <w:rPr>
          <w:rFonts w:ascii="Arial;sans-serif" w:hAnsi="Arial;sans-serif"/>
          <w:b/>
          <w:color w:val="000000"/>
          <w:sz w:val="16"/>
        </w:rPr>
        <w:t>OR</w:t>
      </w:r>
      <w:r>
        <w:rPr>
          <w:color w:val="000000"/>
        </w:rPr>
        <w:t> </w:t>
      </w:r>
    </w:p>
    <w:p>
      <w:pPr>
        <w:pStyle w:val="TextBody"/>
        <w:bidi w:val="0"/>
        <w:spacing w:lineRule="auto" w:line="288" w:before="0" w:after="0"/>
        <w:ind w:left="0" w:right="0" w:hanging="450"/>
        <w:jc w:val="center"/>
        <w:rPr/>
      </w:pPr>
      <w:r>
        <w:rPr>
          <w:color w:val="000000"/>
        </w:rPr>
        <w:t>☐    </w:t>
      </w:r>
      <w:r>
        <w:rPr>
          <w:rFonts w:ascii="Arial;sans-serif" w:hAnsi="Arial;sans-serif"/>
          <w:b/>
          <w:color w:val="000000"/>
          <w:sz w:val="16"/>
        </w:rPr>
        <w:t>TRANSITION REPORT PURSUANT TO SECTION 13 OR 15(d) OF THE SECURITIES EXCHANGE ACT OF 1934</w:t>
      </w:r>
      <w:r>
        <w:rPr>
          <w:color w:val="000000"/>
        </w:rPr>
        <w:t> </w:t>
      </w:r>
    </w:p>
    <w:p>
      <w:pPr>
        <w:pStyle w:val="TextBody"/>
        <w:bidi w:val="0"/>
        <w:spacing w:lineRule="auto" w:line="288" w:before="0" w:after="0"/>
        <w:ind w:left="0" w:right="0" w:hanging="450"/>
        <w:jc w:val="center"/>
        <w:rPr>
          <w:rFonts w:ascii="Arial;sans-serif" w:hAnsi="Arial;sans-serif"/>
          <w:b/>
          <w:color w:val="000000"/>
          <w:sz w:val="16"/>
        </w:rPr>
      </w:pPr>
      <w:r>
        <w:rPr>
          <w:rFonts w:ascii="Arial;sans-serif" w:hAnsi="Arial;sans-serif"/>
          <w:b/>
          <w:color w:val="000000"/>
          <w:sz w:val="16"/>
        </w:rPr>
        <w:t>For the transition period from to    .      </w:t>
      </w:r>
    </w:p>
    <w:p>
      <w:pPr>
        <w:pStyle w:val="TextBody"/>
        <w:bidi w:val="0"/>
        <w:spacing w:before="0" w:after="0"/>
        <w:ind w:left="0" w:right="0" w:hanging="450"/>
        <w:jc w:val="both"/>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Commission File Number: 333-179121 </w:t>
      </w:r>
    </w:p>
    <w:p>
      <w:pPr>
        <w:pStyle w:val="TextBody"/>
        <w:bidi w:val="0"/>
        <w:spacing w:before="0" w:after="0"/>
        <w:jc w:val="center"/>
        <w:rPr/>
      </w:pPr>
      <w:r>
        <w:rPr/>
        <w:drawing>
          <wp:inline distT="0" distB="0" distL="0" distR="0">
            <wp:extent cx="28575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895350"/>
                    </a:xfrm>
                    <a:prstGeom prst="rect">
                      <a:avLst/>
                    </a:prstGeom>
                  </pic:spPr>
                </pic:pic>
              </a:graphicData>
            </a:graphic>
          </wp:inline>
        </w:drawing>
      </w:r>
    </w:p>
    <w:p>
      <w:pPr>
        <w:pStyle w:val="TextBody"/>
        <w:bidi w:val="0"/>
        <w:spacing w:lineRule="auto" w:line="288" w:before="0" w:after="0"/>
        <w:jc w:val="center"/>
        <w:rPr/>
      </w:pPr>
      <w:r>
        <w:rPr>
          <w:color w:val="000000"/>
        </w:rPr>
        <w:t> </w:t>
      </w:r>
      <w:r>
        <w:rPr>
          <w:rFonts w:ascii="Arial;sans-serif" w:hAnsi="Arial;sans-serif"/>
          <w:b/>
          <w:color w:val="000000"/>
          <w:sz w:val="28"/>
        </w:rPr>
        <w:t>Hughes Satellite Systems Corporation</w:t>
      </w:r>
      <w:r>
        <w:rPr>
          <w:color w:val="000000"/>
        </w:rPr>
        <w:t xml:space="preserve"> </w:t>
      </w:r>
    </w:p>
    <w:p>
      <w:pPr>
        <w:pStyle w:val="TextBody"/>
        <w:bidi w:val="0"/>
        <w:spacing w:lineRule="auto" w:line="288" w:before="0" w:after="0"/>
        <w:jc w:val="center"/>
        <w:rPr>
          <w:rFonts w:ascii="Arial;sans-serif" w:hAnsi="Arial;sans-serif"/>
          <w:b w:val="false"/>
          <w:i/>
          <w:color w:val="000000"/>
          <w:sz w:val="14"/>
        </w:rPr>
      </w:pPr>
      <w:r>
        <w:rPr>
          <w:rFonts w:ascii="Arial;sans-serif" w:hAnsi="Arial;sans-serif"/>
          <w:b w:val="false"/>
          <w:i/>
          <w:color w:val="000000"/>
          <w:sz w:val="1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537"/>
        <w:gridCol w:w="447"/>
        <w:gridCol w:w="447"/>
        <w:gridCol w:w="447"/>
        <w:gridCol w:w="447"/>
        <w:gridCol w:w="447"/>
        <w:gridCol w:w="447"/>
        <w:gridCol w:w="447"/>
        <w:gridCol w:w="471"/>
        <w:gridCol w:w="109"/>
        <w:gridCol w:w="109"/>
        <w:gridCol w:w="109"/>
        <w:gridCol w:w="1670"/>
        <w:gridCol w:w="1670"/>
        <w:gridCol w:w="2401"/>
      </w:tblGrid>
      <w:tr>
        <w:trPr/>
        <w:tc>
          <w:tcPr>
            <w:tcW w:w="53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41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Colorado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45-0897865</w:t>
            </w:r>
          </w:p>
        </w:tc>
      </w:tr>
      <w:tr>
        <w:trPr/>
        <w:tc>
          <w:tcPr>
            <w:tcW w:w="41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9601 South Meridian Boulevard, Englewood, Colorado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80112-5308</w:t>
            </w:r>
          </w:p>
        </w:tc>
      </w:tr>
      <w:tr>
        <w:trPr/>
        <w:tc>
          <w:tcPr>
            <w:tcW w:w="41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(303) 723-1000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 Applicable</w:t>
            </w:r>
          </w:p>
        </w:tc>
      </w:tr>
      <w:tr>
        <w:trPr/>
        <w:tc>
          <w:tcPr>
            <w:tcW w:w="41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(Former name, former address and former fiscal year, if changed since last report)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60" w:after="283"/>
        <w:ind w:left="0" w:right="0" w:firstLine="360"/>
        <w:jc w:val="center"/>
        <w:rPr/>
      </w:pPr>
      <w:r>
        <w:rPr>
          <w:rFonts w:ascii="Arial;sans-serif" w:hAnsi="Arial;sans-serif"/>
          <w:b w:val="false"/>
          <w:color w:val="000000"/>
          <w:sz w:val="14"/>
        </w:rPr>
        <w:t xml:space="preserve">Securities registered pursuant to Section 12(b) of the Act:  </w:t>
      </w:r>
      <w:r>
        <w:rPr>
          <w:rFonts w:ascii="Arial;sans-serif" w:hAnsi="Arial;sans-serif"/>
          <w:b/>
          <w:color w:val="000000"/>
          <w:sz w:val="14"/>
        </w:rPr>
        <w:t>None</w:t>
      </w:r>
      <w:r>
        <w:rPr>
          <w:color w:val="000000"/>
        </w:rPr>
        <w:t> </w:t>
      </w:r>
    </w:p>
    <w:p>
      <w:pPr>
        <w:pStyle w:val="TextBody"/>
        <w:bidi w:val="0"/>
        <w:spacing w:lineRule="auto" w:line="288" w:before="0" w:after="0"/>
        <w:ind w:left="0" w:right="0" w:firstLine="360"/>
        <w:jc w:val="center"/>
        <w:rPr/>
      </w:pPr>
      <w:r>
        <w:rPr>
          <w:rFonts w:ascii="Arial;sans-serif" w:hAnsi="Arial;sans-serif"/>
          <w:b w:val="false"/>
          <w:color w:val="000000"/>
          <w:sz w:val="14"/>
        </w:rPr>
        <w:t xml:space="preserve">Securities registered pursuant to Section 12(g) of the Act:  </w:t>
      </w:r>
      <w:r>
        <w:rPr>
          <w:rFonts w:ascii="Arial;sans-serif" w:hAnsi="Arial;sans-serif"/>
          <w:b/>
          <w:color w:val="000000"/>
          <w:sz w:val="14"/>
        </w:rPr>
        <w:t>None</w:t>
      </w:r>
      <w:r>
        <w:rPr>
          <w:color w:val="000000"/>
        </w:rPr>
        <w:t> </w:t>
      </w:r>
    </w:p>
    <w:p>
      <w:pPr>
        <w:pStyle w:val="TextBody"/>
        <w:bidi w:val="0"/>
        <w:spacing w:lineRule="auto" w:line="288" w:before="60" w:after="283"/>
        <w:jc w:val="both"/>
        <w:rPr/>
      </w:pPr>
      <w:r>
        <w:rPr>
          <w:rFonts w:ascii="Arial;sans-serif" w:hAnsi="Arial;sans-serif"/>
          <w:b w:val="false"/>
          <w:color w:val="000000"/>
          <w:sz w:val="14"/>
        </w:rPr>
        <w:t>Indicate by check mark if the registrant is a well-known seasoned issuer, as defined in Rule 405 of the Securities Act.  Yes </w:t>
      </w:r>
      <w:r>
        <w:rPr>
          <w:color w:val="000000"/>
        </w:rPr>
        <w:t xml:space="preserve">☐ </w:t>
      </w:r>
      <w:r>
        <w:rPr>
          <w:rFonts w:ascii="Arial;sans-serif" w:hAnsi="Arial;sans-serif"/>
          <w:b w:val="false"/>
          <w:color w:val="000000"/>
          <w:sz w:val="14"/>
        </w:rPr>
        <w:t>No </w:t>
      </w:r>
      <w:r>
        <w:rPr>
          <w:color w:val="000000"/>
        </w:rPr>
        <w:t>☒</w:t>
      </w:r>
    </w:p>
    <w:p>
      <w:pPr>
        <w:pStyle w:val="TextBody"/>
        <w:bidi w:val="0"/>
        <w:spacing w:lineRule="auto" w:line="288" w:before="60" w:after="283"/>
        <w:jc w:val="both"/>
        <w:rPr/>
      </w:pPr>
      <w:r>
        <w:rPr>
          <w:rFonts w:ascii="Arial;sans-serif" w:hAnsi="Arial;sans-serif"/>
          <w:b w:val="false"/>
          <w:color w:val="000000"/>
          <w:sz w:val="14"/>
        </w:rPr>
        <w:t>Indicate by check mark if the registrant is not required to file reports pursuant to Section 13 or Section 15(d) of the Act.  Yes </w:t>
      </w:r>
      <w:r>
        <w:rPr>
          <w:color w:val="000000"/>
        </w:rPr>
        <w:t xml:space="preserve">☒ </w:t>
      </w:r>
      <w:r>
        <w:rPr>
          <w:rFonts w:ascii="Arial;sans-serif" w:hAnsi="Arial;sans-serif"/>
          <w:b w:val="false"/>
          <w:color w:val="000000"/>
          <w:sz w:val="14"/>
        </w:rPr>
        <w:t>No </w:t>
      </w:r>
      <w:r>
        <w:rPr>
          <w:color w:val="000000"/>
        </w:rPr>
        <w:t>☐</w:t>
      </w:r>
    </w:p>
    <w:p>
      <w:pPr>
        <w:pStyle w:val="TextBody"/>
        <w:bidi w:val="0"/>
        <w:spacing w:lineRule="auto" w:line="288" w:before="60" w:after="283"/>
        <w:jc w:val="both"/>
        <w:rPr/>
      </w:pPr>
      <w:r>
        <w:rPr>
          <w:rFonts w:ascii="Arial;sans-serif" w:hAnsi="Arial;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4"/>
        </w:rPr>
        <w:t>No </w:t>
      </w:r>
      <w:r>
        <w:rPr>
          <w:color w:val="000000"/>
        </w:rPr>
        <w:t>☐ </w:t>
      </w:r>
      <w:r>
        <w:rPr>
          <w:rFonts w:ascii="Arial;sans-serif" w:hAnsi="Arial;sans-serif"/>
          <w:b w:val="false"/>
          <w:color w:val="000000"/>
          <w:sz w:val="14"/>
        </w:rPr>
        <w:t>*</w:t>
      </w:r>
    </w:p>
    <w:p>
      <w:pPr>
        <w:pStyle w:val="TextBody"/>
        <w:bidi w:val="0"/>
        <w:spacing w:lineRule="auto" w:line="288" w:before="60" w:after="283"/>
        <w:jc w:val="both"/>
        <w:rPr/>
      </w:pPr>
      <w:r>
        <w:rPr>
          <w:rFonts w:ascii="Arial;sans-serif" w:hAnsi="Arial;sans-serif"/>
          <w:b w:val="false"/>
          <w:color w:val="000000"/>
          <w:sz w:val="14"/>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Arial;sans-serif" w:hAnsi="Arial;sans-serif"/>
          <w:b w:val="false"/>
          <w:color w:val="000000"/>
          <w:sz w:val="14"/>
        </w:rPr>
        <w:t>No </w:t>
      </w:r>
      <w:r>
        <w:rPr>
          <w:color w:val="000000"/>
        </w:rPr>
        <w:t>☐ </w:t>
      </w:r>
    </w:p>
    <w:p>
      <w:pPr>
        <w:pStyle w:val="TextBody"/>
        <w:bidi w:val="0"/>
        <w:spacing w:lineRule="auto" w:line="288" w:before="60" w:after="283"/>
        <w:jc w:val="both"/>
        <w:rPr>
          <w:rFonts w:ascii="Arial;sans-serif" w:hAnsi="Arial;sans-serif"/>
          <w:b w:val="false"/>
          <w:color w:val="000000"/>
          <w:sz w:val="14"/>
        </w:rPr>
      </w:pPr>
      <w:r>
        <w:rPr>
          <w:rFonts w:ascii="Arial;sans-serif" w:hAnsi="Arial;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991" w:type="dxa"/>
        <w:jc w:val="center"/>
        <w:tblInd w:w="0" w:type="dxa"/>
        <w:tblLayout w:type="fixed"/>
        <w:tblCellMar>
          <w:top w:w="28" w:type="dxa"/>
          <w:left w:w="28" w:type="dxa"/>
          <w:bottom w:w="28" w:type="dxa"/>
          <w:right w:w="28" w:type="dxa"/>
        </w:tblCellMar>
      </w:tblPr>
      <w:tblGrid>
        <w:gridCol w:w="542"/>
        <w:gridCol w:w="478"/>
        <w:gridCol w:w="480"/>
        <w:gridCol w:w="109"/>
        <w:gridCol w:w="109"/>
        <w:gridCol w:w="109"/>
        <w:gridCol w:w="579"/>
        <w:gridCol w:w="579"/>
        <w:gridCol w:w="582"/>
        <w:gridCol w:w="109"/>
        <w:gridCol w:w="109"/>
        <w:gridCol w:w="109"/>
        <w:gridCol w:w="574"/>
        <w:gridCol w:w="574"/>
        <w:gridCol w:w="577"/>
        <w:gridCol w:w="109"/>
        <w:gridCol w:w="109"/>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jc w:val="both"/>
        <w:rPr/>
      </w:pPr>
      <w:r>
        <w:rPr>
          <w:rFonts w:ascii="Arial;sans-serif" w:hAnsi="Arial;sans-serif"/>
          <w:b w:val="false"/>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color w:val="000000"/>
        </w:rPr>
        <w:t xml:space="preserve">☐ </w:t>
      </w:r>
      <w:r>
        <w:rPr>
          <w:rFonts w:ascii="Arial;sans-serif" w:hAnsi="Arial;sans-serif"/>
          <w:b w:val="false"/>
          <w:color w:val="000000"/>
          <w:sz w:val="14"/>
        </w:rPr>
        <w:t xml:space="preserve">No </w:t>
      </w:r>
      <w:r>
        <w:rPr>
          <w:color w:val="000000"/>
        </w:rPr>
        <w:t>☒</w:t>
      </w:r>
    </w:p>
    <w:p>
      <w:pPr>
        <w:pStyle w:val="TextBody"/>
        <w:bidi w:val="0"/>
        <w:spacing w:before="60" w:after="283"/>
        <w:jc w:val="both"/>
        <w:rPr/>
      </w:pPr>
      <w:r>
        <w:rPr/>
      </w:r>
    </w:p>
    <w:p>
      <w:pPr>
        <w:pStyle w:val="TextBody"/>
        <w:bidi w:val="0"/>
        <w:spacing w:lineRule="auto" w:line="288" w:before="60" w:after="283"/>
        <w:jc w:val="both"/>
        <w:rPr>
          <w:rFonts w:ascii="Arial;sans-serif" w:hAnsi="Arial;sans-serif"/>
          <w:b w:val="false"/>
          <w:color w:val="000000"/>
          <w:sz w:val="14"/>
        </w:rPr>
      </w:pPr>
      <w:r>
        <w:rPr>
          <w:rFonts w:ascii="Arial;sans-serif" w:hAnsi="Arial;sans-serif"/>
          <w:b w:val="false"/>
          <w:color w:val="000000"/>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60" w:after="283"/>
        <w:jc w:val="both"/>
        <w:rPr>
          <w:rFonts w:ascii="Arial;sans-serif" w:hAnsi="Arial;sans-serif"/>
          <w:b w:val="false"/>
          <w:color w:val="000000"/>
          <w:sz w:val="14"/>
        </w:rPr>
      </w:pPr>
      <w:r>
        <w:rPr>
          <w:rFonts w:ascii="Arial;sans-serif" w:hAnsi="Arial;sans-serif"/>
          <w:b w:val="false"/>
          <w:color w:val="000000"/>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4"/>
        </w:rPr>
        <w:t>Indicate by check mark whether the registrant is a shell company (as defined in Rule 12b-2 of the Exchange Act).  Yes ☐ No </w:t>
      </w:r>
      <w:r>
        <w:rPr>
          <w:color w:val="000000"/>
        </w:rPr>
        <w:t>☒ </w:t>
      </w:r>
    </w:p>
    <w:p>
      <w:pPr>
        <w:pStyle w:val="TextBody"/>
        <w:bidi w:val="0"/>
        <w:spacing w:lineRule="auto" w:line="288" w:before="60" w:after="283"/>
        <w:jc w:val="both"/>
        <w:rPr>
          <w:rFonts w:ascii="Arial;sans-serif" w:hAnsi="Arial;sans-serif"/>
          <w:b w:val="false"/>
          <w:color w:val="000000"/>
          <w:sz w:val="14"/>
        </w:rPr>
      </w:pPr>
      <w:r>
        <w:rPr>
          <w:rFonts w:ascii="Arial;sans-serif" w:hAnsi="Arial;sans-serif"/>
          <w:b w:val="false"/>
          <w:color w:val="000000"/>
          <w:sz w:val="14"/>
        </w:rPr>
        <w:t>The aggregate market value of the registrant’s voting interests held by non-affiliates on June 30, 2023 was $0. </w:t>
      </w:r>
    </w:p>
    <w:p>
      <w:pPr>
        <w:pStyle w:val="TextBody"/>
        <w:bidi w:val="0"/>
        <w:spacing w:before="60" w:after="283"/>
        <w:jc w:val="both"/>
        <w:rPr/>
      </w:pPr>
      <w:r>
        <w:rPr/>
      </w:r>
    </w:p>
    <w:p>
      <w:pPr>
        <w:pStyle w:val="TextBody"/>
        <w:bidi w:val="0"/>
        <w:spacing w:lineRule="auto" w:line="288" w:before="60" w:after="283"/>
        <w:jc w:val="both"/>
        <w:rPr>
          <w:rFonts w:ascii="Arial;sans-serif" w:hAnsi="Arial;sans-serif"/>
          <w:b w:val="false"/>
          <w:color w:val="000000"/>
          <w:sz w:val="14"/>
        </w:rPr>
      </w:pPr>
      <w:r>
        <w:rPr>
          <w:rFonts w:ascii="Arial;sans-serif" w:hAnsi="Arial;sans-serif"/>
          <w:b w:val="false"/>
          <w:color w:val="000000"/>
          <w:sz w:val="14"/>
        </w:rPr>
        <w:t>As of March 29, 2024, the registrant’s outstanding common stock consisted of 1,078 shares of common stock, $0.01 par value per share. </w:t>
      </w:r>
    </w:p>
    <w:p>
      <w:pPr>
        <w:pStyle w:val="TextBody"/>
        <w:bidi w:val="0"/>
        <w:spacing w:lineRule="auto" w:line="288" w:before="60" w:after="283"/>
        <w:jc w:val="both"/>
        <w:rPr>
          <w:rFonts w:ascii="Arial;sans-serif" w:hAnsi="Arial;sans-serif"/>
          <w:b w:val="false"/>
          <w:color w:val="000000"/>
          <w:sz w:val="14"/>
        </w:rPr>
      </w:pPr>
      <w:r>
        <w:rPr>
          <w:rFonts w:ascii="Arial;sans-serif" w:hAnsi="Arial;sans-serif"/>
          <w:b w:val="false"/>
          <w:color w:val="000000"/>
          <w:sz w:val="14"/>
        </w:rPr>
        <w:t>The Registrant meets the conditions set forth in General Instructions (I)(1)(a) and (b) of Form 10-K and is therefore filing this Annual Report on Form 10-K with the reduced disclosure format. </w:t>
      </w:r>
    </w:p>
    <w:p>
      <w:pPr>
        <w:pStyle w:val="TextBody"/>
        <w:bidi w:val="0"/>
        <w:spacing w:lineRule="auto" w:line="288" w:before="60" w:after="283"/>
        <w:jc w:val="both"/>
        <w:rPr>
          <w:rFonts w:ascii="Arial;sans-serif" w:hAnsi="Arial;sans-serif"/>
          <w:b w:val="false"/>
          <w:color w:val="000000"/>
          <w:sz w:val="14"/>
        </w:rPr>
      </w:pPr>
      <w:r>
        <w:rPr>
          <w:rFonts w:ascii="Arial;sans-serif" w:hAnsi="Arial;sans-serif"/>
          <w:b w:val="false"/>
          <w:color w:val="000000"/>
          <w:sz w:val="14"/>
        </w:rPr>
        <w:t>* The Registrant currently is not subject to the filing requirements of Section 13 or 15(d) of the Securities Exchange Act of 1934 and is filing this Annual Report on Form 10-K on a voluntary basis. The Registrant has filed all reports required to be filed by Section 13 or 15(d) of the Securities Exchange Act of 1934 during the preceding 12 months as if it were subject to such filing requirements during such period. </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16"/>
        </w:rPr>
        <w:t>DOCUMENTS INCORPORATED BY REFERENCE:</w:t>
      </w:r>
      <w:r>
        <w:rPr>
          <w:color w:val="000000"/>
        </w:rPr>
        <w:t xml:space="preserve">  </w:t>
      </w:r>
      <w:r>
        <w:rPr>
          <w:rFonts w:ascii="Arial;sans-serif" w:hAnsi="Arial;sans-serif"/>
          <w:b w:val="false"/>
          <w:color w:val="000000"/>
          <w:sz w:val="16"/>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19"/>
        <w:gridCol w:w="279"/>
        <w:gridCol w:w="282"/>
        <w:gridCol w:w="2985"/>
        <w:gridCol w:w="2950"/>
        <w:gridCol w:w="2960"/>
        <w:gridCol w:w="124"/>
        <w:gridCol w:w="124"/>
        <w:gridCol w:w="182"/>
      </w:tblGrid>
      <w:tr>
        <w:trPr/>
        <w:tc>
          <w:tcPr>
            <w:tcW w:w="31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0">
              <w:r>
                <w:rPr>
                  <w:rStyle w:val="InternetLink"/>
                  <w:rFonts w:ascii="Arial;sans-serif" w:hAnsi="Arial;sans-serif"/>
                  <w:b w:val="false"/>
                  <w:color w:val="0000FF"/>
                  <w:sz w:val="20"/>
                  <w:u w:val="single"/>
                </w:rPr>
                <w:t>Disclosure Regarding Forward Looking Statements</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0">
              <w:r>
                <w:rPr>
                  <w:rStyle w:val="InternetLink"/>
                  <w:rFonts w:ascii="Arial;sans-serif" w:hAnsi="Arial;sans-serif"/>
                  <w:b w:val="false"/>
                  <w:color w:val="0000FF"/>
                  <w:sz w:val="20"/>
                  <w:u w:val="single"/>
                </w:rPr>
                <w:t>i</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f6de8d550b664cf89bacba6847c193c5_13">
              <w:r>
                <w:rPr>
                  <w:rStyle w:val="InternetLink"/>
                  <w:rFonts w:ascii="Arial;sans-serif" w:hAnsi="Arial;sans-serif"/>
                  <w:b/>
                  <w:color w:val="0000FF"/>
                  <w:sz w:val="20"/>
                  <w:u w:val="single"/>
                </w:rPr>
                <w:t>PART I</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6">
              <w:r>
                <w:rPr>
                  <w:rStyle w:val="InternetLink"/>
                  <w:rFonts w:ascii="Arial;sans-serif" w:hAnsi="Arial;sans-serif"/>
                  <w:b w:val="false"/>
                  <w:color w:val="0000FF"/>
                  <w:sz w:val="20"/>
                  <w:u w:val="single"/>
                </w:rPr>
                <w:t>Item 1.</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6">
              <w:r>
                <w:rPr>
                  <w:rStyle w:val="InternetLink"/>
                  <w:rFonts w:ascii="Arial;sans-serif" w:hAnsi="Arial;sans-serif"/>
                  <w:b w:val="false"/>
                  <w:color w:val="0000FF"/>
                  <w:sz w:val="20"/>
                  <w:u w:val="single"/>
                </w:rPr>
                <w:t>Business</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6">
              <w:r>
                <w:rPr>
                  <w:rStyle w:val="InternetLink"/>
                  <w:rFonts w:ascii="Arial;sans-serif" w:hAnsi="Arial;sans-serif"/>
                  <w:b w:val="false"/>
                  <w:color w:val="0000FF"/>
                  <w:sz w:val="20"/>
                  <w:u w:val="single"/>
                </w:rPr>
                <w:t>1</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25">
              <w:r>
                <w:rPr>
                  <w:rStyle w:val="InternetLink"/>
                  <w:rFonts w:ascii="Arial;sans-serif" w:hAnsi="Arial;sans-serif"/>
                  <w:b w:val="false"/>
                  <w:color w:val="0000FF"/>
                  <w:sz w:val="20"/>
                  <w:u w:val="single"/>
                </w:rPr>
                <w:t>Item 1A.</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25">
              <w:r>
                <w:rPr>
                  <w:rStyle w:val="InternetLink"/>
                  <w:rFonts w:ascii="Arial;sans-serif" w:hAnsi="Arial;sans-serif"/>
                  <w:b w:val="false"/>
                  <w:color w:val="0000FF"/>
                  <w:sz w:val="20"/>
                  <w:u w:val="single"/>
                </w:rPr>
                <w:t>Risk Factors</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25">
              <w:r>
                <w:rPr>
                  <w:rStyle w:val="InternetLink"/>
                  <w:rFonts w:ascii="Arial;sans-serif" w:hAnsi="Arial;sans-serif"/>
                  <w:b w:val="false"/>
                  <w:color w:val="0000FF"/>
                  <w:sz w:val="20"/>
                  <w:u w:val="single"/>
                </w:rPr>
                <w:t>2</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55">
              <w:r>
                <w:rPr>
                  <w:rStyle w:val="InternetLink"/>
                  <w:rFonts w:ascii="Arial;sans-serif" w:hAnsi="Arial;sans-serif"/>
                  <w:b w:val="false"/>
                  <w:color w:val="0000FF"/>
                  <w:sz w:val="20"/>
                  <w:u w:val="single"/>
                </w:rPr>
                <w:t>Item 1B.</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55">
              <w:r>
                <w:rPr>
                  <w:rStyle w:val="InternetLink"/>
                  <w:rFonts w:ascii="Arial;sans-serif" w:hAnsi="Arial;sans-serif"/>
                  <w:b w:val="false"/>
                  <w:color w:val="0000FF"/>
                  <w:sz w:val="20"/>
                  <w:u w:val="single"/>
                </w:rPr>
                <w:t>Unresolved Staff Comments</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55">
              <w:r>
                <w:rPr>
                  <w:rStyle w:val="InternetLink"/>
                  <w:rFonts w:ascii="Arial;sans-serif" w:hAnsi="Arial;sans-serif"/>
                  <w:b w:val="false"/>
                  <w:color w:val="0000FF"/>
                  <w:sz w:val="20"/>
                  <w:u w:val="single"/>
                </w:rPr>
                <w:t>10</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649267447471">
              <w:r>
                <w:rPr>
                  <w:rStyle w:val="InternetLink"/>
                  <w:rFonts w:ascii="Arial;sans-serif" w:hAnsi="Arial;sans-serif"/>
                  <w:b w:val="false"/>
                  <w:color w:val="000080"/>
                  <w:sz w:val="20"/>
                  <w:u w:val="single"/>
                </w:rPr>
                <w:t>I</w:t>
              </w:r>
            </w:hyperlink>
            <w:hyperlink w:anchor="if6de8d550b664cf89bacba6847c193c5_1649267447471">
              <w:r>
                <w:rPr>
                  <w:rStyle w:val="InternetLink"/>
                  <w:rFonts w:ascii="Arial;sans-serif" w:hAnsi="Arial;sans-serif"/>
                  <w:b w:val="false"/>
                  <w:color w:val="000080"/>
                  <w:sz w:val="20"/>
                  <w:u w:val="single"/>
                </w:rPr>
                <w:t>tem 1C.</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649267447471">
              <w:r>
                <w:rPr>
                  <w:rStyle w:val="InternetLink"/>
                  <w:rFonts w:ascii="Arial;sans-serif" w:hAnsi="Arial;sans-serif"/>
                  <w:b w:val="false"/>
                  <w:color w:val="000080"/>
                  <w:sz w:val="20"/>
                  <w:u w:val="single"/>
                </w:rPr>
                <w:t>C</w:t>
              </w:r>
            </w:hyperlink>
            <w:hyperlink w:anchor="if6de8d550b664cf89bacba6847c193c5_1649267447471">
              <w:r>
                <w:rPr>
                  <w:rStyle w:val="InternetLink"/>
                  <w:rFonts w:ascii="Arial;sans-serif" w:hAnsi="Arial;sans-serif"/>
                  <w:b w:val="false"/>
                  <w:color w:val="000080"/>
                  <w:sz w:val="20"/>
                  <w:u w:val="single"/>
                </w:rPr>
                <w:t>ybersecurity</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649267447471">
              <w:r>
                <w:rPr>
                  <w:rStyle w:val="InternetLink"/>
                  <w:rFonts w:ascii="Arial;sans-serif" w:hAnsi="Arial;sans-serif"/>
                  <w:b w:val="false"/>
                  <w:color w:val="0000FF"/>
                  <w:sz w:val="20"/>
                  <w:u w:val="single"/>
                </w:rPr>
                <w:t>10</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58">
              <w:r>
                <w:rPr>
                  <w:rStyle w:val="InternetLink"/>
                  <w:rFonts w:ascii="Arial;sans-serif" w:hAnsi="Arial;sans-serif"/>
                  <w:b w:val="false"/>
                  <w:color w:val="0000FF"/>
                  <w:sz w:val="20"/>
                  <w:u w:val="single"/>
                </w:rPr>
                <w:t>Item 2.</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58">
              <w:r>
                <w:rPr>
                  <w:rStyle w:val="InternetLink"/>
                  <w:rFonts w:ascii="Arial;sans-serif" w:hAnsi="Arial;sans-serif"/>
                  <w:b w:val="false"/>
                  <w:color w:val="0000FF"/>
                  <w:sz w:val="20"/>
                  <w:u w:val="single"/>
                </w:rPr>
                <w:t>Properties</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58">
              <w:r>
                <w:rPr>
                  <w:rStyle w:val="InternetLink"/>
                  <w:rFonts w:ascii="Arial;sans-serif" w:hAnsi="Arial;sans-serif"/>
                  <w:b w:val="false"/>
                  <w:color w:val="0000FF"/>
                  <w:sz w:val="20"/>
                  <w:u w:val="single"/>
                </w:rPr>
                <w:t>11</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61">
              <w:r>
                <w:rPr>
                  <w:rStyle w:val="InternetLink"/>
                  <w:rFonts w:ascii="Arial;sans-serif" w:hAnsi="Arial;sans-serif"/>
                  <w:b w:val="false"/>
                  <w:color w:val="0000FF"/>
                  <w:sz w:val="20"/>
                  <w:u w:val="single"/>
                </w:rPr>
                <w:t>Item 3.</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61">
              <w:r>
                <w:rPr>
                  <w:rStyle w:val="InternetLink"/>
                  <w:rFonts w:ascii="Arial;sans-serif" w:hAnsi="Arial;sans-serif"/>
                  <w:b w:val="false"/>
                  <w:color w:val="0000FF"/>
                  <w:sz w:val="20"/>
                  <w:u w:val="single"/>
                </w:rPr>
                <w:t>Legal Proceedings</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61">
              <w:r>
                <w:rPr>
                  <w:rStyle w:val="InternetLink"/>
                  <w:rFonts w:ascii="Arial;sans-serif" w:hAnsi="Arial;sans-serif"/>
                  <w:b w:val="false"/>
                  <w:color w:val="0000FF"/>
                  <w:sz w:val="20"/>
                  <w:u w:val="single"/>
                </w:rPr>
                <w:t>11</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64">
              <w:r>
                <w:rPr>
                  <w:rStyle w:val="InternetLink"/>
                  <w:rFonts w:ascii="Arial;sans-serif" w:hAnsi="Arial;sans-serif"/>
                  <w:b w:val="false"/>
                  <w:color w:val="0000FF"/>
                  <w:sz w:val="20"/>
                  <w:u w:val="single"/>
                </w:rPr>
                <w:t>Item 4.</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64">
              <w:r>
                <w:rPr>
                  <w:rStyle w:val="InternetLink"/>
                  <w:rFonts w:ascii="Arial;sans-serif" w:hAnsi="Arial;sans-serif"/>
                  <w:b w:val="false"/>
                  <w:color w:val="0000FF"/>
                  <w:sz w:val="20"/>
                  <w:u w:val="single"/>
                </w:rPr>
                <w:t>Mine Safety Disclosures</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64">
              <w:r>
                <w:rPr>
                  <w:rStyle w:val="InternetLink"/>
                  <w:rFonts w:ascii="Arial;sans-serif" w:hAnsi="Arial;sans-serif"/>
                  <w:b w:val="false"/>
                  <w:color w:val="0000FF"/>
                  <w:sz w:val="20"/>
                  <w:u w:val="single"/>
                </w:rPr>
                <w:t>11</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f6de8d550b664cf89bacba6847c193c5_67">
              <w:r>
                <w:rPr>
                  <w:rStyle w:val="InternetLink"/>
                  <w:rFonts w:ascii="Arial;sans-serif" w:hAnsi="Arial;sans-serif"/>
                  <w:b/>
                  <w:color w:val="0000FF"/>
                  <w:sz w:val="20"/>
                  <w:u w:val="single"/>
                </w:rPr>
                <w:t>PART II</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70">
              <w:r>
                <w:rPr>
                  <w:rStyle w:val="InternetLink"/>
                  <w:rFonts w:ascii="Arial;sans-serif" w:hAnsi="Arial;sans-serif"/>
                  <w:b w:val="false"/>
                  <w:color w:val="0000FF"/>
                  <w:sz w:val="20"/>
                  <w:u w:val="single"/>
                </w:rPr>
                <w:t>Item 5.</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70">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70">
              <w:r>
                <w:rPr>
                  <w:rStyle w:val="InternetLink"/>
                  <w:rFonts w:ascii="Arial;sans-serif" w:hAnsi="Arial;sans-serif"/>
                  <w:b w:val="false"/>
                  <w:color w:val="0000FF"/>
                  <w:sz w:val="20"/>
                  <w:u w:val="single"/>
                </w:rPr>
                <w:t>12</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73">
              <w:r>
                <w:rPr>
                  <w:rStyle w:val="InternetLink"/>
                  <w:rFonts w:ascii="Arial;sans-serif" w:hAnsi="Arial;sans-serif"/>
                  <w:b w:val="false"/>
                  <w:color w:val="0000FF"/>
                  <w:sz w:val="20"/>
                  <w:u w:val="single"/>
                </w:rPr>
                <w:t>Item 6.</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73">
              <w:r>
                <w:rPr>
                  <w:rStyle w:val="InternetLink"/>
                  <w:rFonts w:ascii="Arial;sans-serif" w:hAnsi="Arial;sans-serif"/>
                  <w:b w:val="false"/>
                  <w:color w:val="0000FF"/>
                  <w:sz w:val="20"/>
                  <w:u w:val="single"/>
                </w:rPr>
                <w:t>[Reserved]</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73">
              <w:r>
                <w:rPr>
                  <w:rStyle w:val="InternetLink"/>
                  <w:rFonts w:ascii="Arial;sans-serif" w:hAnsi="Arial;sans-serif"/>
                  <w:b w:val="false"/>
                  <w:color w:val="0000FF"/>
                  <w:sz w:val="20"/>
                  <w:u w:val="single"/>
                </w:rPr>
                <w:t>12</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76">
              <w:r>
                <w:rPr>
                  <w:rStyle w:val="InternetLink"/>
                  <w:rFonts w:ascii="Arial;sans-serif" w:hAnsi="Arial;sans-serif"/>
                  <w:b w:val="false"/>
                  <w:color w:val="0000FF"/>
                  <w:sz w:val="20"/>
                  <w:u w:val="single"/>
                </w:rPr>
                <w:t>Item 7.</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76">
              <w:r>
                <w:rPr>
                  <w:rStyle w:val="InternetLink"/>
                  <w:rFonts w:ascii="Arial;sans-serif" w:hAnsi="Arial;sans-serif"/>
                  <w:b w:val="false"/>
                  <w:color w:val="000080"/>
                  <w:sz w:val="20"/>
                  <w:u w:val="single"/>
                </w:rPr>
                <w:t>Management’s Narrative</w:t>
              </w:r>
            </w:hyperlink>
            <w:hyperlink w:anchor="if6de8d550b664cf89bacba6847c193c5_76">
              <w:r>
                <w:rPr>
                  <w:rStyle w:val="InternetLink"/>
                  <w:rFonts w:ascii="Arial;sans-serif" w:hAnsi="Arial;sans-serif"/>
                  <w:b w:val="false"/>
                  <w:color w:val="000080"/>
                  <w:sz w:val="20"/>
                  <w:u w:val="single"/>
                </w:rPr>
                <w:t xml:space="preserve"> Analysis of Results of Operations</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76">
              <w:r>
                <w:rPr>
                  <w:rStyle w:val="InternetLink"/>
                  <w:rFonts w:ascii="Arial;sans-serif" w:hAnsi="Arial;sans-serif"/>
                  <w:b w:val="false"/>
                  <w:color w:val="0000FF"/>
                  <w:sz w:val="20"/>
                  <w:u w:val="single"/>
                </w:rPr>
                <w:t>13</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06">
              <w:r>
                <w:rPr>
                  <w:rStyle w:val="InternetLink"/>
                  <w:rFonts w:ascii="Arial;sans-serif" w:hAnsi="Arial;sans-serif"/>
                  <w:b w:val="false"/>
                  <w:color w:val="0000FF"/>
                  <w:sz w:val="20"/>
                  <w:u w:val="single"/>
                </w:rPr>
                <w:t>Item 7A.</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06">
              <w:r>
                <w:rPr>
                  <w:rStyle w:val="InternetLink"/>
                  <w:rFonts w:ascii="Arial;sans-serif" w:hAnsi="Arial;sans-serif"/>
                  <w:b w:val="false"/>
                  <w:color w:val="0000FF"/>
                  <w:sz w:val="20"/>
                  <w:u w:val="single"/>
                </w:rPr>
                <w:t>Quantitative and Qualitative Disclosures about Market Risk</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06">
              <w:r>
                <w:rPr>
                  <w:rStyle w:val="InternetLink"/>
                  <w:rFonts w:ascii="Arial;sans-serif" w:hAnsi="Arial;sans-serif"/>
                  <w:b w:val="false"/>
                  <w:color w:val="0000FF"/>
                  <w:sz w:val="20"/>
                  <w:u w:val="single"/>
                </w:rPr>
                <w:t>22</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09">
              <w:r>
                <w:rPr>
                  <w:rStyle w:val="InternetLink"/>
                  <w:rFonts w:ascii="Arial;sans-serif" w:hAnsi="Arial;sans-serif"/>
                  <w:b w:val="false"/>
                  <w:color w:val="0000FF"/>
                  <w:sz w:val="20"/>
                  <w:u w:val="single"/>
                </w:rPr>
                <w:t>Item 8.</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09">
              <w:r>
                <w:rPr>
                  <w:rStyle w:val="InternetLink"/>
                  <w:rFonts w:ascii="Arial;sans-serif" w:hAnsi="Arial;sans-serif"/>
                  <w:b w:val="false"/>
                  <w:color w:val="0000FF"/>
                  <w:sz w:val="20"/>
                  <w:u w:val="single"/>
                </w:rPr>
                <w:t>Financial Statements and Supplementary Data</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09">
              <w:r>
                <w:rPr>
                  <w:rStyle w:val="InternetLink"/>
                  <w:rFonts w:ascii="Arial;sans-serif" w:hAnsi="Arial;sans-serif"/>
                  <w:b w:val="false"/>
                  <w:color w:val="0000FF"/>
                  <w:sz w:val="20"/>
                  <w:u w:val="single"/>
                </w:rPr>
                <w:t>23</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12">
              <w:r>
                <w:rPr>
                  <w:rStyle w:val="InternetLink"/>
                  <w:rFonts w:ascii="Arial;sans-serif" w:hAnsi="Arial;sans-serif"/>
                  <w:b w:val="false"/>
                  <w:color w:val="0000FF"/>
                  <w:sz w:val="20"/>
                  <w:u w:val="single"/>
                </w:rPr>
                <w:t>Item 9.</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12">
              <w:r>
                <w:rPr>
                  <w:rStyle w:val="InternetLink"/>
                  <w:rFonts w:ascii="Arial;sans-serif" w:hAnsi="Arial;sans-serif"/>
                  <w:b w:val="false"/>
                  <w:color w:val="0000FF"/>
                  <w:sz w:val="20"/>
                  <w:u w:val="single"/>
                </w:rPr>
                <w:t>Changes in and Disagreements with Accountants on Accounting and Financial Disclosure</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12">
              <w:r>
                <w:rPr>
                  <w:rStyle w:val="InternetLink"/>
                  <w:rFonts w:ascii="Arial;sans-serif" w:hAnsi="Arial;sans-serif"/>
                  <w:b w:val="false"/>
                  <w:color w:val="0000FF"/>
                  <w:sz w:val="20"/>
                  <w:u w:val="single"/>
                </w:rPr>
                <w:t>23</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15">
              <w:r>
                <w:rPr>
                  <w:rStyle w:val="InternetLink"/>
                  <w:rFonts w:ascii="Arial;sans-serif" w:hAnsi="Arial;sans-serif"/>
                  <w:b w:val="false"/>
                  <w:color w:val="0000FF"/>
                  <w:sz w:val="20"/>
                  <w:u w:val="single"/>
                </w:rPr>
                <w:t>Item 9A.</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15">
              <w:r>
                <w:rPr>
                  <w:rStyle w:val="InternetLink"/>
                  <w:rFonts w:ascii="Arial;sans-serif" w:hAnsi="Arial;sans-serif"/>
                  <w:b w:val="false"/>
                  <w:color w:val="0000FF"/>
                  <w:sz w:val="20"/>
                  <w:u w:val="single"/>
                </w:rPr>
                <w:t>Controls and Procedures</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15">
              <w:r>
                <w:rPr>
                  <w:rStyle w:val="InternetLink"/>
                  <w:rFonts w:ascii="Arial;sans-serif" w:hAnsi="Arial;sans-serif"/>
                  <w:b w:val="false"/>
                  <w:color w:val="0000FF"/>
                  <w:sz w:val="20"/>
                  <w:u w:val="single"/>
                </w:rPr>
                <w:t>23</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18">
              <w:r>
                <w:rPr>
                  <w:rStyle w:val="InternetLink"/>
                  <w:rFonts w:ascii="Arial;sans-serif" w:hAnsi="Arial;sans-serif"/>
                  <w:b w:val="false"/>
                  <w:color w:val="0000FF"/>
                  <w:sz w:val="20"/>
                  <w:u w:val="single"/>
                </w:rPr>
                <w:t>Item 9B.</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18">
              <w:r>
                <w:rPr>
                  <w:rStyle w:val="InternetLink"/>
                  <w:rFonts w:ascii="Arial;sans-serif" w:hAnsi="Arial;sans-serif"/>
                  <w:b w:val="false"/>
                  <w:color w:val="0000FF"/>
                  <w:sz w:val="20"/>
                  <w:u w:val="single"/>
                </w:rPr>
                <w:t>Other Information</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18">
              <w:r>
                <w:rPr>
                  <w:rStyle w:val="InternetLink"/>
                  <w:rFonts w:ascii="Arial;sans-serif" w:hAnsi="Arial;sans-serif"/>
                  <w:b w:val="false"/>
                  <w:color w:val="0000FF"/>
                  <w:sz w:val="20"/>
                  <w:u w:val="single"/>
                </w:rPr>
                <w:t>24</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21">
              <w:r>
                <w:rPr>
                  <w:rStyle w:val="InternetLink"/>
                  <w:rFonts w:ascii="Arial;sans-serif" w:hAnsi="Arial;sans-serif"/>
                  <w:b w:val="false"/>
                  <w:color w:val="0000FF"/>
                  <w:sz w:val="20"/>
                  <w:u w:val="single"/>
                </w:rPr>
                <w:t xml:space="preserve">Item 9C. </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21">
              <w:r>
                <w:rPr>
                  <w:rStyle w:val="InternetLink"/>
                  <w:rFonts w:ascii="Arial;sans-serif" w:hAnsi="Arial;sans-serif"/>
                  <w:b w:val="false"/>
                  <w:color w:val="0000FF"/>
                  <w:sz w:val="20"/>
                  <w:u w:val="single"/>
                </w:rPr>
                <w:t>Disclosure Regarding Foreign Jurisdictions that Prevent Inspections</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21">
              <w:r>
                <w:rPr>
                  <w:rStyle w:val="InternetLink"/>
                  <w:rFonts w:ascii="Arial;sans-serif" w:hAnsi="Arial;sans-serif"/>
                  <w:b w:val="false"/>
                  <w:color w:val="0000FF"/>
                  <w:sz w:val="20"/>
                  <w:u w:val="single"/>
                </w:rPr>
                <w:t>24</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f6de8d550b664cf89bacba6847c193c5_124">
              <w:r>
                <w:rPr>
                  <w:rStyle w:val="InternetLink"/>
                  <w:rFonts w:ascii="Arial;sans-serif" w:hAnsi="Arial;sans-serif"/>
                  <w:b/>
                  <w:color w:val="0000FF"/>
                  <w:sz w:val="20"/>
                  <w:u w:val="single"/>
                </w:rPr>
                <w:t>PART III</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10.</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Directors, Executive Officers and Corporate Governance</w:t>
            </w:r>
          </w:p>
        </w:tc>
        <w:tc>
          <w:tcPr>
            <w:tcW w:w="4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11.</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Compensation</w:t>
            </w:r>
          </w:p>
        </w:tc>
        <w:tc>
          <w:tcPr>
            <w:tcW w:w="4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12.</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Security Ownership of Certain Beneficial Owners and Management and Related Stockholder Matters</w:t>
            </w:r>
          </w:p>
        </w:tc>
        <w:tc>
          <w:tcPr>
            <w:tcW w:w="4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13.</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Certain Relationships and Related Transactions, and Director Independence</w:t>
            </w:r>
          </w:p>
        </w:tc>
        <w:tc>
          <w:tcPr>
            <w:tcW w:w="4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27">
              <w:r>
                <w:rPr>
                  <w:rStyle w:val="InternetLink"/>
                  <w:rFonts w:ascii="Arial;sans-serif" w:hAnsi="Arial;sans-serif"/>
                  <w:b w:val="false"/>
                  <w:color w:val="0000FF"/>
                  <w:sz w:val="20"/>
                  <w:u w:val="single"/>
                </w:rPr>
                <w:t>Item 14.</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27">
              <w:r>
                <w:rPr>
                  <w:rStyle w:val="InternetLink"/>
                  <w:rFonts w:ascii="Arial;sans-serif" w:hAnsi="Arial;sans-serif"/>
                  <w:b w:val="false"/>
                  <w:color w:val="0000FF"/>
                  <w:sz w:val="20"/>
                  <w:u w:val="single"/>
                </w:rPr>
                <w:t>Principal Accounting Fees and Services</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27">
              <w:r>
                <w:rPr>
                  <w:rStyle w:val="InternetLink"/>
                  <w:rFonts w:ascii="Arial;sans-serif" w:hAnsi="Arial;sans-serif"/>
                  <w:b w:val="false"/>
                  <w:color w:val="0000FF"/>
                  <w:sz w:val="20"/>
                  <w:u w:val="single"/>
                </w:rPr>
                <w:t>25</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f6de8d550b664cf89bacba6847c193c5_130">
              <w:r>
                <w:rPr>
                  <w:rStyle w:val="InternetLink"/>
                  <w:rFonts w:ascii="Arial;sans-serif" w:hAnsi="Arial;sans-serif"/>
                  <w:b/>
                  <w:color w:val="0000FF"/>
                  <w:sz w:val="20"/>
                  <w:u w:val="single"/>
                </w:rPr>
                <w:t>PART IV</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33">
              <w:r>
                <w:rPr>
                  <w:rStyle w:val="InternetLink"/>
                  <w:rFonts w:ascii="Arial;sans-serif" w:hAnsi="Arial;sans-serif"/>
                  <w:b w:val="false"/>
                  <w:color w:val="0000FF"/>
                  <w:sz w:val="20"/>
                  <w:u w:val="single"/>
                </w:rPr>
                <w:t>Item 15.</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33">
              <w:r>
                <w:rPr>
                  <w:rStyle w:val="InternetLink"/>
                  <w:rFonts w:ascii="Arial;sans-serif" w:hAnsi="Arial;sans-serif"/>
                  <w:b w:val="false"/>
                  <w:color w:val="0000FF"/>
                  <w:sz w:val="20"/>
                  <w:u w:val="single"/>
                </w:rPr>
                <w:t>Exhibits, Financial Statement Schedules</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33">
              <w:r>
                <w:rPr>
                  <w:rStyle w:val="InternetLink"/>
                  <w:rFonts w:ascii="Arial;sans-serif" w:hAnsi="Arial;sans-serif"/>
                  <w:b w:val="false"/>
                  <w:color w:val="0000FF"/>
                  <w:sz w:val="20"/>
                  <w:u w:val="single"/>
                </w:rPr>
                <w:t>26</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36">
              <w:r>
                <w:rPr>
                  <w:rStyle w:val="InternetLink"/>
                  <w:rFonts w:ascii="Arial;sans-serif" w:hAnsi="Arial;sans-serif"/>
                  <w:b w:val="false"/>
                  <w:color w:val="0000FF"/>
                  <w:sz w:val="20"/>
                  <w:u w:val="single"/>
                </w:rPr>
                <w:t>Item 16.</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36">
              <w:r>
                <w:rPr>
                  <w:rStyle w:val="InternetLink"/>
                  <w:rFonts w:ascii="Arial;sans-serif" w:hAnsi="Arial;sans-serif"/>
                  <w:b w:val="false"/>
                  <w:color w:val="0000FF"/>
                  <w:sz w:val="20"/>
                  <w:u w:val="single"/>
                </w:rPr>
                <w:t>Form 10K Summary</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36">
              <w:r>
                <w:rPr>
                  <w:rStyle w:val="InternetLink"/>
                  <w:rFonts w:ascii="Arial;sans-serif" w:hAnsi="Arial;sans-serif"/>
                  <w:b w:val="false"/>
                  <w:color w:val="0000FF"/>
                  <w:sz w:val="20"/>
                  <w:u w:val="single"/>
                </w:rPr>
                <w:t>31</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39">
              <w:r>
                <w:rPr>
                  <w:rStyle w:val="InternetLink"/>
                  <w:rFonts w:ascii="Arial;sans-serif" w:hAnsi="Arial;sans-serif"/>
                  <w:b w:val="false"/>
                  <w:color w:val="0000FF"/>
                  <w:sz w:val="20"/>
                  <w:u w:val="single"/>
                </w:rPr>
                <w:t>Signatures</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39">
              <w:r>
                <w:rPr>
                  <w:rStyle w:val="InternetLink"/>
                  <w:rFonts w:ascii="Arial;sans-serif" w:hAnsi="Arial;sans-serif"/>
                  <w:b w:val="false"/>
                  <w:color w:val="0000FF"/>
                  <w:sz w:val="20"/>
                  <w:u w:val="single"/>
                </w:rPr>
                <w:t>32</w:t>
              </w:r>
            </w:hyperlink>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42">
              <w:r>
                <w:rPr>
                  <w:rStyle w:val="InternetLink"/>
                  <w:rFonts w:ascii="Arial;sans-serif" w:hAnsi="Arial;sans-serif"/>
                  <w:b w:val="false"/>
                  <w:color w:val="0000FF"/>
                  <w:sz w:val="20"/>
                  <w:u w:val="single"/>
                </w:rPr>
                <w:t>Index to Consolidated Financial Statements</w:t>
              </w:r>
            </w:hyperlink>
          </w:p>
        </w:tc>
        <w:tc>
          <w:tcPr>
            <w:tcW w:w="4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42">
              <w:r>
                <w:rPr>
                  <w:rStyle w:val="InternetLink"/>
                  <w:rFonts w:ascii="Arial;sans-serif" w:hAnsi="Arial;sans-serif"/>
                  <w:b w:val="false"/>
                  <w:color w:val="0000FF"/>
                  <w:sz w:val="20"/>
                  <w:u w:val="single"/>
                </w:rPr>
                <w:t>F-1</w:t>
              </w:r>
            </w:hyperlink>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w:t>
      </w:r>
      <w:r>
        <w:rPr>
          <w:color w:val="000000"/>
        </w:rPr>
        <w:t xml:space="preserve">     </w:t>
      </w:r>
      <w:r>
        <w:rPr>
          <w:rFonts w:ascii="Arial;sans-serif" w:hAnsi="Arial;sans-serif"/>
          <w:b/>
          <w:color w:val="000000"/>
          <w:sz w:val="20"/>
        </w:rPr>
        <w:t>This item has been omitted pursuant to the reduced disclosure format as set forth in General Instructions (I)(2) (a) and (c)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DISCLOSURE REGARDING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Annual Report on Form 10-K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Annual Report on Form 10-K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pStyle w:val="TextBody"/>
        <w:bidi w:val="0"/>
        <w:spacing w:lineRule="auto" w:line="288" w:before="0" w:after="0"/>
        <w:jc w:val="both"/>
        <w:rPr>
          <w:color w:val="000000"/>
        </w:rPr>
      </w:pPr>
      <w:r>
        <w:rPr>
          <w:color w:val="000000"/>
        </w:rPr>
        <w:t>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risks relating to the ability of our parent company, EchoStar Corporation (“EchoStar”), to realize the expected benefits of the merger with DISH Network Corporation;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risks relating to EchoStar’s substantially increased leverage following completion of the merger with DISH Network Corporation;</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significant risks related to our ability to launch, operate, and control our satellites, operational and environmental risks related to our owned and leased satellites, and risks related to our satellites under construction;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our ability and the ability of third parties with whom we engage to operate our business as a result of changes in the global business environment, including regulatory and competitive considerations;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our ability to implement and/or realize benefits of our investments and other strategic initiatives;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risks related to our foreign operations and other uncertainties associated with doing business internationally;</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risks related to our dependency upon third-party providers, including supply chain disruptions and inflation;</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risks related to cybersecurity incidents; and</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risks related to our human capital resources. </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factors that could cause or contribute to such differences include, but are not limited to, those discussed under the caption “Risk Factors” in Part I, Item 1A in this Annual Report on Form 10-K, those discussed in “Management’s Narrative Analysis of Results of Operations” herein and those discussed in other documents we file with the Securities and Exchange Commission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color w:val="000000"/>
          <w:sz w:val="20"/>
        </w:rPr>
        <w:t>ITEM 1.</w:t>
      </w:r>
      <w:r>
        <w:rPr>
          <w:color w:val="000000"/>
        </w:rPr>
        <w:t>    </w:t>
      </w:r>
      <w:r>
        <w:rPr>
          <w:rFonts w:ascii="Arial;sans-serif" w:hAnsi="Arial;sans-serif"/>
          <w:b/>
          <w:color w:val="000000"/>
          <w:sz w:val="20"/>
        </w:rPr>
        <w:t>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Hughes Satellite Systems Corporation (which, together with its subsidiaries, is referred to as “HSSC,” the “Company,” “we,” “us” and “our”) is a holding company and a subsidiary of EchoStar Corporation (“EchoStar” and “parent”). We were formed as a Colorado corporation in March 2011 to facilitate the acquisition by EchoStar (the “Hughes Acquisition”) of Hughes Communications, Inc. and its subsidiaries and related financing transactions. In connection with our formation, EchoStar contributed the assets and liabilities of its satellite services business to us, including the principal operating subsidiary of its satellite services business, EchoStar Satellite Services L.L.C. A substantial majority of the voting power of the shares of EchoStar is owned beneficially by Charles W. Ergen, our Chairman, and by certain entities established for the benefit of his family. During 2022, Hamid Akhavan joined the Company as its Chief Executive Officer and President.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an industry leader in both networking technologies and services, innovating to deliver the solutions that power a connected future for people, enterprises and things everywhere. We provide broadband services to consumer customers, which include home and small to medium-sized businesses. We also provide satellite and multi-transport technologies and managed network services to telecommunications providers, aeronautical service providers, civilian and defense government entities, and other enterprise customers.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EchoStar XXIV satellite began service in December 2023, bringing additional broadband capacity to North and South America. We will leverage EchoStar XXIV to serve the unserved and underserved consumer markets in the Americas as well as enterprise and government markets.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design, provide and install gateway and terminal equipment to customers for other satellite systems. In addition, we design, develop, construct and provide telecommunication networks comprising satellite ground segment systems and terminals to mobile system operators and other enterprise customers. We also offer a robust suite of integrated, multi-transport solutions to enable airline and airline service providers to deliver reliable in-flight network connectivity serving both commercial and business aviation.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industry continues to evolve with the increasing worldwide demand for broadband internet access for information, entertainment and commerce. In addition to fiber and wireless systems, technologies such as geostationary high throughput satellites, low-earth orbit (“LEO”) networks, medium-earth orbit (“MEO”) systems and multi-transport networks using combinations of technologies are expected to continue to play significant roles in enabling global connectivity, networks and services. We expect demand for broadband internet access, connectivity, networking and related value-added services will continue to grow across all major end-user sectors – consumer, businesses, enterprises and government. We intend to use our expertise, technologies, capital, investments, global presence, relationships and other capabilities to continue to provide broadband internet systems, equipment, networks and managed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amounts presented in this Annual Report on Form 10-K are expressed in thousands of U.S. dollars, except share and per share amounts and unless otherwise noted.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December 31, 2023, EchoStar completed the acquisition of DISH Network Corporation (“DISH Network”) pursuant to the Amended and Restated Agreement and Plan of Merger, dated as of October 2, 2023 (the “Amended Merger Agreement”), by and among EchoStar, EAV Corp., a Nevada corporation and its wholly owned subsidiary (“Merger Sub”), and DISH Network, pursuant to which EchoStar acquired DISH Network by means of the merger of Merger Sub with and into DISH Network (the “Merger”), with DISH Network surviving the Merger as EchoStar’s wholly owned subsidiary.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On the terms and subject to the conditions set forth in the Amended Merger Agreement, on December 31, 2023, at 11:59 p.m. ET (the “Effective Time”), each share of DISH Network Class A common stock, par value $0.01 per share (“DISH Network Class A Common Stock”) and DISH Network Class C common stock, par value $0.01 per share (“DISH Network Class C Common Stock”) outstanding immediately prior to the Effective Time, was converted into the right to receive a number of validly issued, fully paid and non-assessable shares of EchoStar Class A common stock, par value $0.001 per share (“EchoStar Class A Common Stock”) equal to 0.350877 (the “Exchange Ratio”). On the terms and subject to the conditions set forth in the Amended Merger Agreement, at the Effective Time, each share of DISH Network Class B common stock, par value $0.01 per share (“DISH Network Class B Common Stock” and, together with DISH Network Class A Common Stock and DISH Network Class C Common Stock, “DISH Network Common Stock”), outstanding immediately prior to the Effective Time was converted into the right to receive a number of validly issued, fully paid and non-assessable shares of EchoStar Class B common stock, par value $0.001 per share (the “EchoStar Class B Common Stock” and, together with the EchoStar Class A Common Stock, the “EchoStar Common Stock”), equal to the Exchange Ratio. Any shares of DISH Network Common Stock that were held in DISH Network’s treasury or held directly by EchoStar or Merger Sub immediately prior to the Effective Time were cancelled and cease to exist and no consideration was paid in respect thereof. All shares of the DISH Network Class A Common Stock were delisted from the Nasdaq Global Select Market (“NASDAQ”) and deregistered under the Securities Exchange Act of 1934, as amended.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EchoStar Common Stock issued to the Ergen DISH Stockholders (as defined in the Amended Merger Agreement) as Merger consideration was issued through a private placement exemption from registration under the Securities Act of 1933, as amended (the “Securities Act”). At the Effective Time, each share of DISH Network Class A Common Stock owned by the Ergen DISH Stockholders immediately prior to the Effective Time was converted into the right to receive a number of shares of EchoStar Class A Common Stock equal to the Exchange Ratio, and (b) each share of DISH Network Class B Common Stock owned by the Ergen DISH Stockholders immediately prior to the Effective Time was converted into the right to receive a number of shares of EchoStar Class B Common Stock equal to the Exchange Ratio.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Concurrently with the entry into the Amended Merger Agreement, the Ergen EchoStar Stockholders (as defined in the Amended Merger Agreement), the Ergen DISH Stockholders (collectively, the “Ergen Stockholders”), EchoStar and DISH Network entered into an amended and restated support agreement (the “Amended Support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completion of the Merger, and pursuant to the Amended and Restated Support Agreement, the Ergen Stockholders, EchoStar and DISH Network, on December 31, 2023, EchoStar and the Ergen Stockholders entered into a registration rights agreement (the “Registration Rights Agreement”). The Registration Rights Agreement provides the Ergen Stockholders, and their affiliates who become parties thereto, with certain registration rights relating to the shares of EchoStar Common Stock, which they beneficially own, including (i) the right to demand shelf registration as well as registration on long and short form registration statements and (ii) “piggyback” registration rights to be included in future registered offerings by us of our equity securities, in each case, subject to certain requirements and customary conditions. The Registration Rights Agreement sets forth customary registration procedures, including an agreement by EchoStar to make appropriate officers available to participate in roadshow presentations and cooperate as reasonably requested in connection with any underwritten offerings. EchoStar also agreed to indemnify the Ergen Stockholders and their affiliates with respect to liabilities resulting from untrue statements or omissions in any registration statement used in any such registration, other than untrue statements or omissions based on or contained in information furnished to EchoStar for use in a registration statement by a participating stockholder.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more information and a copy of the Amended Merger Agreement, the Amended Support Agreement and the Registration Rights Agreement, see the Form 8</w:t>
        <w:noBreakHyphen/>
        <w:t>K of EchoStar Corporation filed on October 3, 2023 and the Form 8</w:t>
        <w:noBreakHyphen/>
        <w:t xml:space="preserve">K of EchoStar Corporation filed on January 2, 2024.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With the Merger complete, EchoStar is currently focused on the process of integrating EchoStar’s and DISH Network’s business in a manner that facilitates synergies, cost savings, growth opportunities and achieves other anticipated benefits (the “Integration”). In addition see </w:t>
      </w:r>
      <w:r>
        <w:rPr>
          <w:rFonts w:ascii="Arial;sans-serif" w:hAnsi="Arial;sans-serif"/>
          <w:b w:val="false"/>
          <w:i/>
          <w:color w:val="000000"/>
          <w:sz w:val="20"/>
        </w:rPr>
        <w:t>Note 21.</w:t>
      </w:r>
      <w:r>
        <w:rPr>
          <w:color w:val="000000"/>
        </w:rPr>
        <w:t xml:space="preserve"> </w:t>
      </w:r>
      <w:r>
        <w:rPr>
          <w:rFonts w:ascii="Arial;sans-serif" w:hAnsi="Arial;sans-serif"/>
          <w:b w:val="false"/>
          <w:i/>
          <w:color w:val="000000"/>
          <w:sz w:val="20"/>
        </w:rPr>
        <w:t xml:space="preserve">Subsequent Events </w:t>
      </w:r>
      <w:r>
        <w:rPr>
          <w:rFonts w:ascii="Arial;sans-serif" w:hAnsi="Arial;sans-serif"/>
          <w:b w:val="false"/>
          <w:color w:val="000000"/>
          <w:sz w:val="20"/>
        </w:rPr>
        <w:t>in the Notes to our Consolidated Financial Statements for further business updates.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BUSINESS SEGMENTS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currently operate in two business segments: our Hughes segment and our EchoStar Satellite Services segment (“ESS segment”). These business segments are consistent with the way we make decisions regarding the allocation of resources, as well as how operating results are reviewed by our chief operating decision maker (“CODM”).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operations also include various corporate functions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in our segment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WHERE YOU CAN FIND MORE INFORMATION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subject to the informational requirements of the Exchange Act of 1934, and accordingly file our annual reports on Form 10-K, quarterly reports on Form 10-Q, current reports on Form 8-K, proxy statements and other information with the SEC. As an electronic filer, our public filings are maintained on the SEC’s Internet site that contains reports, proxy and information statements, and other information regarding issuers that file electronically with the SEC. The address of that website is http://www.sec.gov.</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WEBSITE ACCESS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annual reports on Form 10-K, quarterly reports on Form 10-Q, current reports on Form 8-K and amendments to those reports filed or furnished pursuant to Section 13(a) or 15(d) of the Exchange Act also may be accessed free of charge through the website of our parent company, EchoStar, as soon as reasonably practicable after we have electronically filed such material with, or furnished it to, the SEC. The address of that website is https://ir.echostar.com/.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EchoStar has adopted a written code of ethics that applies to all of our directors, officers and employees, including our principal executive officer, and senior financial officers, in accordance with Section 406 of the Sarbanes-Oxley Act of 2002 and the rules of the SEC promulgated thereunder. This code of ethics is available on EchoStar’s corporate website at https://ir.echostar.com/. In the event that EchoStar makes changes in, or provides waivers of, the provisions of this code of ethics that the SEC requires EchoStar to disclose, it intends to disclose these events on its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risks and uncertainties described below are not the only ones facing us. If any of the following events occur or evolve in a way different than expected, our business, financial condition, results of operation could be materially and adversely affected.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THE INTEGRATION</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Although EchoStar expects that the Merger will result in synergies and other benefits, those synergies and benefits may not be realized in the amounts anticipated, or may not be realized within the anticipated timeframe, or at all, and risks associated with the foregoing may also result from any extended delay in the Integration of the companies.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EchoStar’s ability to realize the anticipated benefits of the Merger will depend, to a large extent, on our ability to integrate EchoStar’s and DISH Network’s business in a manner that facilitates growth opportunities and achieves the anticipated benefits. In addition, some of the anticipated synergies are not expected to occur for a significant time period following the completion of the Merger and will require substantial capital expenditures to achieve. There can be no guarantee we will achieve any of these benefits on the anticipated timeframe or at all.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combination of two separate companies is complex, costly and time-consuming and may require significant management attention and resources which may divert attention from our business and operations. The failure to meet the challenges involved in combining the two companies and to realize the anticipated benefits of the Merger could, among other things, cause an interruption of, or a loss of momentum in, our activities and could adversely affect the results of operations. The overall combination of the two companies may also result in, among other things, material unanticipated problems, expenses, liabilities, competitive responses and loss of customer and other business relationships. The difficulties of combining the operations of the companies include, among others:</w:t>
      </w:r>
    </w:p>
    <w:p>
      <w:pPr>
        <w:pStyle w:val="TextBody"/>
        <w:bidi w:val="0"/>
        <w:spacing w:before="0" w:after="0"/>
        <w:jc w:val="both"/>
        <w:rPr/>
      </w:pPr>
      <w:r>
        <w:rPr/>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diversion of management and employee attention to Integration matters;</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difficulties in integrating operations and systems, including, but not limited to, communications systems, administrative and information technology infrastructure, financial reporting and internal control systems;</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challenges in conforming standards, controls, procedures and accounting and other policies, business cultures and compensation structures between the two companies;</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difficulties in integrating employees and teams of the respective businesses and attracting and retaining key personnel;</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challenges in retaining and obtaining customers, suppliers and other commercial relationships;</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difficulties in managing the expanded operations of a larger and more complex company; and</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potential unknown liabilities, adverse consequences and unforeseen increased expenses associated with the Integration.</w:t>
      </w:r>
    </w:p>
    <w:p>
      <w:pPr>
        <w:pStyle w:val="TextBody"/>
        <w:bidi w:val="0"/>
        <w:spacing w:before="0" w:after="90"/>
        <w:jc w:val="both"/>
        <w:rPr/>
      </w:pPr>
      <w:r>
        <w:rPr/>
      </w:r>
    </w:p>
    <w:p>
      <w:pPr>
        <w:pStyle w:val="TextBody"/>
        <w:bidi w:val="0"/>
        <w:spacing w:lineRule="auto" w:line="288" w:before="0" w:after="90"/>
        <w:jc w:val="both"/>
        <w:rPr>
          <w:rFonts w:ascii="Arial;sans-serif" w:hAnsi="Arial;sans-serif"/>
          <w:b w:val="false"/>
          <w:color w:val="000000"/>
          <w:sz w:val="20"/>
        </w:rPr>
      </w:pPr>
      <w:r>
        <w:rPr>
          <w:rFonts w:ascii="Arial;sans-serif" w:hAnsi="Arial;sans-serif"/>
          <w:b w:val="false"/>
          <w:color w:val="000000"/>
          <w:sz w:val="20"/>
        </w:rPr>
        <w:t>Many of these factors are outside of our control and any of them could result in lower revenues, higher costs and diversion of management time and energy, which could materially impact our business, financial condition and results of operations. In addition, even if the operations of the companies are integrated successfully, the full benefits of the Merger may not be realized, including, among others, the synergies, cost savings or sales or growth opportunities that are expected. These benefits may not be achieved within the anticipated time frame or at all. As a result, it cannot be assured that the Integration will result in the realization of the full benefits expected from the Merger within the anticipated time frames, or at all.</w:t>
      </w:r>
    </w:p>
    <w:p>
      <w:pPr>
        <w:pStyle w:val="TextBody"/>
        <w:bidi w:val="0"/>
        <w:spacing w:before="0" w:after="0"/>
        <w:jc w:val="both"/>
        <w:rPr/>
      </w:pPr>
      <w:r>
        <w:rPr/>
      </w:r>
    </w:p>
    <w:p>
      <w:pPr>
        <w:pStyle w:val="TextBody"/>
        <w:bidi w:val="0"/>
        <w:spacing w:lineRule="auto" w:line="244" w:before="0" w:after="0"/>
        <w:jc w:val="both"/>
        <w:rPr>
          <w:rFonts w:ascii="Arial;sans-serif" w:hAnsi="Arial;sans-serif"/>
          <w:b/>
          <w:color w:val="000000"/>
          <w:sz w:val="20"/>
        </w:rPr>
      </w:pPr>
      <w:r>
        <w:rPr>
          <w:rFonts w:ascii="Arial;sans-serif" w:hAnsi="Arial;sans-serif"/>
          <w:b/>
          <w:color w:val="000000"/>
          <w:sz w:val="20"/>
        </w:rPr>
        <w:t>The market price of EchoStar’s common stock may be affected by factors different from, or in addition to, those that historically affected the market prices of shares of DISH Network Class A Common Stock and EchoStar Class A Common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Upon consummation of the Merger, DISH Network Class A Stockholders became holders of EchoStar Class A Common Stock. The businesses of DISH Network and its subsidiaries are different from those of EchoStar and its subsidiaries. Accordingly, after the consummation of the Merger, EchoStar’s results of operations are affected by some factors that are different from those that historically affected the results of operations of EchoStar and/or DISH Network. The results of operations of each company may also be affected by factors different from those that currently affect or have historically affected either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BUSINESS OPERATIONS </w:t>
      </w:r>
    </w:p>
    <w:p>
      <w:pPr>
        <w:pStyle w:val="TextBody"/>
        <w:bidi w:val="0"/>
        <w:spacing w:before="0" w:after="0"/>
        <w:jc w:val="both"/>
        <w:rPr/>
      </w:pPr>
      <w:r>
        <w:rPr/>
      </w:r>
    </w:p>
    <w:p>
      <w:pPr>
        <w:pStyle w:val="TextBody"/>
        <w:bidi w:val="0"/>
        <w:spacing w:lineRule="auto" w:line="268" w:before="0" w:after="0"/>
        <w:jc w:val="left"/>
        <w:rPr/>
      </w:pPr>
      <w:r>
        <w:rPr>
          <w:rFonts w:ascii="Arial;sans-serif" w:hAnsi="Arial;sans-serif"/>
          <w:b/>
          <w:color w:val="000000"/>
          <w:sz w:val="20"/>
        </w:rPr>
        <w:t>Any deterioration in our operational performance and subscriber satisfaction could adversely affect our business, financial condition and results of operations</w:t>
      </w:r>
      <w:r>
        <w:rPr>
          <w:rFonts w:ascii="Arial;sans-serif" w:hAnsi="Arial;sans-serif"/>
          <w:b/>
          <w:i/>
          <w:color w:val="000000"/>
          <w:sz w:val="20"/>
        </w:rPr>
        <w:t>.</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color w:val="000000"/>
          <w:sz w:val="20"/>
        </w:rPr>
        <w:t>If our operational performance and subscriber satisfaction were to deteriorate, we may experience a decrease in subscriber activations and an increase in our subscriber churn rate, which could have a material adverse effect on our business, financial condition and results of operations. To improve our operational performance, we continue to make investments in staffing, training, information systems and other initiatives, primarily in our call center and in-home service operations, and business operations. These investments are intended to, among other things, help combat inefficiencies introduced by the increasing complexity of our business, improve subscriber satisfaction, reduce subscriber churn, increase productivity and allow us to scale better over the long run. We cannot, however, be certain that our spending will ultimately be successful in improving our operational performance, and if unsuccessful, we may have to incur higher costs to improve our operational performance. While we believe that such costs will be outweighed by longer-term benefits, there can be no assurance when or if we will realize these benefits at all.</w:t>
      </w:r>
      <w:r>
        <w:rPr>
          <w:color w:val="000000"/>
        </w:rPr>
        <w:t xml:space="preserve"> </w:t>
      </w:r>
    </w:p>
    <w:p>
      <w:pPr>
        <w:pStyle w:val="TextBody"/>
        <w:bidi w:val="0"/>
        <w:spacing w:before="0" w:after="0"/>
        <w:jc w:val="both"/>
        <w:rPr/>
      </w:pPr>
      <w:r>
        <w:rPr/>
      </w:r>
    </w:p>
    <w:p>
      <w:pPr>
        <w:pStyle w:val="TextBody"/>
        <w:bidi w:val="0"/>
        <w:spacing w:lineRule="auto" w:line="244" w:before="0" w:after="0"/>
        <w:jc w:val="both"/>
        <w:rPr>
          <w:rFonts w:ascii="Arial;sans-serif" w:hAnsi="Arial;sans-serif"/>
          <w:b/>
          <w:color w:val="000000"/>
          <w:sz w:val="20"/>
        </w:rPr>
      </w:pPr>
      <w:r>
        <w:rPr>
          <w:rFonts w:ascii="Arial;sans-serif" w:hAnsi="Arial;sans-serif"/>
          <w:b/>
          <w:color w:val="000000"/>
          <w:sz w:val="20"/>
        </w:rPr>
        <w:t>Before the Merger, DISH Network had significantly greater indebtedness than EchoStar. Following the Merger, EchoStar and its subsidiaries have substantially higher leverage than they had prior to the Merger.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EchoStar and its subsidiaries have consolidated long-term debt and finance lease obligations (including current portion) of approximately $22.8 billion. Therefore, EchoStar and its subsidiaries have substantially higher leverage than prior to the Merger. EchoStar’s debt levels could have significant negative consequences, including, but not limited to:</w:t>
      </w:r>
    </w:p>
    <w:p>
      <w:pPr>
        <w:pStyle w:val="TextBody"/>
        <w:bidi w:val="0"/>
        <w:spacing w:before="0" w:after="0"/>
        <w:jc w:val="left"/>
        <w:rPr/>
      </w:pPr>
      <w:r>
        <w:rPr/>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making it more difficult for us to satisfy our obligations;</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a dilutive effect on EchoStar’s outstanding equity capital or future earnings;</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increasing EchoStar’s/our vulnerability to general adverse economic conditions, including, but not limited to, changes in interest rates;</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requiring EchoStar and its subsidiaries to devote a substantial portion of its cash toward making interest and principal payments on its indebtedness, thereby reducing the amount of cash available for other purposes and resulting in limited financial and operating flexibility to changing economic and competitive conditions;</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limiting EchoStar’s and/or our ability to raise additional capital because it may be more difficult for either or both of us to obtain debt financing on attractive terms or at all; and</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placing EchoStar and its subsidiaries at a disadvantage compared to its competitors that are less heavily leveraged.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EchoStar will incur additional debt in the future. If new debt is added to EchoStar’s current debt levels, the risks we face now could intensify.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future success may depend on opportunities to buy or otherwise invest in other businesses or technologies that could complement, enhance or expand our current business or products or that might otherwise offer us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may be unable to obtain in the anticipated time frame, or at all, any regulatory approvals required to complete proposed acquisitions and other strategic transactions. Furthermore, the conditions imposed for obtaining any necessary approvals could delay the completion of such transactions for a significant period of time or prevent them from occurring at all. We may not be able to complete such transactions, and such transactions, if executed, pose significant risks and could have a negative effect on our operations. Any transactions that we are able to identify and complete may involve a number of risks, including, but not limited to: </w:t>
      </w:r>
    </w:p>
    <w:p>
      <w:pPr>
        <w:pStyle w:val="TextBody"/>
        <w:bidi w:val="0"/>
        <w:spacing w:before="0" w:after="0"/>
        <w:jc w:val="both"/>
        <w:rPr/>
      </w:pPr>
      <w:r>
        <w:rPr/>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the risks associated with developing and constructing new satellites;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the diversion of management’s attention from our existing business onto a strategic initiative;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the possible adverse effects on our and our targets’ and partners’ business, financial condition or operating results during the Integration process;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the high degree of risk inherent in these transactions, which could become substantial over time, and higher exposure to significant financial losses if the underlying ventures are not successful on an acceptable timeline or at all;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the possible inability to achieve the intended objectives of the transaction;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the risks associated with complying with contractual provisions and regulations applicable to the acquired business, which may cause us to incur substantial expenses;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the disruption of relationships with employees, vendors or customers; and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the risks associated with foreign and international operations and/or investments or dispositions.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we may not be able to successfully or profitably integrate, operate, maintain and manage our newly acquired operations or employees on an acceptable timeline or at all. We may not be able to maintain uniform standards, controls, procedures and policies, and this may lead to, among other things, operational inefficiencies. In addition, the Integration process may strain our financial and managerial controls and reporting systems and procedures.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New acquisitions, joint ventures and other transactions may require the commitment of significant capital that would otherwise be directed to investments in our existing business. To pursue acquisitions and other strategic transactions, we may need to raise additional capital in the future, which may not be available on favorable terms, or at all.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committing capital to complete the acquisitions, substantial capital may be required to operate the acquired businesses following their acquisition. These acquisitions may result in significant financial losses if the intended objectives of the transactions are not achieved. Some of the businesses that we have acquired have experienced significant operating and financial challenges in their recent history, which in some cases resulted in these businesses commencing bankruptcy proceedings prior to our acquisition. We may acquire similar businesses in the future.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is no assurance that we will be able to successfully address the challenges and risks encountered by these businesses following their acquisition. If we are unable to successfully address these challenges and risks, our business, financial condition and/or results of operations may suffer.</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We are facing increasing competition which could impact demand for, and result in increasing pricing pressures with respect to, our products and services.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 operates in an intensely competitive, consumer- and enterprise-driven and rapidly changing environment and competes with a growing number of companies that provide similar products and services to consumer and enterprise customers. There can be no assurance that we will be able to effectively compete against our competitors due to their significant resources and operating history. Material competitive risks to our business include, but are not limited to, the following:</w:t>
      </w:r>
    </w:p>
    <w:p>
      <w:pPr>
        <w:pStyle w:val="TextBody"/>
        <w:bidi w:val="0"/>
        <w:spacing w:lineRule="auto" w:line="288" w:before="0" w:after="0"/>
        <w:jc w:val="both"/>
        <w:rPr>
          <w:color w:val="000000"/>
        </w:rPr>
      </w:pPr>
      <w:r>
        <w:rPr>
          <w:color w:val="000000"/>
        </w:rPr>
        <w:t>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Competition from new or different technology compared to our offerings;</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Competition from existing or new competitors entering the same markets we serve;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Government funding for competing products and services, reducing demand for our products and services;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Competitive pressures to provide enhanced functionality for the same or lower price with each new generation of technology.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Our business will be negatively impacted if we fail to adequately anticipate our satellite capacity needs or are unable to obtain satellite capacity.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made substantial contractual commitments to acquire satellite capacity based on our existing customer contracts and backlog. If our existing customer contracts were to be terminated prior to their respective expiration dates, we may have insufficient revenue to cover our satellite capacity costs. On the other hand, insufficient satellite capacity to meet increases in demand or inability to quickly or easily adjust our capacity to such changes in demand could materially and adversely affect our ability to provide services to customers and grow our revenue and business. Our business could be adversely affected if we are not able to renew our capacity leases at economically viable rates, or if sufficient capacity is not available to us.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We are dependent upon third-party providers for components, manufacturing, installation services and customer support services, and our results of operations may be materially adversely affected if any of these third-party providers fail to deliver the contracted goods or services appropriately.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dependence upon third-party providers causes certain risks to our business, including the following: </w:t>
      </w:r>
    </w:p>
    <w:p>
      <w:pPr>
        <w:pStyle w:val="TextBody"/>
        <w:bidi w:val="0"/>
        <w:spacing w:lineRule="auto" w:line="288" w:before="0" w:after="0"/>
        <w:jc w:val="both"/>
        <w:rPr>
          <w:color w:val="000000"/>
        </w:rPr>
      </w:pPr>
      <w:r>
        <w:rPr>
          <w:color w:val="000000"/>
        </w:rPr>
        <w:t> </w:t>
      </w:r>
    </w:p>
    <w:p>
      <w:pPr>
        <w:pStyle w:val="TextBody"/>
        <w:bidi w:val="0"/>
        <w:spacing w:lineRule="auto" w:line="288" w:before="0" w:after="90"/>
        <w:ind w:left="0" w:right="0" w:hanging="360"/>
        <w:jc w:val="both"/>
        <w:rPr/>
      </w:pPr>
      <w:r>
        <w:rPr>
          <w:color w:val="000000"/>
        </w:rPr>
        <w:t>•</w:t>
      </w:r>
      <w:r>
        <w:rPr>
          <w:rFonts w:ascii="Arial;sans-serif" w:hAnsi="Arial;sans-serif"/>
          <w:b/>
          <w:i/>
          <w:color w:val="000000"/>
          <w:sz w:val="20"/>
        </w:rPr>
        <w:t>Components</w:t>
      </w:r>
      <w:r>
        <w:rPr>
          <w:rFonts w:ascii="Arial;sans-serif" w:hAnsi="Arial;sans-serif"/>
          <w:b w:val="false"/>
          <w:color w:val="000000"/>
          <w:sz w:val="20"/>
        </w:rPr>
        <w:t>. A limited number of suppliers manufacture, and in some cases a single supplier manufactures, some of the key components required to build our products. We do not generally maintain long-term agreements with our suppliers or subcontractors for our products. If we change or lose suppliers, we could experience a delay in manufacturing our products. In addition, if either our current suppliers or any new suppliers increase prices beyond what we currently pay, we may be unable to produce our products at competitive prices and we may be unable to satisfy demand from our customers. Similarly, if any of our products require materials or components that are subject to “conflict minerals” or other supply chain regulations, these inputs could become scarce, unavailable, or materially more expensive or difficult to acquire, which could limit our ability to build or obtain sufficient volumes of such products to satisfy customer demand or could make it difficult or impossible for us to produce such products at competitive prices.</w:t>
      </w:r>
    </w:p>
    <w:p>
      <w:pPr>
        <w:pStyle w:val="TextBody"/>
        <w:bidi w:val="0"/>
        <w:spacing w:lineRule="auto" w:line="288" w:before="0" w:after="90"/>
        <w:ind w:left="0" w:right="0" w:hanging="360"/>
        <w:jc w:val="both"/>
        <w:rPr/>
      </w:pPr>
      <w:r>
        <w:rPr>
          <w:color w:val="000000"/>
        </w:rPr>
        <w:t>•</w:t>
      </w:r>
      <w:r>
        <w:rPr>
          <w:rFonts w:ascii="Arial;sans-serif" w:hAnsi="Arial;sans-serif"/>
          <w:b/>
          <w:i/>
          <w:color w:val="000000"/>
          <w:sz w:val="20"/>
        </w:rPr>
        <w:t>Commodity Price Risk</w:t>
      </w:r>
      <w:r>
        <w:rPr>
          <w:rFonts w:ascii="Arial;sans-serif" w:hAnsi="Arial;sans-serif"/>
          <w:b w:val="false"/>
          <w:color w:val="000000"/>
          <w:sz w:val="20"/>
        </w:rPr>
        <w:t>. Fluctuations in pricing of raw materials can affect our product costs and we may not be able to pass on the increased costs to our customers. Additionally, we are seeing increasing inflationary price pressure and where we have fixed-price customer contracts, we may have to absorb the increased costs.</w:t>
      </w:r>
      <w:r>
        <w:rPr>
          <w:color w:val="000000"/>
        </w:rPr>
        <w:t xml:space="preserve"> </w:t>
      </w:r>
    </w:p>
    <w:p>
      <w:pPr>
        <w:pStyle w:val="TextBody"/>
        <w:bidi w:val="0"/>
        <w:spacing w:lineRule="auto" w:line="288" w:before="0" w:after="90"/>
        <w:ind w:left="0" w:right="0" w:hanging="360"/>
        <w:jc w:val="both"/>
        <w:rPr/>
      </w:pPr>
      <w:r>
        <w:rPr>
          <w:color w:val="000000"/>
        </w:rPr>
        <w:t>•</w:t>
      </w:r>
      <w:r>
        <w:rPr>
          <w:rFonts w:ascii="Arial;sans-serif" w:hAnsi="Arial;sans-serif"/>
          <w:b/>
          <w:i/>
          <w:color w:val="000000"/>
          <w:sz w:val="20"/>
        </w:rPr>
        <w:t>Manufacturing</w:t>
      </w:r>
      <w:r>
        <w:rPr>
          <w:rFonts w:ascii="Arial;sans-serif" w:hAnsi="Arial;sans-serif"/>
          <w:b w:val="false"/>
          <w:color w:val="000000"/>
          <w:sz w:val="20"/>
        </w:rPr>
        <w:t>. While we develop and manufacture prototypes for certain of our products, we use contract manufacturers to produce a portion of our hardware. If these contract manufacturers fail to provide products that meet our specifications in a timely manner or at all, our business could be adversely impacted.</w:t>
      </w:r>
      <w:r>
        <w:rPr>
          <w:color w:val="000000"/>
        </w:rPr>
        <w:t xml:space="preserve"> </w:t>
      </w:r>
    </w:p>
    <w:p>
      <w:pPr>
        <w:pStyle w:val="TextBody"/>
        <w:bidi w:val="0"/>
        <w:spacing w:lineRule="auto" w:line="288" w:before="0" w:after="90"/>
        <w:ind w:left="0" w:right="0" w:hanging="360"/>
        <w:jc w:val="both"/>
        <w:rPr/>
      </w:pPr>
      <w:r>
        <w:rPr>
          <w:color w:val="000000"/>
        </w:rPr>
        <w:t>•</w:t>
      </w:r>
      <w:r>
        <w:rPr>
          <w:rFonts w:ascii="Arial;sans-serif" w:hAnsi="Arial;sans-serif"/>
          <w:b/>
          <w:i/>
          <w:color w:val="000000"/>
          <w:sz w:val="20"/>
        </w:rPr>
        <w:t>Installation, customer support, and other services</w:t>
      </w:r>
      <w:r>
        <w:rPr>
          <w:rFonts w:ascii="Arial;sans-serif" w:hAnsi="Arial;sans-serif"/>
          <w:b w:val="false"/>
          <w:color w:val="000000"/>
          <w:sz w:val="20"/>
        </w:rPr>
        <w:t>. Some of our products and services utilize a network of third-party service providers. The costs incurred for these services may increase due to a shortage of experienced workers and higher salaries required to recruit and retain a skilled third-party workforce. A decline in levels of service or attention to the needs of our customers could adversely affect our reputation, renewal rates and ability to win and retain customers. In addition, if the agreements for the provision of these services are terminated or not renewed, we could face difficulties replacing these service providers</w:t>
      </w:r>
      <w:r>
        <w:rPr>
          <w:rFonts w:ascii="Arial;sans-serif" w:hAnsi="Arial;sans-serif"/>
          <w:b/>
          <w:i/>
          <w:color w:val="000000"/>
          <w:sz w:val="2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Our foreign operations and investments expose us to risks and restrictions not present in our domestic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sales outside the U.S. accounted for 25.2%, 24.5% and 22.3% of our revenue for the years ended December 31, 2023, 2022 and 2021, respectively. We expect our foreign operations to represent a significant and growing portion of our business. Our foreign operations involve varying degrees of risk and uncertainties inherent in doing business abroad. Such risks include: </w:t>
      </w:r>
    </w:p>
    <w:p>
      <w:pPr>
        <w:pStyle w:val="TextBody"/>
        <w:bidi w:val="0"/>
        <w:spacing w:before="0" w:after="0"/>
        <w:jc w:val="both"/>
        <w:rPr/>
      </w:pPr>
      <w:r>
        <w:rPr/>
      </w:r>
    </w:p>
    <w:p>
      <w:pPr>
        <w:pStyle w:val="TextBody"/>
        <w:bidi w:val="0"/>
        <w:spacing w:lineRule="auto" w:line="288" w:before="0" w:after="90"/>
        <w:ind w:left="0" w:right="0" w:hanging="360"/>
        <w:jc w:val="both"/>
        <w:rPr/>
      </w:pPr>
      <w:r>
        <w:rPr>
          <w:color w:val="000000"/>
        </w:rPr>
        <w:t>•</w:t>
      </w:r>
      <w:r>
        <w:rPr>
          <w:rFonts w:ascii="Arial;sans-serif" w:hAnsi="Arial;sans-serif"/>
          <w:b/>
          <w:i/>
          <w:color w:val="000000"/>
          <w:sz w:val="20"/>
        </w:rPr>
        <w:t>Complications in complying with restrictions on foreign ownership and investment and limitations on repatriation of earnings.</w:t>
      </w:r>
      <w:r>
        <w:rPr>
          <w:color w:val="000000"/>
        </w:rPr>
        <w:t> </w:t>
      </w:r>
      <w:r>
        <w:rPr>
          <w:rFonts w:ascii="Arial;sans-serif" w:hAnsi="Arial;sans-serif"/>
          <w:b w:val="false"/>
          <w:color w:val="000000"/>
          <w:sz w:val="20"/>
        </w:rPr>
        <w:t xml:space="preserve">We may not be permitted to be the sole owner of our operations in some countries and may have to enter into partnership or joint venture relationships. Many foreign legal regimes and/or our contractual arrangements restrict our repatriation of earnings to the U.S. from our subsidiaries and joint venture entities. Applicable law in such foreign countries may also limit our ability to distribute or access our assets or offer our products and services in certain circumstances. In such event, we will not have unrestricted access to the cash flow and assets of our subsidiaries and joint ventures. </w:t>
      </w:r>
    </w:p>
    <w:p>
      <w:pPr>
        <w:pStyle w:val="TextBody"/>
        <w:bidi w:val="0"/>
        <w:spacing w:lineRule="auto" w:line="288" w:before="0" w:after="90"/>
        <w:ind w:left="0" w:right="0" w:hanging="360"/>
        <w:jc w:val="both"/>
        <w:rPr/>
      </w:pPr>
      <w:r>
        <w:rPr>
          <w:color w:val="000000"/>
        </w:rPr>
        <w:t>•</w:t>
      </w:r>
      <w:r>
        <w:rPr>
          <w:rFonts w:ascii="Arial;sans-serif" w:hAnsi="Arial;sans-serif"/>
          <w:b/>
          <w:i/>
          <w:color w:val="000000"/>
          <w:sz w:val="20"/>
        </w:rPr>
        <w:t>Regulatory restrictions</w:t>
      </w:r>
      <w:r>
        <w:rPr>
          <w:rFonts w:ascii="Arial;sans-serif" w:hAnsi="Arial;sans-serif"/>
          <w:b w:val="false"/>
          <w:color w:val="000000"/>
          <w:sz w:val="20"/>
        </w:rPr>
        <w:t>. Satellite market access, landing rights and terrestrial wireless rights are dependent on the national regulations established by foreign governments and international non-governmental bodies. Non-compliance with these requirements may result in the loss of the authorizations and licenses to conduct business in these countries, as well as fines, penalties, or other sanctions.</w:t>
      </w:r>
      <w:r>
        <w:rPr>
          <w:color w:val="000000"/>
        </w:rPr>
        <w:t xml:space="preserve"> </w:t>
      </w:r>
    </w:p>
    <w:p>
      <w:pPr>
        <w:pStyle w:val="TextBody"/>
        <w:bidi w:val="0"/>
        <w:spacing w:lineRule="auto" w:line="288" w:before="0" w:after="90"/>
        <w:ind w:left="0" w:right="0" w:hanging="360"/>
        <w:jc w:val="both"/>
        <w:rPr/>
      </w:pPr>
      <w:r>
        <w:rPr>
          <w:color w:val="000000"/>
        </w:rPr>
        <w:t>•</w:t>
      </w:r>
      <w:r>
        <w:rPr>
          <w:rFonts w:ascii="Arial;sans-serif" w:hAnsi="Arial;sans-serif"/>
          <w:b/>
          <w:i/>
          <w:color w:val="000000"/>
          <w:sz w:val="20"/>
        </w:rPr>
        <w:t>Financial and legal constraints and obligations</w:t>
      </w:r>
      <w:r>
        <w:rPr>
          <w:rFonts w:ascii="Arial;sans-serif" w:hAnsi="Arial;sans-serif"/>
          <w:b w:val="false"/>
          <w:color w:val="000000"/>
          <w:sz w:val="20"/>
        </w:rPr>
        <w:t>. Operating pursuant to foreign licenses subjects us to certain financial constraints and obligations, including, but not limited to: (a) tax liabilities that may or may not be dependent on revenue; (b) the regulatory requirements associated with maintaining such licenses, which may be subject to interpretation by foreign courts and regulatory bodies; (c) the burden of creating and maintaining additional entities, branches, facilities and/or staffing in foreign jurisdictions; and (d) regulations requiring that we make certain satellite capacity available for “free” or available at reduced rates.</w:t>
      </w:r>
      <w:r>
        <w:rPr>
          <w:color w:val="000000"/>
        </w:rPr>
        <w:t xml:space="preserve"> </w:t>
      </w:r>
    </w:p>
    <w:p>
      <w:pPr>
        <w:pStyle w:val="TextBody"/>
        <w:bidi w:val="0"/>
        <w:spacing w:lineRule="auto" w:line="288" w:before="0" w:after="90"/>
        <w:ind w:left="0" w:right="0" w:hanging="360"/>
        <w:jc w:val="both"/>
        <w:rPr/>
      </w:pPr>
      <w:r>
        <w:rPr>
          <w:color w:val="000000"/>
        </w:rPr>
        <w:t>•</w:t>
      </w:r>
      <w:r>
        <w:rPr>
          <w:rFonts w:ascii="Arial;sans-serif" w:hAnsi="Arial;sans-serif"/>
          <w:b/>
          <w:i/>
          <w:color w:val="000000"/>
          <w:sz w:val="20"/>
        </w:rPr>
        <w:t>Compliance with applicable export control laws and regulations in the U.S. and other countries</w:t>
      </w:r>
      <w:r>
        <w:rPr>
          <w:rFonts w:ascii="Arial;sans-serif" w:hAnsi="Arial;sans-serif"/>
          <w:b w:val="false"/>
          <w:color w:val="000000"/>
          <w:sz w:val="20"/>
        </w:rPr>
        <w:t>. We must comply with all applicable export control and trade sanctions laws and regulations of the U.S. and other countries. A violation any export or trade-related regulations could materially adversely affect our business.</w:t>
      </w:r>
    </w:p>
    <w:p>
      <w:pPr>
        <w:pStyle w:val="TextBody"/>
        <w:bidi w:val="0"/>
        <w:spacing w:lineRule="auto" w:line="288" w:before="0" w:after="90"/>
        <w:ind w:left="0" w:right="0" w:hanging="360"/>
        <w:jc w:val="both"/>
        <w:rPr/>
      </w:pPr>
      <w:r>
        <w:rPr>
          <w:color w:val="000000"/>
        </w:rPr>
        <w:t>•</w:t>
      </w:r>
      <w:r>
        <w:rPr>
          <w:rFonts w:ascii="Arial;sans-serif" w:hAnsi="Arial;sans-serif"/>
          <w:b/>
          <w:i/>
          <w:color w:val="000000"/>
          <w:sz w:val="20"/>
        </w:rPr>
        <w:t>Changes in exchange rates between foreign currencies and the U.S. dollar</w:t>
      </w:r>
      <w:r>
        <w:rPr>
          <w:rFonts w:ascii="Arial;sans-serif" w:hAnsi="Arial;sans-serif"/>
          <w:b w:val="false"/>
          <w:color w:val="000000"/>
          <w:sz w:val="20"/>
        </w:rPr>
        <w:t>. Fluctuations in currency exchange rates, recessions and currency devaluations have affected, and may in the future affect, revenue, profits and cash earned from our international businesses.</w:t>
      </w:r>
      <w:r>
        <w:rPr>
          <w:color w:val="000000"/>
        </w:rPr>
        <w:t xml:space="preserve"> </w:t>
      </w:r>
    </w:p>
    <w:p>
      <w:pPr>
        <w:pStyle w:val="TextBody"/>
        <w:bidi w:val="0"/>
        <w:spacing w:lineRule="auto" w:line="288" w:before="0" w:after="90"/>
        <w:ind w:left="0" w:right="0" w:hanging="360"/>
        <w:jc w:val="both"/>
        <w:rPr/>
      </w:pPr>
      <w:r>
        <w:rPr>
          <w:color w:val="000000"/>
        </w:rPr>
        <w:t>•</w:t>
      </w:r>
      <w:r>
        <w:rPr>
          <w:rFonts w:ascii="Arial;sans-serif" w:hAnsi="Arial;sans-serif"/>
          <w:b/>
          <w:i/>
          <w:color w:val="000000"/>
          <w:sz w:val="20"/>
        </w:rPr>
        <w:t>Regulations may favor state-owned enterprises or local service providers</w:t>
      </w:r>
      <w:r>
        <w:rPr>
          <w:rFonts w:ascii="Arial;sans-serif" w:hAnsi="Arial;sans-serif"/>
          <w:b w:val="false"/>
          <w:color w:val="000000"/>
          <w:sz w:val="20"/>
        </w:rPr>
        <w:t>. Many of the countries in which we conduct business have traditionally had state-owned or state-granted monopolies on telecommunications services that favor an incumbent service provider. We face competition from these favored and entrenched companies in countries that have not liberalized.</w:t>
      </w:r>
      <w:r>
        <w:rPr>
          <w:color w:val="00000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We may not be able to generate cash to meet our debt service needs or fund our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December 31, 2023, our total indebtedness was $1.5 billion. Our ability to make payments on or to refinance our indebtedness and to fund our operations will depend on our ability to generate cash in the future. If we are unable to generate sufficient cash, we may be forced to take actions such as revising or delaying our strategic plans, reducing or delaying capital expenditures and/or the development, design, acquisition and construction of new satellites, selling assets, and restructuring or refinancing our debt. We may not be able to implement any of these actions on satisfactory terms, or at all.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Covenants in our indentures restrict our business in many ways.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indentures governing our 5.250% Senior Secured Notes due August 1, 2026 and 6.625% Senior Unsecured Notes due August 1, 2026 contain various covenants, subject to certain exceptions, that limit our ability and/or certain of our subsidiaries’ ability to, among other things:</w:t>
      </w:r>
    </w:p>
    <w:p>
      <w:pPr>
        <w:pStyle w:val="TextBody"/>
        <w:bidi w:val="0"/>
        <w:spacing w:lineRule="auto" w:line="288" w:before="0" w:after="0"/>
        <w:jc w:val="both"/>
        <w:rPr>
          <w:color w:val="000000"/>
        </w:rPr>
      </w:pPr>
      <w:r>
        <w:rPr>
          <w:color w:val="000000"/>
        </w:rPr>
        <w:t>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incur additional debt;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pay dividends or make distributions on our capital stock or repurchase our capital stock;</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allow certain restrictions on such subsidiaries’ ability to pay dividends, make distributions, make other payments, or transfer assets;</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make certain investments;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create liens or enter into sale and leaseback transactions;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enter into transactions with affiliates;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merge or consolidate with another company; and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transfer and sell assets.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Failure to comply with these and certain other financial covenants, if not cured or waived, may result in an event of default under the indentures, which could have a material adverse effect on our business, financial condition, results of operations or prospects. If certain events of default occur and are continuing under the respective indenture, the trustee under that indenture or the requisite holders of the notes under that indenture may declare all such notes to be immediately due and payable and, in the case of the indenture governing our secured notes, could proceed against the collateral that secures the secured notes. If certain other events of default occur, the indentures will become immediately due and payable. We and certain of our subsidiaries have pledged a significant portion of our assets as collateral to secure the 5.250% Senior Secured Notes due August 1,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Our failure to effectively invest in, introduce, and implement new competitive products and services could cause our products and services to become obsolete and could negatively impact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Technology in our industry changes rapidly as new technologies are developed, which could cause our products and services to become obsolete. We and our suppliers may not be able to keep pace with technological developments. Our operating results are dependent to a significant extent upon our ability to continue to introduce new products and services, to upgrade existing products and services on a timely basis, and to reduce costs of our existing products and services. We may not be able to successfully identify new product or service opportunities or develop and market these opportunities in a timely or cost-effective manner.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research and development of new, technologically advanced products is a complex and uncertain process requiring high levels of innovation and investment. The success of new product and service development depends on many factors, including among others, the following:</w:t>
      </w:r>
    </w:p>
    <w:p>
      <w:pPr>
        <w:pStyle w:val="TextBody"/>
        <w:bidi w:val="0"/>
        <w:spacing w:before="0" w:after="0"/>
        <w:jc w:val="both"/>
        <w:rPr/>
      </w:pPr>
      <w:r>
        <w:rPr/>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the difficulties and delays in the development, production, timely completion, testing and marketing of products and services;</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the cost of the products and services;</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the proper identification of subscriber need and subscriber acceptance of products and services;</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the development of, approval of and compliance with industry standards;</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the amount of resources we must devote to the development of new technologies; and</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the ability to differentiate our products and services and compete with other companies in the same markets.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If the new technologies on which we focus our research and development investments fail to achieve acceptance in the marketplace, our competitive position could be negatively impacted, causing a reduction in our revenues and earnings. For example, our competitors could use proprietary technologies that are perceived by the market as being superior. In addition, delays in the delivery of components or other unforeseen problems associated with our technology may occur that could materially and adversely affect our ability to generate revenue, offer new products and services and remain competitive. Furthermore, after we have incurred substantial costs, one or more of the products or services under our development, or under development by one or more of our strategic partners, could become obsolete prior to it being widely adopted.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our products and services are not competitive, our business could suffer and our financial performance could be negatively impacted. Our products and services may also experience quality problems, including, but not limited to, outages and service slowdowns, from time to time. If the quality of our products and services does not meet our subscribers’ expectations, then our business, and ultimately our reputation, could be negatively impacted.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RISKS RELATED TO OUR HUMAN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We rely on highly skilled personnel for our business, and any inability to hire and retain key personnel or to hire qualified personnel may negatively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believe that our future success depends to a significant extent upon the performance of Mr. Charles W. Ergen, our Chairman, and certain other key executives. The loss of Mr. Ergen or certain other key executives, the ability to effectively provide for the succession of our senior management, or the ability of Mr. Ergen or such other key executives to devote sufficient time and effort to our business could have a material adverse effect on our business, financial condition and results of operations. Although some of our key executives may have agreements relating to their equity compensation that limit their ability to work for or consult with competitors, we generally do not have employment agreements with them.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the success of the Integration will depend in part on the retention of personnel critical to the business and operations of EchoStar and DISH Network due to, for example, their technical skills or management expertise. Competition for qualified personnel can be intense and qualified personnel can be in high demand. Current and prospective employees of EchoStar and DISH Network may experience uncertainty about their future role until strategies regarding these employees are announced or executed, which may impair each company’s ability to attract, retain and motivate key management, technical and other personnel following the Merger. If EchoStar and DISH Network are unable to attract and retain personnel, including key management, who are critical to the successful Integration and future operations of the companies, we could face, among other risks, disruptions in their operations, loss of existing customers, loss of key information, expertise or know- how, and unanticipated additional recruitment and training costs. In addition, the loss of key personnel could diminish the anticipated benefits of the Merger.</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Our business growth and customer retention strategies rely in part on the work of technically skilled employees.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Our response to technological developments depends, to a significant degree, on the work of technically skilled employees. In addition, we have made and will continue to make significant investments in, among other things, research, development, and marketing for new products, services, satellites and related technologies, as well as entry into new business areas. Investments in new technologies, satellites and business areas are inherently dependent on these technically skilled employees as well. Competition for the services of such employees has become more intense as demand for these types of employees grows. We compete with other companies for these employees and although we strive to attract, retain, motivate and manage these employees, we may not succeed in these respects.</w:t>
      </w:r>
      <w:r>
        <w:rPr>
          <w:color w:val="000000"/>
        </w:rPr>
        <w:t xml:space="preserve"> </w:t>
      </w:r>
      <w:r>
        <w:rPr>
          <w:rFonts w:ascii="Arial;sans-serif" w:hAnsi="Arial;sans-serif"/>
          <w:b w:val="false"/>
          <w:color w:val="000000"/>
          <w:sz w:val="20"/>
        </w:rPr>
        <w:t xml:space="preserve">Additionally, if we were to lose certain key technically skilled employees, the loss of knowledge and intellectual capital might have an adverse impact on our business.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success of our business is also dependent on our ability to recruit engineers and other professionals, including those who are citizens of other countries.</w:t>
      </w:r>
      <w:r>
        <w:rPr>
          <w:color w:val="000000"/>
        </w:rPr>
        <w:t xml:space="preserve"> </w:t>
      </w:r>
      <w:r>
        <w:rPr>
          <w:rFonts w:ascii="Arial;sans-serif" w:hAnsi="Arial;sans-serif"/>
          <w:b w:val="false"/>
          <w:color w:val="000000"/>
          <w:sz w:val="20"/>
        </w:rPr>
        <w:t>Immigration laws in the U.S. and other countries in which we operate are subject to legislative and regulatory changes, as well as variations in the standards of application and enforcement due to, among other things, political forces and economic conditions.</w:t>
      </w:r>
      <w:r>
        <w:rPr>
          <w:color w:val="000000"/>
        </w:rPr>
        <w:t xml:space="preserve"> </w:t>
      </w:r>
      <w:r>
        <w:rPr>
          <w:rFonts w:ascii="Arial;sans-serif" w:hAnsi="Arial;sans-serif"/>
          <w:b w:val="false"/>
          <w:color w:val="000000"/>
          <w:sz w:val="20"/>
        </w:rPr>
        <w:t>It is difficult to predict the political and economic events that could affect immigration laws, or the restrictive impact they could have on obtaining or renewing work visas for our professionals.</w:t>
      </w:r>
      <w:r>
        <w:rPr>
          <w:color w:val="000000"/>
        </w:rPr>
        <w:t xml:space="preserve"> </w:t>
      </w:r>
      <w:r>
        <w:rPr>
          <w:rFonts w:ascii="Arial;sans-serif" w:hAnsi="Arial;sans-serif"/>
          <w:b w:val="false"/>
          <w:color w:val="000000"/>
          <w:sz w:val="20"/>
        </w:rPr>
        <w:t xml:space="preserve">If immigration laws are changed or if new and more restrictive government regulations are enacted or increased, our access to qualified and skilled professionals may be limited.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RISKS RELATED TO OUR SATELLITES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Our owned and leased satellites in orbit are subject to significant operational and environmental risks that could limit our ability to utilize these satellites.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0"/>
        </w:rPr>
        <w:t>Satellites are subject to significant operational risks while in orbit. These risks include, but are not limited to, malfunctions, commonly referred to as anomalies, which have occurred and may occur in the future in our satellites and the satellites of other operators.</w:t>
      </w:r>
      <w:r>
        <w:rPr>
          <w:color w:val="000000"/>
        </w:rPr>
        <w:t xml:space="preserve"> </w:t>
      </w:r>
      <w:r>
        <w:rPr>
          <w:rFonts w:ascii="Arial;sans-serif" w:hAnsi="Arial;sans-serif"/>
          <w:b w:val="false"/>
          <w:color w:val="000000"/>
          <w:sz w:val="20"/>
        </w:rPr>
        <w:t>Any single anomaly could materially and adversely affect our ability to utilize the satellite.</w:t>
      </w:r>
      <w:r>
        <w:rPr>
          <w:color w:val="000000"/>
        </w:rPr>
        <w:t xml:space="preserve"> </w:t>
      </w:r>
      <w:r>
        <w:rPr>
          <w:rFonts w:ascii="Arial;sans-serif" w:hAnsi="Arial;sans-serif"/>
          <w:b w:val="false"/>
          <w:color w:val="000000"/>
          <w:sz w:val="20"/>
        </w:rPr>
        <w:t>Anomalies may also reduce, among other things,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w:t>
      </w:r>
      <w:r>
        <w:rPr>
          <w:color w:val="000000"/>
        </w:rPr>
        <w:t xml:space="preserve"> </w:t>
      </w:r>
      <w:r>
        <w:rPr>
          <w:rFonts w:ascii="Arial;sans-serif" w:hAnsi="Arial;sans-serif"/>
          <w:b w:val="false"/>
          <w:color w:val="000000"/>
          <w:sz w:val="20"/>
        </w:rPr>
        <w:t xml:space="preserve">We may not be able to prevent or mitigate the impacts of anomalies in the future.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Meteoroid events, decommissioned satellites, increased solar activity and other adverse events also pose a potential threat to all in-orbit satellites. We may be required to perform maneuvers to avoid collisions and these maneuvers may prove unsuccessful or could reduce the useful life of the satellite through the expenditure of fuel to perform these maneuvers.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Generally, the minimum design life of each of our satellites is 15 years. We can provide no assurance, however, as to the actual operational lives of our satellites, which may be shorter or longer than their design lives. Our ability to earn revenue depends on the continued operation of our satellites, each of which has a limited useful life.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We generally do not carry in-orbit insurance on our satellites or payloads because we have assessed that the cost of insurance is not economical relative to the risk of failures.</w:t>
      </w:r>
      <w:r>
        <w:rPr>
          <w:color w:val="000000"/>
        </w:rPr>
        <w:t xml:space="preserve"> </w:t>
      </w:r>
      <w:r>
        <w:rPr>
          <w:rFonts w:ascii="Arial;sans-serif" w:hAnsi="Arial;sans-serif"/>
          <w:b w:val="false"/>
          <w:color w:val="000000"/>
          <w:sz w:val="20"/>
        </w:rPr>
        <w:t xml:space="preserve">If one or more of our in-orbit uninsured satellites or payloads fail, we could be required to record significant impairment charges for the satellite or payload.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Our satellites under construction, are subject to risks related to, among other things, construction, technology, regulations and launch that could limit our ability to utilize these satellites, increase costs and adversely affect our business.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Satellite construction and launch are subject to significant risks, including but not limited to, manufacturing and delivery delays, anomalies, launch failure and incorrect orbital placement. The technologies in our satellite designs are very complex and difficulties in constructing our designs could result in delays in the deployment of our satellites or increased or unanticipated costs. There can be no assurance that the technologies in our existing satellites or in new satellites that we design, acquire and build will work as we expect, will not become obsolete, that we will realize any or all of the anticipated benefits of our satellite designs or our new satellites, and/or that we will obtain all regulatory approvals required to operate our new or acquired satellites on an acceptable timeline or at all. Launch anomalies and failures can result in significant delays in the deployment of satellites because of the need both to construct replacement satellites, which can take significant amounts of time, and to obtain other launch opportunities. Such significant delays have and could in the future materially affect, among other things, our business, our ability to meet regulatory or contractual required milestones, the availability and our use of other or replacement satellite resources and our ability to provide services to customers.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 In addition, we generally do not carry in-orbit insurance on our satellites or payloads because we have assessed that the cost of insurance is not economical relative to the risk of failures. If we do obtain launch or in-orbit insurance, it may not cover the full cost of constructing and launching or replacing a satellite nor fully cover our losses in the event of a launch failure or significant degradation.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Our use of certain satellites is often dependent on satellite coordination agreements, which may be difficult to obtain.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Satellite operators are required to enter into international spectrum coordination agreements with other affected satellite operators and must be approved by the relevant governments. If a required agreement cannot be concluded, we may have to operate the applicable satellite(s) in a manner that does not cause harmful radio frequency interference with the affected satellite. If we cannot do so, we may have to cease operating such satellite(s) at the affected orbital locations.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color w:val="000000"/>
          <w:sz w:val="20"/>
        </w:rPr>
        <w:t>We may face interference from other services sharing satellite spectrum</w:t>
      </w:r>
      <w:r>
        <w:rPr>
          <w:rFonts w:ascii="Arial;sans-serif" w:hAnsi="Arial;sans-serif"/>
          <w:b w:val="false"/>
          <w:color w:val="000000"/>
          <w:sz w:val="2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Federal Communications Commission (“FCC”) and other national, state, local and international regulators have adopted rules or may adopt rules in the future that require us to share spectrum on a basis with other radio services. There can be no assurance that these operations would not interfere with our operations and adversely affect our business. In the event that the FCC and/or another regulator determines that our spectrum interferes with another service, we may be required to, among other things, find or develop a solution. We cannot make any assurance that we will be able to do so on an acceptable timeline or at all, or that such solution will not adversely affect our business.</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RISKS RELATED TO OUR PRODUCTS AND TECHNOLOGY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Our business depends on certain intellectual property rights and on not infringing the intellectual property rights of others.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 as currently conducted, which could require us to change our business practices or limit our ability to compete effectively or could have an adverse effect on our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Even if we believe any such challenges or claims are without merit, they can be time consuming and costly to defend and divert management’s attention and resources away from our business. Moreover, because of the rapid pace of technological change, we rely on technologies developed by or licensed from third parties, and if we are unable to obtain or continue to obtain licenses from these third parties on reasonable terms or at all,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we work with certain third parties such as vendors, contractors and suppliers for the development and manufacture of components that are integrated into our products and services, and our products and services may contain technologies provided to us by these third parties or other third parties. We may have little or no ability to determine in advance whether any such technology infringes the intellectual property rights of others. Our vendors, contractors and suppliers may not be required to indemnify us if a claim of infringement is asserted against us, license the potential infringing technology from other third parties or they may be required to indemnify us only up to a maximum amount, above which we would be responsible for any further costs or damages.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Legal challenges to these intellectual property rights may impair our ability to use the products, services and technologies that we need in order to operate our business and may materially and adversely affect our business, financial condition and results of operations. Furthermore, our digital content offerings depend in part on effective digital rights management technology to control access to digital content. If the digital rights management technology that we use is compromised or otherwise malfunctions, content providers may be unwilling to provide access to their content. Changes in the copyright laws or how such laws may be interpreted could impact our ability to deliver content and provide certain features and functionality, particularly over the Internet.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We are, and may become, party to various lawsuits which, if adversely decided, could have a significant adverse impact on our business, particularly lawsuits regarding intellectual property.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and may become, subject to various legal proceedings and claims which arise in the ordinary course of business, including, among other things, intellectual property disputes. Many entities, including some of our competitors, have or may in the future obtain patents and other intellectual property rights that may cover or affect products or services related to those that we offer. In general, if a court determines that one or more of our products or services infringes on intellectual property held by others, we may be required to cease developing or marketing those products or services, to obtain licenses from the holders of the intellectual property at a material cost, or to redesign those products or services in such a way as to avoid infringing the intellectual property. If those intellectual property rights are held by a competitor, we may be unable to obtain the intellectual property at any price, which could adversely affect our competitive position. We may not be aware of all intellectual property rights that our services or the products used in connection with our services may potentially infringe. In addition, patent applications in the United States are confidential until the Patent and Trademark Office either publishes the application or issues a patent (whichever arises first). Therefore, it is difficult to evaluate the extent to which our services or the products used in connection with our services may infringe claims contained in pending patent applications. Furthermore, it is sometimes not possible to determine definitively whether a claim of infringement is valid.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If our products contain defects, we could be subject to significant costs to correct such defects and our product and network service contracts could be delayed or cancelled, which could adversely affect our revenue.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products and networks we deploy are highly complex, and some may contain defects when first introduced or when new versions or enhancements are released, despite testing and our quality control procedures. Defects may also occur in components and products that we purchase from third parties. In addition, many of our products and network services are designed to interface with our customers’ existing networks, each of which has different specifications and utilizes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in a timely manner or at all. The occurrence of, and failure to remedy, any defects, errors or failures in our products or network services could materially affect our business.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RISKS RELATED TO CYBERSECURITY</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Any failure or inadequacy of our information technology infrastructure and communications systems or those of third parties that we use in our operations, including, without limitation, those caused by cyber-attacks or other malicious activities, could disrupt or harm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capacity, reliability and security of our information technology hardware and software infrastructure (including, but not limited to, our billing systems) and communications systems, or those of third parties that we use in our operations, are important to the operation of our business, which has in the past and would in the future suffer in the event of system failures or cyber-attacks. Likewise, our ability to expand and update our information technology infrastructure in response to, among other things, our growth and changing needs is important to the continued implementation of our new service offering initiatives. Our inability to expand or upgrade our technology infrastructure could have adverse consequences, which could include, among other things, the delayed implementation of new service offerings, service or billing interruptions, and the diversion of management and developmental resources.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rely on certain third parties for developing key components of our information technology and communications systems and ongoing service, all of which affect our businesses. Some of our key systems and operations, including, but not limited to, those supplied by certain third-party providers, are not fully redundant, and our disaster recovery planning cannot account for all eventualities. Interruption and/or failure of any of these systems could, among other things, disrupt our operations, interrupt our services, result in significant financial expenditures and damage our reputation, thus adversely impacting our ability to provide our services, retain our current subscribers and attract new subscribers.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These protective measures may not be sufficient for all eventualities and may themselves be vulnerable to hacking, malfeasance, system error or other irregularities.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example, certain parties may attempt to fraudulently induce employees or subscribers into disclosing usernames, passwords or other sensitive information, which may in turn be used to access our information technology systems. In addition, third-party providers of some of our key systems may also experience interruptions to their information technology hardware and software infrastructure and communications systems that could adversely impact us and over which we may have limited or no control. We may obtain certain confidential, proprietary and personal information about our subscribers, personnel and vendors, and may provide this information to third parties in connection with our business. If one or more of such interruptions or failures occur to us or our third-party providers, it potentially could jeopardize such information and other information processed and stored in, and transmitted through, our or our third-party providers’ information technology hardware and software infrastructure and communications systems, or otherwise cause interruptions or malfunctions in our operations, which could result in, among other things, lawsuits, government claims, investigations or proceedings, significant losses or reputational damage. Due to the fast-moving pace of technology, it may be difficult to detect, contain and remediate every such event on an acceptable timeline or at all.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result of the increasing awareness concerning the importance of safeguarding personal information, the potential misuse of such information and legislation that has been adopted or is being considered regarding the protection, privacy and security of personal information, the potential liability associated with information-related risks is increasing, particularly for businesses like ours that handle personal subscriber data. The occurrence of any network or information system related events or security breaches could have a material adverse effect on, among other things, our reputation, business, financial condition and results of operations. Significant incidents could result in a disruption of our operations, subscriber dissatisfaction, damage to our reputation or a loss of subscribers and revenues.</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 xml:space="preserve">We have experienced, and may experience in the future, cyber-attacks and other attempts to gain unauthorized access to our systems on a consistent basis.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experienced and may experience in the future security issues, whether due to, among other things, insider error or malfeasance or system errors or vulnerabilities in our or our third parties’ systems, which could result in, among other things, substantial legal and financial exposure, government inquiries and enforcement actions, litigation, diversion of management time and attention from our existing businesses, and unfavorable media coverage. We may be unable to anticipate or detect attacks or vulnerabilities or implement adequate preventative measures on an acceptable timeframe or at all. Attacks and security issues could also compromise trade secrets and other sensitive information. We have not incurred significant material expenses resulting from cyber security incidents.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subject to persistent cyber-security incidents and threats to our networks and systems.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 protective measures we take may not be sufficient for all eventualities and may themselves be vulnerable to hacking, malfeasance, system error, or other irregularities. For example, certain parties may attempt to fraudulently induce employees or subscribers into disclosing usernames, passwords or other sensitive information, which may in turn be used to access our information technology systems.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The confidentiality, integrity, and availability of our services and products depends on the continuing operation of our information technology and other enabling systems.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systems are vulnerable to damage, intrusion, or disruption from, among other things, criminal and/or terrorist attacks, telecommunications failures, computer viruses, ransomware attacks, digital denial of service attacks, phishing, and/or other attempts to injure or maliciously access our systems. Some of our systems are not fully redundant, and disaster recovery planning cannot account for all possibilities. In addition, our products and services are highly technical and complex and may contain errors or vulnerabilities, which could result in interruptions in or failure of our services or systems. Failure to respond, mitigate and/or remedy any cyber-attack or other information technology failure on a timely basis or at all, could materially affect our business.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Our international businesses expose us to additional risks that could harm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international operations continue to grow. In addition to risks described herein, the different regions and countries in which we operate our businesses outside of the U.S. expose us to increased risks due to different privacy and cyber-related laws in each of these locations. The same cyber-related issue could have different consequences depending on, among other factors, the region or country of occurrence, the laws applicable in each case and the different levels of enforcement by regulatory and governmental authorities in each jurisdiction. These risks include, but are not limited to, the following: </w:t>
      </w:r>
    </w:p>
    <w:p>
      <w:pPr>
        <w:pStyle w:val="TextBody"/>
        <w:bidi w:val="0"/>
        <w:spacing w:before="0" w:after="0"/>
        <w:jc w:val="both"/>
        <w:rPr/>
      </w:pPr>
      <w:r>
        <w:rPr/>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Data privacy and security concerns relating to our technology and practices could, among other things, damage our reputation, cause us to incur significant liability, and deter current and potential users or customers from using our products and services;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Software bugs or defects, security breaches, and attacks on our systems could result in the improper disclosure of our user data which could harm, among other things, our business reputation and result in legal and/or government action;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Concerns about our practices about the collection, use, disclosure, or security of personal information or other data-privacy-related matters, even if unsubstantiated, could harm our reputation and financial condition. Our policies and practices may change over time as expectations regarding privacy and data change.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Our ongoing investments in security will likely continue to identify new vulnerabilities within our services and products.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our efforts to, among other things, mitigate cyber-attacks and improve our products and services, we are making significant investments to assure that our products are resistant to compromise. As a result of these efforts, we could discover new vulnerabilities within our products and systems that would be undesirable for our users and customers. We have discovered and remediated, and may discover new vulnerabilities due to the scale of activities on our platforms, and may not be able to mitigate or fix such vulnerabilities on acceptable timeframes or at all, due to other factors, including, but not limited to, issues outside of our control such as natural disasters/climate change such as sea level rise, drought, flooding, wildfires, increased storm severity, pandemics like COVID-19 and power loss, and we may be notified of such vulnerabilities via third parties. Any of the foregoing developments may, among other things, negatively affect user and customer trust, harm our reputation and brands, and adversely affect our business and financial results.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such developments may also subject us to litigation and regulatory inquiries, which could result in monetary penalties and damages, distract management’s time and attention, and lead to enhanced regulatory oversight.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RISKS RELATED TO THE REGULATION OF OUR BUSINESS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color w:val="000000"/>
          <w:sz w:val="20"/>
        </w:rPr>
        <w:t>The risk of non-compliance with laws and regulations, including, but not limited to, the risk of changes to laws and regulations, could adversely affect our business.</w:t>
      </w:r>
      <w:r>
        <w:rPr>
          <w:color w:val="000000"/>
        </w:rPr>
        <w: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 is regulated by numerous governmental agencies and other regulatory bodies, both domestically and internationally. Also, our international operations are subject to the laws and regulations of many different jurisdictions that may differ significantly from U.S. laws and regulations. Violations of these laws and regulations could result in fines or penalties or other sanctions which could have a material adverse impact on our business. Additionally, our ability to operate and grow our business depends on laws and regulations that govern the frequency bands and/or orbital locations we operate in or may operate in in the future.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laws and regulations are subject to the administrative and political process and do change from time to time. Our business could suffer a material adverse impact if laws and regulations change and we are not able to adapt to these changes efficiently.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Our business depends on regulatory authorizations issued by the FCC and state and foreign regulators that can expire, be revoked or modified, and applications for licenses and other authorizations that may not be granted.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the FCC were to cancel, revoke, suspend, restrict, significantly condition, or fail to renew any of our licenses or authorizations, or fail to grant our applications for FCC licenses that we may file from time to time, it could have a material adverse effect on our business, financial condition and results of operations. As an example, a loss of a frequency authorization would reduce the amount of spectrum available to us, potentially reducing the amount of offerings available to our subscribers. The materiality of such a loss of authorizations would vary based upon, among other things, the location of the frequency used, or the availability of replacement spectrum. In addition, Congress and other Administrative and Regulatory agencies often consider and enact legislation that affects us and FCC proceedings to implement the Communications Act and enforce its regulations are ongoing. We cannot predict the outcomes of these legislative or regulatory proceedings or their effect on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Generally, all licenses granted by the FCC and most other countries are subject to expiration unless renewed by the regulatory agency. Our satellite licenses are currently set to expire at various times. In addition, we occasionally receive special temporary authorizations that are granted for limited periods of time (e.g., 180 days or less) and subject to possible renewal. Generally, our licenses and special temporary authorizations have been renewed on a routine basis, but there can be no assurance that this will continue.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Changes in levels of U.S. government spending or overall spending priorities could impact, among other things, our business, financial condition and results of operations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derive a portion of our revenue from subscribers who receive benefits under the Affordable Connectivity Program (“ACP”), an FCC benefit program that helps ensure that households can afford access to broadband. Levels of U.S. government spending are very difficult to predict and may be impacted by numerous factors such as, among others, the political environment, macroeconomic conditions and the ability of the U.S. government to enact relevant legislation such as authorization and appropriations bills.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Discontinuation, amendment or repeal of ACP, or replacement of ACP with one having different eligibility requirements and/or funding levels could negatively impact, among other things, our net subscriber activations, which may impact our decision to continue to participate in the program. We cannot predict whether or when any future changes to the ACP may occur, or whether or to what extent those changes may affect our operations or impose additional costs on our business. In addition, the timing of any changes or modifications to ACP could affect our operations and results of operations. For example, a temporary lapse in funding for ACP, as a result of, among other things, temporary government shutdown, could, among other things, result in lower net subscriber activations, even if ACP is ultimately fully funded and approved.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particular, reduced government funding for benefits programs such as ACP would result in a reduction in reimbursements to us. Amendments to or repeal of ACP in whole or in part and/or decisions by the FCC could affect us and the manner in which we are reimbursed by such programs, all of which could materially and adversely affect our business, results of operations and financial condition. Following the FCC’s announcement, ACP stopped accepting new applications and enrollments on February 7, 2024. Barring congressional action to fund ACP, funding may run out as soon as April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RISKS RELATED TO OUR OWNERSHIP</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Our parent, EchoStar, is controlled by one principal stockholder who is our Chairman.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0"/>
        </w:rPr>
        <w:t xml:space="preserve">Charles W. Ergen, our Chairman, beneficially owns approximately 54.0% of EchoStar’s total equity securities (assuming conversion of only the EchoStar Class B common stock beneficially owned by Mr. Ergen into EchoStar Class A common stock and giving effect to the exercise of options held by Mr. Ergen that are either currently exercisable as of, or may become exercisable within 60 days after, March 29, 2024) and beneficially owns approximately </w:t>
      </w:r>
      <w:r>
        <w:rPr>
          <w:rFonts w:ascii="Arial;sans-serif" w:hAnsi="Arial;sans-serif"/>
          <w:b w:val="false"/>
          <w:color w:val="000000"/>
          <w:sz w:val="20"/>
          <w:shd w:fill="FFFFFF" w:val="clear"/>
        </w:rPr>
        <w:t>91.4%</w:t>
      </w:r>
      <w:r>
        <w:rPr>
          <w:color w:val="000000"/>
        </w:rPr>
        <w:t xml:space="preserve"> </w:t>
      </w:r>
      <w:r>
        <w:rPr>
          <w:rFonts w:ascii="Arial;sans-serif" w:hAnsi="Arial;sans-serif"/>
          <w:b w:val="false"/>
          <w:color w:val="000000"/>
          <w:sz w:val="20"/>
        </w:rPr>
        <w:t xml:space="preserve">of the total voting power of all classes of shares of EchoStar (assuming no conversion of any EchoStar Class B common stock and giving effect to the exercise of options held by Mr. Ergen that are either currently exercisable as of, or may become exercisable within 60 days after, March 29, 2024). Through his beneficial ownership of EchoStar’s equity securities, Mr. Ergen has the ability to elect a majority of EchoStar’s directors and to control all other matters requiring the approval of EchoStar’s stockholders. As a result of Mr. Ergen’s voting power, EchoStar is a “controlled company” as defined in the NASDAQ listing rules and, therefore, are not subject to NASDAQ requirements that would otherwise require us to have (i) a majority of independent directors; (ii) a nominating committee composed solely of independent directors; (iii) compensation of our or EchoStar’s executive officers determined by a majority of the independent directors or a compensation committee composed solely of independent directors; (iv) a compensation committee charter which provides the compensation committee with the authority and funding to retain compensation consultants and other advisors; and/or (v) director nominees selected, or recommended for the EchoStar board’s selection, either by a majority of the independent directors or a nominating committee composed solely of independent directors.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Pursuant to the Amended Support Agreement (which was signed as part of the Merger), Mr. Ergen and the other Ergen Stockholders have agreed not to vote, or cause or direct to be voted, the shares of EchoStar Class A Common Stock owned by them, other than with respect to any matter presented to the holders of EchoStar Class A Common Stock on which holders of EchoStar Class B Common Stock are not entitled to vote, for three years following the closing of the Merger, such that the Ergen Stockholders’ voting power of EchoStar will be approximately 90.4% for such three-year period.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pursuant to the Amended Support Agreement, EchoStar and the Ergen Stockholders entered into the Registration Rights Agreement reasonably providing for the registration of the Ergen Stockholders’ shares of EchoStar Class A Common Stock or EchoStar Class B Common Stock received as part of the merger consideration and/or EchoStar Class B Common Stock held by such stockholders immediately prior to the closing of the Merger, at EchoStar’s sole cost and expense.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 may be difficult for a third party to acquire us, even if doing so may be beneficial to EchoStar’s shareholders, because of our and EchoStar’s capital structure.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Certain provisions of EchoStar and our respective articles of incorporation and bylaws, such as a provision that authorizes the issuance of “blank check” preferred stock, which could be issued by our or EchoStar’s board of directors to increase the number of outstanding shares and thwart a takeover attempt and EchoStar’s capital structure with multiple classes of common stock some of which entitle the holders to multiple votes per share, may discourage delay or prevent a change in control of our company that may be considered favorable. Both we and EchoStar also have a significant amount of authorized and unissued stock under our respective articles of incorporation that would allow our respective boards of directors to issue shares to persons friendly to current management, thereby protecting the continuity of management, or which could be used to dilute the stock ownership of persons seeking to obtain control of us. In addition, Charles W. Ergen, our Chairman, has the power to elect all of EchoStar’s directors and control shareholder decisions of EchoStar on matters on which all classes of EchoStar’s common stock vote together, and as our parent, EchoStar in turn holds all of our issued and outstanding equity and has the power to elect all of our directors and control shareholder decision on all matters, all of which may make it impractical for any third party to obtain control of us.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We may face other risks described from time to time in periodic and current reports we file with the SEC.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1C.    CYBERSECURITY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0"/>
          <w:shd w:fill="FFFFFF" w:val="clear"/>
        </w:rPr>
        <w:t>We recognize the importance of assessing, identifying, reviewing and managing material risks associated with cybersecurity threats, as such term is defined in Item 106(a) of Regulation S-K. These risks include, among other things: operational and legal risks including intelle</w:t>
      </w:r>
      <w:r>
        <w:rPr>
          <w:rFonts w:ascii="Arial;sans-serif" w:hAnsi="Arial;sans-serif"/>
          <w:b w:val="false"/>
          <w:color w:val="000000"/>
          <w:sz w:val="20"/>
        </w:rPr>
        <w:t xml:space="preserve">ctual property theft or loss, fraud, extortion, harm to employees or customers and violation of data privacy or security laws. Our framework is informed in part by the National Institute of Standards and Technology (NIST) Cybersecurity Framework (CSF), although this does not imply that we meet all technical standards, specifications or requirements under NIST CSF.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an enterprise-wide information security program designed to identify, protect against, detect, respond to, and recover from cybersecurity risks, threats, and events. Our cyber risk management system contributes significantly to the overall resilience and integrity of our business by, among other things, integrating the risk identification process in all major company initiatives and deployment processes, implementing a unified approach to managing both digital and traditional business risks, making continuous improvements and regularly reporting to management and the Board of Directors as a whole to ensure accountability.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We regularly assess</w:t>
      </w:r>
      <w:r>
        <w:rPr>
          <w:color w:val="000000"/>
        </w:rPr>
        <w:t xml:space="preserve"> </w:t>
      </w:r>
      <w:r>
        <w:rPr>
          <w:rFonts w:ascii="Arial;sans-serif" w:hAnsi="Arial;sans-serif"/>
          <w:b w:val="false"/>
          <w:color w:val="000000"/>
          <w:sz w:val="20"/>
        </w:rPr>
        <w:t xml:space="preserve">risks from cybersecurity and technology threats and monitor our information systems for potential vulnerabilities. We and certain third parties conduct regular reviews and tests of our information security program and also leverage, among other things, audits, tabletop exercises, penetration and vulnerability testing, red team exercises, simulations and other exercises to evaluate the effectiveness of our information security program and improve our security measures and planning. In addition, we evaluate third-party risks and perform third-party risk management to assess, identify and mitigate risks from third parties such as vendors, suppliers and other business partners.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not experienced cyber-attacks or other malicious activities that materially disrupted our business. Any future failure or disruption of our information technology infrastructure and communications systems or those of third parties that we use in our operations, could harm our business. We describe whether and how risks from identified cybersecurity threats, including, but not limited to, as a result of any previous cyber-security incidents, have materially affected or are reasonably likely to materially affect us, including our business strategy, results of operations or financial condition included as part of our risk factor disclosures at Item 1A of this Annual Report on Form 10-K.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Senior Director of Cybersecurity Infrastructure and Threat Hunting, Corporate Cybersecurity leads our information security organization responsible for overseeing our information security program. This individual has over 20 years of experience in various roles involving security, including risk management and security leadership. Team members who support our information security program have relevant educational and industry experience, including, but not limited to, holding similar positions at large technology companies. The team provides regular reports to senior management and other relevant teams, including, but not limited to, the Chief Executive Officer (“CEO”), Chief Operating Officer (“COO”), and Chief Legal Officer (“CLO”).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Preparation for and, where possible prevention of cybersecurity incidents involves regular and structured briefings to key management on risk remediation measures that should be taken to decrease, among other things, the likelihood and severity of incidents and to mitigate and manage their effects. The CEO, COO, CLO and other members of management receive detailed updates on cybersecurity risks on a regular basis, no less frequently than monthly, or when significant risks or incidents are identified. These briefings enable the management team to, among other things, stay informed of the latest threats, assess the effectiveness of current security measures and make timely decisions on strategic security initiatives. In addition, the Board of Directors is regularly briefed, no less frequently than quarterly, on cybersecurity risks as part of its oversight functions and to ensure that cybersecurity practices align with the company’s overall risk management framework and business objectives. In connection with the Integration, we anticipate that we will continue to evaluate and address as needed our cyber security risk management, policies, structure, strategies and governance to meet our needs.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2.    PROPERTIES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principal executive offices are located at 9601 South Meridian Boulevard, Englewood, Colorado 80112-5308 and our telephone number is (303) 723-1000. We operate various facilities in the United States and abroad. We believe that our facilities are well maintained and are sufficient to meet our current and projected needs.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97"/>
        <w:gridCol w:w="635"/>
        <w:gridCol w:w="624"/>
        <w:gridCol w:w="109"/>
        <w:gridCol w:w="109"/>
        <w:gridCol w:w="109"/>
        <w:gridCol w:w="578"/>
        <w:gridCol w:w="578"/>
        <w:gridCol w:w="581"/>
        <w:gridCol w:w="109"/>
        <w:gridCol w:w="109"/>
        <w:gridCol w:w="109"/>
        <w:gridCol w:w="1693"/>
        <w:gridCol w:w="1630"/>
        <w:gridCol w:w="2335"/>
      </w:tblGrid>
      <w:tr>
        <w:trPr/>
        <w:tc>
          <w:tcPr>
            <w:tcW w:w="89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Segment(s)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6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Function</w:t>
            </w:r>
          </w:p>
        </w:tc>
      </w:tr>
      <w:tr>
        <w:trPr/>
        <w:tc>
          <w:tcPr>
            <w:tcW w:w="2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Englewood, Colorado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ESS/Corporate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headquarters and ESS operations</w:t>
            </w:r>
          </w:p>
        </w:tc>
      </w:tr>
      <w:tr>
        <w:trPr/>
        <w:tc>
          <w:tcPr>
            <w:tcW w:w="2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Germantown, Maryland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Hughes corporate headquarters, engineering offices, network operations and shared hubs</w:t>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Griesheim, Germany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Shared hub, operations, administrative offices and warehouse</w:t>
            </w:r>
          </w:p>
        </w:tc>
      </w:tr>
      <w:tr>
        <w:trPr/>
        <w:tc>
          <w:tcPr>
            <w:tcW w:w="2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Gilbert, Arizona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Gateways</w:t>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San Diego,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Engineering and sales offices</w:t>
            </w:r>
          </w:p>
        </w:tc>
      </w:tr>
      <w:tr>
        <w:trPr/>
        <w:tc>
          <w:tcPr>
            <w:tcW w:w="2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Englewood, Colorado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Gateways and equipment</w:t>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Gaithersburg, Maryland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Engineering and administrative offices</w:t>
            </w:r>
          </w:p>
        </w:tc>
      </w:tr>
      <w:tr>
        <w:trPr/>
        <w:tc>
          <w:tcPr>
            <w:tcW w:w="2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Germantown,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Manufacturing and testing facilities, logistics, and administrative offices</w:t>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Southfield, Michigan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Shared hub and regional network management center</w:t>
            </w:r>
          </w:p>
        </w:tc>
      </w:tr>
      <w:tr>
        <w:trPr/>
        <w:tc>
          <w:tcPr>
            <w:tcW w:w="2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Las Vegas, Nevada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Shared hub, antennae yards, gateway, backup network operation and control center for Hughes corporate headquarters</w:t>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Cheyenne, Wyoming</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Hughes/ESS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Gateways, equipment and ESS operations</w:t>
            </w:r>
          </w:p>
        </w:tc>
      </w:tr>
      <w:tr>
        <w:trPr/>
        <w:tc>
          <w:tcPr>
            <w:tcW w:w="2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Barueri, Brazil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Shared hub</w:t>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Sao Paulo, Brazil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Hughes Brazil corporate headquarters, sales offices and warehouse</w:t>
            </w:r>
          </w:p>
        </w:tc>
      </w:tr>
      <w:tr>
        <w:trPr/>
        <w:tc>
          <w:tcPr>
            <w:tcW w:w="2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Bangalore, India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Engineering office and office space</w:t>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Gurgaon, India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Administrative offices, shared hub, operations, warehouse, and development center</w:t>
            </w:r>
          </w:p>
        </w:tc>
      </w:tr>
      <w:tr>
        <w:trPr/>
        <w:tc>
          <w:tcPr>
            <w:tcW w:w="2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Delhi, India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Hughes India corporate headquarters</w:t>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Milton Keynes, 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Hughes Europe corporate headquarters and operations</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3.    LEGAL PROCEEDINGS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See Note 18 in the Notes to our Consolidated Financial Statements in this Annual Report on Form 10-K for information regarding certain legal proceedings in which we are involved.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color w:val="000000"/>
          <w:sz w:val="20"/>
        </w:rPr>
        <w:t>ITEM 5.</w:t>
      </w:r>
      <w:r>
        <w:rPr>
          <w:color w:val="000000"/>
        </w:rPr>
        <w:t>    </w:t>
      </w:r>
      <w:r>
        <w:rPr>
          <w:rFonts w:ascii="Arial;sans-serif" w:hAnsi="Arial;sans-serif"/>
          <w:b/>
          <w:color w:val="000000"/>
          <w:sz w:val="20"/>
        </w:rPr>
        <w:t>MARKET FOR REGISTRANT’S COMMON EQUITY, RELATED STOCKHOLDER MATTERS AND ISSUER PURCHASES OF EQUITY SECURITIES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i/>
          <w:color w:val="000000"/>
          <w:sz w:val="20"/>
        </w:rPr>
        <w:t>Market Information.</w:t>
      </w:r>
      <w:r>
        <w:rPr>
          <w:color w:val="000000"/>
        </w:rPr>
        <w:t xml:space="preserve">  </w:t>
      </w:r>
      <w:r>
        <w:rPr>
          <w:rFonts w:ascii="Arial;sans-serif" w:hAnsi="Arial;sans-serif"/>
          <w:b w:val="false"/>
          <w:color w:val="000000"/>
          <w:sz w:val="20"/>
        </w:rPr>
        <w:t>As of March 29, 2024, all of our 1,078 issued and outstanding shares of common stock were held by EchoStar. There is currently no established trading market for our common stock. Our Articles of Incorporation authorize the issuance of 1,000,000 shares of preferred stock and as of March 29, 2024, no shares of our preferred stock were issued and outstanding.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i/>
          <w:color w:val="000000"/>
          <w:sz w:val="20"/>
        </w:rPr>
        <w:t>Dividends.</w:t>
      </w:r>
      <w:r>
        <w:rPr>
          <w:color w:val="000000"/>
        </w:rPr>
        <w:t xml:space="preserve"> </w:t>
      </w:r>
      <w:r>
        <w:rPr>
          <w:rFonts w:ascii="Arial;sans-serif" w:hAnsi="Arial;sans-serif"/>
          <w:b w:val="false"/>
          <w:color w:val="000000"/>
          <w:sz w:val="20"/>
        </w:rPr>
        <w:t>On March 17, 2022, our Board of Directors declared and approved payment of a cash dividend on our outstanding common stock to our shareholder and parent, EchoStar, in the amount of $100.0 million.</w:t>
      </w:r>
      <w:r>
        <w:rPr>
          <w:color w:val="000000"/>
        </w:rPr>
        <w:t xml:space="preserve"> </w:t>
      </w:r>
      <w:r>
        <w:rPr>
          <w:rFonts w:ascii="Arial;sans-serif" w:hAnsi="Arial;sans-serif"/>
          <w:b w:val="false"/>
          <w:color w:val="000000"/>
          <w:sz w:val="20"/>
        </w:rPr>
        <w:t>Payment of this dividend was made in the first quarter of 2022.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February 15, 2024, our Board of Directors declared and approved payment of a cash dividend on our outstanding common stock to our shareholder and parent, EchoStar, in the amount of $529.0 million. Payment of the dividend was made in the first quarter of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12, 2024, our Board of Directors declared and approved payment of a cash dividend on our outstanding common stock to our shareholder and parent, EchoStar, in the amount of $500.0 million. Payment of the dividend was made in the first quarter of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While we currently do not intend to declare additional dividends on our common stock, we may elect to do so from time to time. Payment of any future dividends will depend upon our earnings, capital requirements, contractual restrictions and other factors the Board of Directors considers appropriate. We currently intend to retain our earnings, if any, to support operations, future growth and expansion. Our ability to declare dividends is affected by the covenants in our indentures.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RESERVED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7.    MANAGEMENT’S NARRATIVE ANALYSIS OF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Management’s Narrative Analysis of Results of Operations (“Management’s Narrative Analysis”) should be read in conjunction with our Consolidated Financial Statements. This Management’s Narrative Analysis is intended to help provide an understanding of our financial condition, changes in our financial condition and our results of operations. Many of the statements in this Management’s Narrative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of this Annual Report on Form 10-K for further discussion. For a discussion of additional risks, uncertainties and other factors that could impact our results of operations or financial condition, see Item 1A. Risk Factors of this Annual Report on Form 10-K. Furthermore, such forward-looking statements speak only as of the date of this Annual Report on Form 10-K and we expressly disclaim any obligation to update any forward-looking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EXECUTIVE SUMMARY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an industry leader in both networking technologies and services, innovating to deliver the solutions that power a connected future for people, enterprises and things everywhere. We provide broadband services to consumer customers, which include home and small to medium-sized businesses. We also provide satellite and multi-transport technologies and managed network services to telecommunications providers, aeronautical service providers, civilian and defense government entities, and other enterprise customers.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EchoStar XXIV satellite began service in December 2023, bringing additional broadband capacity to North and South America. We will leverage EchoStar XXIV to serve the unserved and underserved consumer markets in the Americas as well as enterprise and government markets.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design, provide and install gateway and terminal equipment to customers for other satellite systems. In addition, we design, develop, construct and provide telecommunication networks comprising satellite ground segment systems and terminals to mobile system operators and other enterprise customers. We also offer a robust suite of integrated, multi-transport solutions to enable airline and airline service providers to deliver reliable in-flight network connectivity serving both commercial and business aviation.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industry continues to evolve with the increasing worldwide demand for broadband internet access for information, entertainment and commerce. In addition to fiber and wireless systems, technologies such as geostationary high throughput satellites, low-earth orbit (“LEO”) networks, medium-earth orbit (“MEO”) systems and multi-transport networks using combinations of technologies are expected to continue to play significant roles in enabling global connectivity, networks and services. We expect demand for broadband internet access, connectivity, networking and related value-added services will continue to grow across all major end-user sectors – consumer, businesses, enterprises and government. We intend to use our expertise, technologies, capital, investments, global presence, relationships and other capabilities to continue to provide broadband internet systems, equipment, networks and managed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amounts presented in this Management’s Narrative Analysis are expressed in thousands of U.S. dollars, except share and per share amounts and unless otherwise noted.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December 31, 2023, EchoStar completed the acquisition of DISH Network Corporation (“DISH Network”) pursuant to the Amended and Restated Agreement and Plan of Merger, dated as of October 2, 2023 (the “Amended Merger Agreement”), by and among EchoStar, EAV Corp., a Nevada corporation and its wholly owned subsidiary (“Merger Sub”), and DISH Network, pursuant to which EchoStar acquired DISH Network by means of the merger of Merger Sub with and into DISH Network (the “Merger”), with DISH Network surviving the Merger as EchoStar’s wholly owned subsidiary.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the terms and subject to the conditions set forth in the Amended Merger Agreement, on December 31, 2023, at 11:59 p.m. ET (the “Effective Time”), each share of DISH Network Class A common stock, par value $0.01 per share (“DISH Network Class A Common Stock”) and DISH Network Class C common stock, par value $0.01 per share (“DISH Network Class C Common Stock”) outstanding immediately prior to the Effective Time, was converted into the right to receive a number of validly issued, fully paid and non-assessable shares of EchoStar Class A common stock, par value $0.001 per share (“EchoStar Class A Common Stock”) equal to 0.350877 (the “Exchange Ratio”). On the terms and subject to the conditions set forth in the Amended Merger Agreement, at the Effective Time, each share of DISH Network Class B common stock, par value $0.01 per share (“DISH Network Class B Common Stock” and, together with DISH Network Class A Common Stock and DISH Network Class C Common Stock, “DISH Network Common Stock”), outstanding immediately prior to the Effective Time was converted into the right to receive a number of validly issued, fully paid and non-assessable shares of EchoStar Class B common stock, par value $0.001 per share (the “EchoStar Class B Common Stock” and, together with the EchoStar Class A Common Stock, the “EchoStar Common Stock”), equal to the Exchange Ratio. Any shares of DISH Network Common Stock that were held in DISH Network’s treasury or held directly by EchoStar or Merger Sub immediately prior to the Effective Time were cancelled and cease to exist and no consideration was paid in respect thereof. All shares of the DISH Network Class A Common Stock were delisted from the Nasdaq Global Select Market (“NASDAQ”) and deregistered under the Securities Exchange Act of 1934, as amended.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EchoStar Common Stock issued to the Ergen DISH Stockholders (as defined in the Amended Merger Agreement) as Merger consideration was issued through a private placement exemption from registration under the Securities Act of 1933, as amended (the “Securities Act”). At the Effective Time, each share of DISH Network Class A Common Stock owned by the Ergen DISH Stockholders immediately prior to the Effective Time was converted into the right to receive a number of shares of EchoStar Class A Common Stock equal to the Exchange Ratio, and (b) each share of DISH Network Class B Common Stock owned by the Ergen DISH Stockholders immediately prior to the Effective Time was converted into the right to receive a number of shares of EchoStar Class B Common Stock equal to the Exchange Ratio.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Concurrently with the entry into the Amended Merger Agreement, the Ergen EchoStar Stockholders (as defined in the Amended Merger Agreement), the Ergen DISH Stockholders (collectively, the “Ergen Stockholders”), EchoStar and DISH Network entered into an amended and restated support agreement (the “Amended Support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completion of the Merger, and pursuant to the Amended and Restated Support Agreement, the Ergen Stockholders, EchoStar and DISH Network, on December 31, 2023, EchoStar and the Ergen Stockholders entered into a registration rights agreement (the “Registration Rights Agreement”). The Registration Rights Agreement provides the Ergen Stockholders, and their affiliates who become parties thereto, with certain registration rights relating to the shares of EchoStar Common Stock, which they beneficially own, including (i) the right to demand shelf registration as well as registration on long and short form registration statements and (ii) “piggyback” registration rights to be included in future registered offerings by us of our equity securities, in each case, subject to certain requirements and customary conditions. The Registration Rights Agreement sets forth customary registration procedures, including an agreement by EchoStar to make appropriate officers available to participate in roadshow presentations and cooperate as reasonably requested in connection with any underwritten offerings. EchoStar also agreed to indemnify the Ergen Stockholders and their affiliates with respect to liabilities resulting from untrue statements or omissions in any registration statement used in any such registration, other than untrue statements or omissions based on or contained in information furnished to EchoStar for use in a registration statement by a participating stockholder.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more information and a copy of the Amended Merger Agreement, the Amended Support Agreement and the Registration Rights Agreement, see the Form 8</w:t>
        <w:noBreakHyphen/>
        <w:t>K of EchoStar Corporation filed on October 3, 2023 and the Form 8</w:t>
        <w:noBreakHyphen/>
        <w:t xml:space="preserve">K of EchoStar Corporation filed on January 2, 2024.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With the Merger complete, EchoStar is currently focused on the Integration.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currently operate in two business segments: our Hughes segment and our ESS segment. These business segments are consistent with the way we make decisions regarding the allocation of resources, as well as how operating results are reviewed by our CODM.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operations also include various corporate functions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in our segment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Hughes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Hughes segment is an industry leader in both networking technologies and services, innovating to deliver the solutions that power a connected future for people, enterprises and things everywhere. We provide broadband services to consumer customers, which include home and small to medium-sized businesses. We also provide satellite and multi-transport technologies and managed network services to telecommunications providers, aeronautical service providers, civilian and defense government entities, and other enterprise customers.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design, provide and install gateway and terminal equipment to customers for other satellite systems. In addition, we design, develop, construct and provide telecommunication networks comprising satellite ground segment systems and terminals to mobile system operators and other enterprise customers. We also offer a robust suite of integrated, multi-transport solutions to enable airline and airline service providers to deliver reliable in-flight network connectivity serving both commercial and business aviation.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Hughes segment continues to focus its efforts on optimizing financial returns of our existing satellites while planning for new satellite capacity to be launched, leased or acquired. Our consumer revenue growth depends on our success in adding new and retaining existing subscribers, as well as increasing our Average Revenue Per User/subscriber (“ARPU”). Service and acquisition costs related to ongoing support for our direct and indirect customers and partners are typically impacted most significantly by our growth. The growth of our enterprise and consumer businesses relies heavily on global economic conditions and the competitive landscape for pricing relative to competitors and alternative technologies. Prior to the launch of EchoStar XXIV, we were nearing or had reached capacity in most areas of the U.S., which constrained growth within our consumer subscriber base. Growth within our Latin America consumer subscriber base in certain areas had also become capacity constrained. These constraints have been addressed by the EchoStar XXIV satellite.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EchoStar XXIV satellite began service in December 2023, bringing additional broadband capacity across North and South America and is expected to be an integral part of our satellite service business. The satellite brings further consumer broadband capacity across North and South America and generate additional sales in other markets, including in-flight Wi-Fi, enterprise networking and cellular back haul for mobile network operators across the two continents. We currently lease the capacity of EchoStar XXIV from an affiliate of ours, EchoStar XXIV L.L.C., effective December 2023.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broadband subscribers include customers that subscribe to our HughesNet services in the U.S. and Latin America through retail, wholesale and small/medium enterprise service channels.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approximate number of broadband subscribers:</w:t>
      </w:r>
    </w:p>
    <w:p>
      <w:pPr>
        <w:pStyle w:val="TextBody"/>
        <w:bidi w:val="0"/>
        <w:spacing w:before="0" w:after="0"/>
        <w:jc w:val="both"/>
        <w:rPr/>
      </w:pPr>
      <w:r>
        <w:rPr/>
      </w:r>
    </w:p>
    <w:tbl>
      <w:tblPr>
        <w:tblW w:w="7315" w:type="dxa"/>
        <w:jc w:val="left"/>
        <w:tblInd w:w="0" w:type="dxa"/>
        <w:tblLayout w:type="fixed"/>
        <w:tblCellMar>
          <w:top w:w="28" w:type="dxa"/>
          <w:left w:w="28" w:type="dxa"/>
          <w:bottom w:w="28" w:type="dxa"/>
          <w:right w:w="28" w:type="dxa"/>
        </w:tblCellMar>
      </w:tblPr>
      <w:tblGrid>
        <w:gridCol w:w="934"/>
        <w:gridCol w:w="821"/>
        <w:gridCol w:w="825"/>
        <w:gridCol w:w="109"/>
        <w:gridCol w:w="109"/>
        <w:gridCol w:w="109"/>
        <w:gridCol w:w="510"/>
        <w:gridCol w:w="511"/>
        <w:gridCol w:w="176"/>
        <w:gridCol w:w="126"/>
        <w:gridCol w:w="126"/>
        <w:gridCol w:w="126"/>
        <w:gridCol w:w="510"/>
        <w:gridCol w:w="511"/>
        <w:gridCol w:w="176"/>
        <w:gridCol w:w="126"/>
        <w:gridCol w:w="126"/>
        <w:gridCol w:w="126"/>
        <w:gridCol w:w="510"/>
        <w:gridCol w:w="511"/>
        <w:gridCol w:w="237"/>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1,090,000 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372,000 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broadband subscribers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1,004,000 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1,228,000 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1,462,000 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approximate number of net subscriber losses for each quarter in 2023:</w:t>
      </w:r>
    </w:p>
    <w:p>
      <w:pPr>
        <w:pStyle w:val="TextBody"/>
        <w:bidi w:val="0"/>
        <w:spacing w:before="0" w:after="0"/>
        <w:jc w:val="both"/>
        <w:rPr/>
      </w:pPr>
      <w:r>
        <w:rPr/>
      </w:r>
    </w:p>
    <w:tbl>
      <w:tblPr>
        <w:tblW w:w="8950" w:type="dxa"/>
        <w:jc w:val="left"/>
        <w:tblInd w:w="0" w:type="dxa"/>
        <w:tblLayout w:type="fixed"/>
        <w:tblCellMar>
          <w:top w:w="28" w:type="dxa"/>
          <w:left w:w="28" w:type="dxa"/>
          <w:bottom w:w="28" w:type="dxa"/>
          <w:right w:w="28" w:type="dxa"/>
        </w:tblCellMar>
      </w:tblPr>
      <w:tblGrid>
        <w:gridCol w:w="896"/>
        <w:gridCol w:w="787"/>
        <w:gridCol w:w="791"/>
        <w:gridCol w:w="109"/>
        <w:gridCol w:w="109"/>
        <w:gridCol w:w="109"/>
        <w:gridCol w:w="434"/>
        <w:gridCol w:w="434"/>
        <w:gridCol w:w="436"/>
        <w:gridCol w:w="127"/>
        <w:gridCol w:w="127"/>
        <w:gridCol w:w="127"/>
        <w:gridCol w:w="459"/>
        <w:gridCol w:w="459"/>
        <w:gridCol w:w="461"/>
        <w:gridCol w:w="127"/>
        <w:gridCol w:w="127"/>
        <w:gridCol w:w="127"/>
        <w:gridCol w:w="404"/>
        <w:gridCol w:w="406"/>
        <w:gridCol w:w="276"/>
        <w:gridCol w:w="127"/>
        <w:gridCol w:w="127"/>
        <w:gridCol w:w="127"/>
        <w:gridCol w:w="404"/>
        <w:gridCol w:w="406"/>
        <w:gridCol w:w="427"/>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(49,000)</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(45,000)</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(44,000)</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(41,000)</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(14,000)</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subscriber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(59,000)</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(59,000)</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(55,000)</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(51,000)</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net subscriber losses both in the United States and Latin America primarily resulted from our past capacity limitations, competitive pressure from satellite-based competitors and other technologies, and our emphasis on acquiring and retaining higher quality subscribers.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continued to execute our strategy of maximizing financial returns by utilizing capacity for higher economic value enterprise and government applications. Continued success of this strategy will further reduce the available capacity for consumer subscribers.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December 31, 2023 and 2022, our Hughes segment had approximately $1.970 billion and $1.540 billion of contracted revenue backlog, respectively, an increase of approximately 30.0% during that period, primarily due to an increase in contracts from our domestic enterprise customers. Of the total Hughes segment contracted revenue backlog as of December 31, 2023, we expect to recognize approximately $541 million of revenue in 2024. We define Hughes segment contracted revenue backlog as our expected future revenue under enterprise customer contracts that are non-cancelable, including lease revenue.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Goodwill Impairment Assessment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During the fourth quarter in 2023, we recorded a noncash impairment charge of $533 million related to our goodwill. See </w:t>
      </w:r>
      <w:r>
        <w:rPr>
          <w:rFonts w:ascii="Arial;sans-serif" w:hAnsi="Arial;sans-serif"/>
          <w:b w:val="false"/>
          <w:i/>
          <w:color w:val="000000"/>
          <w:sz w:val="20"/>
        </w:rPr>
        <w:t>Note 2.</w:t>
      </w:r>
      <w:r>
        <w:rPr>
          <w:color w:val="000000"/>
        </w:rPr>
        <w:t xml:space="preserve"> </w:t>
      </w:r>
      <w:r>
        <w:rPr>
          <w:rFonts w:ascii="Arial;sans-serif" w:hAnsi="Arial;sans-serif"/>
          <w:b w:val="false"/>
          <w:i/>
          <w:color w:val="000000"/>
          <w:sz w:val="20"/>
        </w:rPr>
        <w:t xml:space="preserve">Summary of Significant Accounting Policies </w:t>
      </w:r>
      <w:r>
        <w:rPr>
          <w:rFonts w:ascii="Arial;sans-serif" w:hAnsi="Arial;sans-serif"/>
          <w:b w:val="false"/>
          <w:color w:val="000000"/>
          <w:sz w:val="20"/>
        </w:rPr>
        <w:t xml:space="preserve">in the Notes to our Consolidated Financial Statements in this Annual Report on Form 10-K for further information. The impairment of goodwill has no effect on liquidity or capital resources.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ESS Segment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satellite services business depends largely on our ability to make continuous use of our available satellite capacity on behalf of existing customers and our ability to enter into commercial relationships with new customers.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December 31, 2023 and 2022, our ESS segment had contracted revenue backlog of approximately $10 million and $22 million, respectively, a decrease of approximately 55% during that period, primarily due to the recognition of revenue of existing contracts. Of the total ESS segment contracted revenue backlog as of December 31, 2023, we expect to recognize $8 million of revenue in 2024. We define contracted revenue backlog for our ESS segment as contracted future satellite lease revenue.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Satellite Anomalies and Impairments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second quarter of 2023, we reduced the estimated useful life of the Al Yah 3 satellite, which serves our Brazilian customers, as a result of certain technical anomalies. In order to safeguard the future operability of the satellite, the Company has, in conjunction with recommendations from the satellite manufacturer, implemented immediate and long-term remedial actions. A revised estimate of the satellite’s remaining lifetime has been calculated using operational data of two previous quarters. Although the anomalies are expected to shorten the remaining useful life of the satellite, they have not affected its current operation.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not aware of any other anomalies to our owned or leased satellites as of December 31, 2023. There can be no assurance, however, that anomalies will not have a significant adverse effect in the future. In addition, there can be no assurance that we can recover critical transmission capacity in the event one or more of our satellites were to fail.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Cybersecurity</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not aware of any cyber-incidents with respect to our owned or leased satellites or other networks, equipment or systems that have had a material adverse effect on our business, costs, operations, prospects, results of operation or financial position during the year ended December 31, 2023 and through April 1, 2024. There can be no assurance, however, that any such incident can be detected or thwarted or will not have such a material adverse effect in the future.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Other Developments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Operational 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primarily rely on our existing cash and marketable investment securities balances, as well as cash flow generated through our operations, to fund our business operations.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ARPU. Revenue in our enterprise and equipment businesses relies heavily on global economic conditions and the competitive landscape for pricing relative to competitors and alternative technologies. There can be no assurance that we will have positive cash flows from operations. Furthermore, if we experience negative cash flows, our existing cash and marketable investment securities balances may be reduced. We anticipate that our existing cash and marketable investment securities are sufficient to fund the currently anticipated operations of our business through the next twelve months.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Debt Issuances and Maturity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July 27, 2016, we issued $750 million aggregate principal amount of 5 1/4% Senior Secured Notes at an issue price of 100.0% due August 1, 2026. Interest accrues at an annual rate of 5 1/4% and is payable semi-annually in cash, in arrears, on February 1 and August 1 of each year.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27, 2016, we issued $750 million aggregate principal amount of 6 5/8% Senior Unsecured Notes at an issue price of 100.0% due August 1, 2026. Interest accrues at an annual rate of 6 5/8% and is payable semi-annually in cash, in arrears, on February 1 and August 1 of each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Future 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made cash distributions to partially finance the consolidated operations and debt service payment obligation of our parent company, EchoStar, and its subsidiaries. On February 15, 2024, the Company’s Board of Directors declared and approved payment of a cash dividend on the Company’s outstanding stock to our shareholder and parent, EchoStar, in the amount of $529 million. On March 12, 2024, the Company’s Board of Directors declared and approved payment of a cash dividend on the Company’s outstanding common stock to its shareholder and parent, EchoStar, in the amount of $500 million. Payment of both dividends was made in the first quarter of 2024.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While we currently do not intend to declare additional dividends on our common stock, we may elect to do so from time to time. Payment of any future dividends will depend upon our earnings, capital requirements, contractual restrictions and other factors the Board of Directors considers appropriate. We currently intend to retain our earnings, if any, to support operations, future growth and expansion. Our ability to declare dividends is affected by the covenants in our indentures.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may make additional funds available to EchoStar in the form of loans to finance, in whole or in part, EchoStar’s future operations and debt service obligations. Any such distributions or advances, as well as other factors including, among others, debt maturities, continuing investment in our business, financing acquisitions and other strategic transactions, may reduce the amount of our cash flows available to fund working capital requirements, capital expenditures, acquisitions, investments, debt obligations and other general corporate requirements, and may require us to refinance our existing debt agreements or raise additional capital in the future, which may not be available on acceptable terms, or at all.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Covenants and Restrictions Related to our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subject to the covenants and restrictions set forth in the indentures related to our long-term debt. In particular, the indentures related to our outstanding senior notes and senior secured notes contain restrictive covenants that, among other things, impose limitations on our ability to: (i) incur additional indebtedness; (ii) enter into sale and leaseback transactions; (iii) pay dividends or make distributions on our capital stock or repurchase our capital stock; (iv) make certain investments; (v) create liens; (vi) enter into certain transactions with affiliates; (vii) merge or consolidate with another company; and (viii)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As of the date of filing of this Annual Report on Form 10-K, we were in compliance with the covenants and restrictions related to our respective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Guarantor Financial Information</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Certain of our wholly-owned subsidiaries (together, the “o</w:t>
      </w:r>
      <w:r>
        <w:rPr>
          <w:rFonts w:ascii="Arial;sans-serif" w:hAnsi="Arial;sans-serif"/>
          <w:b w:val="false"/>
          <w:i/>
          <w:color w:val="000000"/>
          <w:sz w:val="20"/>
        </w:rPr>
        <w:t>bligor group</w:t>
      </w:r>
      <w:r>
        <w:rPr>
          <w:color w:val="000000"/>
        </w:rPr>
        <w:t>”</w:t>
      </w:r>
      <w:r>
        <w:rPr>
          <w:rFonts w:ascii="Arial;sans-serif" w:hAnsi="Arial;sans-serif"/>
          <w:b w:val="false"/>
          <w:color w:val="000000"/>
          <w:sz w:val="20"/>
        </w:rPr>
        <w:t>) have fully and unconditionally guaranteed, on a joint and several basis, the obligations of our Notes. See</w:t>
      </w:r>
      <w:r>
        <w:rPr>
          <w:color w:val="000000"/>
        </w:rPr>
        <w:t xml:space="preserve"> </w:t>
      </w:r>
      <w:r>
        <w:rPr>
          <w:rFonts w:ascii="Arial;sans-serif" w:hAnsi="Arial;sans-serif"/>
          <w:b w:val="false"/>
          <w:i/>
          <w:color w:val="000000"/>
          <w:sz w:val="20"/>
        </w:rPr>
        <w:t>Note 13. Long-term Debt</w:t>
      </w:r>
      <w:r>
        <w:rPr>
          <w:color w:val="000000"/>
        </w:rPr>
        <w:t xml:space="preserve"> </w:t>
      </w:r>
      <w:r>
        <w:rPr>
          <w:rFonts w:ascii="Arial;sans-serif" w:hAnsi="Arial;sans-serif"/>
          <w:b w:val="false"/>
          <w:color w:val="000000"/>
          <w:sz w:val="20"/>
        </w:rPr>
        <w:t>in the Notes to our Consolidated Financial Statements in this Annual Report on Form 10-K for further information on our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include summarized financial information of the obligor group. The summarized financial information of the obligor group is presented on a combined basis with balances and transactions within the obligor group eliminated. Investments in and the equity in earnings of non-guarantor subsidiaries, which would otherwise be consolidated in accordance with GAAP, are excluded from the below summarized financial information pursuant to SEC Regulation S-X Rule 13-01.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summarized balance sheet information for the consolidated obligor group of debt issued by HSSC is presented in the table below:</w:t>
      </w:r>
    </w:p>
    <w:p>
      <w:pPr>
        <w:pStyle w:val="TextBody"/>
        <w:bidi w:val="0"/>
        <w:spacing w:before="0" w:after="0"/>
        <w:jc w:val="both"/>
        <w:rPr/>
      </w:pPr>
      <w:r>
        <w:rPr/>
      </w:r>
    </w:p>
    <w:tbl>
      <w:tblPr>
        <w:tblW w:w="6166" w:type="dxa"/>
        <w:jc w:val="left"/>
        <w:tblInd w:w="0" w:type="dxa"/>
        <w:tblLayout w:type="fixed"/>
        <w:tblCellMar>
          <w:top w:w="28" w:type="dxa"/>
          <w:left w:w="28" w:type="dxa"/>
          <w:bottom w:w="28" w:type="dxa"/>
          <w:right w:w="28" w:type="dxa"/>
        </w:tblCellMar>
      </w:tblPr>
      <w:tblGrid>
        <w:gridCol w:w="1237"/>
        <w:gridCol w:w="1090"/>
        <w:gridCol w:w="1093"/>
        <w:gridCol w:w="109"/>
        <w:gridCol w:w="109"/>
        <w:gridCol w:w="109"/>
        <w:gridCol w:w="356"/>
        <w:gridCol w:w="1725"/>
        <w:gridCol w:w="184"/>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1,954,927 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2,781,659 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670,383 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2,725,566 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Due from related parties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Due from non-guarantors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41,324 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Due from related parties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Due from non-guarantors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82,498 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Due to related parties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336,099 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Due to related parties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755,379 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Due to non-guarantors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44,165 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summarized results of operations information for the consolidated obligor group of debt issued by HSSC is presented in the table below:</w:t>
      </w:r>
    </w:p>
    <w:p>
      <w:pPr>
        <w:pStyle w:val="TextBody"/>
        <w:bidi w:val="0"/>
        <w:spacing w:before="0" w:after="0"/>
        <w:jc w:val="both"/>
        <w:rPr/>
      </w:pPr>
      <w:r>
        <w:rPr/>
      </w:r>
    </w:p>
    <w:tbl>
      <w:tblPr>
        <w:tblW w:w="6731" w:type="dxa"/>
        <w:jc w:val="left"/>
        <w:tblInd w:w="0" w:type="dxa"/>
        <w:tblLayout w:type="fixed"/>
        <w:tblCellMar>
          <w:top w:w="28" w:type="dxa"/>
          <w:left w:w="28" w:type="dxa"/>
          <w:bottom w:w="28" w:type="dxa"/>
          <w:right w:w="28" w:type="dxa"/>
        </w:tblCellMar>
      </w:tblPr>
      <w:tblGrid>
        <w:gridCol w:w="1063"/>
        <w:gridCol w:w="937"/>
        <w:gridCol w:w="939"/>
        <w:gridCol w:w="109"/>
        <w:gridCol w:w="109"/>
        <w:gridCol w:w="109"/>
        <w:gridCol w:w="527"/>
        <w:gridCol w:w="2553"/>
        <w:gridCol w:w="385"/>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For the year ended December 31, 2023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1,464,572 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(303,722)</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(346,262)</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non-guarantors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25,823 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14,881 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 non-guarantors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indentures governing our Notes contain restrictive covenants that, among other things, impose limitations on our ability and the ability of certain of our subsidiaries to pay dividends or make distributions, incur additional debt, make certain investments, create liens or enter into sale and leaseback transactions, merge or consolidate with another company, transfer and sell assets, enter into transactions with affiliates or allow to exist certain restrictions on the ability to pay dividends, make distributions, make other payments, or transfer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EXPLANATION OF KEY METRICS AND OTHER ITEMS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i/>
          <w:color w:val="000000"/>
          <w:sz w:val="20"/>
        </w:rPr>
        <w:t>Services and other revenue</w:t>
      </w:r>
      <w:r>
        <w:rPr>
          <w:rFonts w:ascii="Arial;sans-serif" w:hAnsi="Arial;sans-serif"/>
          <w:b w:val="false"/>
          <w:color w:val="000000"/>
          <w:sz w:val="20"/>
        </w:rPr>
        <w:t xml:space="preserve">. Services and other revenue primarily includes the sales of consumer and enterprise broadband services, maintenance and other contracted services, revenue associated with satellite and transponder leases and services, satellite uplinking/downlinking, subscriber wholesale service fees for the HughesNet service, professional services and facilities rental revenue.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Equipment revenue</w:t>
      </w:r>
      <w:r>
        <w:rPr>
          <w:rFonts w:ascii="Arial;sans-serif" w:hAnsi="Arial;sans-serif"/>
          <w:b w:val="false"/>
          <w:color w:val="000000"/>
          <w:sz w:val="20"/>
        </w:rPr>
        <w:t xml:space="preserve">. Equipment revenue primarily includes broadband equipment and networks sold to customers in our consumer and enterprise markets.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 - services and other</w:t>
      </w:r>
      <w:r>
        <w:rPr>
          <w:rFonts w:ascii="Arial;sans-serif" w:hAnsi="Arial;sans-serif"/>
          <w:b w:val="false"/>
          <w:color w:val="000000"/>
          <w:sz w:val="20"/>
        </w:rPr>
        <w:t xml:space="preserve">. Cost of sales - services and other primarily includes the cost of broadband services provided to our consumer and enterprise customers, maintenance and other contracted services, costs associated with satellite and transponder leases and services, professional services and facilities rental expenses.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 - equipment</w:t>
      </w:r>
      <w:r>
        <w:rPr>
          <w:rFonts w:ascii="Arial;sans-serif" w:hAnsi="Arial;sans-serif"/>
          <w:b w:val="false"/>
          <w:color w:val="000000"/>
          <w:sz w:val="18"/>
        </w:rPr>
        <w:t xml:space="preserve">. </w:t>
      </w:r>
      <w:r>
        <w:rPr>
          <w:rFonts w:ascii="Arial;sans-serif" w:hAnsi="Arial;sans-serif"/>
          <w:b w:val="false"/>
          <w:color w:val="000000"/>
          <w:sz w:val="20"/>
        </w:rPr>
        <w:t xml:space="preserve">Cost of sales - equipment consists primarily of the cost of broadband equipment and networks provided to customers in our consumer and enterprise markets. It also includes certain other costs associated with the deployment of equipment to our customers.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i/>
          <w:color w:val="000000"/>
          <w:sz w:val="20"/>
        </w:rPr>
        <w:t>Selling, general and administrative expenses</w:t>
      </w:r>
      <w:r>
        <w:rPr>
          <w:rFonts w:ascii="Arial;sans-serif" w:hAnsi="Arial;sans-serif"/>
          <w:b w:val="false"/>
          <w:color w:val="000000"/>
          <w:sz w:val="20"/>
        </w:rPr>
        <w:t>.</w:t>
      </w:r>
      <w:r>
        <w:rPr>
          <w:color w:val="000000"/>
        </w:rPr>
        <w:t> </w:t>
      </w:r>
      <w:r>
        <w:rPr>
          <w:rFonts w:ascii="Arial;sans-serif" w:hAnsi="Arial;sans-serif"/>
          <w:b w:val="false"/>
          <w:color w:val="000000"/>
          <w:sz w:val="20"/>
        </w:rPr>
        <w:t xml:space="preserve">Selling, general and administrative expenses primarily include selling and marketing costs and employee-related costs associated with administrative services (e.g., information systems, human resources and other services), including bad debt expense and stock-based compensation expense. It also includes professional fees (e.g. legal, information systems and accounting services), and other expenses associated with facilities and administrative services.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i/>
          <w:color w:val="000000"/>
          <w:sz w:val="20"/>
        </w:rPr>
        <w:t>Research and development expenses</w:t>
      </w:r>
      <w:r>
        <w:rPr>
          <w:rFonts w:ascii="Arial;sans-serif" w:hAnsi="Arial;sans-serif"/>
          <w:b w:val="false"/>
          <w:color w:val="000000"/>
          <w:sz w:val="20"/>
        </w:rPr>
        <w:t xml:space="preserve">. Research and development expenses primarily include costs associated with the design and development of products to support future growth and provide new technology and innovation to our customers.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Impairment of long-lived assets and goodwill</w:t>
      </w:r>
      <w:r>
        <w:rPr>
          <w:rFonts w:ascii="Arial;sans-serif" w:hAnsi="Arial;sans-serif"/>
          <w:b w:val="false"/>
          <w:color w:val="000000"/>
          <w:sz w:val="20"/>
        </w:rPr>
        <w:t>. Impairment of long-lived assets and goodwill includes our impairment losses related to our property and equipment, regulatory authorizations, goodwill, and other intangible assets.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Interest income, net</w:t>
      </w:r>
      <w:r>
        <w:rPr>
          <w:rFonts w:ascii="Arial;sans-serif" w:hAnsi="Arial;sans-serif"/>
          <w:b w:val="false"/>
          <w:color w:val="000000"/>
          <w:sz w:val="20"/>
        </w:rPr>
        <w:t xml:space="preserve">. Interest income, net primarily includes interest earned on our cash, cash equivalents and marketable investment securities, and other investments including premium amortization and discount accretion on debt securities, and changes in allowance for estimated credit losses on investments.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Interest expense, net of amounts capitalized</w:t>
      </w:r>
      <w:r>
        <w:rPr>
          <w:rFonts w:ascii="Arial;sans-serif" w:hAnsi="Arial;sans-serif"/>
          <w:b w:val="false"/>
          <w:color w:val="000000"/>
          <w:sz w:val="20"/>
        </w:rPr>
        <w:t xml:space="preserve">. Interest expense, net of amounts capitalized primarily includes interest expense associated with our debt and finance lease obligations (net of capitalized interest), amortization of debt issuance costs and interest expense related to certain legal proceedings.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Gains (losses) on investments, net</w:t>
      </w:r>
      <w:r>
        <w:rPr>
          <w:rFonts w:ascii="Arial;sans-serif" w:hAnsi="Arial;sans-serif"/>
          <w:b w:val="false"/>
          <w:color w:val="000000"/>
          <w:sz w:val="20"/>
        </w:rPr>
        <w:t>. Gains (losses) on investments, net primarily includes changes in fair value of our marketable equity 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Equity in earnings (losses) of unconsolidated affiliates, net</w:t>
      </w:r>
      <w:r>
        <w:rPr>
          <w:rFonts w:ascii="Arial;sans-serif" w:hAnsi="Arial;sans-serif"/>
          <w:b w:val="false"/>
          <w:color w:val="000000"/>
          <w:sz w:val="20"/>
        </w:rPr>
        <w:t>. Equity in earnings (losses) of unconsolidated affiliates, net includes earnings or losses from our investments accounted for using the equity method.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Other-than-temporary impairment losses on equity method investments. </w:t>
      </w:r>
      <w:r>
        <w:rPr>
          <w:rFonts w:ascii="Arial;sans-serif" w:hAnsi="Arial;sans-serif"/>
          <w:b w:val="false"/>
          <w:color w:val="000000"/>
          <w:sz w:val="20"/>
        </w:rPr>
        <w:t>Other-than-temporary impairment losses on equity method investments primarily includes impairment charges for losses on our equity method investments which were deemed permanent in nature.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Foreign currency transaction gains (losses), net</w:t>
      </w:r>
      <w:r>
        <w:rPr>
          <w:rFonts w:ascii="Arial;sans-serif" w:hAnsi="Arial;sans-serif"/>
          <w:b w:val="false"/>
          <w:color w:val="000000"/>
          <w:sz w:val="20"/>
        </w:rPr>
        <w:t xml:space="preserve">. Foreign currency transaction gains (losses), net include gains and losses resulting from the re-measurement of transactions denominated in foreign currencies.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Other, net</w:t>
      </w:r>
      <w:r>
        <w:rPr>
          <w:rFonts w:ascii="Arial;sans-serif" w:hAnsi="Arial;sans-serif"/>
          <w:b w:val="false"/>
          <w:color w:val="000000"/>
          <w:sz w:val="20"/>
        </w:rPr>
        <w:t>. Other, net primarily includes dividends received from our marketable investment securities and other non-operating income and expense items that are not appropriately classified elsewhere in the Consolidated Statements of Operations in our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Earnings before interest, taxes, depreciation and amortization (“EBITDA”)</w:t>
      </w:r>
      <w:r>
        <w:rPr>
          <w:rFonts w:ascii="Arial;sans-serif" w:hAnsi="Arial;sans-serif"/>
          <w:b w:val="false"/>
          <w:color w:val="000000"/>
          <w:sz w:val="20"/>
        </w:rPr>
        <w:t>. EBITDA is defined as Net income (loss) excluding Interest income and expense, net, Income tax benefit (provision), net, Depreciation and amortization, and Net income (loss) attributable to non-controlling interests. EBITDA is not a measure determined in accordance with U.S. generally accepted accounting principles (“GAAP”). This non-GAAP measure is reconciled to Net income (loss) in our discussion of Results of Operations section below. 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Subscribers. </w:t>
      </w:r>
      <w:r>
        <w:rPr>
          <w:rFonts w:ascii="Arial;sans-serif" w:hAnsi="Arial;sans-serif"/>
          <w:b w:val="false"/>
          <w:color w:val="000000"/>
          <w:sz w:val="20"/>
        </w:rPr>
        <w:t>Subscribers include customers that subscribe to our HughesNet service, through retail, wholesale and small/medium enterprise service channels.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Year Ended December 31, 2023 Compared to the Year Ended December 31, 2022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consolidated results of operations for the year ended December 31, 2023 compared to the year ended December 31, 2022:</w:t>
      </w:r>
    </w:p>
    <w:tbl>
      <w:tblPr>
        <w:tblW w:w="10205" w:type="dxa"/>
        <w:jc w:val="left"/>
        <w:tblInd w:w="0" w:type="dxa"/>
        <w:tblLayout w:type="fixed"/>
        <w:tblCellMar>
          <w:top w:w="28" w:type="dxa"/>
          <w:left w:w="28" w:type="dxa"/>
          <w:bottom w:w="28" w:type="dxa"/>
          <w:right w:w="28" w:type="dxa"/>
        </w:tblCellMar>
      </w:tblPr>
      <w:tblGrid>
        <w:gridCol w:w="1445"/>
        <w:gridCol w:w="1269"/>
        <w:gridCol w:w="1272"/>
        <w:gridCol w:w="109"/>
        <w:gridCol w:w="109"/>
        <w:gridCol w:w="109"/>
        <w:gridCol w:w="211"/>
        <w:gridCol w:w="976"/>
        <w:gridCol w:w="271"/>
        <w:gridCol w:w="109"/>
        <w:gridCol w:w="109"/>
        <w:gridCol w:w="109"/>
        <w:gridCol w:w="211"/>
        <w:gridCol w:w="976"/>
        <w:gridCol w:w="271"/>
        <w:gridCol w:w="109"/>
        <w:gridCol w:w="109"/>
        <w:gridCol w:w="109"/>
        <w:gridCol w:w="211"/>
        <w:gridCol w:w="864"/>
        <w:gridCol w:w="109"/>
        <w:gridCol w:w="109"/>
        <w:gridCol w:w="109"/>
        <w:gridCol w:w="109"/>
        <w:gridCol w:w="326"/>
        <w:gridCol w:w="327"/>
        <w:gridCol w:w="158"/>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Variance</w:t>
            </w:r>
          </w:p>
        </w:tc>
      </w:tr>
      <w:tr>
        <w:trPr/>
        <w:tc>
          <w:tcPr>
            <w:tcW w:w="39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Statements of Operations Data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3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1,448,489 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1,629,194 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374,149 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1,747,856 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2,003,343 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(255,487)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services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540,945 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of 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292,290 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of total equipment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389,632 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431,065 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long-lived assets and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532,940 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2,142,837 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1,748,891 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(394,981)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254,452 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Other-than-temporary impairment losses on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(61,101)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(432,312)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(625,663)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 benefit (provision),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(478,438)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HSSC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(461,869)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149,413 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EBITDA</w:t>
            </w:r>
            <w:r>
              <w:rPr>
                <w:color w:val="000000"/>
              </w:rPr>
              <w:t xml:space="preserve">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696,493 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Subscribers,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1,004,000 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1,228,000 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(224,000)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Percentage is not meaningful.</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(1)    An explanation of our key metrics is included in Explanation of Key Metrics and Other Items.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    A reconciliation of EBITDA to Net income (loss), the most directly comparable GAAP measure in our Consolidated Financial Statements, is included in Results of Operations. For further information on our use of EBITDA, see Explanation of Key Metrics and Other Items.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discussion relates to our results of operations for the year ended December 31, 2023 compared to the year ended December 31, 2022:</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Services and other revenue</w:t>
      </w:r>
      <w:r>
        <w:rPr>
          <w:rFonts w:ascii="Arial;sans-serif" w:hAnsi="Arial;sans-serif"/>
          <w:b w:val="false"/>
          <w:color w:val="000000"/>
          <w:sz w:val="20"/>
        </w:rPr>
        <w:t>. Services and other revenue totaled $1.448 billion for the year ended December 31, 2023, a decrease of $181 million, or 11.1%, as compared to 2022. The decrease was primarily attributable to our Hughes segment related to lower sales of broadband services to our consumer and North American enterprise customers of $184 million, partially offset by a net increase in broadband services sales to our international enterprise customers of $11 million.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20"/>
        </w:rPr>
        <w:t xml:space="preserve">Equipment revenue. </w:t>
      </w:r>
      <w:r>
        <w:rPr>
          <w:rFonts w:ascii="Arial;sans-serif" w:hAnsi="Arial;sans-serif"/>
          <w:b w:val="false"/>
          <w:color w:val="000000"/>
          <w:sz w:val="20"/>
        </w:rPr>
        <w:t xml:space="preserve">Equipment revenue totaled $299 million for the year ended December 31, 2023, a decrease of $75 million, or 20.0%, as compared to 2022. The decrease was primarily attributable to a net decrease of $44 million related to our North American enterprise customers due to lower hardware sales and positive adjustments on certain long-term contracts and a $35 million net decrease in hardware sales to our international enterprise customers, partially offset by an increase of $7 million in sales to our mobile satellite system customers.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 - services and other</w:t>
      </w:r>
      <w:r>
        <w:rPr>
          <w:rFonts w:ascii="Arial;sans-serif" w:hAnsi="Arial;sans-serif"/>
          <w:b w:val="false"/>
          <w:color w:val="000000"/>
          <w:sz w:val="20"/>
        </w:rPr>
        <w:t>. Cost of sales - services and other totaled $541 million for the year ended December 31, 2023, a decrease of $22 million, or 3.9%, as compared to 2022. The decrease was primarily attributable to the corresponding decrease in service and other revenue.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Cost of sales - equipment. </w:t>
      </w:r>
      <w:r>
        <w:rPr>
          <w:rFonts w:ascii="Arial;sans-serif" w:hAnsi="Arial;sans-serif"/>
          <w:b w:val="false"/>
          <w:color w:val="000000"/>
          <w:sz w:val="20"/>
        </w:rPr>
        <w:t>Cost of sales - equipment totaled $239 million for the year ended December 31, 2023, a decrease of $53 million, or 18.1%, as compared to 2022. The decrease was primarily attributable to the corresponding decrease in equipment revenue.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i/>
          <w:color w:val="000000"/>
          <w:sz w:val="20"/>
        </w:rPr>
        <w:t>Selling, general and administrative expenses</w:t>
      </w:r>
      <w:r>
        <w:rPr>
          <w:rFonts w:ascii="Arial;sans-serif" w:hAnsi="Arial;sans-serif"/>
          <w:b w:val="false"/>
          <w:color w:val="000000"/>
          <w:sz w:val="20"/>
        </w:rPr>
        <w:t>. Selling, general and administrative expenses totaled $411 million for the year ended December 31, 2023, a decrease of $19 million, or 4.4%, as compared to 2022. The decrease was primarily attributable to decreases in sales and marketing expenses of $24 million.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Depreciation and amortization. </w:t>
      </w:r>
      <w:r>
        <w:rPr>
          <w:rFonts w:ascii="Arial;sans-serif" w:hAnsi="Arial;sans-serif"/>
          <w:b w:val="false"/>
          <w:color w:val="000000"/>
          <w:sz w:val="20"/>
        </w:rPr>
        <w:t>Depreciation and amortization expenses totaled $390 million for the year ended December 31, 2023, a decrease of $41 million, or 9.6%, as compared to 2022. The decrease was primarily attributable to decreases in non-satellite depreciation expense of $48 million, partially offset by an increase in satellite depreciation related to the Al Yah 3 satellite.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Impairment of long-lived assets and goodwill. </w:t>
      </w:r>
      <w:r>
        <w:rPr>
          <w:rFonts w:ascii="Arial;sans-serif" w:hAnsi="Arial;sans-serif"/>
          <w:b w:val="false"/>
          <w:color w:val="000000"/>
          <w:sz w:val="20"/>
        </w:rPr>
        <w:t>Impairment of long-lived assets and goodwill totaled $533 million for the year ended December 31, 2023. The increase is driven by a $533 million noncash impairment charge to goodwill. See Note 2 to the Notes to our Consolidated Financial Statements in this Annual Report on Form 10-K for further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Interest income, net</w:t>
      </w:r>
      <w:r>
        <w:rPr>
          <w:rFonts w:ascii="Arial;sans-serif" w:hAnsi="Arial;sans-serif"/>
          <w:b w:val="false"/>
          <w:color w:val="000000"/>
          <w:sz w:val="20"/>
        </w:rPr>
        <w:t>. Interest income, net totaled $85 million for the year ended December 31, 2023, an increase of $54 million, as compared to 2022, primarily attributable to increases in the yield on our marketable investment securities and an increase in our marketable investment securities average balance.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Interest expense, net of amounts capitalized</w:t>
      </w:r>
      <w:r>
        <w:rPr>
          <w:rFonts w:ascii="Arial;sans-serif" w:hAnsi="Arial;sans-serif"/>
          <w:b w:val="false"/>
          <w:color w:val="000000"/>
          <w:sz w:val="20"/>
        </w:rPr>
        <w:t>. Interest expense, net of amounts capitalized, totaled $90 million for the year ended December 31, 2023, a decrease of $3 million, or 3.0%, as compared to 2022. The decrease was primarily attributable to an increase in capitalized interest relating to the EchoStar XXIV satellite program.</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Equity in earnings (losses) of unconsolidated affiliates, net. </w:t>
      </w:r>
      <w:r>
        <w:rPr>
          <w:rFonts w:ascii="Arial;sans-serif" w:hAnsi="Arial;sans-serif"/>
          <w:b w:val="false"/>
          <w:color w:val="000000"/>
          <w:sz w:val="20"/>
        </w:rPr>
        <w:t xml:space="preserve">Equity in earnings (losses) of unconsolidated affiliates, net totaled $4 million in losses for the year ended December 31, 2023, as compared to $6 million in losses for the year ended December 31, 2022, a decrease in losses of $2 million. The decrease was related to net increased earnings from our investments in our equity method investees.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Other-than-temporary impairment losses on equity method investments. </w:t>
      </w:r>
      <w:r>
        <w:rPr>
          <w:rFonts w:ascii="Arial;sans-serif" w:hAnsi="Arial;sans-serif"/>
          <w:b w:val="false"/>
          <w:color w:val="000000"/>
          <w:sz w:val="20"/>
        </w:rPr>
        <w:t>Other-than-temporary impairment losses on equity method investments was $33 million for the Year Ended December 31, 2023, related to the impairment of our investment in Broadband Connectivity Solutions (Restricted) Limited (“BCS”) as a result of increased competition and the economic environment for this business.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i/>
          <w:color w:val="000000"/>
          <w:sz w:val="20"/>
        </w:rPr>
        <w:t>Income tax benefit (provision), net</w:t>
      </w:r>
      <w:r>
        <w:rPr>
          <w:rFonts w:ascii="Arial;sans-serif" w:hAnsi="Arial;sans-serif"/>
          <w:b w:val="false"/>
          <w:color w:val="000000"/>
          <w:sz w:val="20"/>
        </w:rPr>
        <w:t>. Income tax benefit (provision), net was $(46) million for the year ended December 31, 2023, as compared to $(54) million for the year ended December 31, 2022. Our effective income tax rate was (10.7)% and 28.2% for the year ended December 31, 2023 and 2022, respectively.  The variations in our effective tax rate from the U.S. federal statutory rate for the year ended December 31, 2023 were primarily due to excluded losses for goodwill impairment, excluded investment impairment losses, and excluded foreign losses where the Company carries a full valuation allowance. The variations in our current year effective tax rate from the U.S. federal statutory rate for the year ended December 31, 2022 were primarily due to excluded foreign losses where the Company carries a full valuation allowance, and the impact of state and local taxes.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i/>
          <w:color w:val="000000"/>
          <w:sz w:val="20"/>
        </w:rPr>
        <w:t xml:space="preserve">Net income (loss) attributable to HSSC. </w:t>
      </w:r>
      <w:r>
        <w:rPr>
          <w:rFonts w:ascii="Arial;sans-serif" w:hAnsi="Arial;sans-serif"/>
          <w:b w:val="false"/>
          <w:color w:val="000000"/>
          <w:sz w:val="20"/>
        </w:rPr>
        <w:t xml:space="preserve">The following table reconciles the change in Net income (loss) attributable to HSSC: </w:t>
      </w:r>
    </w:p>
    <w:tbl>
      <w:tblPr>
        <w:tblW w:w="9858" w:type="dxa"/>
        <w:jc w:val="left"/>
        <w:tblInd w:w="0" w:type="dxa"/>
        <w:tblLayout w:type="fixed"/>
        <w:tblCellMar>
          <w:top w:w="28" w:type="dxa"/>
          <w:left w:w="28" w:type="dxa"/>
          <w:bottom w:w="28" w:type="dxa"/>
          <w:right w:w="28" w:type="dxa"/>
        </w:tblCellMar>
      </w:tblPr>
      <w:tblGrid>
        <w:gridCol w:w="2985"/>
        <w:gridCol w:w="2624"/>
        <w:gridCol w:w="2641"/>
        <w:gridCol w:w="109"/>
        <w:gridCol w:w="109"/>
        <w:gridCol w:w="109"/>
        <w:gridCol w:w="211"/>
        <w:gridCol w:w="916"/>
        <w:gridCol w:w="154"/>
      </w:tblGrid>
      <w:tr>
        <w:trPr/>
        <w:tc>
          <w:tcPr>
            <w:tcW w:w="2985"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Amounts</w:t>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HSSC for the 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income tax benefit (provision),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other-than-temporary impairment losses on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Increase (decrease) in operating income (loss), including depreciation and amortization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(649,433)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HSSC for the 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(461,869)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283"/>
        <w:ind w:left="0" w:right="0" w:hanging="360"/>
        <w:jc w:val="both"/>
        <w:rPr>
          <w:rFonts w:ascii="Arial;sans-serif" w:hAnsi="Arial;sans-serif"/>
          <w:b w:val="false"/>
          <w:color w:val="000000"/>
          <w:sz w:val="16"/>
        </w:rPr>
      </w:pPr>
      <w:r>
        <w:rPr>
          <w:rFonts w:ascii="Arial;sans-serif" w:hAnsi="Arial;sans-serif"/>
          <w:b w:val="false"/>
          <w:color w:val="000000"/>
          <w:sz w:val="16"/>
        </w:rPr>
        <w:t>(1)    The decrease in Operating income (loss) includes a noncash impairment charge for goodwill of $533 million.</w:t>
      </w:r>
    </w:p>
    <w:p>
      <w:pPr>
        <w:pStyle w:val="TextBody"/>
        <w:bidi w:val="0"/>
        <w:spacing w:before="100" w:after="283"/>
        <w:jc w:val="both"/>
        <w:rPr/>
      </w:pPr>
      <w:r>
        <w:rPr/>
      </w:r>
    </w:p>
    <w:p>
      <w:pPr>
        <w:pStyle w:val="TextBody"/>
        <w:bidi w:val="0"/>
        <w:spacing w:lineRule="auto" w:line="288" w:before="0" w:after="0"/>
        <w:jc w:val="both"/>
        <w:rPr/>
      </w:pPr>
      <w:r>
        <w:rPr>
          <w:rFonts w:ascii="Arial;sans-serif" w:hAnsi="Arial;sans-serif"/>
          <w:b/>
          <w:color w:val="000000"/>
          <w:sz w:val="20"/>
        </w:rPr>
        <w:t xml:space="preserve">EBITDA. </w:t>
      </w:r>
      <w:r>
        <w:rPr>
          <w:rFonts w:ascii="Arial;sans-serif" w:hAnsi="Arial;sans-serif"/>
          <w:b w:val="false"/>
          <w:color w:val="000000"/>
          <w:sz w:val="20"/>
        </w:rPr>
        <w:t xml:space="preserve">EBITDA is a non-GAAP financial measure and is described under Explanation of Key Metrics and Other Items section. The following table reconciles EBITDA to Net income (loss), the most directly comparable GAAP measure in our Consolidated Financial Statements: </w:t>
      </w:r>
    </w:p>
    <w:tbl>
      <w:tblPr>
        <w:tblW w:w="10205" w:type="dxa"/>
        <w:jc w:val="left"/>
        <w:tblInd w:w="0" w:type="dxa"/>
        <w:tblLayout w:type="fixed"/>
        <w:tblCellMar>
          <w:top w:w="28" w:type="dxa"/>
          <w:left w:w="28" w:type="dxa"/>
          <w:bottom w:w="28" w:type="dxa"/>
          <w:right w:w="28" w:type="dxa"/>
        </w:tblCellMar>
      </w:tblPr>
      <w:tblGrid>
        <w:gridCol w:w="1585"/>
        <w:gridCol w:w="1322"/>
        <w:gridCol w:w="1301"/>
        <w:gridCol w:w="109"/>
        <w:gridCol w:w="109"/>
        <w:gridCol w:w="109"/>
        <w:gridCol w:w="235"/>
        <w:gridCol w:w="1012"/>
        <w:gridCol w:w="121"/>
        <w:gridCol w:w="121"/>
        <w:gridCol w:w="121"/>
        <w:gridCol w:w="121"/>
        <w:gridCol w:w="235"/>
        <w:gridCol w:w="959"/>
        <w:gridCol w:w="121"/>
        <w:gridCol w:w="109"/>
        <w:gridCol w:w="109"/>
        <w:gridCol w:w="109"/>
        <w:gridCol w:w="211"/>
        <w:gridCol w:w="902"/>
        <w:gridCol w:w="109"/>
        <w:gridCol w:w="109"/>
        <w:gridCol w:w="109"/>
        <w:gridCol w:w="109"/>
        <w:gridCol w:w="292"/>
        <w:gridCol w:w="294"/>
        <w:gridCol w:w="162"/>
      </w:tblGrid>
      <w:tr>
        <w:trPr/>
        <w:tc>
          <w:tcPr>
            <w:tcW w:w="158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r>
      <w:tr>
        <w:trPr/>
        <w:tc>
          <w:tcPr>
            <w:tcW w:w="4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(478,438)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389,632 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431,065 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(21,578)</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696,493 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(718,071)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83"/>
        <w:jc w:val="both"/>
        <w:rPr>
          <w:rFonts w:ascii="Arial;sans-serif" w:hAnsi="Arial;sans-serif"/>
          <w:b w:val="false"/>
          <w:color w:val="000000"/>
          <w:sz w:val="16"/>
        </w:rPr>
      </w:pPr>
      <w:r>
        <w:rPr>
          <w:rFonts w:ascii="Arial;sans-serif" w:hAnsi="Arial;sans-serif"/>
          <w:b w:val="false"/>
          <w:color w:val="000000"/>
          <w:sz w:val="16"/>
        </w:rPr>
        <w:t>*    Percentage is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The following table reconciles the change in EBITDA: </w:t>
      </w:r>
    </w:p>
    <w:tbl>
      <w:tblPr>
        <w:tblW w:w="9798" w:type="dxa"/>
        <w:jc w:val="left"/>
        <w:tblInd w:w="0" w:type="dxa"/>
        <w:tblLayout w:type="fixed"/>
        <w:tblCellMar>
          <w:top w:w="28" w:type="dxa"/>
          <w:left w:w="28" w:type="dxa"/>
          <w:bottom w:w="28" w:type="dxa"/>
          <w:right w:w="28" w:type="dxa"/>
        </w:tblCellMar>
      </w:tblPr>
      <w:tblGrid>
        <w:gridCol w:w="2985"/>
        <w:gridCol w:w="2624"/>
        <w:gridCol w:w="2641"/>
        <w:gridCol w:w="109"/>
        <w:gridCol w:w="109"/>
        <w:gridCol w:w="109"/>
        <w:gridCol w:w="211"/>
        <w:gridCol w:w="856"/>
        <w:gridCol w:w="154"/>
      </w:tblGrid>
      <w:tr>
        <w:trPr/>
        <w:tc>
          <w:tcPr>
            <w:tcW w:w="2985"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Amounts</w:t>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696,493 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other-than-temporary impairment losses on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Increase (decrease) in operating income (loss), excluding depreciation and amortization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year ended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(21,578)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    The decrease in Operating income (loss) includes a noncash impairment charge for goodwill of $533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Segment Operating Results and Capital Expenditures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our total revenue, capital expenditures and EBITDA by segment for the year ended December 31, 2023, as compared to the year ended December 31, 2022:</w:t>
      </w:r>
    </w:p>
    <w:tbl>
      <w:tblPr>
        <w:tblW w:w="10205" w:type="dxa"/>
        <w:jc w:val="left"/>
        <w:tblInd w:w="0" w:type="dxa"/>
        <w:tblLayout w:type="fixed"/>
        <w:tblCellMar>
          <w:top w:w="28" w:type="dxa"/>
          <w:left w:w="28" w:type="dxa"/>
          <w:bottom w:w="28" w:type="dxa"/>
          <w:right w:w="28" w:type="dxa"/>
        </w:tblCellMar>
      </w:tblPr>
      <w:tblGrid>
        <w:gridCol w:w="1134"/>
        <w:gridCol w:w="999"/>
        <w:gridCol w:w="1001"/>
        <w:gridCol w:w="109"/>
        <w:gridCol w:w="109"/>
        <w:gridCol w:w="109"/>
        <w:gridCol w:w="211"/>
        <w:gridCol w:w="976"/>
        <w:gridCol w:w="109"/>
        <w:gridCol w:w="109"/>
        <w:gridCol w:w="109"/>
        <w:gridCol w:w="109"/>
        <w:gridCol w:w="211"/>
        <w:gridCol w:w="721"/>
        <w:gridCol w:w="109"/>
        <w:gridCol w:w="109"/>
        <w:gridCol w:w="109"/>
        <w:gridCol w:w="109"/>
        <w:gridCol w:w="353"/>
        <w:gridCol w:w="1207"/>
        <w:gridCol w:w="181"/>
        <w:gridCol w:w="109"/>
        <w:gridCol w:w="109"/>
        <w:gridCol w:w="109"/>
        <w:gridCol w:w="264"/>
        <w:gridCol w:w="1225"/>
        <w:gridCol w:w="196"/>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 Total</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For the 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1,747,856 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For the year ended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2,003,343 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(50,852)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696,493 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Hughes Segment</w:t>
      </w:r>
    </w:p>
    <w:tbl>
      <w:tblPr>
        <w:tblW w:w="7979" w:type="dxa"/>
        <w:jc w:val="left"/>
        <w:tblInd w:w="0" w:type="dxa"/>
        <w:tblLayout w:type="fixed"/>
        <w:tblCellMar>
          <w:top w:w="28" w:type="dxa"/>
          <w:left w:w="28" w:type="dxa"/>
          <w:bottom w:w="28" w:type="dxa"/>
          <w:right w:w="28" w:type="dxa"/>
        </w:tblCellMar>
      </w:tblPr>
      <w:tblGrid>
        <w:gridCol w:w="685"/>
        <w:gridCol w:w="601"/>
        <w:gridCol w:w="604"/>
        <w:gridCol w:w="109"/>
        <w:gridCol w:w="109"/>
        <w:gridCol w:w="109"/>
        <w:gridCol w:w="211"/>
        <w:gridCol w:w="1021"/>
        <w:gridCol w:w="109"/>
        <w:gridCol w:w="109"/>
        <w:gridCol w:w="109"/>
        <w:gridCol w:w="109"/>
        <w:gridCol w:w="211"/>
        <w:gridCol w:w="1021"/>
        <w:gridCol w:w="109"/>
        <w:gridCol w:w="109"/>
        <w:gridCol w:w="109"/>
        <w:gridCol w:w="109"/>
        <w:gridCol w:w="211"/>
        <w:gridCol w:w="916"/>
        <w:gridCol w:w="109"/>
        <w:gridCol w:w="109"/>
        <w:gridCol w:w="109"/>
        <w:gridCol w:w="109"/>
        <w:gridCol w:w="109"/>
        <w:gridCol w:w="299"/>
        <w:gridCol w:w="301"/>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c>
          <w:tcPr>
            <w:tcW w:w="754" w:type="dxa"/>
            <w:gridSpan w:val="3"/>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1,966,587 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(245,181)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Total revenue was $1.721 billion for the year ended December 31, 2023, a decrease of $245 million, or 12.5%, as compared to 2022. Services and other revenue decreased primarily due to lower sales of broadband services to our consumer and North American enterprise customers of $184 million. Equipment revenue decreased primarily due to a net decrease of $35 million in hardware sales to our international enterprise customers and a net decrease of $44 million related to our North American enterprise customers due to lower hardware sales and positive adjustments on certain long-term contracts, partially offset by an increase of $7 million in sales to our mobile satellite system customers.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Capital expenditures were $190 million for the year ended December 31, 2023, a decrease of $49 million, or 20.6%, as compared to 2022, primarily due to decreases in expenditures associated with our consumer business, and decreases in expenditures related to the construction of our satellite-related ground infrastructure.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The following table reconciles the change in the Hughes Segment EBITDA: </w:t>
      </w:r>
    </w:p>
    <w:tbl>
      <w:tblPr>
        <w:tblW w:w="9798" w:type="dxa"/>
        <w:jc w:val="left"/>
        <w:tblInd w:w="0" w:type="dxa"/>
        <w:tblLayout w:type="fixed"/>
        <w:tblCellMar>
          <w:top w:w="28" w:type="dxa"/>
          <w:left w:w="28" w:type="dxa"/>
          <w:bottom w:w="28" w:type="dxa"/>
          <w:right w:w="28" w:type="dxa"/>
        </w:tblCellMar>
      </w:tblPr>
      <w:tblGrid>
        <w:gridCol w:w="2985"/>
        <w:gridCol w:w="2624"/>
        <w:gridCol w:w="2641"/>
        <w:gridCol w:w="109"/>
        <w:gridCol w:w="109"/>
        <w:gridCol w:w="109"/>
        <w:gridCol w:w="211"/>
        <w:gridCol w:w="856"/>
        <w:gridCol w:w="154"/>
      </w:tblGrid>
      <w:tr>
        <w:trPr/>
        <w:tc>
          <w:tcPr>
            <w:tcW w:w="2985"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Amounts</w:t>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732,929 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other-than-temporary impairment losses on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Increase (decrease) in operating income (loss), excluding depreciation and amortization </w:t>
            </w: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Arial;sans-serif" w:hAnsi="Arial;sans-serif"/>
          <w:b w:val="false"/>
          <w:color w:val="000000"/>
          <w:sz w:val="16"/>
        </w:rPr>
      </w:pPr>
      <w:r>
        <w:rPr>
          <w:rFonts w:ascii="Arial;sans-serif" w:hAnsi="Arial;sans-serif"/>
          <w:b w:val="false"/>
          <w:color w:val="000000"/>
          <w:sz w:val="16"/>
        </w:rPr>
        <w:t>(1)    The decrease in Operating income (loss) includes a noncash impairment charge for goodwill of $533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ESS Segment</w:t>
      </w:r>
    </w:p>
    <w:tbl>
      <w:tblPr>
        <w:tblW w:w="7110" w:type="dxa"/>
        <w:jc w:val="left"/>
        <w:tblInd w:w="0" w:type="dxa"/>
        <w:tblLayout w:type="fixed"/>
        <w:tblCellMar>
          <w:top w:w="28" w:type="dxa"/>
          <w:left w:w="28" w:type="dxa"/>
          <w:bottom w:w="28" w:type="dxa"/>
          <w:right w:w="28" w:type="dxa"/>
        </w:tblCellMar>
      </w:tblPr>
      <w:tblGrid>
        <w:gridCol w:w="685"/>
        <w:gridCol w:w="601"/>
        <w:gridCol w:w="604"/>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109"/>
        <w:gridCol w:w="270"/>
        <w:gridCol w:w="271"/>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c>
          <w:tcPr>
            <w:tcW w:w="695" w:type="dxa"/>
            <w:gridSpan w:val="3"/>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16"/>
        </w:rPr>
      </w:pPr>
      <w:r>
        <w:rPr>
          <w:rFonts w:ascii="Arial;sans-serif" w:hAnsi="Arial;sans-serif"/>
          <w:b w:val="false"/>
          <w:color w:val="000000"/>
          <w:sz w:val="16"/>
        </w:rPr>
        <w:t>*    Percentage is not meaningful.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Total revenue was $24 million for the year ended December 31, 2023, an increase of $4 million, or 17.3%, compared to 2022, primarily due to an increase in transponder services provided to third parties.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EBITDA was $18 million for the year ended December 31, 2023, an increase of $4 million, or 27.1%, as compared to 2022, primarily due to the increase in overall ESS segment revenue and lower expenses.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Corporate and Other </w:t>
      </w:r>
    </w:p>
    <w:tbl>
      <w:tblPr>
        <w:tblW w:w="6644"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211"/>
        <w:gridCol w:w="646"/>
        <w:gridCol w:w="109"/>
        <w:gridCol w:w="109"/>
        <w:gridCol w:w="109"/>
        <w:gridCol w:w="109"/>
        <w:gridCol w:w="211"/>
        <w:gridCol w:w="751"/>
        <w:gridCol w:w="109"/>
        <w:gridCol w:w="109"/>
        <w:gridCol w:w="109"/>
        <w:gridCol w:w="109"/>
        <w:gridCol w:w="211"/>
        <w:gridCol w:w="811"/>
        <w:gridCol w:w="109"/>
        <w:gridCol w:w="109"/>
        <w:gridCol w:w="109"/>
        <w:gridCol w:w="109"/>
        <w:gridCol w:w="109"/>
        <w:gridCol w:w="299"/>
        <w:gridCol w:w="301"/>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c>
          <w:tcPr>
            <w:tcW w:w="754" w:type="dxa"/>
            <w:gridSpan w:val="3"/>
            <w:tcBorders/>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Total revenue was $2 million for the year ended December 31, 2023, a decrease of $14 million, or 85.5%, compared to 2022, primarily due to a decrease in satellite leasing revenue related to the EchoStar XXI satellite.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EBITDA was a loss of $80 million for the year ended December 31, 2023, a decrease of $29 million, or 56.5%, compared to 2022, primarily due to a decrease in service revenue and an increase in selling, general and administrative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reconciles the change in the Corporate and Other EBITDA:  </w:t>
      </w:r>
    </w:p>
    <w:tbl>
      <w:tblPr>
        <w:tblW w:w="9198" w:type="dxa"/>
        <w:jc w:val="left"/>
        <w:tblInd w:w="0" w:type="dxa"/>
        <w:tblLayout w:type="fixed"/>
        <w:tblCellMar>
          <w:top w:w="28" w:type="dxa"/>
          <w:left w:w="28" w:type="dxa"/>
          <w:bottom w:w="28" w:type="dxa"/>
          <w:right w:w="28" w:type="dxa"/>
        </w:tblCellMar>
      </w:tblPr>
      <w:tblGrid>
        <w:gridCol w:w="2784"/>
        <w:gridCol w:w="2447"/>
        <w:gridCol w:w="2464"/>
        <w:gridCol w:w="109"/>
        <w:gridCol w:w="109"/>
        <w:gridCol w:w="109"/>
        <w:gridCol w:w="211"/>
        <w:gridCol w:w="811"/>
        <w:gridCol w:w="154"/>
      </w:tblGrid>
      <w:tr>
        <w:trPr/>
        <w:tc>
          <w:tcPr>
            <w:tcW w:w="2784"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Amounts</w:t>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(79,582)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Market Risks Associated with Financial Instruments and Foreign Currency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investments and debt are exposed to market risks, discussed below.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Cash Equivalents and Marketable Investment Securities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December 31, 2023, our cash, cash equivalents and marketable investment securities had a fair value of $1.7 billion. Of this amount, a total of $1.7 billion was invested in: (a) cash; (b) commercial paper and corporate notes with an overall average maturity of less than one year and rated in one of the four highest rating categories by at least two nationally recognized statistical rating organizations; (c) debt instruments of the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Interest Rate Risk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cash, cash equivalents and current marketable debt securities investment portfolio of $1.7 billion as of December 31, 2023, a hypothetical 10% change in average interest rates during 2023 would not have had a material impact on the fair value of our cash, cash equivalents and debt securities portfolio due to the limited duration of our investments.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cash, cash equivalents and current marketable debt securities had an average annual rate of return for the year ended December 31, 2023 of 5.47%. A change in interest rates would affect our future annual interest income from this portfolio, since funds would be re-invested at different rates as the instruments mature. A hypothetical 10% decrease in average interest rates during 2023 would have resulted in a decrease of $7.8 million in annual interest income.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Other Investments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sell them, we will not be able to recover our investment.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Foreign Currency Exchange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international business is conducted in a variety of foreign currencies with our largest exposures being to the Brazilian real, the Indian rupee, European euro and the British pound. Transactions in foreign currencies are converted into U.S. dollars using exchange rates in effect on the dates of the transactions. This exposes us to fluctuations in foreign currency exchange rates.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objective in managing our exposure to foreign currency changes is to reduce earnings and cash flow volatility associated with foreign currency exchange rate fluctuations, primarily resulting from loans to foreign subsidiaries in U.S. dollars. Accordingly, we may enter into foreign currency forward contracts, or take other measures, to mitigate risks associated with foreign currency denominated assets, liabilities, commitments and anticipated foreign currency transactions. As of December 31, 2023, we had foreign currency forward contracts with a notional amount of $0.2 million in place to partially mitigate foreign currency exchange risk. The estimated fair values of the foreign currency contracts were not material as of December 31, 2023. The impact of a hypothetical 10% adverse change in exchange rates on the carrying amount of the net assets and liabilities of our foreign subsidiaries during 2023 would have resulted in an estimated loss to the cumulative translation adjustment of $42.0 million as of December 31, 2023.</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Derivative Financial Instruments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currency exchange risk.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8.    FINANCIAL STATEMENTS AND SUPPLEMENTARY DATA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Consolidated Financial Statements are included in Item 15 of this Form 10-K.</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9A.    CONTROLS AND PROCEDURES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Disclosure Controls and Procedures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Under the supervision and with the participation of our management, including our Chief Executive Officer and Principal Financial Officer, we evaluated the effectiveness of our disclosure controls and procedures (as defined in Rule 15d-15(e) under the Securities Exchange Act of 1934, as amended) as of the end of the period covered by this report. Based upon that evaluation, our Chief Executive Officer and Principal Financial Officer concluded that our disclosure controls and procedures were effective as of the end of the period covered by this report. </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Changes in Internal Control Over Financial Reporting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There has been no change in our internal control over financial reporting (as defined in Rule 15d-15(f) under the Securities Exchange Act of 1934, as amended) that occurred during the three months ended December 31, 2023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Management’s Annual Report on Internal Control Over Financial Reporting </w:t>
      </w:r>
    </w:p>
    <w:p>
      <w:pPr>
        <w:pStyle w:val="TextBody"/>
        <w:bidi w:val="0"/>
        <w:spacing w:lineRule="auto" w:line="288" w:before="0" w:after="0"/>
        <w:jc w:val="both"/>
        <w:rPr>
          <w:color w:val="000000"/>
        </w:rPr>
      </w:pPr>
      <w:r>
        <w:rPr>
          <w:color w:val="000000"/>
        </w:rPr>
        <w:t> </w:t>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 xml:space="preserve">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United States generally accepted accounting principles. </w:t>
      </w:r>
    </w:p>
    <w:p>
      <w:pPr>
        <w:pStyle w:val="TextBody"/>
        <w:bidi w:val="0"/>
        <w:spacing w:before="0" w:after="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internal control over financial reporting includes those policies and procedures that: </w:t>
      </w:r>
    </w:p>
    <w:p>
      <w:pPr>
        <w:pStyle w:val="TextBody"/>
        <w:bidi w:val="0"/>
        <w:spacing w:lineRule="auto" w:line="288" w:before="0" w:after="0"/>
        <w:jc w:val="both"/>
        <w:rPr>
          <w:color w:val="000000"/>
        </w:rPr>
      </w:pPr>
      <w:r>
        <w:rPr>
          <w:color w:val="000000"/>
        </w:rPr>
        <w:t> </w:t>
      </w:r>
    </w:p>
    <w:p>
      <w:pPr>
        <w:pStyle w:val="TextBody"/>
        <w:bidi w:val="0"/>
        <w:spacing w:lineRule="auto" w:line="288" w:before="0" w:after="90"/>
        <w:ind w:left="0" w:right="0" w:hanging="450"/>
        <w:jc w:val="both"/>
        <w:rPr>
          <w:rFonts w:ascii="Arial;sans-serif" w:hAnsi="Arial;sans-serif"/>
          <w:b w:val="false"/>
          <w:color w:val="000000"/>
          <w:sz w:val="20"/>
        </w:rPr>
      </w:pPr>
      <w:r>
        <w:rPr>
          <w:rFonts w:ascii="Arial;sans-serif" w:hAnsi="Arial;sans-serif"/>
          <w:b w:val="false"/>
          <w:color w:val="000000"/>
          <w:sz w:val="20"/>
        </w:rPr>
        <w:t xml:space="preserve">(i)    pertain to the maintenance of records that, in reasonable detail, accurately and fairly reflect our transactions and dispositions of our assets; </w:t>
      </w:r>
    </w:p>
    <w:p>
      <w:pPr>
        <w:pStyle w:val="TextBody"/>
        <w:bidi w:val="0"/>
        <w:spacing w:lineRule="auto" w:line="288" w:before="0" w:after="90"/>
        <w:ind w:left="0" w:right="0" w:hanging="450"/>
        <w:jc w:val="both"/>
        <w:rPr>
          <w:rFonts w:ascii="Arial;sans-serif" w:hAnsi="Arial;sans-serif"/>
          <w:b w:val="false"/>
          <w:color w:val="000000"/>
          <w:sz w:val="20"/>
        </w:rPr>
      </w:pPr>
      <w:r>
        <w:rPr>
          <w:rFonts w:ascii="Arial;sans-serif" w:hAnsi="Arial;sans-serif"/>
          <w:b w:val="false"/>
          <w:color w:val="000000"/>
          <w:sz w:val="20"/>
        </w:rPr>
        <w:t xml:space="preserve">(ii)    provide reasonable assurance that our transactions are recorded as necessary to permit preparation of our financial statements in accordance with generally accepted accounting principles, and that our receipts and expenditures are being made only in accordance with authorizations of our management and our directors; and </w:t>
      </w:r>
    </w:p>
    <w:p>
      <w:pPr>
        <w:pStyle w:val="TextBody"/>
        <w:bidi w:val="0"/>
        <w:spacing w:lineRule="auto" w:line="288" w:before="0" w:after="0"/>
        <w:ind w:left="0" w:right="0" w:hanging="450"/>
        <w:jc w:val="both"/>
        <w:rPr>
          <w:rFonts w:ascii="Arial;sans-serif" w:hAnsi="Arial;sans-serif"/>
          <w:b w:val="false"/>
          <w:color w:val="000000"/>
          <w:sz w:val="20"/>
        </w:rPr>
      </w:pPr>
      <w:r>
        <w:rPr>
          <w:rFonts w:ascii="Arial;sans-serif" w:hAnsi="Arial;sans-serif"/>
          <w:b w:val="false"/>
          <w:color w:val="000000"/>
          <w:sz w:val="20"/>
        </w:rPr>
        <w:t xml:space="preserve">(iii)    provide reasonable assurance regarding prevention or timely detection of unauthorized acquisition, use, or disposition of our assets that could have a material effect on our financial statements.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management conducted an evaluation of the effectiveness of our internal control over financial reporting based on the framework in Internal Control—Integrated Framework (2013) issued by the Committee of Sponsoring Organizations of the Treadway Commission (COSO). Based on this evaluation, our management concluded that our internal control over financial reporting was effective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9B.    OTHER INFORMATION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10b5-1 Trading Arrangements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None.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III</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14.    PRINCIPAL ACCOUNTING FEES AND SERVICES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Appointment of Independent Registered Public Accounting Firm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KPMG LLP served as our independent registered public accounting firm for the fiscal year ended December 31, 2023. EchoStar’s board of directors, in its discretion, may direct the appointment of a different independent registered public accounting firm at any time during the year if it determines that such a change would be in our best interests.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Fees Paid to KPMG LLP</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fees for professional services rendered by KPMG LLP on behalf of the Company for the years ended December 31, 2023 and 2022, in full dollar amounts:</w:t>
      </w:r>
    </w:p>
    <w:tbl>
      <w:tblPr>
        <w:tblW w:w="6882" w:type="dxa"/>
        <w:jc w:val="left"/>
        <w:tblInd w:w="0" w:type="dxa"/>
        <w:tblLayout w:type="fixed"/>
        <w:tblCellMar>
          <w:top w:w="28" w:type="dxa"/>
          <w:left w:w="28" w:type="dxa"/>
          <w:bottom w:w="28" w:type="dxa"/>
          <w:right w:w="28" w:type="dxa"/>
        </w:tblCellMar>
      </w:tblPr>
      <w:tblGrid>
        <w:gridCol w:w="1154"/>
        <w:gridCol w:w="1008"/>
        <w:gridCol w:w="1018"/>
        <w:gridCol w:w="109"/>
        <w:gridCol w:w="109"/>
        <w:gridCol w:w="109"/>
        <w:gridCol w:w="233"/>
        <w:gridCol w:w="1128"/>
        <w:gridCol w:w="120"/>
        <w:gridCol w:w="120"/>
        <w:gridCol w:w="120"/>
        <w:gridCol w:w="120"/>
        <w:gridCol w:w="233"/>
        <w:gridCol w:w="1128"/>
        <w:gridCol w:w="173"/>
      </w:tblGrid>
      <w:tr>
        <w:trPr/>
        <w:tc>
          <w:tcPr>
            <w:tcW w:w="115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Audit fees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2,412,955 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2,133,489 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Audit-related fees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38,523 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audit and audited 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2,412,955 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2,172,012 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fees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46,272 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2,459,227 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2,211,022 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    Consists of fees for the audit of our Consolidated Financial Statements included in our Annual Report on Form 10-K, review of our unaudited financial statements included in our Quarterly Reports on Form 10-Q and fees in connection with statutory and other audits of our foreign subsidiaries.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    Consists of fees for assurance and other services that are provided in connection with the issuance of consents, comfort letters, certifications, and professional consultations with respect to accounting issues or matters that are non-recurring in nature.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    Consists of fees for tax consultation and tax compliance services.</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Policy on Audit Committee Pre-Approval of Audit and Permissible Non-Audit Services of Independent Registered Public Accounting Firm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EchoStar’s Audit Committee is responsible for appointing, setting compensation, retaining, and overseeing the work of our independent registered public accounting firm. EchoStar’s Audit Committee has established a process regarding pre-approval of all audit and permissible non-audit services provided by the independent registered public accounting firm.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Requests are submitted to EchoStar’s Audit Committee in one of the following ways:</w:t>
      </w:r>
    </w:p>
    <w:p>
      <w:pPr>
        <w:pStyle w:val="TextBody"/>
        <w:bidi w:val="0"/>
        <w:spacing w:lineRule="auto" w:line="288" w:before="0" w:after="0"/>
        <w:jc w:val="both"/>
        <w:rPr>
          <w:color w:val="000000"/>
        </w:rPr>
      </w:pPr>
      <w:r>
        <w:rPr>
          <w:color w:val="000000"/>
        </w:rPr>
        <w:t>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Request for approval of services at a meeting of EchoStar’s Audit Committee; or</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Request for approval of services by members of EchoStar’s Audit Committee acting by written consent.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request may be made with respect to either specific services or a type of service for predictable or recurring services. All of the fees paid by us to KPMG LLP for services for 2023 and 2022 were pre-approved by EchoStar’s Audit Committee.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IV</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15.    EXHIBITS, FINANCIAL STATEMENT SCHEDULES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    The following documents are filed as part of this report:</w:t>
      </w:r>
    </w:p>
    <w:tbl>
      <w:tblPr>
        <w:tblW w:w="10205" w:type="dxa"/>
        <w:jc w:val="left"/>
        <w:tblInd w:w="0" w:type="dxa"/>
        <w:tblLayout w:type="fixed"/>
        <w:tblCellMar>
          <w:top w:w="28" w:type="dxa"/>
          <w:left w:w="28" w:type="dxa"/>
          <w:bottom w:w="28" w:type="dxa"/>
          <w:right w:w="28" w:type="dxa"/>
        </w:tblCellMar>
      </w:tblPr>
      <w:tblGrid>
        <w:gridCol w:w="3472"/>
        <w:gridCol w:w="3056"/>
        <w:gridCol w:w="3060"/>
        <w:gridCol w:w="180"/>
        <w:gridCol w:w="180"/>
        <w:gridCol w:w="257"/>
      </w:tblGrid>
      <w:tr>
        <w:trPr/>
        <w:tc>
          <w:tcPr>
            <w:tcW w:w="3472"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675"/>
              <w:jc w:val="left"/>
              <w:rPr>
                <w:rFonts w:ascii="Arial;sans-serif" w:hAnsi="Arial;sans-serif"/>
                <w:b w:val="false"/>
                <w:color w:val="000000"/>
                <w:sz w:val="20"/>
              </w:rPr>
            </w:pPr>
            <w:r>
              <w:rPr>
                <w:rFonts w:ascii="Arial;sans-serif" w:hAnsi="Arial;sans-serif"/>
                <w:b w:val="false"/>
                <w:color w:val="000000"/>
                <w:sz w:val="20"/>
              </w:rPr>
              <w:t>(1) Consolidated Financial Statements</w:t>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42">
              <w:r>
                <w:rPr>
                  <w:rStyle w:val="InternetLink"/>
                  <w:rFonts w:ascii="Arial;sans-serif" w:hAnsi="Arial;sans-serif"/>
                  <w:b w:val="false"/>
                  <w:color w:val="0000FF"/>
                  <w:sz w:val="20"/>
                  <w:u w:val="single"/>
                </w:rPr>
                <w:t>Index to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42">
              <w:r>
                <w:rPr>
                  <w:rStyle w:val="InternetLink"/>
                  <w:rFonts w:ascii="Arial;sans-serif" w:hAnsi="Arial;sans-serif"/>
                  <w:b w:val="false"/>
                  <w:color w:val="000080"/>
                  <w:sz w:val="20"/>
                  <w:u w:val="single"/>
                </w:rPr>
                <w:t>F-</w:t>
              </w:r>
            </w:hyperlink>
            <w:hyperlink w:anchor="if6de8d550b664cf89bacba6847c193c5_142">
              <w:r>
                <w:rPr>
                  <w:rStyle w:val="InternetLink"/>
                  <w:rFonts w:ascii="Arial;sans-serif" w:hAnsi="Arial;sans-serif"/>
                  <w:b w:val="false"/>
                  <w:color w:val="000080"/>
                  <w:sz w:val="20"/>
                  <w:u w:val="single"/>
                </w:rPr>
                <w:t>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45">
              <w:r>
                <w:rPr>
                  <w:rStyle w:val="InternetLink"/>
                  <w:rFonts w:ascii="Arial;sans-serif" w:hAnsi="Arial;sans-serif"/>
                  <w:b w:val="false"/>
                  <w:color w:val="0000FF"/>
                  <w:sz w:val="20"/>
                  <w:u w:val="single"/>
                </w:rPr>
                <w:t>Report of Independent Registered Public Accounting Firm</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45">
              <w:r>
                <w:rPr>
                  <w:rStyle w:val="InternetLink"/>
                  <w:rFonts w:ascii="Arial;sans-serif" w:hAnsi="Arial;sans-serif"/>
                  <w:b w:val="false"/>
                  <w:color w:val="000080"/>
                  <w:sz w:val="20"/>
                  <w:u w:val="single"/>
                </w:rPr>
                <w:t>F-</w:t>
              </w:r>
            </w:hyperlink>
            <w:hyperlink w:anchor="if6de8d550b664cf89bacba6847c193c5_145">
              <w:r>
                <w:rPr>
                  <w:rStyle w:val="InternetLink"/>
                  <w:rFonts w:ascii="Arial;sans-serif" w:hAnsi="Arial;sans-serif"/>
                  <w:b w:val="false"/>
                  <w:color w:val="000080"/>
                  <w:sz w:val="20"/>
                  <w:u w:val="single"/>
                </w:rPr>
                <w:t>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48">
              <w:r>
                <w:rPr>
                  <w:rStyle w:val="InternetLink"/>
                  <w:rFonts w:ascii="Arial;sans-serif" w:hAnsi="Arial;sans-serif"/>
                  <w:b w:val="false"/>
                  <w:color w:val="000080"/>
                  <w:sz w:val="20"/>
                  <w:u w:val="single"/>
                </w:rPr>
                <w:t>Consolidated Balance Sheets as of December 31, 202</w:t>
              </w:r>
            </w:hyperlink>
            <w:hyperlink w:anchor="if6de8d550b664cf89bacba6847c193c5_148">
              <w:r>
                <w:rPr>
                  <w:rStyle w:val="InternetLink"/>
                  <w:rFonts w:ascii="Arial;sans-serif" w:hAnsi="Arial;sans-serif"/>
                  <w:b w:val="false"/>
                  <w:color w:val="000080"/>
                  <w:sz w:val="20"/>
                  <w:u w:val="single"/>
                </w:rPr>
                <w:t>3</w:t>
              </w:r>
            </w:hyperlink>
            <w:hyperlink w:anchor="if6de8d550b664cf89bacba6847c193c5_148">
              <w:r>
                <w:rPr>
                  <w:rStyle w:val="InternetLink"/>
                  <w:rFonts w:ascii="Arial;sans-serif" w:hAnsi="Arial;sans-serif"/>
                  <w:b w:val="false"/>
                  <w:color w:val="000080"/>
                  <w:sz w:val="20"/>
                  <w:u w:val="single"/>
                </w:rPr>
                <w:t xml:space="preserve"> and</w:t>
              </w:r>
            </w:hyperlink>
            <w:hyperlink w:anchor="if6de8d550b664cf89bacba6847c193c5_148">
              <w:r>
                <w:rPr>
                  <w:rStyle w:val="InternetLink"/>
                  <w:rFonts w:ascii="Arial;sans-serif" w:hAnsi="Arial;sans-serif"/>
                  <w:b w:val="false"/>
                  <w:color w:val="000080"/>
                  <w:sz w:val="20"/>
                  <w:u w:val="single"/>
                </w:rPr>
                <w:t xml:space="preserve"> </w:t>
              </w:r>
            </w:hyperlink>
            <w:hyperlink w:anchor="if6de8d550b664cf89bacba6847c193c5_148">
              <w:r>
                <w:rPr>
                  <w:rStyle w:val="InternetLink"/>
                  <w:rFonts w:ascii="Arial;sans-serif" w:hAnsi="Arial;sans-serif"/>
                  <w:b w:val="false"/>
                  <w:color w:val="000080"/>
                  <w:sz w:val="20"/>
                  <w:u w:val="single"/>
                </w:rPr>
                <w:t>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48">
              <w:r>
                <w:rPr>
                  <w:rStyle w:val="InternetLink"/>
                  <w:rFonts w:ascii="Arial;sans-serif" w:hAnsi="Arial;sans-serif"/>
                  <w:b w:val="false"/>
                  <w:color w:val="000080"/>
                  <w:sz w:val="20"/>
                  <w:u w:val="single"/>
                </w:rPr>
                <w:t>F-</w:t>
              </w:r>
            </w:hyperlink>
            <w:hyperlink w:anchor="if6de8d550b664cf89bacba6847c193c5_148">
              <w:r>
                <w:rPr>
                  <w:rStyle w:val="InternetLink"/>
                  <w:rFonts w:ascii="Arial;sans-serif" w:hAnsi="Arial;sans-serif"/>
                  <w:b w:val="false"/>
                  <w:color w:val="000080"/>
                  <w:sz w:val="20"/>
                  <w:u w:val="single"/>
                </w:rPr>
                <w:t>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6de8d550b664cf89bacba6847c193c5_151">
              <w:r>
                <w:rPr>
                  <w:rStyle w:val="InternetLink"/>
                  <w:rFonts w:ascii="Arial;sans-serif" w:hAnsi="Arial;sans-serif"/>
                  <w:b w:val="false"/>
                  <w:color w:val="000080"/>
                  <w:sz w:val="20"/>
                  <w:u w:val="single"/>
                </w:rPr>
                <w:t>Consolidated Statements of Operations for the years ended December 31, 202</w:t>
              </w:r>
            </w:hyperlink>
            <w:hyperlink w:anchor="if6de8d550b664cf89bacba6847c193c5_151">
              <w:r>
                <w:rPr>
                  <w:rStyle w:val="InternetLink"/>
                  <w:rFonts w:ascii="Arial;sans-serif" w:hAnsi="Arial;sans-serif"/>
                  <w:b w:val="false"/>
                  <w:color w:val="000080"/>
                  <w:sz w:val="20"/>
                  <w:u w:val="single"/>
                </w:rPr>
                <w:t>3</w:t>
              </w:r>
            </w:hyperlink>
            <w:hyperlink w:anchor="if6de8d550b664cf89bacba6847c193c5_151">
              <w:r>
                <w:rPr>
                  <w:rStyle w:val="InternetLink"/>
                  <w:rFonts w:ascii="Arial;sans-serif" w:hAnsi="Arial;sans-serif"/>
                  <w:b w:val="false"/>
                  <w:color w:val="000080"/>
                  <w:sz w:val="20"/>
                  <w:u w:val="single"/>
                </w:rPr>
                <w:t>, 202</w:t>
              </w:r>
            </w:hyperlink>
            <w:hyperlink w:anchor="if6de8d550b664cf89bacba6847c193c5_151">
              <w:r>
                <w:rPr>
                  <w:rStyle w:val="InternetLink"/>
                  <w:rFonts w:ascii="Arial;sans-serif" w:hAnsi="Arial;sans-serif"/>
                  <w:b w:val="false"/>
                  <w:color w:val="000080"/>
                  <w:sz w:val="20"/>
                  <w:u w:val="single"/>
                </w:rPr>
                <w:t>2</w:t>
              </w:r>
            </w:hyperlink>
            <w:hyperlink w:anchor="if6de8d550b664cf89bacba6847c193c5_151">
              <w:r>
                <w:rPr>
                  <w:rStyle w:val="InternetLink"/>
                  <w:rFonts w:ascii="Arial;sans-serif" w:hAnsi="Arial;sans-serif"/>
                  <w:b w:val="false"/>
                  <w:color w:val="000080"/>
                  <w:sz w:val="20"/>
                  <w:u w:val="single"/>
                </w:rPr>
                <w:t xml:space="preserve"> and </w:t>
              </w:r>
            </w:hyperlink>
            <w:hyperlink w:anchor="if6de8d550b664cf89bacba6847c193c5_151">
              <w:r>
                <w:rPr>
                  <w:rStyle w:val="InternetLink"/>
                  <w:rFonts w:ascii="Arial;sans-serif" w:hAnsi="Arial;sans-serif"/>
                  <w:b w:val="false"/>
                  <w:color w:val="000080"/>
                  <w:sz w:val="20"/>
                  <w:u w:val="single"/>
                </w:rPr>
                <w:t>2021</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51">
              <w:r>
                <w:rPr>
                  <w:rStyle w:val="InternetLink"/>
                  <w:rFonts w:ascii="Arial;sans-serif" w:hAnsi="Arial;sans-serif"/>
                  <w:b w:val="false"/>
                  <w:color w:val="000080"/>
                  <w:sz w:val="20"/>
                  <w:u w:val="single"/>
                </w:rPr>
                <w:t>F-</w:t>
              </w:r>
            </w:hyperlink>
            <w:hyperlink w:anchor="if6de8d550b664cf89bacba6847c193c5_151">
              <w:r>
                <w:rPr>
                  <w:rStyle w:val="InternetLink"/>
                  <w:rFonts w:ascii="Arial;sans-serif" w:hAnsi="Arial;sans-serif"/>
                  <w:b w:val="false"/>
                  <w:color w:val="000080"/>
                  <w:sz w:val="20"/>
                  <w:u w:val="single"/>
                </w:rPr>
                <w:t>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6de8d550b664cf89bacba6847c193c5_154">
              <w:r>
                <w:rPr>
                  <w:rStyle w:val="InternetLink"/>
                  <w:rFonts w:ascii="Arial;sans-serif" w:hAnsi="Arial;sans-serif"/>
                  <w:b w:val="false"/>
                  <w:color w:val="000080"/>
                  <w:sz w:val="20"/>
                  <w:u w:val="single"/>
                </w:rPr>
                <w:t>Consolidated Statements of Comprehensive Income (Loss) for the years ended December 31, 202</w:t>
              </w:r>
            </w:hyperlink>
            <w:hyperlink w:anchor="if6de8d550b664cf89bacba6847c193c5_154">
              <w:r>
                <w:rPr>
                  <w:rStyle w:val="InternetLink"/>
                  <w:rFonts w:ascii="Arial;sans-serif" w:hAnsi="Arial;sans-serif"/>
                  <w:b w:val="false"/>
                  <w:color w:val="000080"/>
                  <w:sz w:val="20"/>
                  <w:u w:val="single"/>
                </w:rPr>
                <w:t>3</w:t>
              </w:r>
            </w:hyperlink>
            <w:hyperlink w:anchor="if6de8d550b664cf89bacba6847c193c5_154">
              <w:r>
                <w:rPr>
                  <w:rStyle w:val="InternetLink"/>
                  <w:rFonts w:ascii="Arial;sans-serif" w:hAnsi="Arial;sans-serif"/>
                  <w:b w:val="false"/>
                  <w:color w:val="000080"/>
                  <w:sz w:val="20"/>
                  <w:u w:val="single"/>
                </w:rPr>
                <w:t>, 202</w:t>
              </w:r>
            </w:hyperlink>
            <w:hyperlink w:anchor="if6de8d550b664cf89bacba6847c193c5_154">
              <w:r>
                <w:rPr>
                  <w:rStyle w:val="InternetLink"/>
                  <w:rFonts w:ascii="Arial;sans-serif" w:hAnsi="Arial;sans-serif"/>
                  <w:b w:val="false"/>
                  <w:color w:val="000080"/>
                  <w:sz w:val="20"/>
                  <w:u w:val="single"/>
                </w:rPr>
                <w:t>2</w:t>
              </w:r>
            </w:hyperlink>
            <w:hyperlink w:anchor="if6de8d550b664cf89bacba6847c193c5_154">
              <w:r>
                <w:rPr>
                  <w:rStyle w:val="InternetLink"/>
                  <w:rFonts w:ascii="Arial;sans-serif" w:hAnsi="Arial;sans-serif"/>
                  <w:b w:val="false"/>
                  <w:color w:val="000080"/>
                  <w:sz w:val="20"/>
                  <w:u w:val="single"/>
                </w:rPr>
                <w:t xml:space="preserve"> and </w:t>
              </w:r>
            </w:hyperlink>
            <w:hyperlink w:anchor="if6de8d550b664cf89bacba6847c193c5_154">
              <w:r>
                <w:rPr>
                  <w:rStyle w:val="InternetLink"/>
                  <w:rFonts w:ascii="Arial;sans-serif" w:hAnsi="Arial;sans-serif"/>
                  <w:b w:val="false"/>
                  <w:color w:val="000080"/>
                  <w:sz w:val="20"/>
                  <w:u w:val="single"/>
                </w:rPr>
                <w:t>2021</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54">
              <w:r>
                <w:rPr>
                  <w:rStyle w:val="InternetLink"/>
                  <w:rFonts w:ascii="Arial;sans-serif" w:hAnsi="Arial;sans-serif"/>
                  <w:b w:val="false"/>
                  <w:color w:val="000080"/>
                  <w:sz w:val="20"/>
                  <w:u w:val="single"/>
                </w:rPr>
                <w:t>F-</w:t>
              </w:r>
            </w:hyperlink>
            <w:hyperlink w:anchor="if6de8d550b664cf89bacba6847c193c5_154">
              <w:r>
                <w:rPr>
                  <w:rStyle w:val="InternetLink"/>
                  <w:rFonts w:ascii="Arial;sans-serif" w:hAnsi="Arial;sans-serif"/>
                  <w:b w:val="false"/>
                  <w:color w:val="000080"/>
                  <w:sz w:val="20"/>
                  <w:u w:val="single"/>
                </w:rPr>
                <w:t>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6de8d550b664cf89bacba6847c193c5_157">
              <w:r>
                <w:rPr>
                  <w:rStyle w:val="InternetLink"/>
                  <w:rFonts w:ascii="Arial;sans-serif" w:hAnsi="Arial;sans-serif"/>
                  <w:b w:val="false"/>
                  <w:color w:val="000080"/>
                  <w:sz w:val="20"/>
                  <w:u w:val="single"/>
                </w:rPr>
                <w:t>Consolidated Statements of Changes in Shareholder's Equity for the years ended December 31, 202</w:t>
              </w:r>
            </w:hyperlink>
            <w:hyperlink w:anchor="if6de8d550b664cf89bacba6847c193c5_157">
              <w:r>
                <w:rPr>
                  <w:rStyle w:val="InternetLink"/>
                  <w:rFonts w:ascii="Arial;sans-serif" w:hAnsi="Arial;sans-serif"/>
                  <w:b w:val="false"/>
                  <w:color w:val="000080"/>
                  <w:sz w:val="20"/>
                  <w:u w:val="single"/>
                </w:rPr>
                <w:t>3</w:t>
              </w:r>
            </w:hyperlink>
            <w:hyperlink w:anchor="if6de8d550b664cf89bacba6847c193c5_157">
              <w:r>
                <w:rPr>
                  <w:rStyle w:val="InternetLink"/>
                  <w:rFonts w:ascii="Arial;sans-serif" w:hAnsi="Arial;sans-serif"/>
                  <w:b w:val="false"/>
                  <w:color w:val="000080"/>
                  <w:sz w:val="20"/>
                  <w:u w:val="single"/>
                </w:rPr>
                <w:t>, 202</w:t>
              </w:r>
            </w:hyperlink>
            <w:hyperlink w:anchor="if6de8d550b664cf89bacba6847c193c5_157">
              <w:r>
                <w:rPr>
                  <w:rStyle w:val="InternetLink"/>
                  <w:rFonts w:ascii="Arial;sans-serif" w:hAnsi="Arial;sans-serif"/>
                  <w:b w:val="false"/>
                  <w:color w:val="000080"/>
                  <w:sz w:val="20"/>
                  <w:u w:val="single"/>
                </w:rPr>
                <w:t>2</w:t>
              </w:r>
            </w:hyperlink>
            <w:hyperlink w:anchor="if6de8d550b664cf89bacba6847c193c5_157">
              <w:r>
                <w:rPr>
                  <w:rStyle w:val="InternetLink"/>
                  <w:rFonts w:ascii="Arial;sans-serif" w:hAnsi="Arial;sans-serif"/>
                  <w:b w:val="false"/>
                  <w:color w:val="000080"/>
                  <w:sz w:val="20"/>
                  <w:u w:val="single"/>
                </w:rPr>
                <w:t xml:space="preserve"> and</w:t>
              </w:r>
            </w:hyperlink>
            <w:hyperlink w:anchor="if6de8d550b664cf89bacba6847c193c5_157">
              <w:r>
                <w:rPr>
                  <w:rStyle w:val="InternetLink"/>
                  <w:rFonts w:ascii="Arial;sans-serif" w:hAnsi="Arial;sans-serif"/>
                  <w:b w:val="false"/>
                  <w:color w:val="000080"/>
                  <w:sz w:val="20"/>
                  <w:u w:val="single"/>
                </w:rPr>
                <w:t xml:space="preserve"> 202</w:t>
              </w:r>
            </w:hyperlink>
            <w:hyperlink w:anchor="if6de8d550b664cf89bacba6847c193c5_157">
              <w:r>
                <w:rPr>
                  <w:rStyle w:val="InternetLink"/>
                  <w:rFonts w:ascii="Arial;sans-serif" w:hAnsi="Arial;sans-serif"/>
                  <w:b w:val="false"/>
                  <w:color w:val="000080"/>
                  <w:sz w:val="20"/>
                  <w:u w:val="single"/>
                </w:rPr>
                <w:t>1</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57">
              <w:r>
                <w:rPr>
                  <w:rStyle w:val="InternetLink"/>
                  <w:rFonts w:ascii="Arial;sans-serif" w:hAnsi="Arial;sans-serif"/>
                  <w:b w:val="false"/>
                  <w:color w:val="000080"/>
                  <w:sz w:val="20"/>
                  <w:u w:val="single"/>
                </w:rPr>
                <w:t>F-</w:t>
              </w:r>
            </w:hyperlink>
            <w:hyperlink w:anchor="if6de8d550b664cf89bacba6847c193c5_157">
              <w:r>
                <w:rPr>
                  <w:rStyle w:val="InternetLink"/>
                  <w:rFonts w:ascii="Arial;sans-serif" w:hAnsi="Arial;sans-serif"/>
                  <w:b w:val="false"/>
                  <w:color w:val="000080"/>
                  <w:sz w:val="20"/>
                  <w:u w:val="single"/>
                </w:rPr>
                <w:t>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6de8d550b664cf89bacba6847c193c5_160">
              <w:r>
                <w:rPr>
                  <w:rStyle w:val="InternetLink"/>
                  <w:rFonts w:ascii="Arial;sans-serif" w:hAnsi="Arial;sans-serif"/>
                  <w:b w:val="false"/>
                  <w:color w:val="000080"/>
                  <w:sz w:val="20"/>
                  <w:u w:val="single"/>
                </w:rPr>
                <w:t>Consolidated Statements of Cash Flows for the years ended December 31, 202</w:t>
              </w:r>
            </w:hyperlink>
            <w:hyperlink w:anchor="if6de8d550b664cf89bacba6847c193c5_160">
              <w:r>
                <w:rPr>
                  <w:rStyle w:val="InternetLink"/>
                  <w:rFonts w:ascii="Arial;sans-serif" w:hAnsi="Arial;sans-serif"/>
                  <w:b w:val="false"/>
                  <w:color w:val="000080"/>
                  <w:sz w:val="20"/>
                  <w:u w:val="single"/>
                </w:rPr>
                <w:t>3</w:t>
              </w:r>
            </w:hyperlink>
            <w:hyperlink w:anchor="if6de8d550b664cf89bacba6847c193c5_160">
              <w:r>
                <w:rPr>
                  <w:rStyle w:val="InternetLink"/>
                  <w:rFonts w:ascii="Arial;sans-serif" w:hAnsi="Arial;sans-serif"/>
                  <w:b w:val="false"/>
                  <w:color w:val="000080"/>
                  <w:sz w:val="20"/>
                  <w:u w:val="single"/>
                </w:rPr>
                <w:t>, 202</w:t>
              </w:r>
            </w:hyperlink>
            <w:hyperlink w:anchor="if6de8d550b664cf89bacba6847c193c5_160">
              <w:r>
                <w:rPr>
                  <w:rStyle w:val="InternetLink"/>
                  <w:rFonts w:ascii="Arial;sans-serif" w:hAnsi="Arial;sans-serif"/>
                  <w:b w:val="false"/>
                  <w:color w:val="000080"/>
                  <w:sz w:val="20"/>
                  <w:u w:val="single"/>
                </w:rPr>
                <w:t>2</w:t>
              </w:r>
            </w:hyperlink>
            <w:hyperlink w:anchor="if6de8d550b664cf89bacba6847c193c5_160">
              <w:r>
                <w:rPr>
                  <w:rStyle w:val="InternetLink"/>
                  <w:rFonts w:ascii="Arial;sans-serif" w:hAnsi="Arial;sans-serif"/>
                  <w:b w:val="false"/>
                  <w:color w:val="000080"/>
                  <w:sz w:val="20"/>
                  <w:u w:val="single"/>
                </w:rPr>
                <w:t xml:space="preserve"> and</w:t>
              </w:r>
            </w:hyperlink>
            <w:hyperlink w:anchor="if6de8d550b664cf89bacba6847c193c5_160">
              <w:r>
                <w:rPr>
                  <w:rStyle w:val="InternetLink"/>
                  <w:rFonts w:ascii="Arial;sans-serif" w:hAnsi="Arial;sans-serif"/>
                  <w:b w:val="false"/>
                  <w:color w:val="000080"/>
                  <w:sz w:val="20"/>
                  <w:u w:val="single"/>
                </w:rPr>
                <w:t xml:space="preserve"> 2021</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60">
              <w:r>
                <w:rPr>
                  <w:rStyle w:val="InternetLink"/>
                  <w:rFonts w:ascii="Arial;sans-serif" w:hAnsi="Arial;sans-serif"/>
                  <w:b w:val="false"/>
                  <w:color w:val="000080"/>
                  <w:sz w:val="20"/>
                  <w:u w:val="single"/>
                </w:rPr>
                <w:t>F-</w:t>
              </w:r>
            </w:hyperlink>
            <w:hyperlink w:anchor="if6de8d550b664cf89bacba6847c193c5_160">
              <w:r>
                <w:rPr>
                  <w:rStyle w:val="InternetLink"/>
                  <w:rFonts w:ascii="Arial;sans-serif" w:hAnsi="Arial;sans-serif"/>
                  <w:b w:val="false"/>
                  <w:color w:val="000080"/>
                  <w:sz w:val="20"/>
                  <w:u w:val="single"/>
                </w:rPr>
                <w:t>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63">
              <w:r>
                <w:rPr>
                  <w:rStyle w:val="InternetLink"/>
                  <w:rFonts w:ascii="Arial;sans-serif" w:hAnsi="Arial;sans-serif"/>
                  <w:b w:val="false"/>
                  <w:color w:val="0000FF"/>
                  <w:sz w:val="20"/>
                  <w:u w:val="single"/>
                </w:rPr>
                <w:t>Notes to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63">
              <w:r>
                <w:rPr>
                  <w:rStyle w:val="InternetLink"/>
                  <w:rFonts w:ascii="Arial;sans-serif" w:hAnsi="Arial;sans-serif"/>
                  <w:b w:val="false"/>
                  <w:color w:val="000080"/>
                  <w:sz w:val="20"/>
                  <w:u w:val="single"/>
                </w:rPr>
                <w:t>F-</w:t>
              </w:r>
            </w:hyperlink>
            <w:hyperlink w:anchor="if6de8d550b664cf89bacba6847c193c5_163">
              <w:r>
                <w:rPr>
                  <w:rStyle w:val="InternetLink"/>
                  <w:rFonts w:ascii="Arial;sans-serif" w:hAnsi="Arial;sans-serif"/>
                  <w:b w:val="false"/>
                  <w:color w:val="000080"/>
                  <w:sz w:val="20"/>
                  <w:u w:val="single"/>
                </w:rPr>
                <w:t>10</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675"/>
              <w:jc w:val="left"/>
              <w:rPr>
                <w:rFonts w:ascii="Arial;sans-serif" w:hAnsi="Arial;sans-serif"/>
                <w:b w:val="false"/>
                <w:color w:val="000000"/>
                <w:sz w:val="20"/>
              </w:rPr>
            </w:pPr>
            <w:r>
              <w:rPr>
                <w:rFonts w:ascii="Arial;sans-serif" w:hAnsi="Arial;sans-serif"/>
                <w:b w:val="false"/>
                <w:color w:val="000000"/>
                <w:sz w:val="20"/>
              </w:rPr>
              <w:t>(2) Exhibits</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2642"/>
        <w:gridCol w:w="2579"/>
        <w:gridCol w:w="3666"/>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fldChar w:fldCharType="begin"/>
            </w:r>
            <w:r>
              <w:rPr>
                <w:rStyle w:val="InternetLink"/>
                <w:sz w:val="20"/>
                <w:u w:val="single"/>
                <w:b w:val="false"/>
                <w:rFonts w:ascii="Arial;sans-serif" w:hAnsi="Arial;sans-serif"/>
                <w:color w:val="0000FF"/>
              </w:rPr>
              <w:instrText xml:space="preserve"> HYPERLINK "https://www.sec.gov/Archives/edgar/data/1415404/000110465923106157/tm2327406-1_s4.htm" \l "tANNA"</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2.1</w:t>
            </w:r>
            <w:r>
              <w:rPr>
                <w:rStyle w:val="InternetLink"/>
                <w:sz w:val="20"/>
                <w:u w:val="single"/>
                <w:b w:val="false"/>
                <w:rFonts w:ascii="Arial;sans-serif" w:hAnsi="Arial;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Arial;sans-serif" w:hAnsi="Arial;sans-serif"/>
                <w:color w:val="0000FF"/>
              </w:rPr>
              <w:instrText xml:space="preserve"> HYPERLINK "https://www.sec.gov/Archives/edgar/data/1415404/000110465923106157/tm2327406-1_s4.htm" \l "tANNA"</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Amended and Restated Agreement and Plan of Merger, dated as of October 2, 2023, by and among EchoStar, DISH and Merger Sub (incorporated by reference to Exhibit 2.1 to the Company's Current Report on Form 8-K filed on October 03, 2023.)+</w:t>
            </w:r>
            <w:r>
              <w:rPr>
                <w:rStyle w:val="InternetLink"/>
                <w:sz w:val="20"/>
                <w:u w:val="single"/>
                <w:b w:val="false"/>
                <w:rFonts w:ascii="Arial;sans-serif" w:hAnsi="Arial;sans-serif"/>
                <w:color w:val="0000FF"/>
              </w:rPr>
              <w:fldChar w:fldCharType="end"/>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Arial;sans-serif" w:hAnsi="Arial;sans-serif"/>
                  <w:b w:val="false"/>
                  <w:color w:val="0000FF"/>
                  <w:sz w:val="20"/>
                  <w:u w:val="single"/>
                </w:rPr>
                <w:t>3.1(a)*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FF"/>
                  <w:sz w:val="20"/>
                  <w:u w:val="single"/>
                </w:rPr>
                <w:t>Articles of Incorporation of EH Holding Corporation (currently known as Hughes Satellite Systems Corporation), dated as of March 16, 2011 (incorporated by reference to Exhibit 3.1(a) to the Company’s Registration Statement on Form S-4, Registration No. 333-179121).</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Arial;sans-serif" w:hAnsi="Arial;sans-serif"/>
                  <w:b w:val="false"/>
                  <w:color w:val="0000FF"/>
                  <w:sz w:val="20"/>
                  <w:u w:val="single"/>
                </w:rPr>
                <w:t>3.1(b)*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Arial;sans-serif" w:hAnsi="Arial;sans-serif"/>
                  <w:b w:val="false"/>
                  <w:color w:val="0000FF"/>
                  <w:sz w:val="20"/>
                  <w:u w:val="single"/>
                </w:rPr>
                <w:t>Articles of Amendment of EH Holding Corporation (currently known as Hughes Satellite Systems Corporation), dated as of October 26, 2011 (incorporated by reference to Exhibit 3.1(b) to the Company’s Registration Statement on Form S-4, Registration No. 333-179121).</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Arial;sans-serif" w:hAnsi="Arial;sans-serif"/>
                  <w:b w:val="false"/>
                  <w:color w:val="0000FF"/>
                  <w:sz w:val="20"/>
                  <w:u w:val="single"/>
                </w:rPr>
                <w:t>3.1(c)*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Arial;sans-serif" w:hAnsi="Arial;sans-serif"/>
                  <w:b w:val="false"/>
                  <w:color w:val="0000FF"/>
                  <w:sz w:val="20"/>
                  <w:u w:val="single"/>
                </w:rPr>
                <w:t>Articles of Amendment of Hughes Satellite Systems Corporation, dated as of December 30, 2013 (incorporated by reference to Exhibit 3.1(c) to Hughes Satellite Systems Corporation’s Annual Report on Form 10-K for the year ended December 31, 2013, filed February 21, 2014, Commission File No. 333-179121.</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Arial;sans-serif" w:hAnsi="Arial;sans-serif"/>
                  <w:b w:val="false"/>
                  <w:color w:val="0000FF"/>
                  <w:sz w:val="20"/>
                  <w:u w:val="single"/>
                </w:rPr>
                <w:t>3.1(d)*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Arial;sans-serif" w:hAnsi="Arial;sans-serif"/>
                  <w:b w:val="false"/>
                  <w:color w:val="0000FF"/>
                  <w:sz w:val="20"/>
                  <w:u w:val="single"/>
                </w:rPr>
                <w:t>Articles of Amendment of Hughes Satellite Systems Corporation, dated as of January 21, 2014 (incorporated by reference to Exhibit 3.1(d) to Hughes Satellite Systems Corporation’s Annual Report on Form 10-K for the year ended December 31, 2013, filed February 21, 2014, Commission File No. 333-179121).</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Arial;sans-serif" w:hAnsi="Arial;sans-serif"/>
                  <w:b w:val="false"/>
                  <w:color w:val="0000FF"/>
                  <w:sz w:val="20"/>
                  <w:u w:val="single"/>
                </w:rPr>
                <w:t>3.1(e)*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Arial;sans-serif" w:hAnsi="Arial;sans-serif"/>
                  <w:b w:val="false"/>
                  <w:color w:val="0000FF"/>
                  <w:sz w:val="20"/>
                  <w:u w:val="single"/>
                </w:rPr>
                <w:t>Articles of Amendment of Hughes Satellite Systems Corporation, dated as of February 28, 2014 (incorporated by reference to Exhibit 3.1(a) to Hughes Satellite Systems Corporation’s Quarterly Report on Form 10-Q for the quarter ended March 31, 2014, filed May 9, 2014, Commission File No. 333-179121).</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Arial;sans-serif" w:hAnsi="Arial;sans-serif"/>
                  <w:b w:val="false"/>
                  <w:color w:val="0000FF"/>
                  <w:sz w:val="20"/>
                  <w:u w:val="single"/>
                </w:rPr>
                <w:t>3.1(f)*</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Arial;sans-serif" w:hAnsi="Arial;sans-serif"/>
                  <w:b w:val="false"/>
                  <w:color w:val="0000FF"/>
                  <w:sz w:val="20"/>
                  <w:u w:val="single"/>
                </w:rPr>
                <w:t>Articles of Amendment to Articles of Incorporation of Hughes Satellite Systems Corporation, dated as of March 1, 2017 (incorporated by reference to Exhibit 32 to EchoStar Corporation’s Current Report on Form 8-K filed March 6, 2017, Commission File No. 001-33807).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6de8d550b664cf89bacba6847c193c5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2669"/>
        <w:gridCol w:w="2568"/>
        <w:gridCol w:w="3650"/>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Arial;sans-serif" w:hAnsi="Arial;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Arial;sans-serif" w:hAnsi="Arial;sans-serif"/>
                  <w:b w:val="false"/>
                  <w:color w:val="0000FF"/>
                  <w:sz w:val="20"/>
                  <w:u w:val="single"/>
                </w:rPr>
                <w:t>Bylaws of EH Holding Corporation (incorporated by reference to Exhibit 3.2 to the Company’s Registration Statement on Form S-4, Registration No. 333-179121).</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Arial;sans-serif" w:hAnsi="Arial;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Arial;sans-serif" w:hAnsi="Arial;sans-serif"/>
                  <w:b w:val="false"/>
                  <w:color w:val="0000FF"/>
                  <w:sz w:val="20"/>
                  <w:u w:val="single"/>
                </w:rPr>
                <w:t>Security Agreement, dated as of June 8, 2011, among EH Holding Corporation (currently known as Hughes Satellite Systems Corporation), the guarantors listed on the signature pages thereto, and U.S. Bank National Association, as successor collateral agent (incorporated by reference to Exhibit 4.1 to EchoStar Corporation’s Current Report on Form 8-K, filed June 9, 2011, Commission File No. 001-33807).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Arial;sans-serif" w:hAnsi="Arial;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Arial;sans-serif" w:hAnsi="Arial;sans-serif"/>
                  <w:b w:val="false"/>
                  <w:color w:val="0000FF"/>
                  <w:sz w:val="20"/>
                  <w:u w:val="single"/>
                </w:rPr>
                <w:t>Indenture, relating to the 5.250% Senior Secured Notes, dated as of July 27, 2016, among Hughes Satellite Systems Corporation, the guarantors party thereto, U.S. Bank National Association, as trustee and successor collateral agent (incorporated by reference to Exhibit 4.1 to EchoStar Corporation’s Current Report on Form 8-K filed on July 27, 2016, Commission File No. 001-33807).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Arial;sans-serif" w:hAnsi="Arial;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Arial;sans-serif" w:hAnsi="Arial;sans-serif"/>
                  <w:b w:val="false"/>
                  <w:color w:val="0000FF"/>
                  <w:sz w:val="20"/>
                  <w:u w:val="single"/>
                </w:rPr>
                <w:t>Indenture, relating to the 6.625% Senior Unsecured Notes, dated as of July 27, 2016, among Hughes Satellite Systems Corporation, the guarantors party thereto and U.S. Bank National Association, as trustee (incorporated by reference to Exhibit 4.2 to EchoStar Corporation’s Current Report on Form 8-K filed on July 27, 2016, Commission File No. 001-33807).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Arial;sans-serif" w:hAnsi="Arial;sans-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Arial;sans-serif" w:hAnsi="Arial;sans-serif"/>
                  <w:b w:val="false"/>
                  <w:color w:val="0000FF"/>
                  <w:sz w:val="20"/>
                  <w:u w:val="single"/>
                </w:rPr>
                <w:t>Registration Rights Agreement, dated as of July 27, 2016, among Hughes Satellite Systems Corporation, the guarantors party thereto and Deutsche Bank Securities Inc. (incorporated by reference to Exhibit 4.3 to EchoStar Corporation’s Current Report on Form 8-K filed on July 27, 2016, Commission File No. 001-33807).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Arial;sans-serif" w:hAnsi="Arial;sans-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Arial;sans-serif" w:hAnsi="Arial;sans-serif"/>
                  <w:b w:val="false"/>
                  <w:color w:val="0000FF"/>
                  <w:sz w:val="20"/>
                  <w:u w:val="single"/>
                </w:rPr>
                <w:t>Additional Secured Party Joinder, dated as of July 27, 2016, among U.S. Bank National Association, as trustee and successor collateral agent, and Hughes Satellite Systems Corporation (incorporated by reference to Exhibit 4.4 to EchoStar Corporation’s Current Report on Form 8-K filed on July 27, 2016, Commission File No. 001-33807).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Arial;sans-serif" w:hAnsi="Arial;sans-serif"/>
                  <w:b w:val="false"/>
                  <w:color w:val="0000FF"/>
                  <w:sz w:val="20"/>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Arial;sans-serif" w:hAnsi="Arial;sans-serif"/>
                  <w:b w:val="false"/>
                  <w:color w:val="0000FF"/>
                  <w:sz w:val="20"/>
                  <w:u w:val="single"/>
                </w:rPr>
                <w:t>Form of 5.250% Senior Secured Note due 2026 (included as part of Exhibit 4.2).</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Arial;sans-serif" w:hAnsi="Arial;sans-serif"/>
                  <w:b w:val="false"/>
                  <w:color w:val="0000FF"/>
                  <w:sz w:val="20"/>
                  <w:u w:val="single"/>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Arial;sans-serif" w:hAnsi="Arial;sans-serif"/>
                  <w:b w:val="false"/>
                  <w:color w:val="0000FF"/>
                  <w:sz w:val="20"/>
                  <w:u w:val="single"/>
                </w:rPr>
                <w:t>Form of 6.625% Senior Unsecured Note due 2026 (included as part of Exhibit 4.3).</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Arial;sans-serif" w:hAnsi="Arial;sans-serif"/>
                  <w:b w:val="false"/>
                  <w:color w:val="0000FF"/>
                  <w:sz w:val="20"/>
                  <w:u w:val="single"/>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Arial;sans-serif" w:hAnsi="Arial;sans-serif"/>
                  <w:b w:val="false"/>
                  <w:color w:val="0000FF"/>
                  <w:sz w:val="20"/>
                  <w:u w:val="single"/>
                </w:rPr>
                <w:t>Supplemental Indenture relating to Hughes Satellite Systems Corporation’s 5.250% Senior Secured Notes due 2026, dated March 23, 2017, by and among Hughes Satellite Systems Corporation, the guarantors and the supplemental guarantor listed on the signature pages thereto, U.S. Bank National Association, as trustee and successor collateral agent (incorporated by reference to Exhibit 4.19 to Hughes Satellite Systems Corporation’s Registration Statement on Form S-4, filed April 6, 2017, Commission File No. 333-179121).</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Arial;sans-serif" w:hAnsi="Arial;sans-serif"/>
                  <w:b w:val="false"/>
                  <w:color w:val="0000FF"/>
                  <w:sz w:val="20"/>
                  <w:u w:val="single"/>
                </w:rPr>
                <w:t>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Arial;sans-serif" w:hAnsi="Arial;sans-serif"/>
                  <w:b w:val="false"/>
                  <w:color w:val="0000FF"/>
                  <w:sz w:val="20"/>
                  <w:u w:val="single"/>
                </w:rPr>
                <w:t>Supplemental Indenture relating to Hughes Satellite Systems Corporation’s 6.625% Senior Notes due 2026, dated as of March 23, 2017, by and among Hughes Satellite Systems Corporation, the guarantors and the supplemental guarantor listed on the signature pages thereto and U.S. Bank National Association, as trustee (incorporated by reference to Exhibit 4.20 to Hughes Satellite Systems Corporation’s Registration Statement on Form S-4, filed April 6, 2017, Commission File No. 333-179121).</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Arial;sans-serif" w:hAnsi="Arial;sans-serif"/>
                  <w:b w:val="false"/>
                  <w:color w:val="0000FF"/>
                  <w:sz w:val="20"/>
                  <w:u w:val="single"/>
                </w:rPr>
                <w:t>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Arial;sans-serif" w:hAnsi="Arial;sans-serif"/>
                  <w:b w:val="false"/>
                  <w:color w:val="0000FF"/>
                  <w:sz w:val="20"/>
                  <w:u w:val="single"/>
                </w:rPr>
                <w:t>Joinder Agreement, dated as of August 10, 2017, to the Security Agreement dated as of June 8, 2011, by and between HNS Americas, L.L.C., HNS Americas II, L.L.C. and U.S. Bank National Association, as successor collateral agent (incorporated by reference to Exhibit 4.23 to Hughes Satellite Systems Corporation’s Annual Report on Form 10-K for the year ended December 31, 2017, filed February 22, 2018, Commission File No. 333-179121).</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Arial;sans-serif" w:hAnsi="Arial;sans-serif"/>
                  <w:b w:val="false"/>
                  <w:color w:val="0000FF"/>
                  <w:sz w:val="20"/>
                  <w:u w:val="single"/>
                </w:rPr>
                <w:t>4.11*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Arial;sans-serif" w:hAnsi="Arial;sans-serif"/>
                  <w:b w:val="false"/>
                  <w:color w:val="0000FF"/>
                  <w:sz w:val="20"/>
                  <w:u w:val="single"/>
                </w:rPr>
                <w:t>Second Supplemental Indenture relating to Hughes Satellite Systems Corporation’s 5.250% Senior Secured Notes due 2026, dated August 10, 2017, by and among Hughes Satellite Systems Corporation, the guarantors and the supplemental guarantor listed on the signature pages thereto, U.S. Bank National Association, as trustee and successor collateral agent (incorporated by reference to Exhibit 4.24 to Hughes Satellite Systems Corporation’s Annual Report on Form 10-K for the year ended December 31, 2017, filed February 22, 2018, Commission File No. 333-179121).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6de8d550b664cf89bacba6847c193c5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3050"/>
        <w:gridCol w:w="2408"/>
        <w:gridCol w:w="3429"/>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3429"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Arial;sans-serif" w:hAnsi="Arial;sans-serif"/>
                  <w:b w:val="false"/>
                  <w:color w:val="0000FF"/>
                  <w:sz w:val="20"/>
                  <w:u w:val="single"/>
                </w:rPr>
                <w:t>4.12*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Arial;sans-serif" w:hAnsi="Arial;sans-serif"/>
                  <w:b w:val="false"/>
                  <w:color w:val="0000FF"/>
                  <w:sz w:val="20"/>
                  <w:u w:val="single"/>
                </w:rPr>
                <w:t>Second Supplemental Indenture relating to Hughes Satellite Systems Corporation’s 6.625% Senior Notes due 2026, dated as of August 10, 2017, by and among Hughes Satellite Systems Corporation, the guarantors and the supplemental guarantor listed on the signature pages thereto and U.S. Bank National Association, as trustee (incorporated by reference to Exhibit 4.25 to Hughes Satellite Systems Corporation’s Annual Report on Form 10-K for the year ended December 31, 2017, filed February 22, 2018, Commission File No. 333-179121).</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1">
              <w:r>
                <w:rPr>
                  <w:rStyle w:val="InternetLink"/>
                  <w:rFonts w:ascii="Arial;sans-serif" w:hAnsi="Arial;sans-serif"/>
                  <w:b w:val="false"/>
                  <w:color w:val="0000FF"/>
                  <w:sz w:val="20"/>
                  <w:u w:val="single"/>
                </w:rPr>
                <w:t>4.13*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Arial;sans-serif" w:hAnsi="Arial;sans-serif"/>
                  <w:b w:val="false"/>
                  <w:color w:val="0000FF"/>
                  <w:sz w:val="20"/>
                  <w:u w:val="single"/>
                </w:rPr>
                <w:t>Joinder Agreement, dated as of June 12, 2019, to the Security Agreement dated as of June 8, 2011, by and between EchoStar BSS Corporation, EchoStar FSS L.L.C. and U.S. Bank National Association, as successor collateral agent (incorporated by reference to Exhibit 4.1 to Hughes Satellite System Corporation’s Quarterly Report on Form 10-Q for the quarter ended June 30, 2019, filed August 8, 2019, Commission File No. 333-179121).</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3">
              <w:r>
                <w:rPr>
                  <w:rStyle w:val="InternetLink"/>
                  <w:rFonts w:ascii="Arial;sans-serif" w:hAnsi="Arial;sans-serif"/>
                  <w:b w:val="false"/>
                  <w:color w:val="0000FF"/>
                  <w:sz w:val="20"/>
                  <w:u w:val="single"/>
                </w:rPr>
                <w:t>4.14*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Arial;sans-serif" w:hAnsi="Arial;sans-serif"/>
                  <w:b w:val="false"/>
                  <w:color w:val="0000FF"/>
                  <w:sz w:val="20"/>
                  <w:u w:val="single"/>
                </w:rPr>
                <w:t>Third Supplemental Indenture relating to Hughes Satellite Systems Corporation’s 5.250% Senior Secured Notes due 2026, dated June 12, 2019, by and among Hughes Satellite Systems Corporation, the guarantors and the supplemental guarantors listed on the signature pages thereto, U.S. Bank National Association, as trustee and successor collateral agent (incorporated by reference to Exhibit 4.2 to Hughes Satellite System Corporation’s Quarterly Report on Form 10-Q for the quarter ended June 30, 2019, filed August 8, 2019, Commission File No. 333-179121).</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5">
              <w:r>
                <w:rPr>
                  <w:rStyle w:val="InternetLink"/>
                  <w:rFonts w:ascii="Arial;sans-serif" w:hAnsi="Arial;sans-serif"/>
                  <w:b w:val="false"/>
                  <w:color w:val="0000FF"/>
                  <w:sz w:val="20"/>
                  <w:u w:val="single"/>
                </w:rPr>
                <w:t>4.15*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40" w:after="283"/>
              <w:jc w:val="both"/>
              <w:rPr/>
            </w:pPr>
            <w:hyperlink r:id="rId46">
              <w:r>
                <w:rPr>
                  <w:rStyle w:val="InternetLink"/>
                  <w:rFonts w:ascii="Arial;sans-serif" w:hAnsi="Arial;sans-serif"/>
                  <w:b w:val="false"/>
                  <w:color w:val="0000FF"/>
                  <w:sz w:val="20"/>
                  <w:u w:val="single"/>
                </w:rPr>
                <w:t>Third Supplemental Indenture relating to Hughes Satellite Systems Corporation’s 6.625% Senior Notes due 2026, dated as of June 12, 2019, by and among Hughes Satellite Systems Corporation, the guarantors and the supplemental guarantors listed on the signature pages thereto and U.S. Bank National Association, as trustee (incorporated by reference to Exhibit 4.3 to Hughes Satellite System Corporation’s Quarterly Report on Form 10-Q for the quarter ended June 30, 2019, filed August 8, 2019, Commission File No. 333-179121).</w:t>
              </w:r>
            </w:hyperlink>
          </w:p>
          <w:p>
            <w:pPr>
              <w:pStyle w:val="TableContents"/>
              <w:bidi w:val="0"/>
              <w:spacing w:before="0" w:after="0"/>
              <w:jc w:val="left"/>
              <w:rPr/>
            </w:pPr>
            <w:r>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7">
              <w:r>
                <w:rPr>
                  <w:rStyle w:val="InternetLink"/>
                  <w:rFonts w:ascii="Arial;sans-serif" w:hAnsi="Arial;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Arial;sans-serif" w:hAnsi="Arial;sans-serif"/>
                  <w:b w:val="false"/>
                  <w:color w:val="0000FF"/>
                  <w:sz w:val="20"/>
                  <w:u w:val="single"/>
                </w:rPr>
                <w:t>Amended and Restated EchoStar Corporation 2008 Stock Incentive Plan (the “2008 Stock Incentive Plan”) (incorporated by reference to EchoStar Corporation’s Definitive Proxy Statement on Form 14, filed September 18, 2014, Commission File No. 001-33807).**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9">
              <w:r>
                <w:rPr>
                  <w:rStyle w:val="InternetLink"/>
                  <w:rFonts w:ascii="Arial;sans-serif" w:hAnsi="Arial;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Arial;sans-serif" w:hAnsi="Arial;sans-serif"/>
                  <w:b w:val="false"/>
                  <w:color w:val="0000FF"/>
                  <w:sz w:val="20"/>
                  <w:u w:val="single"/>
                </w:rPr>
                <w:t>Form of Indemnification Agreement (incorporated by reference to Exhibit 10.1 to the Current Report on Form 8-K of Hughes Communications, Inc., filed June 22, 2006, (Commission File No. 000-51784)). **</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1">
              <w:r>
                <w:rPr>
                  <w:rStyle w:val="InternetLink"/>
                  <w:rFonts w:ascii="Arial;sans-serif" w:hAnsi="Arial;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Arial;sans-serif" w:hAnsi="Arial;sans-serif"/>
                  <w:b w:val="false"/>
                  <w:color w:val="0000FF"/>
                  <w:sz w:val="20"/>
                  <w:u w:val="single"/>
                </w:rPr>
                <w:t>Form of Restricted Stock Unit Agreement for 2008 Stock Incentive Plan — Executive or Director (incorporated by reference to Exhibit 10.1 to EchoStar Corporation’s Quarterly Report on Form 10-Q for the quarter ended September 30, 2015, filed November 6, 2015, Commission File No. 001-33807).**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3">
              <w:r>
                <w:rPr>
                  <w:rStyle w:val="InternetLink"/>
                  <w:rFonts w:ascii="Arial;sans-serif" w:hAnsi="Arial;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Arial;sans-serif" w:hAnsi="Arial;sans-serif"/>
                  <w:b w:val="false"/>
                  <w:color w:val="0000FF"/>
                  <w:sz w:val="20"/>
                  <w:u w:val="single"/>
                </w:rPr>
                <w:t>Form of Stock Option Agreement for 2008 Stock Incentive Plan (1999) (incorporated by reference to Exhibit 10.31 to Hughes Satellite System Corporation’s Annual Report on Form 10-K for the year ended December 31, 2015, filed February 24, 2016, Commission File No. 333-179121). **</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5">
              <w:r>
                <w:rPr>
                  <w:rStyle w:val="InternetLink"/>
                  <w:rFonts w:ascii="Arial;sans-serif" w:hAnsi="Arial;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Arial;sans-serif" w:hAnsi="Arial;sans-serif"/>
                  <w:b w:val="false"/>
                  <w:color w:val="0000FF"/>
                  <w:sz w:val="20"/>
                  <w:u w:val="single"/>
                </w:rPr>
                <w:t>Form of Stock Option Agreement for 2008 Stock Incentive Plan — Employee (2008) (incorporated by reference to Exhibit 10.32 to Hughes Satellite System Corporation’s Annual Report on Form 10-K for the year ended December 31, 2015, filed February 24, 2016, Commission File No. 333-179121). **</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7">
              <w:r>
                <w:rPr>
                  <w:rStyle w:val="InternetLink"/>
                  <w:rFonts w:ascii="Arial;sans-serif" w:hAnsi="Arial;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Arial;sans-serif" w:hAnsi="Arial;sans-serif"/>
                  <w:b w:val="false"/>
                  <w:color w:val="0000FF"/>
                  <w:sz w:val="20"/>
                  <w:u w:val="single"/>
                </w:rPr>
                <w:t>Form of Stock Option Agreement for 2008 Stock Incentive Plan — Executive (2008) (incorporated by reference to Exhibit 10.33 to Hughes Satellite System Corporation’s Annual Report on Form 10-K for the year ended December 31, 2015, filed February 24, 2016, Commission File No. 333-179121). **</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9">
              <w:r>
                <w:rPr>
                  <w:rStyle w:val="InternetLink"/>
                  <w:rFonts w:ascii="Arial;sans-serif" w:hAnsi="Arial;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Arial;sans-serif" w:hAnsi="Arial;sans-serif"/>
                  <w:b w:val="false"/>
                  <w:color w:val="0000FF"/>
                  <w:sz w:val="20"/>
                  <w:u w:val="single"/>
                </w:rPr>
                <w:t>Form of Stock Option Agreement for 2008 Stock Incentive Plan — Employee (2014) (incorporated by reference to Exhibit 10.34 to Hughes Satellite System Corporation’s Annual Report on Form 10-K for the year ended December 31, 2015, filed February 24, 2016, Commission File No. 333-179121). **</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1">
              <w:r>
                <w:rPr>
                  <w:rStyle w:val="InternetLink"/>
                  <w:rFonts w:ascii="Arial;sans-serif" w:hAnsi="Arial;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Arial;sans-serif" w:hAnsi="Arial;sans-serif"/>
                  <w:b w:val="false"/>
                  <w:color w:val="0000FF"/>
                  <w:sz w:val="20"/>
                  <w:u w:val="single"/>
                </w:rPr>
                <w:t>Form of Stock Option Agreement for 2008 Stock Incentive Plan — Executive (2014) (incorporated by reference to Exhibit 10.35 to Hughes Satellite System Corporation’s Annual Report on Form 10-K for the year ended December 31, 2015, filed February 24, 2016, Commission File No. 333-179121). **</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6de8d550b664cf89bacba6847c193c5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2666"/>
        <w:gridCol w:w="2566"/>
        <w:gridCol w:w="3655"/>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3">
              <w:r>
                <w:rPr>
                  <w:rStyle w:val="InternetLink"/>
                  <w:rFonts w:ascii="Arial;sans-serif" w:hAnsi="Arial;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Arial;sans-serif" w:hAnsi="Arial;sans-serif"/>
                  <w:b w:val="false"/>
                  <w:color w:val="0000FF"/>
                  <w:sz w:val="20"/>
                  <w:u w:val="single"/>
                </w:rPr>
                <w:t>Form of Restricted Stock Unit Agreement for 2008 Stock Incentive Plan — Executive or Director (2011) (incorporated by reference to Exhibit 10.36 to Hughes Satellite System Corporation’s Annual Report on Form 10-K for the year ended December 31, 2015, filed February 24, 2016, Commission File No. 333-179121).**</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5">
              <w:r>
                <w:rPr>
                  <w:rStyle w:val="InternetLink"/>
                  <w:rFonts w:ascii="Arial;sans-serif" w:hAnsi="Arial;sans-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Arial;sans-serif" w:hAnsi="Arial;sans-serif"/>
                  <w:b w:val="false"/>
                  <w:color w:val="0000FF"/>
                  <w:sz w:val="20"/>
                  <w:u w:val="single"/>
                </w:rPr>
                <w:t>EchoStar Corporation 2017 Stock Incentive Plan (incorporated by reference to EchoStar Corporation’s Definitive Proxy Statement on Form 14, filed March 23, 2017, Commission File No. 001-33807).**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7">
              <w:r>
                <w:rPr>
                  <w:rStyle w:val="InternetLink"/>
                  <w:rFonts w:ascii="Arial;sans-serif" w:hAnsi="Arial;sans-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Arial;sans-serif" w:hAnsi="Arial;sans-serif"/>
                  <w:b w:val="false"/>
                  <w:color w:val="0000FF"/>
                  <w:sz w:val="20"/>
                  <w:u w:val="single"/>
                </w:rPr>
                <w:t>Amended and Restated EchoStar Corporation 2017 Employee Stock Purchase Plan (incorporated by reference to EchoStar Corporation’s Definitive Proxy Statement on Form 14, filed March 23, 2017, Commission File No. 001-33807).**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9">
              <w:r>
                <w:rPr>
                  <w:rStyle w:val="InternetLink"/>
                  <w:rFonts w:ascii="Arial;sans-serif" w:hAnsi="Arial;sans-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0">
              <w:r>
                <w:rPr>
                  <w:rStyle w:val="InternetLink"/>
                  <w:rFonts w:ascii="Arial;sans-serif" w:hAnsi="Arial;sans-serif"/>
                  <w:b w:val="false"/>
                  <w:color w:val="0000FF"/>
                  <w:sz w:val="20"/>
                  <w:u w:val="single"/>
                </w:rPr>
                <w:t>Amendment No. 1 to EchoStar Corporation 2017 Amended and Restated Employee Stock Purchase Plan dated October 20, 2022 (incorporated by reference to Exhibit 10.5 to EchoStar Corporation’s Quarterly Report on Form 10-Q for the quarter ended September 30, 2022, filed November 3, 2022, Commission File No. 001-33807)**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1">
              <w:r>
                <w:rPr>
                  <w:rStyle w:val="InternetLink"/>
                  <w:rFonts w:ascii="Arial;sans-serif" w:hAnsi="Arial;sans-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2">
              <w:r>
                <w:rPr>
                  <w:rStyle w:val="InternetLink"/>
                  <w:rFonts w:ascii="Arial;sans-serif" w:hAnsi="Arial;sans-serif"/>
                  <w:b w:val="false"/>
                  <w:color w:val="0000FF"/>
                  <w:sz w:val="20"/>
                  <w:u w:val="single"/>
                </w:rPr>
                <w:t xml:space="preserve">EchoStar Non-Qualified Plan -- Executive Plan and Adoption Agreement, as amended (incorporated by reference to Exhibit 10.1 to EchoStar Corporation’s Quarterly Report on Form 10-Q for the quarter ended June 30, 2017, filed August 9, 2017, Commission File No. 001-33807).** </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3">
              <w:r>
                <w:rPr>
                  <w:rStyle w:val="InternetLink"/>
                  <w:rFonts w:ascii="Arial;sans-serif" w:hAnsi="Arial;sans-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4">
              <w:r>
                <w:rPr>
                  <w:rStyle w:val="InternetLink"/>
                  <w:rFonts w:ascii="Arial;sans-serif" w:hAnsi="Arial;sans-serif"/>
                  <w:b w:val="false"/>
                  <w:color w:val="0000FF"/>
                  <w:sz w:val="20"/>
                  <w:u w:val="single"/>
                </w:rPr>
                <w:t>Form of Stock Option Agreement for the EchoStar Corporation 2017 Stock Incentive Plan - Employee (2017) (incorporated by reference to Exhibit 10.2 to EchoStar Corporation’s Quarterly Report on Form 10-Q for the quarter ended June 30, 2017, filed August 9, 2017, Commission File No. 001-33807).**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5">
              <w:r>
                <w:rPr>
                  <w:rStyle w:val="InternetLink"/>
                  <w:rFonts w:ascii="Arial;sans-serif" w:hAnsi="Arial;sans-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6">
              <w:r>
                <w:rPr>
                  <w:rStyle w:val="InternetLink"/>
                  <w:rFonts w:ascii="Arial;sans-serif" w:hAnsi="Arial;sans-serif"/>
                  <w:b w:val="false"/>
                  <w:color w:val="0000FF"/>
                  <w:sz w:val="20"/>
                  <w:u w:val="single"/>
                </w:rPr>
                <w:t xml:space="preserve">Form of Stock Option Agreement for the EchoStar Corporation 2017 Stock Incentive Plan - Executive (2017) (incorporated by reference to Exhibit 10.3 to EchoStar Corporation’s Quarterly Report on Form 10-Q for the quarter ended June 30, 2017, filed August 9, 2017, Commission File No. 001-33807). ** </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7">
              <w:r>
                <w:rPr>
                  <w:rStyle w:val="InternetLink"/>
                  <w:rFonts w:ascii="Arial;sans-serif" w:hAnsi="Arial;sans-serif"/>
                  <w:b w:val="false"/>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8">
              <w:r>
                <w:rPr>
                  <w:rStyle w:val="InternetLink"/>
                  <w:rFonts w:ascii="Arial;sans-serif" w:hAnsi="Arial;sans-serif"/>
                  <w:b w:val="false"/>
                  <w:color w:val="0000FF"/>
                  <w:sz w:val="20"/>
                  <w:u w:val="single"/>
                </w:rPr>
                <w:t>Form of Restricted Stock Unit Agreement for the EchoStar Corporation 2017 Stock Incentive Plan - Executive (2017) (incorporated by reference to Exhibit 10.5 to EchoStar Corporation’s Quarterly Report on Form 10-Q for the quarter ended June 30, 2017, filed August 9, 2017, Commission File No. 001-33807).**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9">
              <w:r>
                <w:rPr>
                  <w:rStyle w:val="InternetLink"/>
                  <w:rFonts w:ascii="Arial;sans-serif" w:hAnsi="Arial;sans-serif"/>
                  <w:b w:val="false"/>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0">
              <w:r>
                <w:rPr>
                  <w:rStyle w:val="InternetLink"/>
                  <w:rFonts w:ascii="Arial;sans-serif" w:hAnsi="Arial;sans-serif"/>
                  <w:b w:val="false"/>
                  <w:color w:val="0000FF"/>
                  <w:sz w:val="20"/>
                  <w:u w:val="single"/>
                </w:rPr>
                <w:t>Form of Stock Option Agreement for the EchoStar Corporation 2017 Stock Incentive Plan — Employee (2022) (incorporated by reference to Exhibit 10.1 to EchoStar Corporation’s Quarterly Report on Form 10-Q for the quarter ended September 30, 2022, filed November 3, 2022, Commission File No. 001-33807)**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1">
              <w:r>
                <w:rPr>
                  <w:rStyle w:val="InternetLink"/>
                  <w:rFonts w:ascii="Arial;sans-serif" w:hAnsi="Arial;sans-serif"/>
                  <w:b w:val="false"/>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2">
              <w:r>
                <w:rPr>
                  <w:rStyle w:val="InternetLink"/>
                  <w:rFonts w:ascii="Arial;sans-serif" w:hAnsi="Arial;sans-serif"/>
                  <w:b w:val="false"/>
                  <w:color w:val="0000FF"/>
                  <w:sz w:val="20"/>
                  <w:u w:val="single"/>
                </w:rPr>
                <w:t>Form of Stock Option Agreement for the EchoStar Corporation 2017 Stock Incentive Plan — Executive (2022) (incorporated by reference to Exhibit 10.2 to EchoStar Corporation’s Quarterly Report on Form 10-Q for the quarter ended September 30, 2022, filed November 3, 2022, Commission File No. 001-33807) **</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3">
              <w:r>
                <w:rPr>
                  <w:rStyle w:val="InternetLink"/>
                  <w:rFonts w:ascii="Arial;sans-serif" w:hAnsi="Arial;sans-serif"/>
                  <w:b w:val="false"/>
                  <w:color w:val="0000FF"/>
                  <w:sz w:val="20"/>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4">
              <w:r>
                <w:rPr>
                  <w:rStyle w:val="InternetLink"/>
                  <w:rFonts w:ascii="Arial;sans-serif" w:hAnsi="Arial;sans-serif"/>
                  <w:b w:val="false"/>
                  <w:color w:val="0000FF"/>
                  <w:sz w:val="20"/>
                  <w:u w:val="single"/>
                </w:rPr>
                <w:t>Form of Non-Employee Director Stock Option Agreement for the EchoStar Corporation 2017 Non-Employee Director Stock Incentive Plan (2022) (incorporated by reference to Exhibit 10.3 to EchoStar Corporation’s Quarterly Report on Form 10-Q for the quarter ended September 30, 2022, filed November 3, 2022, Commission File No. 001-33807)**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5">
              <w:r>
                <w:rPr>
                  <w:rStyle w:val="InternetLink"/>
                  <w:rFonts w:ascii="Arial;sans-serif" w:hAnsi="Arial;sans-serif"/>
                  <w:b w:val="false"/>
                  <w:color w:val="0000FF"/>
                  <w:sz w:val="20"/>
                  <w:u w:val="single"/>
                </w:rPr>
                <w:t>10.20*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6">
              <w:r>
                <w:rPr>
                  <w:rStyle w:val="InternetLink"/>
                  <w:rFonts w:ascii="Arial;sans-serif" w:hAnsi="Arial;sans-serif"/>
                  <w:b w:val="false"/>
                  <w:color w:val="0000FF"/>
                  <w:sz w:val="20"/>
                  <w:u w:val="single"/>
                </w:rPr>
                <w:t>Form of Restricted Stock Unit Agreement for the EchoStar Corporation 2017 Stock Incentive Plan — Executive (2022) (incorporated by reference to Exhibit 10.4 to EchoStar Corporation’s Quarterly Report on Form 10-Q for the quarter ended September 30, 2022, filed November 3, 2022, Commission File No. 001-33807) **</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7">
              <w:r>
                <w:rPr>
                  <w:rStyle w:val="InternetLink"/>
                  <w:rFonts w:ascii="Arial;sans-serif" w:hAnsi="Arial;sans-serif"/>
                  <w:b w:val="false"/>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8">
              <w:r>
                <w:rPr>
                  <w:rStyle w:val="InternetLink"/>
                  <w:rFonts w:ascii="Arial;sans-serif" w:hAnsi="Arial;sans-serif"/>
                  <w:b w:val="false"/>
                  <w:color w:val="0000FF"/>
                  <w:sz w:val="20"/>
                  <w:u w:val="single"/>
                </w:rPr>
                <w:t>Letter Agreement, dated as of October 2, 2023, by and between EchoStar and Hamid Akhavan (incorporated by reference from Exhibit 10.2 to the Amendment No. 1 on Form S-4 of EchoStar filed on November 6, 2023, Registration File No. 333-274837).**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9">
              <w:r>
                <w:rPr>
                  <w:rStyle w:val="InternetLink"/>
                  <w:rFonts w:ascii="Arial;sans-serif" w:hAnsi="Arial;sans-serif"/>
                  <w:b w:val="false"/>
                  <w:color w:val="0000FF"/>
                  <w:sz w:val="20"/>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0">
              <w:r>
                <w:rPr>
                  <w:rStyle w:val="InternetLink"/>
                  <w:rFonts w:ascii="Arial;sans-serif" w:hAnsi="Arial;sans-serif"/>
                  <w:b w:val="false"/>
                  <w:color w:val="0000FF"/>
                  <w:sz w:val="20"/>
                  <w:u w:val="single"/>
                </w:rPr>
                <w:t>Form of Stock Option Agreement for Hamid Akhavan (incorporated by reference to Exhibit 10.2 to EchoStar Corporation’s Quarterly Report on Form 10-Q for the quarter ended March 31, 2022, filed May 5, 2022, Commission File No. 001-33807)**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6de8d550b664cf89bacba6847c193c5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2688"/>
        <w:gridCol w:w="2557"/>
        <w:gridCol w:w="3642"/>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1">
              <w:r>
                <w:rPr>
                  <w:rStyle w:val="InternetLink"/>
                  <w:rFonts w:ascii="Arial;sans-serif" w:hAnsi="Arial;sans-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2">
              <w:r>
                <w:rPr>
                  <w:rStyle w:val="InternetLink"/>
                  <w:rFonts w:ascii="Arial;sans-serif" w:hAnsi="Arial;sans-serif"/>
                  <w:b w:val="false"/>
                  <w:color w:val="0000FF"/>
                  <w:sz w:val="20"/>
                  <w:u w:val="single"/>
                </w:rPr>
                <w:t>Form of Restricted Stock Unit Agreement for Hamid Akhavan (incorporated by reference to Exhibit 10.3 to EchoStar Corporation’s Quarterly Report on Form 10-Q for the quarter ended March 31, 2022, filed May 5, 2022, Commission File No. 001-33807)**</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3">
              <w:r>
                <w:rPr>
                  <w:rStyle w:val="InternetLink"/>
                  <w:rFonts w:ascii="Arial;sans-serif" w:hAnsi="Arial;sans-serif"/>
                  <w:b w:val="false"/>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4">
              <w:r>
                <w:rPr>
                  <w:rStyle w:val="InternetLink"/>
                  <w:rFonts w:ascii="Arial;sans-serif" w:hAnsi="Arial;sans-serif"/>
                  <w:b w:val="false"/>
                  <w:color w:val="0000FF"/>
                  <w:sz w:val="20"/>
                  <w:u w:val="single"/>
                </w:rPr>
                <w:t>Amendment to EchoStar Non-Qualified Plan-Executive Plan and Adoption Agreement, dated November 1, 2018 (incorporated by reference to Exhibit 10.30 to Hughes Satellite Systems Corporation’s Annual Report on Form 10-K for the Year ended December 31, 2018, filed February 21, 2019, Commission File No. 333-179121).**</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5">
              <w:r>
                <w:rPr>
                  <w:rStyle w:val="InternetLink"/>
                  <w:rFonts w:ascii="Arial;sans-serif" w:hAnsi="Arial;sans-serif"/>
                  <w:b w:val="false"/>
                  <w:color w:val="0000FF"/>
                  <w:sz w:val="20"/>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6">
              <w:r>
                <w:rPr>
                  <w:rStyle w:val="InternetLink"/>
                  <w:rFonts w:ascii="Arial;sans-serif" w:hAnsi="Arial;sans-serif"/>
                  <w:b w:val="false"/>
                  <w:color w:val="0000FF"/>
                  <w:sz w:val="20"/>
                  <w:u w:val="single"/>
                </w:rPr>
                <w:t>Amended and Restated EchoStar Corporation Executive Officer Bonus Incentive Plan, dated as of April 30, 2019 (incorporated by reference to Exhibit 10.1 to Hughes Satellite Systems Corporation’s Quarterly Report on Form 10-Q for the quarter ended June 30, 2019, filed August 8, 2019, Commission File No. 333-179121).**</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7">
              <w:r>
                <w:rPr>
                  <w:rStyle w:val="InternetLink"/>
                  <w:rFonts w:ascii="Arial;sans-serif" w:hAnsi="Arial;sans-serif"/>
                  <w:b w:val="false"/>
                  <w:color w:val="0000FF"/>
                  <w:sz w:val="20"/>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8">
              <w:r>
                <w:rPr>
                  <w:rStyle w:val="InternetLink"/>
                  <w:rFonts w:ascii="Arial;sans-serif" w:hAnsi="Arial;sans-serif"/>
                  <w:b w:val="false"/>
                  <w:color w:val="0000FF"/>
                  <w:sz w:val="20"/>
                  <w:u w:val="single"/>
                </w:rPr>
                <w:t>Amendment to EchoStar Non-Qualified Plan – Executive Plan and Adoption Agreement, dated October 21, 2019 (incorporated by reference to Exhibit 10.1 to EchoStar Corporation’s Quarterly Report on Form 10-Q for the quarter ended September 30, 2020, filed November 5, 2020, Commission File No. 333-179121). **</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fldChar w:fldCharType="begin"/>
            </w:r>
            <w:r>
              <w:rPr>
                <w:rStyle w:val="InternetLink"/>
                <w:sz w:val="20"/>
                <w:u w:val="single"/>
                <w:b w:val="false"/>
                <w:rFonts w:ascii="Arial;sans-serif" w:hAnsi="Arial;sans-serif"/>
                <w:color w:val="0000FF"/>
              </w:rPr>
              <w:instrText xml:space="preserve"> HYPERLINK "https://www.sec.gov/Archives/edgar/data/1415404/000141540421000011/a2021satsproxystatement.htm" \l "i6d1879bc289540a3ba8fc082b625c96b_1265"</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10.27*</w:t>
            </w:r>
            <w:r>
              <w:rPr>
                <w:rStyle w:val="InternetLink"/>
                <w:sz w:val="20"/>
                <w:u w:val="single"/>
                <w:b w:val="false"/>
                <w:rFonts w:ascii="Arial;sans-serif" w:hAnsi="Arial;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76" w:before="0" w:after="0"/>
              <w:jc w:val="both"/>
              <w:rPr/>
            </w:pPr>
            <w:r>
              <w:fldChar w:fldCharType="begin"/>
            </w:r>
            <w:r>
              <w:rPr>
                <w:rStyle w:val="InternetLink"/>
                <w:sz w:val="20"/>
                <w:u w:val="single"/>
                <w:b w:val="false"/>
                <w:rFonts w:ascii="Arial;sans-serif" w:hAnsi="Arial;sans-serif"/>
                <w:color w:val="0000FF"/>
              </w:rPr>
              <w:instrText xml:space="preserve"> HYPERLINK "https://www.sec.gov/Archives/edgar/data/1415404/000141540421000011/a2021satsproxystatement.htm" \l "i6d1879bc289540a3ba8fc082b625c96b_1265"</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Amendment No. 1 to EchoStar Corporation 2017 Non-Employee Director Stock Incentive Plan (incorporated by reference to EchoStar Corporation’s Definitive Proxy Statement on Schedule 14A, filed March 17, 2021, Commission File No. 001-33807). **</w:t>
            </w:r>
            <w:r>
              <w:rPr>
                <w:rStyle w:val="InternetLink"/>
                <w:sz w:val="20"/>
                <w:u w:val="single"/>
                <w:b w:val="false"/>
                <w:rFonts w:ascii="Arial;sans-serif" w:hAnsi="Arial;sans-serif"/>
                <w:color w:val="0000FF"/>
              </w:rPr>
              <w:fldChar w:fldCharType="end"/>
            </w:r>
            <w:r>
              <w:rPr>
                <w:color w:val="000000"/>
              </w:rPr>
              <w:t xml:space="preserve">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9">
              <w:r>
                <w:rPr>
                  <w:rStyle w:val="InternetLink"/>
                  <w:rFonts w:ascii="Arial;sans-serif" w:hAnsi="Arial;sans-serif"/>
                  <w:b w:val="false"/>
                  <w:color w:val="0000FF"/>
                  <w:sz w:val="20"/>
                  <w:u w:val="single"/>
                </w:rPr>
                <w:t>10.28*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00">
              <w:r>
                <w:rPr>
                  <w:rStyle w:val="InternetLink"/>
                  <w:rFonts w:ascii="Arial;sans-serif" w:hAnsi="Arial;sans-serif"/>
                  <w:b w:val="false"/>
                  <w:color w:val="0000FF"/>
                  <w:sz w:val="20"/>
                  <w:u w:val="single"/>
                </w:rPr>
                <w:t>Second Amended and Restated EchoStar Corporation Executive Officer Bonus Incentive Plan, dated as of November 2, 2021. **</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1">
              <w:r>
                <w:rPr>
                  <w:rStyle w:val="InternetLink"/>
                  <w:rFonts w:ascii="Arial;sans-serif" w:hAnsi="Arial;sans-serif"/>
                  <w:b w:val="false"/>
                  <w:color w:val="0000FF"/>
                  <w:sz w:val="20"/>
                  <w:u w:val="single"/>
                </w:rPr>
                <w:t>10.29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2">
              <w:r>
                <w:rPr>
                  <w:rStyle w:val="InternetLink"/>
                  <w:rFonts w:ascii="Arial;sans-serif" w:hAnsi="Arial;sans-serif"/>
                  <w:b w:val="false"/>
                  <w:color w:val="0000FF"/>
                  <w:sz w:val="20"/>
                  <w:u w:val="single"/>
                </w:rPr>
                <w:t>Amended and Restated Support Agreement, dated as of October 2, 2023, by and among EchoStar, DISH Network, and the Ergen Stockholders (incorporated by reference to Exhibit 10.1 to the Company's Current Report on Form 8-K filed on October 03, 2023.)+</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hssc202310-kxexx22.htm">
              <w:r>
                <w:rPr>
                  <w:rStyle w:val="InternetLink"/>
                  <w:rFonts w:ascii="Arial;sans-serif" w:hAnsi="Arial;sans-serif"/>
                  <w:b w:val="false"/>
                  <w:color w:val="000080"/>
                  <w:sz w:val="20"/>
                  <w:u w:val="single"/>
                </w:rPr>
                <w:t>2</w:t>
              </w:r>
            </w:hyperlink>
            <w:hyperlink w:anchor="hssc202310-kxexx22.htm">
              <w:r>
                <w:rPr>
                  <w:rStyle w:val="InternetLink"/>
                  <w:rFonts w:ascii="Arial;sans-serif" w:hAnsi="Arial;sans-serif"/>
                  <w:b w:val="false"/>
                  <w:color w:val="000080"/>
                  <w:sz w:val="20"/>
                  <w:u w:val="single"/>
                </w:rPr>
                <w:t>2 (H)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ssc202310-kxexx22.htm">
              <w:r>
                <w:rPr>
                  <w:rStyle w:val="InternetLink"/>
                  <w:rFonts w:ascii="Arial;sans-serif" w:hAnsi="Arial;sans-serif"/>
                  <w:b w:val="false"/>
                  <w:color w:val="0000FF"/>
                  <w:sz w:val="20"/>
                  <w:u w:val="single"/>
                </w:rPr>
                <w:t>List of Subsidiary Guarantors</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hssc202310-kxexx311.htm">
              <w:r>
                <w:rPr>
                  <w:rStyle w:val="InternetLink"/>
                  <w:rFonts w:ascii="Arial;sans-serif" w:hAnsi="Arial;sans-serif"/>
                  <w:b w:val="false"/>
                  <w:color w:val="0000FF"/>
                  <w:sz w:val="20"/>
                  <w:u w:val="single"/>
                </w:rPr>
                <w:t>31.1 (H)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ssc202310-kxexx311.htm">
              <w:r>
                <w:rPr>
                  <w:rStyle w:val="InternetLink"/>
                  <w:rFonts w:ascii="Arial;sans-serif" w:hAnsi="Arial;sans-serif"/>
                  <w:b w:val="false"/>
                  <w:color w:val="0000FF"/>
                  <w:sz w:val="20"/>
                  <w:u w:val="single"/>
                </w:rPr>
                <w:t>Section 302 Certification of Chief Executive Officer</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hssc202310-kxexx312.htm">
              <w:r>
                <w:rPr>
                  <w:rStyle w:val="InternetLink"/>
                  <w:rFonts w:ascii="Arial;sans-serif" w:hAnsi="Arial;sans-serif"/>
                  <w:b w:val="false"/>
                  <w:color w:val="0000FF"/>
                  <w:sz w:val="20"/>
                  <w:u w:val="single"/>
                </w:rPr>
                <w:t>31.2 (H)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ssc202310-kxexx312.htm">
              <w:r>
                <w:rPr>
                  <w:rStyle w:val="InternetLink"/>
                  <w:rFonts w:ascii="Arial;sans-serif" w:hAnsi="Arial;sans-serif"/>
                  <w:b w:val="false"/>
                  <w:color w:val="000080"/>
                  <w:sz w:val="20"/>
                  <w:u w:val="single"/>
                </w:rPr>
                <w:t>S</w:t>
              </w:r>
            </w:hyperlink>
            <w:hyperlink w:anchor="hssc202310-kxexx312.htm">
              <w:r>
                <w:rPr>
                  <w:rStyle w:val="InternetLink"/>
                  <w:rFonts w:ascii="Arial;sans-serif" w:hAnsi="Arial;sans-serif"/>
                  <w:b w:val="false"/>
                  <w:color w:val="000080"/>
                  <w:sz w:val="20"/>
                  <w:u w:val="single"/>
                </w:rPr>
                <w:t>ection 302 Certification of Principal Financial Officer</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hssc202310-kxexx321.htm">
              <w:r>
                <w:rPr>
                  <w:rStyle w:val="InternetLink"/>
                  <w:rFonts w:ascii="Arial;sans-serif" w:hAnsi="Arial;sans-serif"/>
                  <w:b w:val="false"/>
                  <w:color w:val="0000FF"/>
                  <w:sz w:val="20"/>
                  <w:u w:val="single"/>
                </w:rPr>
                <w:t>32.1 (H)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ssc202310-kxexx321.htm">
              <w:r>
                <w:rPr>
                  <w:rStyle w:val="InternetLink"/>
                  <w:rFonts w:ascii="Arial;sans-serif" w:hAnsi="Arial;sans-serif"/>
                  <w:b w:val="false"/>
                  <w:color w:val="0000FF"/>
                  <w:sz w:val="20"/>
                  <w:u w:val="single"/>
                </w:rPr>
                <w:t>Section 906 Certification of Chief Executive Officer</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hssc202310-kxexx322.htm">
              <w:r>
                <w:rPr>
                  <w:rStyle w:val="InternetLink"/>
                  <w:rFonts w:ascii="Arial;sans-serif" w:hAnsi="Arial;sans-serif"/>
                  <w:b w:val="false"/>
                  <w:color w:val="000080"/>
                  <w:sz w:val="20"/>
                  <w:u w:val="single"/>
                </w:rPr>
                <w:t>32.</w:t>
              </w:r>
            </w:hyperlink>
            <w:hyperlink w:anchor="hssc202310-kxexx322.htm">
              <w:r>
                <w:rPr>
                  <w:rStyle w:val="InternetLink"/>
                  <w:rFonts w:ascii="Arial;sans-serif" w:hAnsi="Arial;sans-serif"/>
                  <w:b w:val="false"/>
                  <w:color w:val="000080"/>
                  <w:sz w:val="20"/>
                  <w:u w:val="single"/>
                </w:rPr>
                <w:t>2</w:t>
              </w:r>
            </w:hyperlink>
            <w:hyperlink w:anchor="hssc202310-kxexx322.htm">
              <w:r>
                <w:rPr>
                  <w:rStyle w:val="InternetLink"/>
                  <w:rFonts w:ascii="Arial;sans-serif" w:hAnsi="Arial;sans-serif"/>
                  <w:b w:val="false"/>
                  <w:color w:val="000080"/>
                  <w:sz w:val="20"/>
                  <w:u w:val="single"/>
                </w:rPr>
                <w:t xml:space="preserve"> (H</w:t>
              </w:r>
            </w:hyperlink>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ssc202310-kxexx322.htm">
              <w:r>
                <w:rPr>
                  <w:rStyle w:val="InternetLink"/>
                  <w:rFonts w:ascii="Arial;sans-serif" w:hAnsi="Arial;sans-serif"/>
                  <w:b w:val="false"/>
                  <w:color w:val="000080"/>
                  <w:sz w:val="20"/>
                  <w:u w:val="single"/>
                </w:rPr>
                <w:t>S</w:t>
              </w:r>
            </w:hyperlink>
            <w:hyperlink w:anchor="hssc202310-kxexx322.htm">
              <w:r>
                <w:rPr>
                  <w:rStyle w:val="InternetLink"/>
                  <w:rFonts w:ascii="Arial;sans-serif" w:hAnsi="Arial;sans-serif"/>
                  <w:b w:val="false"/>
                  <w:color w:val="000080"/>
                  <w:sz w:val="20"/>
                  <w:u w:val="single"/>
                </w:rPr>
                <w:t>ection 906 Certification of Principal Financial Officer</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Instance Document. The instance document does not appear in the Interactive Data File because its XBRL tags are embedded within the Inline XBRL document.</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Schema.</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Calculation Linkbase.</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Definition Linkbase.</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Label Linkbase.</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Presentation Linkbase.</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in iXBRL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450"/>
        <w:jc w:val="both"/>
        <w:rPr>
          <w:rFonts w:ascii="Arial;sans-serif" w:hAnsi="Arial;sans-serif"/>
          <w:b w:val="false"/>
          <w:color w:val="000000"/>
          <w:sz w:val="16"/>
        </w:rPr>
      </w:pPr>
      <w:r>
        <w:rPr>
          <w:rFonts w:ascii="Arial;sans-serif" w:hAnsi="Arial;sans-serif"/>
          <w:b w:val="false"/>
          <w:color w:val="000000"/>
          <w:sz w:val="16"/>
        </w:rPr>
        <w:t>(H)    Filed herewith.</w:t>
      </w:r>
    </w:p>
    <w:p>
      <w:pPr>
        <w:pStyle w:val="TextBody"/>
        <w:bidi w:val="0"/>
        <w:spacing w:lineRule="auto" w:line="288" w:before="0" w:after="0"/>
        <w:ind w:left="0" w:right="0" w:hanging="450"/>
        <w:jc w:val="both"/>
        <w:rPr>
          <w:rFonts w:ascii="Arial;sans-serif" w:hAnsi="Arial;sans-serif"/>
          <w:b w:val="false"/>
          <w:color w:val="000000"/>
          <w:sz w:val="16"/>
        </w:rPr>
      </w:pPr>
      <w:r>
        <w:rPr>
          <w:rFonts w:ascii="Arial;sans-serif" w:hAnsi="Arial;sans-serif"/>
          <w:b w:val="false"/>
          <w:color w:val="000000"/>
          <w:sz w:val="16"/>
        </w:rPr>
        <w:t>*        Incorporated by reference.</w:t>
      </w:r>
    </w:p>
    <w:p>
      <w:pPr>
        <w:pStyle w:val="TextBody"/>
        <w:bidi w:val="0"/>
        <w:spacing w:lineRule="auto" w:line="288" w:before="0" w:after="0"/>
        <w:ind w:left="0" w:right="0" w:hanging="450"/>
        <w:jc w:val="both"/>
        <w:rPr>
          <w:rFonts w:ascii="Arial;sans-serif" w:hAnsi="Arial;sans-serif"/>
          <w:b w:val="false"/>
          <w:color w:val="000000"/>
          <w:sz w:val="16"/>
        </w:rPr>
      </w:pPr>
      <w:r>
        <w:rPr>
          <w:rFonts w:ascii="Arial;sans-serif" w:hAnsi="Arial;sans-serif"/>
          <w:b w:val="false"/>
          <w:color w:val="000000"/>
          <w:sz w:val="16"/>
        </w:rPr>
        <w:t>**      Constitutes a management contract or compensatory plan or arrangement.</w:t>
      </w:r>
    </w:p>
    <w:p>
      <w:pPr>
        <w:pStyle w:val="TextBody"/>
        <w:bidi w:val="0"/>
        <w:spacing w:lineRule="auto" w:line="288" w:before="0" w:after="0"/>
        <w:ind w:left="0" w:right="0" w:hanging="450"/>
        <w:jc w:val="both"/>
        <w:rPr>
          <w:rFonts w:ascii="Arial;sans-serif" w:hAnsi="Arial;sans-serif"/>
          <w:b w:val="false"/>
          <w:color w:val="000000"/>
          <w:sz w:val="16"/>
        </w:rPr>
      </w:pPr>
      <w:r>
        <w:rPr>
          <w:rFonts w:ascii="Arial;sans-serif" w:hAnsi="Arial;sans-serif"/>
          <w:b w:val="false"/>
          <w:color w:val="000000"/>
          <w:sz w:val="16"/>
        </w:rPr>
        <w:t>+     Schedules, annexes and/or exhibits have been omitted pursuant to Item 601(a)(5) of Regulation S-K. The Company hereby undertakes to furnish supplemental copies of any of the omitted schedules, annexes and/or exhibits upon request by the SEC; provided, that the Company may request confidential treatment pursuant to Rule 24b-2 of the Securities Exchange Act of 1934, as amended (the “Exchange Act”) for any schedules so furnished.</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16.    FORM 10-K SUMMARY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9259" w:type="dxa"/>
        <w:jc w:val="left"/>
        <w:tblInd w:w="0" w:type="dxa"/>
        <w:tblLayout w:type="fixed"/>
        <w:tblCellMar>
          <w:top w:w="28" w:type="dxa"/>
          <w:left w:w="28" w:type="dxa"/>
          <w:bottom w:w="28" w:type="dxa"/>
          <w:right w:w="28" w:type="dxa"/>
        </w:tblCellMar>
      </w:tblPr>
      <w:tblGrid>
        <w:gridCol w:w="629"/>
        <w:gridCol w:w="552"/>
        <w:gridCol w:w="558"/>
        <w:gridCol w:w="717"/>
        <w:gridCol w:w="717"/>
        <w:gridCol w:w="717"/>
        <w:gridCol w:w="1571"/>
        <w:gridCol w:w="1571"/>
        <w:gridCol w:w="2227"/>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 SATELLITE SYSTEMS CORPORATION</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Hamid Akhavan</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Hamid Akhavan</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/s/ Paul W. Orban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Paul W. Orban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 DISH</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 and Principal Accounting Officer)</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1, 2024</w:t>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100" w:after="283"/>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9158" w:type="dxa"/>
        <w:jc w:val="left"/>
        <w:tblInd w:w="0" w:type="dxa"/>
        <w:tblLayout w:type="fixed"/>
        <w:tblCellMar>
          <w:top w:w="28" w:type="dxa"/>
          <w:left w:w="28" w:type="dxa"/>
          <w:bottom w:w="28" w:type="dxa"/>
          <w:right w:w="28" w:type="dxa"/>
        </w:tblCellMar>
      </w:tblPr>
      <w:tblGrid>
        <w:gridCol w:w="701"/>
        <w:gridCol w:w="616"/>
        <w:gridCol w:w="618"/>
        <w:gridCol w:w="109"/>
        <w:gridCol w:w="109"/>
        <w:gridCol w:w="109"/>
        <w:gridCol w:w="1768"/>
        <w:gridCol w:w="1768"/>
        <w:gridCol w:w="1789"/>
        <w:gridCol w:w="109"/>
        <w:gridCol w:w="109"/>
        <w:gridCol w:w="109"/>
        <w:gridCol w:w="361"/>
        <w:gridCol w:w="361"/>
        <w:gridCol w:w="522"/>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Hamid Akhavan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2024</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Hamid Akhavan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Paul W. Orban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DISH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2024</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Paul W. Orban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Charles W. Ergen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2024</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Charles W. Ergen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/s/ Paul Gaske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Operating Officer, Hughes,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2024</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Paul Gaske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INDEX TO CONSOLIDATED FINANCIAL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Consolidated Financial Statements:</w:t>
      </w:r>
    </w:p>
    <w:tbl>
      <w:tblPr>
        <w:tblW w:w="10205" w:type="dxa"/>
        <w:jc w:val="left"/>
        <w:tblInd w:w="0" w:type="dxa"/>
        <w:tblLayout w:type="fixed"/>
        <w:tblCellMar>
          <w:top w:w="28" w:type="dxa"/>
          <w:left w:w="28" w:type="dxa"/>
          <w:bottom w:w="28" w:type="dxa"/>
          <w:right w:w="28" w:type="dxa"/>
        </w:tblCellMar>
      </w:tblPr>
      <w:tblGrid>
        <w:gridCol w:w="3476"/>
        <w:gridCol w:w="3052"/>
        <w:gridCol w:w="3060"/>
        <w:gridCol w:w="180"/>
        <w:gridCol w:w="180"/>
        <w:gridCol w:w="257"/>
      </w:tblGrid>
      <w:tr>
        <w:trPr/>
        <w:tc>
          <w:tcPr>
            <w:tcW w:w="3476"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42">
              <w:r>
                <w:rPr>
                  <w:rStyle w:val="InternetLink"/>
                  <w:rFonts w:ascii="Arial;sans-serif" w:hAnsi="Arial;sans-serif"/>
                  <w:b w:val="false"/>
                  <w:color w:val="0000FF"/>
                  <w:sz w:val="20"/>
                  <w:u w:val="single"/>
                </w:rPr>
                <w:t>Index to Consolidated Financial Statements</w:t>
              </w:r>
            </w:hyperlink>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f6de8d550b664cf89bacba6847c193c5_142">
              <w:r>
                <w:rPr>
                  <w:rStyle w:val="InternetLink"/>
                  <w:rFonts w:ascii="Arial;sans-serif" w:hAnsi="Arial;sans-serif"/>
                  <w:b w:val="false"/>
                  <w:color w:val="000080"/>
                  <w:sz w:val="20"/>
                  <w:u w:val="single"/>
                </w:rPr>
                <w:t>F-</w:t>
              </w:r>
            </w:hyperlink>
            <w:hyperlink w:anchor="if6de8d550b664cf89bacba6847c193c5_142">
              <w:r>
                <w:rPr>
                  <w:rStyle w:val="InternetLink"/>
                  <w:rFonts w:ascii="Arial;sans-serif" w:hAnsi="Arial;sans-serif"/>
                  <w:b w:val="false"/>
                  <w:color w:val="000080"/>
                  <w:sz w:val="20"/>
                  <w:u w:val="single"/>
                </w:rPr>
                <w:t>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45">
              <w:r>
                <w:rPr>
                  <w:rStyle w:val="InternetLink"/>
                  <w:rFonts w:ascii="Arial;sans-serif" w:hAnsi="Arial;sans-serif"/>
                  <w:b w:val="false"/>
                  <w:color w:val="0000FF"/>
                  <w:sz w:val="20"/>
                  <w:u w:val="single"/>
                </w:rPr>
                <w:t>Report of KPMG LLP, Independent Registered Public Accounting Firm</w:t>
              </w:r>
            </w:hyperlink>
            <w:r>
              <w:rPr>
                <w:color w:val="000000"/>
              </w:rPr>
              <w:t xml:space="preserve"> </w:t>
            </w:r>
            <w:r>
              <w:rPr>
                <w:rFonts w:ascii="Arial;sans-serif" w:hAnsi="Arial;sans-serif"/>
                <w:b w:val="false"/>
                <w:color w:val="000000"/>
                <w:sz w:val="20"/>
              </w:rPr>
              <w:t>(KPMG LLP, Denver, CO, PCAOB ID: 185)</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45">
              <w:r>
                <w:rPr>
                  <w:rStyle w:val="InternetLink"/>
                  <w:rFonts w:ascii="Arial;sans-serif" w:hAnsi="Arial;sans-serif"/>
                  <w:b w:val="false"/>
                  <w:color w:val="000080"/>
                  <w:sz w:val="20"/>
                  <w:u w:val="single"/>
                </w:rPr>
                <w:t>F-</w:t>
              </w:r>
            </w:hyperlink>
            <w:hyperlink w:anchor="if6de8d550b664cf89bacba6847c193c5_145">
              <w:r>
                <w:rPr>
                  <w:rStyle w:val="InternetLink"/>
                  <w:rFonts w:ascii="Arial;sans-serif" w:hAnsi="Arial;sans-serif"/>
                  <w:b w:val="false"/>
                  <w:color w:val="000080"/>
                  <w:sz w:val="20"/>
                  <w:u w:val="single"/>
                </w:rPr>
                <w:t>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48">
              <w:r>
                <w:rPr>
                  <w:rStyle w:val="InternetLink"/>
                  <w:rFonts w:ascii="Arial;sans-serif" w:hAnsi="Arial;sans-serif"/>
                  <w:b w:val="false"/>
                  <w:color w:val="000080"/>
                  <w:sz w:val="20"/>
                  <w:u w:val="single"/>
                </w:rPr>
                <w:t>Consolidated Balance Sheets as of December 31, 202</w:t>
              </w:r>
            </w:hyperlink>
            <w:hyperlink w:anchor="if6de8d550b664cf89bacba6847c193c5_148">
              <w:r>
                <w:rPr>
                  <w:rStyle w:val="InternetLink"/>
                  <w:rFonts w:ascii="Arial;sans-serif" w:hAnsi="Arial;sans-serif"/>
                  <w:b w:val="false"/>
                  <w:color w:val="000080"/>
                  <w:sz w:val="20"/>
                  <w:u w:val="single"/>
                </w:rPr>
                <w:t xml:space="preserve">3 </w:t>
              </w:r>
            </w:hyperlink>
            <w:hyperlink w:anchor="if6de8d550b664cf89bacba6847c193c5_148">
              <w:r>
                <w:rPr>
                  <w:rStyle w:val="InternetLink"/>
                  <w:rFonts w:ascii="Arial;sans-serif" w:hAnsi="Arial;sans-serif"/>
                  <w:b w:val="false"/>
                  <w:color w:val="000080"/>
                  <w:sz w:val="20"/>
                  <w:u w:val="single"/>
                </w:rPr>
                <w:t>and</w:t>
              </w:r>
            </w:hyperlink>
            <w:hyperlink w:anchor="if6de8d550b664cf89bacba6847c193c5_148">
              <w:r>
                <w:rPr>
                  <w:rStyle w:val="InternetLink"/>
                  <w:rFonts w:ascii="Arial;sans-serif" w:hAnsi="Arial;sans-serif"/>
                  <w:b w:val="false"/>
                  <w:color w:val="000080"/>
                  <w:sz w:val="20"/>
                  <w:u w:val="single"/>
                </w:rPr>
                <w:t xml:space="preserve">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48">
              <w:r>
                <w:rPr>
                  <w:rStyle w:val="InternetLink"/>
                  <w:rFonts w:ascii="Arial;sans-serif" w:hAnsi="Arial;sans-serif"/>
                  <w:b w:val="false"/>
                  <w:color w:val="000080"/>
                  <w:sz w:val="20"/>
                  <w:u w:val="single"/>
                </w:rPr>
                <w:t>F-</w:t>
              </w:r>
            </w:hyperlink>
            <w:hyperlink w:anchor="if6de8d550b664cf89bacba6847c193c5_148">
              <w:r>
                <w:rPr>
                  <w:rStyle w:val="InternetLink"/>
                  <w:rFonts w:ascii="Arial;sans-serif" w:hAnsi="Arial;sans-serif"/>
                  <w:b w:val="false"/>
                  <w:color w:val="000080"/>
                  <w:sz w:val="20"/>
                  <w:u w:val="single"/>
                </w:rPr>
                <w:t>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6de8d550b664cf89bacba6847c193c5_151">
              <w:r>
                <w:rPr>
                  <w:rStyle w:val="InternetLink"/>
                  <w:rFonts w:ascii="Arial;sans-serif" w:hAnsi="Arial;sans-serif"/>
                  <w:b w:val="false"/>
                  <w:color w:val="000080"/>
                  <w:sz w:val="20"/>
                  <w:u w:val="single"/>
                </w:rPr>
                <w:t>Consolidated Statements of Operations for the years ended December 31, 202</w:t>
              </w:r>
            </w:hyperlink>
            <w:hyperlink w:anchor="if6de8d550b664cf89bacba6847c193c5_151">
              <w:r>
                <w:rPr>
                  <w:rStyle w:val="InternetLink"/>
                  <w:rFonts w:ascii="Arial;sans-serif" w:hAnsi="Arial;sans-serif"/>
                  <w:b w:val="false"/>
                  <w:color w:val="000080"/>
                  <w:sz w:val="20"/>
                  <w:u w:val="single"/>
                </w:rPr>
                <w:t>3</w:t>
              </w:r>
            </w:hyperlink>
            <w:hyperlink w:anchor="if6de8d550b664cf89bacba6847c193c5_151">
              <w:r>
                <w:rPr>
                  <w:rStyle w:val="InternetLink"/>
                  <w:rFonts w:ascii="Arial;sans-serif" w:hAnsi="Arial;sans-serif"/>
                  <w:b w:val="false"/>
                  <w:color w:val="000080"/>
                  <w:sz w:val="20"/>
                  <w:u w:val="single"/>
                </w:rPr>
                <w:t>, 202</w:t>
              </w:r>
            </w:hyperlink>
            <w:hyperlink w:anchor="if6de8d550b664cf89bacba6847c193c5_151">
              <w:r>
                <w:rPr>
                  <w:rStyle w:val="InternetLink"/>
                  <w:rFonts w:ascii="Arial;sans-serif" w:hAnsi="Arial;sans-serif"/>
                  <w:b w:val="false"/>
                  <w:color w:val="000080"/>
                  <w:sz w:val="20"/>
                  <w:u w:val="single"/>
                </w:rPr>
                <w:t>2</w:t>
              </w:r>
            </w:hyperlink>
            <w:hyperlink w:anchor="if6de8d550b664cf89bacba6847c193c5_151">
              <w:r>
                <w:rPr>
                  <w:rStyle w:val="InternetLink"/>
                  <w:rFonts w:ascii="Arial;sans-serif" w:hAnsi="Arial;sans-serif"/>
                  <w:b w:val="false"/>
                  <w:color w:val="000080"/>
                  <w:sz w:val="20"/>
                  <w:u w:val="single"/>
                </w:rPr>
                <w:t xml:space="preserve"> and</w:t>
              </w:r>
            </w:hyperlink>
            <w:hyperlink w:anchor="if6de8d550b664cf89bacba6847c193c5_151">
              <w:r>
                <w:rPr>
                  <w:rStyle w:val="InternetLink"/>
                  <w:rFonts w:ascii="Arial;sans-serif" w:hAnsi="Arial;sans-serif"/>
                  <w:b w:val="false"/>
                  <w:color w:val="000080"/>
                  <w:sz w:val="20"/>
                  <w:u w:val="single"/>
                </w:rPr>
                <w:t xml:space="preserve"> 2021</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51">
              <w:r>
                <w:rPr>
                  <w:rStyle w:val="InternetLink"/>
                  <w:rFonts w:ascii="Arial;sans-serif" w:hAnsi="Arial;sans-serif"/>
                  <w:b w:val="false"/>
                  <w:color w:val="000080"/>
                  <w:sz w:val="20"/>
                  <w:u w:val="single"/>
                </w:rPr>
                <w:t>F-</w:t>
              </w:r>
            </w:hyperlink>
            <w:hyperlink w:anchor="if6de8d550b664cf89bacba6847c193c5_151">
              <w:r>
                <w:rPr>
                  <w:rStyle w:val="InternetLink"/>
                  <w:rFonts w:ascii="Arial;sans-serif" w:hAnsi="Arial;sans-serif"/>
                  <w:b w:val="false"/>
                  <w:color w:val="000080"/>
                  <w:sz w:val="20"/>
                  <w:u w:val="single"/>
                </w:rPr>
                <w:t>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6de8d550b664cf89bacba6847c193c5_154">
              <w:r>
                <w:rPr>
                  <w:rStyle w:val="InternetLink"/>
                  <w:rFonts w:ascii="Arial;sans-serif" w:hAnsi="Arial;sans-serif"/>
                  <w:b w:val="false"/>
                  <w:color w:val="000080"/>
                  <w:sz w:val="20"/>
                  <w:u w:val="single"/>
                </w:rPr>
                <w:t>Consolidated Statements of Comprehensive Income (Loss) for the years ended December 31, 20</w:t>
              </w:r>
            </w:hyperlink>
            <w:hyperlink w:anchor="if6de8d550b664cf89bacba6847c193c5_154">
              <w:r>
                <w:rPr>
                  <w:rStyle w:val="InternetLink"/>
                  <w:rFonts w:ascii="Arial;sans-serif" w:hAnsi="Arial;sans-serif"/>
                  <w:b w:val="false"/>
                  <w:color w:val="000080"/>
                  <w:sz w:val="20"/>
                  <w:u w:val="single"/>
                </w:rPr>
                <w:t>2</w:t>
              </w:r>
            </w:hyperlink>
            <w:hyperlink w:anchor="if6de8d550b664cf89bacba6847c193c5_154">
              <w:r>
                <w:rPr>
                  <w:rStyle w:val="InternetLink"/>
                  <w:rFonts w:ascii="Arial;sans-serif" w:hAnsi="Arial;sans-serif"/>
                  <w:b w:val="false"/>
                  <w:color w:val="000080"/>
                  <w:sz w:val="20"/>
                  <w:u w:val="single"/>
                </w:rPr>
                <w:t>3</w:t>
              </w:r>
            </w:hyperlink>
            <w:hyperlink w:anchor="if6de8d550b664cf89bacba6847c193c5_154">
              <w:r>
                <w:rPr>
                  <w:rStyle w:val="InternetLink"/>
                  <w:rFonts w:ascii="Arial;sans-serif" w:hAnsi="Arial;sans-serif"/>
                  <w:b w:val="false"/>
                  <w:color w:val="000080"/>
                  <w:sz w:val="20"/>
                  <w:u w:val="single"/>
                </w:rPr>
                <w:t>, 202</w:t>
              </w:r>
            </w:hyperlink>
            <w:hyperlink w:anchor="if6de8d550b664cf89bacba6847c193c5_154">
              <w:r>
                <w:rPr>
                  <w:rStyle w:val="InternetLink"/>
                  <w:rFonts w:ascii="Arial;sans-serif" w:hAnsi="Arial;sans-serif"/>
                  <w:b w:val="false"/>
                  <w:color w:val="000080"/>
                  <w:sz w:val="20"/>
                  <w:u w:val="single"/>
                </w:rPr>
                <w:t>2</w:t>
              </w:r>
            </w:hyperlink>
            <w:hyperlink w:anchor="if6de8d550b664cf89bacba6847c193c5_154">
              <w:r>
                <w:rPr>
                  <w:rStyle w:val="InternetLink"/>
                  <w:rFonts w:ascii="Arial;sans-serif" w:hAnsi="Arial;sans-serif"/>
                  <w:b w:val="false"/>
                  <w:color w:val="000080"/>
                  <w:sz w:val="20"/>
                  <w:u w:val="single"/>
                </w:rPr>
                <w:t xml:space="preserve"> and</w:t>
              </w:r>
            </w:hyperlink>
            <w:hyperlink w:anchor="if6de8d550b664cf89bacba6847c193c5_154">
              <w:r>
                <w:rPr>
                  <w:rStyle w:val="InternetLink"/>
                  <w:rFonts w:ascii="Arial;sans-serif" w:hAnsi="Arial;sans-serif"/>
                  <w:b w:val="false"/>
                  <w:color w:val="000080"/>
                  <w:sz w:val="20"/>
                  <w:u w:val="single"/>
                </w:rPr>
                <w:t xml:space="preserve"> 2021</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54">
              <w:r>
                <w:rPr>
                  <w:rStyle w:val="InternetLink"/>
                  <w:rFonts w:ascii="Arial;sans-serif" w:hAnsi="Arial;sans-serif"/>
                  <w:b w:val="false"/>
                  <w:color w:val="000080"/>
                  <w:sz w:val="20"/>
                  <w:u w:val="single"/>
                </w:rPr>
                <w:t>F-</w:t>
              </w:r>
            </w:hyperlink>
            <w:hyperlink w:anchor="if6de8d550b664cf89bacba6847c193c5_154">
              <w:r>
                <w:rPr>
                  <w:rStyle w:val="InternetLink"/>
                  <w:rFonts w:ascii="Arial;sans-serif" w:hAnsi="Arial;sans-serif"/>
                  <w:b w:val="false"/>
                  <w:color w:val="000080"/>
                  <w:sz w:val="20"/>
                  <w:u w:val="single"/>
                </w:rPr>
                <w:t>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6de8d550b664cf89bacba6847c193c5_157">
              <w:r>
                <w:rPr>
                  <w:rStyle w:val="InternetLink"/>
                  <w:rFonts w:ascii="Arial;sans-serif" w:hAnsi="Arial;sans-serif"/>
                  <w:b w:val="false"/>
                  <w:color w:val="000080"/>
                  <w:sz w:val="20"/>
                  <w:u w:val="single"/>
                </w:rPr>
                <w:t>Consolidated Statements of Changes in Shareholder's Equity for the years ended December 31, 20</w:t>
              </w:r>
            </w:hyperlink>
            <w:hyperlink w:anchor="if6de8d550b664cf89bacba6847c193c5_157">
              <w:r>
                <w:rPr>
                  <w:rStyle w:val="InternetLink"/>
                  <w:rFonts w:ascii="Arial;sans-serif" w:hAnsi="Arial;sans-serif"/>
                  <w:b w:val="false"/>
                  <w:color w:val="000080"/>
                  <w:sz w:val="20"/>
                  <w:u w:val="single"/>
                </w:rPr>
                <w:t>23</w:t>
              </w:r>
            </w:hyperlink>
            <w:hyperlink w:anchor="if6de8d550b664cf89bacba6847c193c5_157">
              <w:r>
                <w:rPr>
                  <w:rStyle w:val="InternetLink"/>
                  <w:rFonts w:ascii="Arial;sans-serif" w:hAnsi="Arial;sans-serif"/>
                  <w:b w:val="false"/>
                  <w:color w:val="000080"/>
                  <w:sz w:val="20"/>
                  <w:u w:val="single"/>
                </w:rPr>
                <w:t>, 202</w:t>
              </w:r>
            </w:hyperlink>
            <w:hyperlink w:anchor="if6de8d550b664cf89bacba6847c193c5_157">
              <w:r>
                <w:rPr>
                  <w:rStyle w:val="InternetLink"/>
                  <w:rFonts w:ascii="Arial;sans-serif" w:hAnsi="Arial;sans-serif"/>
                  <w:b w:val="false"/>
                  <w:color w:val="000080"/>
                  <w:sz w:val="20"/>
                  <w:u w:val="single"/>
                </w:rPr>
                <w:t>2</w:t>
              </w:r>
            </w:hyperlink>
            <w:hyperlink w:anchor="if6de8d550b664cf89bacba6847c193c5_157">
              <w:r>
                <w:rPr>
                  <w:rStyle w:val="InternetLink"/>
                  <w:rFonts w:ascii="Arial;sans-serif" w:hAnsi="Arial;sans-serif"/>
                  <w:b w:val="false"/>
                  <w:color w:val="000080"/>
                  <w:sz w:val="20"/>
                  <w:u w:val="single"/>
                </w:rPr>
                <w:t xml:space="preserve"> and</w:t>
              </w:r>
            </w:hyperlink>
            <w:hyperlink w:anchor="if6de8d550b664cf89bacba6847c193c5_157">
              <w:r>
                <w:rPr>
                  <w:rStyle w:val="InternetLink"/>
                  <w:rFonts w:ascii="Arial;sans-serif" w:hAnsi="Arial;sans-serif"/>
                  <w:b w:val="false"/>
                  <w:color w:val="000080"/>
                  <w:sz w:val="20"/>
                  <w:u w:val="single"/>
                </w:rPr>
                <w:t xml:space="preserve"> 2021</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57">
              <w:r>
                <w:rPr>
                  <w:rStyle w:val="InternetLink"/>
                  <w:rFonts w:ascii="Arial;sans-serif" w:hAnsi="Arial;sans-serif"/>
                  <w:b w:val="false"/>
                  <w:color w:val="000080"/>
                  <w:sz w:val="20"/>
                  <w:u w:val="single"/>
                </w:rPr>
                <w:t>F-</w:t>
              </w:r>
            </w:hyperlink>
            <w:hyperlink w:anchor="if6de8d550b664cf89bacba6847c193c5_157">
              <w:r>
                <w:rPr>
                  <w:rStyle w:val="InternetLink"/>
                  <w:rFonts w:ascii="Arial;sans-serif" w:hAnsi="Arial;sans-serif"/>
                  <w:b w:val="false"/>
                  <w:color w:val="000080"/>
                  <w:sz w:val="20"/>
                  <w:u w:val="single"/>
                </w:rPr>
                <w:t>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60">
              <w:r>
                <w:rPr>
                  <w:rStyle w:val="InternetLink"/>
                  <w:rFonts w:ascii="Arial;sans-serif" w:hAnsi="Arial;sans-serif"/>
                  <w:b w:val="false"/>
                  <w:color w:val="000080"/>
                  <w:sz w:val="20"/>
                  <w:u w:val="single"/>
                </w:rPr>
                <w:t>Consolidated Statements of Cash Flows for the years ended December 31, 20</w:t>
              </w:r>
            </w:hyperlink>
            <w:hyperlink w:anchor="if6de8d550b664cf89bacba6847c193c5_160">
              <w:r>
                <w:rPr>
                  <w:rStyle w:val="InternetLink"/>
                  <w:rFonts w:ascii="Arial;sans-serif" w:hAnsi="Arial;sans-serif"/>
                  <w:b w:val="false"/>
                  <w:color w:val="000080"/>
                  <w:sz w:val="20"/>
                  <w:u w:val="single"/>
                </w:rPr>
                <w:t>23,</w:t>
              </w:r>
            </w:hyperlink>
            <w:hyperlink w:anchor="if6de8d550b664cf89bacba6847c193c5_160">
              <w:r>
                <w:rPr>
                  <w:rStyle w:val="InternetLink"/>
                  <w:rFonts w:ascii="Arial;sans-serif" w:hAnsi="Arial;sans-serif"/>
                  <w:b w:val="false"/>
                  <w:color w:val="000080"/>
                  <w:sz w:val="20"/>
                  <w:u w:val="single"/>
                </w:rPr>
                <w:t xml:space="preserve"> 202</w:t>
              </w:r>
            </w:hyperlink>
            <w:hyperlink w:anchor="if6de8d550b664cf89bacba6847c193c5_160">
              <w:r>
                <w:rPr>
                  <w:rStyle w:val="InternetLink"/>
                  <w:rFonts w:ascii="Arial;sans-serif" w:hAnsi="Arial;sans-serif"/>
                  <w:b w:val="false"/>
                  <w:color w:val="000080"/>
                  <w:sz w:val="20"/>
                  <w:u w:val="single"/>
                </w:rPr>
                <w:t>2</w:t>
              </w:r>
            </w:hyperlink>
            <w:hyperlink w:anchor="if6de8d550b664cf89bacba6847c193c5_160">
              <w:r>
                <w:rPr>
                  <w:rStyle w:val="InternetLink"/>
                  <w:rFonts w:ascii="Arial;sans-serif" w:hAnsi="Arial;sans-serif"/>
                  <w:b w:val="false"/>
                  <w:color w:val="000080"/>
                  <w:sz w:val="20"/>
                  <w:u w:val="single"/>
                </w:rPr>
                <w:t xml:space="preserve"> and </w:t>
              </w:r>
            </w:hyperlink>
            <w:hyperlink w:anchor="if6de8d550b664cf89bacba6847c193c5_160">
              <w:r>
                <w:rPr>
                  <w:rStyle w:val="InternetLink"/>
                  <w:rFonts w:ascii="Arial;sans-serif" w:hAnsi="Arial;sans-serif"/>
                  <w:b w:val="false"/>
                  <w:color w:val="000080"/>
                  <w:sz w:val="20"/>
                  <w:u w:val="single"/>
                </w:rPr>
                <w:t>2021</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60">
              <w:r>
                <w:rPr>
                  <w:rStyle w:val="InternetLink"/>
                  <w:rFonts w:ascii="Arial;sans-serif" w:hAnsi="Arial;sans-serif"/>
                  <w:b w:val="false"/>
                  <w:color w:val="000080"/>
                  <w:sz w:val="20"/>
                  <w:u w:val="single"/>
                </w:rPr>
                <w:t>F-</w:t>
              </w:r>
            </w:hyperlink>
            <w:hyperlink w:anchor="if6de8d550b664cf89bacba6847c193c5_160">
              <w:r>
                <w:rPr>
                  <w:rStyle w:val="InternetLink"/>
                  <w:rFonts w:ascii="Arial;sans-serif" w:hAnsi="Arial;sans-serif"/>
                  <w:b w:val="false"/>
                  <w:color w:val="000080"/>
                  <w:sz w:val="20"/>
                  <w:u w:val="single"/>
                </w:rPr>
                <w:t>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e8d550b664cf89bacba6847c193c5_163">
              <w:r>
                <w:rPr>
                  <w:rStyle w:val="InternetLink"/>
                  <w:rFonts w:ascii="Arial;sans-serif" w:hAnsi="Arial;sans-serif"/>
                  <w:b w:val="false"/>
                  <w:color w:val="0000FF"/>
                  <w:sz w:val="20"/>
                  <w:u w:val="single"/>
                </w:rPr>
                <w:t>Notes to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e8d550b664cf89bacba6847c193c5_163">
              <w:r>
                <w:rPr>
                  <w:rStyle w:val="InternetLink"/>
                  <w:rFonts w:ascii="Arial;sans-serif" w:hAnsi="Arial;sans-serif"/>
                  <w:b w:val="false"/>
                  <w:color w:val="000080"/>
                  <w:sz w:val="20"/>
                  <w:u w:val="single"/>
                </w:rPr>
                <w:t>F-</w:t>
              </w:r>
            </w:hyperlink>
            <w:hyperlink w:anchor="if6de8d550b664cf89bacba6847c193c5_163">
              <w:r>
                <w:rPr>
                  <w:rStyle w:val="InternetLink"/>
                  <w:rFonts w:ascii="Arial;sans-serif" w:hAnsi="Arial;sans-serif"/>
                  <w:b w:val="false"/>
                  <w:color w:val="000080"/>
                  <w:sz w:val="20"/>
                  <w:u w:val="single"/>
                </w:rPr>
                <w:t>10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the Shareholder and the Board of Directors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Hughes Satellite Systems Corporation:</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20"/>
        </w:rPr>
        <w:t>Opinion on the</w:t>
      </w:r>
      <w:r>
        <w:rPr>
          <w:color w:val="000000"/>
        </w:rPr>
        <w:t xml:space="preserve"> </w:t>
      </w:r>
      <w:r>
        <w:rPr>
          <w:rFonts w:ascii="Arial;sans-serif" w:hAnsi="Arial;sans-serif"/>
          <w:b/>
          <w:color w:val="000000"/>
          <w:sz w:val="20"/>
        </w:rPr>
        <w:t>Consolidated Financial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audited the accompanying consolidated balance sheets of Hughes Satellite Systems Corporation and subsidiaries (the Company) as of December 31, 2023 and 2022, the related consolidated statements of operations, comprehensive income (loss), changes in shareholder’s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Sufficiency of audit evidence over revenue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discussed in Note 19 to the consolidated financial statements, the Company reported $1.7 billion in total revenue for the Hughes segment for the year ended December 31, 2023. The Hughes segment has multiple revenue streams and certain aspects of the Company’s processes and information technology (IT) systems differ among the revenue streams.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identified the evaluation of sufficiency of audit evidence over certain revenue streams as a critical audit matter. Specifically, subjective auditor judgment was required to evaluate that revenue data was captured and aggregated throughout these various IT applications. Additionally, IT professionals with specialized skills and knowledge were required to evaluate the nature and extent of evidence obtained over certain revenue streams.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are the primary procedures we performed to address this critical audit matter. We applied auditor judgment to determine the nature and extent of procedures to be performed over revenue. For each revenue stream where procedures were performed, we evaluated the design and tested the operating effectiveness of certain internal controls related to the Company’s revenue recognition process, including recording of revenue. We also evaluated the design and tested the operating effectiveness of certain general IT and application controls. We involved IT professionals with specialized skills and knowledge, who assisted in testing certain IT applications used by the Company in its revenue recognition processes and the transfer of relevant revenue data between certain systems used in the revenue recognition processes. For a sample of revenue transactions, we assessed the recorded amounts by comparing to underlying documentation, including contracts or payment and transaction support. We evaluated the sufficiency of audit evidence obtained by assessing the results of the procedures performed, including the appropriateness of the nature and extent of such evidence.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/s/ KPMG LLP</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have served as the Company’s auditor since 2011.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Denver, Colorado</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April 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 except share and per share amounts)</w:t>
      </w:r>
    </w:p>
    <w:p>
      <w:pPr>
        <w:pStyle w:val="TextBody"/>
        <w:bidi w:val="0"/>
        <w:spacing w:before="0" w:after="0"/>
        <w:jc w:val="center"/>
        <w:rPr/>
      </w:pPr>
      <w:r>
        <w:rPr/>
      </w:r>
    </w:p>
    <w:tbl>
      <w:tblPr>
        <w:tblW w:w="7970" w:type="dxa"/>
        <w:jc w:val="center"/>
        <w:tblInd w:w="0" w:type="dxa"/>
        <w:tblLayout w:type="fixed"/>
        <w:tblCellMar>
          <w:top w:w="28" w:type="dxa"/>
          <w:left w:w="28" w:type="dxa"/>
          <w:bottom w:w="28" w:type="dxa"/>
          <w:right w:w="28" w:type="dxa"/>
        </w:tblCellMar>
      </w:tblPr>
      <w:tblGrid>
        <w:gridCol w:w="1658"/>
        <w:gridCol w:w="1455"/>
        <w:gridCol w:w="1476"/>
        <w:gridCol w:w="109"/>
        <w:gridCol w:w="109"/>
        <w:gridCol w:w="109"/>
        <w:gridCol w:w="211"/>
        <w:gridCol w:w="1021"/>
        <w:gridCol w:w="109"/>
        <w:gridCol w:w="109"/>
        <w:gridCol w:w="109"/>
        <w:gridCol w:w="109"/>
        <w:gridCol w:w="211"/>
        <w:gridCol w:w="102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and 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2,138,848 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1,964,439 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Regulatory authorizations,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3,060,696 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2,852,844 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5,199,544 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4,817,283 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613,867 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2,778,549 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2,055,553 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3,520,455 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2,669,420 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310"/>
                <wp:effectExtent l="0" t="0" r="0" b="0"/>
                <wp:wrapNone/>
                <wp:docPr id="39" name="Frame3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80"/>
        <w:gridCol w:w="2167"/>
        <w:gridCol w:w="2176"/>
        <w:gridCol w:w="109"/>
        <w:gridCol w:w="109"/>
        <w:gridCol w:w="109"/>
        <w:gridCol w:w="211"/>
        <w:gridCol w:w="1021"/>
        <w:gridCol w:w="109"/>
        <w:gridCol w:w="109"/>
        <w:gridCol w:w="109"/>
        <w:gridCol w:w="109"/>
        <w:gridCol w:w="211"/>
        <w:gridCol w:w="1021"/>
        <w:gridCol w:w="155"/>
      </w:tblGrid>
      <w:tr>
        <w:trPr/>
        <w:tc>
          <w:tcPr>
            <w:tcW w:w="2480"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$0.001 par value,1,000,000 shares authorized, none issued and outstanding at both December 31, 2023 and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$0.01 par value, 1,000,000 shares authorized, 1,078 shares issued and outstanding at both December 31, 2023 and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1,479,857 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earnings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741,754 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Hughes Satellite Systems Corporation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2,051,427 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1,679,089 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2,147,863 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5,199,544 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4,817,283 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310"/>
                <wp:effectExtent l="0" t="0" r="0" b="0"/>
                <wp:wrapNone/>
                <wp:docPr id="40" name="Frame3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00"/>
        <w:gridCol w:w="1344"/>
        <w:gridCol w:w="1354"/>
        <w:gridCol w:w="109"/>
        <w:gridCol w:w="109"/>
        <w:gridCol w:w="109"/>
        <w:gridCol w:w="109"/>
        <w:gridCol w:w="109"/>
        <w:gridCol w:w="109"/>
        <w:gridCol w:w="109"/>
        <w:gridCol w:w="212"/>
        <w:gridCol w:w="1028"/>
        <w:gridCol w:w="109"/>
        <w:gridCol w:w="109"/>
        <w:gridCol w:w="109"/>
        <w:gridCol w:w="109"/>
        <w:gridCol w:w="212"/>
        <w:gridCol w:w="1028"/>
        <w:gridCol w:w="109"/>
        <w:gridCol w:w="109"/>
        <w:gridCol w:w="109"/>
        <w:gridCol w:w="109"/>
        <w:gridCol w:w="211"/>
        <w:gridCol w:w="1021"/>
        <w:gridCol w:w="160"/>
      </w:tblGrid>
      <w:tr>
        <w:trPr/>
        <w:tc>
          <w:tcPr>
            <w:tcW w:w="200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c>
          <w:tcPr>
            <w:tcW w:w="1719" w:type="dxa"/>
            <w:gridSpan w:val="6"/>
            <w:tcBorders/>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Services and other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1,629,194 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1,724,299 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Equipment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270,427 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1,994,726 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 - services and other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544,915 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 - equipment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231,960 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422,235 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464,146 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long-lived assets and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1,695,243 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299,483 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(126,499)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Other-than-temporary impairment losses on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(131,755)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167,728 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(provision),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110,617 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HSSC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(461,869)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120,771 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310"/>
                <wp:effectExtent l="0" t="0" r="0" b="0"/>
                <wp:wrapNone/>
                <wp:docPr id="41" name="Frame4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 (LOSS)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19"/>
        <w:gridCol w:w="1587"/>
        <w:gridCol w:w="1560"/>
        <w:gridCol w:w="109"/>
        <w:gridCol w:w="109"/>
        <w:gridCol w:w="109"/>
        <w:gridCol w:w="109"/>
        <w:gridCol w:w="109"/>
        <w:gridCol w:w="116"/>
        <w:gridCol w:w="116"/>
        <w:gridCol w:w="225"/>
        <w:gridCol w:w="961"/>
        <w:gridCol w:w="116"/>
        <w:gridCol w:w="116"/>
        <w:gridCol w:w="116"/>
        <w:gridCol w:w="116"/>
        <w:gridCol w:w="225"/>
        <w:gridCol w:w="916"/>
        <w:gridCol w:w="116"/>
        <w:gridCol w:w="109"/>
        <w:gridCol w:w="109"/>
        <w:gridCol w:w="109"/>
        <w:gridCol w:w="211"/>
        <w:gridCol w:w="856"/>
        <w:gridCol w:w="161"/>
      </w:tblGrid>
      <w:tr>
        <w:trPr/>
        <w:tc>
          <w:tcPr>
            <w:tcW w:w="181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c>
          <w:tcPr>
            <w:tcW w:w="1555" w:type="dxa"/>
            <w:gridSpan w:val="6"/>
            <w:tcBorders/>
          </w:tcPr>
          <w:p>
            <w:pPr>
              <w:pStyle w:val="TableContents"/>
              <w:bidi w:val="0"/>
              <w:spacing w:before="0" w:after="283"/>
              <w:jc w:val="left"/>
              <w:rPr>
                <w:sz w:val="4"/>
                <w:szCs w:val="4"/>
              </w:rPr>
            </w:pPr>
            <w:r>
              <w:rPr>
                <w:sz w:val="4"/>
                <w:szCs w:val="4"/>
              </w:rPr>
            </w:r>
          </w:p>
        </w:tc>
      </w:tr>
      <w:tr>
        <w:trPr/>
        <w:tc>
          <w:tcPr>
            <w:tcW w:w="49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(478,438)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110,617 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(31,317)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Unrealized gains (losses) on available-for-sale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Amounts reclassified to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losses (gains) on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21,343 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(30,930)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(457,095)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143,815 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Comprehensive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 attributable to HSSC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(444,176)</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152,610 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94,230 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310"/>
                <wp:effectExtent l="0" t="0" r="0" b="0"/>
                <wp:wrapNone/>
                <wp:docPr id="42" name="Frame4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CHANGES IN SHAREHOLDER’S EQUITY</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1046"/>
        <w:gridCol w:w="584"/>
        <w:gridCol w:w="589"/>
        <w:gridCol w:w="109"/>
        <w:gridCol w:w="109"/>
        <w:gridCol w:w="109"/>
        <w:gridCol w:w="196"/>
        <w:gridCol w:w="871"/>
        <w:gridCol w:w="109"/>
        <w:gridCol w:w="109"/>
        <w:gridCol w:w="109"/>
        <w:gridCol w:w="109"/>
        <w:gridCol w:w="250"/>
        <w:gridCol w:w="960"/>
        <w:gridCol w:w="141"/>
        <w:gridCol w:w="109"/>
        <w:gridCol w:w="109"/>
        <w:gridCol w:w="109"/>
        <w:gridCol w:w="232"/>
        <w:gridCol w:w="873"/>
        <w:gridCol w:w="130"/>
        <w:gridCol w:w="109"/>
        <w:gridCol w:w="109"/>
        <w:gridCol w:w="109"/>
        <w:gridCol w:w="281"/>
        <w:gridCol w:w="927"/>
        <w:gridCol w:w="158"/>
        <w:gridCol w:w="109"/>
        <w:gridCol w:w="109"/>
        <w:gridCol w:w="109"/>
        <w:gridCol w:w="196"/>
        <w:gridCol w:w="871"/>
        <w:gridCol w:w="156"/>
      </w:tblGrid>
      <w:tr>
        <w:trPr/>
        <w:tc>
          <w:tcPr>
            <w:tcW w:w="10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Earnings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1,486,730 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(146,840)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671,570 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64,916 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2,076,376 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Contribution by non-controlling interest holder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Dividend paid to EchoStar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(100,000)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(26,541)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(4,389)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(30,930)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120,771 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110,617 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1,489,776 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(173,381)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692,341 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60,253 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2,068,989 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equity and contribution of assets pursuant to the India JV 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44,540 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Dividend paid to EchoStar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(100,000)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3,197 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149,413 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138,910 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1,479,857 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(170,184)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741,754 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96,436 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2,147,863 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17,693 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Deconsolidation of Hughes Systique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(461,869)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(16,569)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(478,438)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1,484,064 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(152,491)</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279,885 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67,631 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1,679,089 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310"/>
                <wp:effectExtent l="0" t="0" r="0" b="0"/>
                <wp:wrapNone/>
                <wp:docPr id="43" name="Frame4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F-7</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19"/>
        <w:gridCol w:w="1677"/>
        <w:gridCol w:w="1688"/>
        <w:gridCol w:w="109"/>
        <w:gridCol w:w="109"/>
        <w:gridCol w:w="109"/>
        <w:gridCol w:w="211"/>
        <w:gridCol w:w="874"/>
        <w:gridCol w:w="109"/>
        <w:gridCol w:w="109"/>
        <w:gridCol w:w="109"/>
        <w:gridCol w:w="109"/>
        <w:gridCol w:w="211"/>
        <w:gridCol w:w="826"/>
        <w:gridCol w:w="109"/>
        <w:gridCol w:w="109"/>
        <w:gridCol w:w="109"/>
        <w:gridCol w:w="109"/>
        <w:gridCol w:w="212"/>
        <w:gridCol w:w="832"/>
        <w:gridCol w:w="156"/>
      </w:tblGrid>
      <w:tr>
        <w:trPr/>
        <w:tc>
          <w:tcPr>
            <w:tcW w:w="231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Adjustments to reconcile net income (loss) to cash flows provided by (used for)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464,146 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long-lived assets and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(gains)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losses (earnings)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losses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provision (benefit),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of discounts) and amortization of premiums on debt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Other-than-temporary impairment losses on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Changes in assets and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and 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 and non-current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662,311 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(1,517,849)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maturities of 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1,864,186 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externally marketed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Deconsolidation of Hughes Systique Corporation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 JV 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received from unconsolidated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310"/>
                <wp:effectExtent l="0" t="0" r="0" b="0"/>
                <wp:wrapNone/>
                <wp:docPr id="44" name="Frame4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F-8</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69"/>
        <w:gridCol w:w="1757"/>
        <w:gridCol w:w="1763"/>
        <w:gridCol w:w="109"/>
        <w:gridCol w:w="109"/>
        <w:gridCol w:w="109"/>
        <w:gridCol w:w="211"/>
        <w:gridCol w:w="976"/>
        <w:gridCol w:w="109"/>
        <w:gridCol w:w="109"/>
        <w:gridCol w:w="109"/>
        <w:gridCol w:w="109"/>
        <w:gridCol w:w="211"/>
        <w:gridCol w:w="826"/>
        <w:gridCol w:w="109"/>
        <w:gridCol w:w="109"/>
        <w:gridCol w:w="109"/>
        <w:gridCol w:w="109"/>
        <w:gridCol w:w="211"/>
        <w:gridCol w:w="826"/>
        <w:gridCol w:w="156"/>
      </w:tblGrid>
      <w:tr>
        <w:trPr/>
        <w:tc>
          <w:tcPr>
            <w:tcW w:w="2069"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maturity of the 2021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(901,818)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in-orbit incentive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 by non-controlling interest holder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paid to EchoStar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(995,788)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(311,149)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including restricted amounts,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741,297 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including restricted amounts,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430,148 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310"/>
                <wp:effectExtent l="0" t="0" r="0" b="0"/>
                <wp:wrapNone/>
                <wp:docPr id="45" name="Frame4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F-9</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color w:val="000000"/>
          <w:sz w:val="20"/>
        </w:rPr>
        <w:t>NOTE 1.</w:t>
      </w:r>
      <w:r>
        <w:rPr>
          <w:color w:val="000000"/>
        </w:rPr>
        <w:t>    </w:t>
      </w:r>
      <w:r>
        <w:rPr>
          <w:rFonts w:ascii="Arial;sans-serif" w:hAnsi="Arial;sans-serif"/>
          <w:b/>
          <w:color w:val="000000"/>
          <w:sz w:val="20"/>
        </w:rPr>
        <w:t>ORGANIZATION AND BUSINESS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Principal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Hughes Satellite Systems Corporation (which, together with its subsidiaries, is referred to as “HSSC,” the “Company,” “we,” “us” and “our”) is a holding company and a subsidiary of EchoStar Corporation (“EchoStar” and “parent”). We were formed as a Colorado corporation in March 2011 to facilitate the acquisition by EchoStar (the “Hughes Acquisition”) of Hughes Communications, Inc. and its subsidiaries and related financing transactions. In connection with our formation, EchoStar contributed the assets and liabilities of its satellite services business to us, including the principal operating subsidiary of its satellite services business, EchoStar Satellite Services L.L.C. A substantial majority of the voting power of the shares of EchoStar is owned beneficially by Charles W. Ergen, our Chairman, and by certain entities established for the benefit of his family. During 2022, Hamid Akhavan joined the Company as its Chief Executive Officer and President.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an industry leader in both networking technologies and services, innovating to deliver the solutions that power a connected future for people, enterprises and things everywhere. We provide broadband services to consumer customers, which include home and small to medium-sized businesses. We also provide satellite and multi-transport technologies and managed network services to telecommunications providers, aeronautical service providers, civilian and defense government entities, and other enterprise customers.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EchoStar XXIV satellite began service in December 2023, bringing additional broadband capacity to North and South America. We will leverage EchoStar XXIV to serve the unserved and underserved consumer markets in the Americas as well as enterprise and government markets.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also design, provide and install gateway and terminal equipment to customers for other satellite systems. In addition, we design, develop, construct and provide telecommunication networks comprising satellite ground segment systems and terminals to mobile system operators and other enterprise customers. We also offer a robust suite of integrated, multi-transport solutions to enable airline and airline service providers to deliver reliable in-flight network connectivity serving both commercial and business aviation.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currently operate in two business segments:</w:t>
      </w:r>
    </w:p>
    <w:p>
      <w:pPr>
        <w:pStyle w:val="TextBody"/>
        <w:bidi w:val="0"/>
        <w:spacing w:lineRule="auto" w:line="288" w:before="0" w:after="0"/>
        <w:jc w:val="both"/>
        <w:rPr>
          <w:color w:val="000000"/>
        </w:rPr>
      </w:pPr>
      <w:r>
        <w:rPr>
          <w:color w:val="000000"/>
        </w:rPr>
        <w:t> </w:t>
      </w:r>
    </w:p>
    <w:p>
      <w:pPr>
        <w:pStyle w:val="TextBody"/>
        <w:bidi w:val="0"/>
        <w:spacing w:lineRule="auto" w:line="268" w:before="0" w:after="0"/>
        <w:ind w:left="0" w:right="0" w:hanging="360"/>
        <w:jc w:val="both"/>
        <w:rPr/>
      </w:pPr>
      <w:r>
        <w:rPr>
          <w:color w:val="000000"/>
        </w:rPr>
        <w:t>•</w:t>
      </w:r>
      <w:r>
        <w:rPr>
          <w:rFonts w:ascii="Arial;sans-serif" w:hAnsi="Arial;sans-serif"/>
          <w:b/>
          <w:i/>
          <w:color w:val="000000"/>
          <w:sz w:val="20"/>
        </w:rPr>
        <w:t xml:space="preserve">Hughes segment </w:t>
      </w:r>
      <w:r>
        <w:rPr>
          <w:color w:val="000000"/>
        </w:rPr>
        <w:t xml:space="preserve">— </w:t>
      </w:r>
      <w:r>
        <w:rPr>
          <w:rFonts w:ascii="Arial;sans-serif" w:hAnsi="Arial;sans-serif"/>
          <w:b w:val="false"/>
          <w:color w:val="000000"/>
          <w:sz w:val="20"/>
        </w:rPr>
        <w:t xml:space="preserve">which provides broadband services to consumer customers, which include home and small to medium-sized businesses. We also provide satellite and multi-transport technologies and managed network services to telecommunications providers, aeronautical service providers, civilian and defense government entities, and other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other enterprise customers. We also offer a robust suite of integrated, multi-transport solutions to enable airline and airline service providers to deliver reliable in-flight network connectivity serving both commercial and business aviation. The EchoStar XXIV satellite began service in December 2023, bringing additional broadband capacity across North and South America and is expected to be an integral part of our satellite service business.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i/>
          <w:color w:val="000000"/>
          <w:sz w:val="20"/>
        </w:rPr>
        <w:t>EchoStar Satellite Services segment (“ESS segment”)</w:t>
      </w:r>
      <w:r>
        <w:rPr>
          <w:color w:val="000000"/>
        </w:rPr>
        <w:t xml:space="preserve"> — </w:t>
      </w:r>
      <w:r>
        <w:rPr>
          <w:rFonts w:ascii="Arial;sans-serif" w:hAnsi="Arial;sans-serif"/>
          <w:b w:val="false"/>
          <w:color w:val="000000"/>
          <w:sz w:val="20"/>
        </w:rPr>
        <w:t>which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w:t>
      </w:r>
      <w:r>
        <w:rPr>
          <w:color w:val="000000"/>
        </w:rPr>
        <w:t xml:space="preserve"> </w:t>
      </w:r>
      <w:r>
        <w:rPr>
          <w:rFonts w:ascii="Arial;sans-serif" w:hAnsi="Arial;sans-serif"/>
          <w:b w:val="false"/>
          <w:color w:val="000000"/>
          <w:sz w:val="20"/>
        </w:rPr>
        <w:t>Revenue in our ESS segment depends largely on our ability to make continuous use of our available satellite capacity on behalf of existing customers and our ability to enter into commercial relationships with new customers.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Our operations also include various corporate functions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in our segment reporting. We also divide our operations by primary geographic market as follows: (i) North America (the U.S. and its territories, Mexico, and Canada); (ii) South and Central America and (iii) Other (Asia, Africa, Australia, Europe, India, and the Middle East). Refer</w:t>
      </w:r>
      <w:r>
        <w:rPr>
          <w:color w:val="000000"/>
        </w:rPr>
        <w:t xml:space="preserve"> </w:t>
      </w:r>
      <w:r>
        <w:rPr>
          <w:rFonts w:ascii="Arial;sans-serif" w:hAnsi="Arial;sans-serif"/>
          <w:b w:val="false"/>
          <w:i/>
          <w:color w:val="000000"/>
          <w:sz w:val="20"/>
        </w:rPr>
        <w:t xml:space="preserve">to Note 19. Segment Reporting </w:t>
      </w:r>
      <w:r>
        <w:rPr>
          <w:rFonts w:ascii="Arial;sans-serif" w:hAnsi="Arial;sans-serif"/>
          <w:b w:val="false"/>
          <w:color w:val="000000"/>
          <w:sz w:val="20"/>
        </w:rPr>
        <w:t>for further detail</w:t>
      </w:r>
      <w:r>
        <w:rPr>
          <w:rFonts w:ascii="Arial;sans-serif" w:hAnsi="Arial;sans-serif"/>
          <w:b w:val="false"/>
          <w:i/>
          <w:color w:val="000000"/>
          <w:sz w:val="20"/>
        </w:rPr>
        <w: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December 31, 2023, EchoStar completed the acquisition of DISH Network pursuant to the Amended and Restated Agreement and Plan of Merger, dated as of October 2, 2023 (the “Amended Merger Agreement”), by and among EchoStar, EAV Corp., a Nevada corporation and its wholly owned subsidiary (“Merger Sub”), and DISH Network, pursuant to which EchoStar acquired DISH Network by means of the merger of Merger Sub with and into DISH Network (the “Merger”), with DISH Network surviving the Merger as EchoStar’s wholly owned subsidiary.</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the terms and subject to the conditions set forth in the Amended Merger Agreement, on December 31, 2023, at 11:59 p.m. ET (the “Effective Time”), each share of DISH Network Class A common stock, par value $0.01 per share (“DISH Network Class A Common Stock”) and DISH Network Class C common stock, par value $0.01 per share (“DISH Network Class C Common Stock”) outstanding immediately prior to the Effective Time, was converted into the right to receive a number of validly issued, fully paid and non-assessable shares of EchoStar Class A common stock, par value $0.001 per share (“EchoStar Class A Common Stock”) equal to 0.350877 (the “Exchange Ratio”). On the terms and subject to the conditions set forth in the Amended Merger Agreement, at the Effective Time, each share of DISH Network Class B common stock, par value $0.01 per share (“DISH Network Class B Common Stock” and, together with DISH Network Class A Common Stock and DISH Network Class C Common Stock, “DISH Network Common Stock”), outstanding immediately prior to the Effective Time was converted into the right to receive a number of validly issued, fully paid and non-assessable shares of EchoStar Class B common stock, par value $0.001 per share (the “EchoStar Class B Common Stock” and, together with the EchoStar Class A Common Stock, the “EchoStar Common Stock”), equal to the Exchange Ratio. Any shares of DISH Network Common Stock that were held in DISH Network’s treasury or held directly by EchoStar or Merger Sub immediately prior to the Effective Time were cancelled and cease to exist and no consideration was paid in respect thereof. All shares of the DISH Network Class A Common Stock were delisted from the Nasdaq Global Select Market (“NASDAQ”) and deregistered under the Securities Exchange Act of 1934, as amended.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EchoStar Common Stock issued to the Ergen DISH Stockholders (as defined in the Amended Merger Agreement) as Merger consideration was issued through a private placement exemption from registration under the Securities Act of 1933, as amended (the “Securities Act”). At the Effective Time, each share of DISH Network Class A Common Stock owned by the Ergen DISH Stockholders immediately prior to the Effective Time was converted into the right to receive a number of shares of EchoStar Class A Common Stock equal to the Exchange Ratio, and (b) each share of DISH Network Class B Common Stock owned by the Ergen DISH Stockholders immediately prior to the Effective Time was converted into the right to receive a number of shares of EchoStar Class B Common Stock equal to the Exchange Ratio.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Concurrently with the entry into the Amended Merger Agreement, the Ergen EchoStar Stockholders (as defined in the Amended Merger Agreement), the Ergen DISH Stockholders (collectively, the “Ergen Stockholders”), EchoStar and DISH Network entered into an amended and restated support agreement (the “Amended Support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completion of the Merger, and pursuant to the Amended and Restated Support Agreement, the Ergen Stockholders, EchoStar and DISH Network, on December 31, 2023, EchoStar and the Ergen Stockholders entered into a registration rights agreement (the “Registration Rights Agreement”). The Registration Rights Agreement provides the Ergen Stockholders, and their affiliates who become parties thereto, with certain registration rights relating to the shares of EchoStar Common Stock, which they beneficially own, including (i) the right to demand shelf registration as well as registration on long and short form registration statements and (ii) “piggyback” registration rights to be included in future registered offerings by us of our equity securities, in each case, subject to certain requirements and customary conditions. The Registration Rights Agreement sets forth customary registration procedures, including an agreement by EchoStar to make appropriate officers available to participate in roadshow presentations and cooperate as reasonably requested in connection with any underwritten offerings. EchoStar also agreed to indemnify the Ergen Stockholders and their affiliates with respect to liabilities resulting from untrue statements or omissions in any registration statement used in any such registration, other than untrue statements or omissions based on or contained in information furnished to EchoStar for use in a registration statement by a participating stockholder.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more information and a copy of the Amended Merger Agreement, the Amended Support Agreement and the Registration Rights Agreement, see the Form 8</w:t>
        <w:noBreakHyphen/>
        <w:t>K of EchoStar Corporation filed on October 3, 2023 and the Form 8</w:t>
        <w:noBreakHyphen/>
        <w:t xml:space="preserve">K of EchoStar Corporation filed on January 2, 2024.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With the Merger complete, EchoStar is currently focused on the process of integrating EchoStar’s and DISH Network’s business in a manner that facilitates synergies, cost savings, growth opportunities and achieves other anticipated benefits (the “Integration”). In addition see </w:t>
      </w:r>
      <w:r>
        <w:rPr>
          <w:rFonts w:ascii="Arial;sans-serif" w:hAnsi="Arial;sans-serif"/>
          <w:b w:val="false"/>
          <w:i/>
          <w:color w:val="000000"/>
          <w:sz w:val="20"/>
        </w:rPr>
        <w:t>Note 21.</w:t>
      </w:r>
      <w:r>
        <w:rPr>
          <w:color w:val="000000"/>
        </w:rPr>
        <w:t xml:space="preserve"> </w:t>
      </w:r>
      <w:r>
        <w:rPr>
          <w:rFonts w:ascii="Arial;sans-serif" w:hAnsi="Arial;sans-serif"/>
          <w:b w:val="false"/>
          <w:i/>
          <w:color w:val="000000"/>
          <w:sz w:val="20"/>
        </w:rPr>
        <w:t xml:space="preserve">Subsequent Events </w:t>
      </w:r>
      <w:r>
        <w:rPr>
          <w:rFonts w:ascii="Arial;sans-serif" w:hAnsi="Arial;sans-serif"/>
          <w:b w:val="false"/>
          <w:color w:val="000000"/>
          <w:sz w:val="20"/>
        </w:rPr>
        <w:t>in the Notes to our Consolidated Financial Statements for further business updates.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F-10</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2.    SUMMARY OF SIGNIFICANT ACCOUNTING POLICIES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Principles of Consolidation and Basis of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Consolidated Financial Statements and the accompanying notes (collectively, the “Consolidated Financial Statements”) are prepared in conformity with U.S. generally accepted accounting principles (“GAAP”). 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shareholder’s equity for the portion of the entity’s equity attributed to the non-controlling ownership interests. All significant intercompany balances and transactions have been eliminated in consolidation. Certain prior period amounts have been reclassified to conform to the current year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amounts presented in these Consolidated Financial Statements are expressed in thousands of U.S. dollars, except share and per share amounts and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us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and relative standalone selling prices of performance obligations; (ii) allowances for doubtful accounts and estimated credit losses on investments; (iii) deferred taxes and related valuation allowances, including uncertain tax positions; (iv) loss contingencies; (v) fair value of financial instruments; (vi) fair value of assets and liabilities acquired in business combinations; and (vii) estimates of future cash flows used to evaluate and recognize impairments.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Fair Value Measurements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 </w:t>
      </w:r>
    </w:p>
    <w:p>
      <w:pPr>
        <w:pStyle w:val="TextBody"/>
        <w:bidi w:val="0"/>
        <w:spacing w:lineRule="auto" w:line="288" w:before="0" w:after="0"/>
        <w:jc w:val="both"/>
        <w:rPr>
          <w:color w:val="000000"/>
        </w:rPr>
      </w:pPr>
      <w:r>
        <w:rPr>
          <w:color w:val="000000"/>
        </w:rPr>
        <w:t>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Level 1 - Defined as observable inputs being quoted prices in active markets for identical assets;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Level 2 -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Level 3 - Defined as unobservable inputs for which little or no market data exists, consistent with characteristics of the asset or liability that would be considered by market participants in a transaction to purchase or sell the asset or liability.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Fair values for our outstanding debt are based on quoted market prices in less active markets and are categorized as Level 2 measurements.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Transfers between levels in the fair value hierarchy are considered to occur at the beginning of the quarterly accounting period. There were no transfers between levels during the year ended December 31, 2023 and December 31, 2022.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December 31, 2023 and 2022, the carrying amounts of our cash and cash equivalents, trade accounts receivable and contract assets, net, trade accounts payable, and accrued expenses and other current liabilities were equal to or approximated their fair value due to their short-term nature or proximity to current market rates.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Revenue Recognition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Revenue is recognized upon transfer of control of the promised goods or our performance of the services to our customers in an amount that reflects the consideration we expect to receive in exchange for those goods or services. We enter into contracts that may include various combinations of products and services, which are generally distinct and accounted for as separate performance obligations.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also recognize lease revenue which is derived from leases of property and equipment which, for operating leases, is reported in </w:t>
      </w:r>
      <w:r>
        <w:rPr>
          <w:rFonts w:ascii="Arial;sans-serif" w:hAnsi="Arial;sans-serif"/>
          <w:b w:val="false"/>
          <w:i/>
          <w:color w:val="000000"/>
          <w:sz w:val="20"/>
        </w:rPr>
        <w:t xml:space="preserve">Services and other revenue </w:t>
      </w:r>
      <w:r>
        <w:rPr>
          <w:rFonts w:ascii="Arial;sans-serif" w:hAnsi="Arial;sans-serif"/>
          <w:b w:val="false"/>
          <w:color w:val="000000"/>
          <w:sz w:val="20"/>
        </w:rPr>
        <w:t xml:space="preserve">in the Consolidated Statements of Operations and, for sales-type leases, is reported in </w:t>
      </w:r>
      <w:r>
        <w:rPr>
          <w:rFonts w:ascii="Arial;sans-serif" w:hAnsi="Arial;sans-serif"/>
          <w:b w:val="false"/>
          <w:i/>
          <w:color w:val="000000"/>
          <w:sz w:val="20"/>
        </w:rPr>
        <w:t>Equipment revenue</w:t>
      </w:r>
      <w:r>
        <w:rPr>
          <w:color w:val="000000"/>
        </w:rPr>
        <w:t xml:space="preserve"> </w:t>
      </w:r>
      <w:r>
        <w:rPr>
          <w:rFonts w:ascii="Arial;sans-serif" w:hAnsi="Arial;sans-serif"/>
          <w:b w:val="false"/>
          <w:color w:val="000000"/>
          <w:sz w:val="20"/>
        </w:rPr>
        <w:t xml:space="preserve">in the Consolidated Statements of Operations. Certain of our customer contracts contain embedded equipment leases, which we separate from non-lease components of the contract based on the relative standalone selling prices of the lease and non-lease components.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Hughes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Hughes segment service contracts typically obligate us to provide substantially the same services on a recurring basis in exchange for fixed recurring fees over the term of the contract. We satisfy such performance obligations over time and recognize revenue ratably as services are rendered over the service period. Certain of our contracts with service obligations provide for fees based on usage, capacity or volume. We satisfy these performance obligations and recognize the related revenue at the point in time, or over the period, when the services are rendered. Our Hughes segment also sells and leases communications equipment to its customers. Revenue from equipment sales generally is recognized based upon shipment terms. Our equipment sales contracts typically include standard product warranties, but generally do not provide for returns or refunds. Revenue for extended warranties is recognized ratably over the extended warranty period. For contracts with multiple performance obligations, we typically allocate the contract’s transaction price to each performance obligation based on their relative standalone selling prices. When the standalone selling price is not observable, our primary method used to estimate standalone selling price is the expected cost plus a margin. Our contracts generally require customer payments to be made at or shortly after the time we transfer control of goods or perform the services.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equipment and service offerings, our Hughes segment also enters into long-term contracts to design, develop, construct and install complex telecommunication networks for mobile system operators and enterprise customers. Revenue from such contracts is generally recognized over time as a measure of progress that depicts the transfer of control of the goods or services to the customer. Depending on the nature of the arrangement, we measure progress toward contract completion using an appropriate input method or output method. Under the input method, we recognize the transaction price as revenue based on the ratio of costs incurred to estimated total costs at completion. Under the output method, revenue and cost of sales are recognized as products are delivered based on the expected profit for the entire agreement. Profit margins on long-term contracts generally are based on estimates of revenue and costs at completion. We review and revise our estimates periodically and recognize related adjustments in the period in which the revisions are made. Estimated losses on contracts are recorded in the period in which they are identified. We generally receive interim payments as work progresses, although for some contracts, we may be entitled to receive an advance payment.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derive a portion of our revenues from contracts with customers for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generally based upon usage.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ESS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Generally, our ESS segment service contracts with customers contain a single performance obligation and, therefore, there is no need to allocate the transaction price. We transfer control and recognize revenue for satellite services at the point in time or over the period when the services are rendered.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Lease Revenue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lease satellite capacity, communications equipment and real estate to certain of our customers. We identify and determine the classification of such leases as operating leases or sales-type leases. A lease is classified as a sales-type lease if it meets the criteria for a finance lease; otherwise it is classified as an operating lease. Some of our leases are embedded in contracts with customers that include non-lease performance obligations. For such contracts, except where we have elected otherwise, we allocate consideration in the contract between lease and non-lease components based on their relative standalone selling prices. We elected an accounting policy to not separate the lease of equipment from related services in our HughesNet satellite internet service (the “HughesNet service”) contracts with customers and account for all revenue from such contracts as non-lease service revenue. Assets subject to operating leases remain in </w:t>
      </w:r>
      <w:r>
        <w:rPr>
          <w:rFonts w:ascii="Arial;sans-serif" w:hAnsi="Arial;sans-serif"/>
          <w:b w:val="false"/>
          <w:i/>
          <w:color w:val="000000"/>
          <w:sz w:val="20"/>
        </w:rPr>
        <w:t>Property and equipment, net</w:t>
      </w:r>
      <w:r>
        <w:rPr>
          <w:color w:val="000000"/>
        </w:rPr>
        <w:t xml:space="preserve"> </w:t>
      </w:r>
      <w:r>
        <w:rPr>
          <w:rFonts w:ascii="Arial;sans-serif" w:hAnsi="Arial;sans-serif"/>
          <w:b w:val="false"/>
          <w:color w:val="000000"/>
          <w:sz w:val="20"/>
        </w:rPr>
        <w:t xml:space="preserve">and continue to be depreciated. Assets subject to sales-type leases are derecognized from </w:t>
      </w:r>
      <w:r>
        <w:rPr>
          <w:rFonts w:ascii="Arial;sans-serif" w:hAnsi="Arial;sans-serif"/>
          <w:b w:val="false"/>
          <w:i/>
          <w:color w:val="000000"/>
          <w:sz w:val="20"/>
        </w:rPr>
        <w:t>Property and equipment, net</w:t>
      </w:r>
      <w:r>
        <w:rPr>
          <w:color w:val="000000"/>
        </w:rPr>
        <w:t xml:space="preserve"> </w:t>
      </w:r>
      <w:r>
        <w:rPr>
          <w:rFonts w:ascii="Arial;sans-serif" w:hAnsi="Arial;sans-serif"/>
          <w:b w:val="false"/>
          <w:color w:val="000000"/>
          <w:sz w:val="20"/>
        </w:rPr>
        <w:t xml:space="preserve">at lease commencement and a net investment in the lease asset is recognized in </w:t>
      </w:r>
      <w:r>
        <w:rPr>
          <w:rFonts w:ascii="Arial;sans-serif" w:hAnsi="Arial;sans-serif"/>
          <w:b w:val="false"/>
          <w:i/>
          <w:color w:val="000000"/>
          <w:sz w:val="20"/>
        </w:rPr>
        <w:t xml:space="preserve">Trade accounts receivable and contract assets, net </w:t>
      </w:r>
      <w:r>
        <w:rPr>
          <w:rFonts w:ascii="Arial;sans-serif" w:hAnsi="Arial;sans-serif"/>
          <w:b w:val="false"/>
          <w:color w:val="000000"/>
          <w:sz w:val="20"/>
        </w:rPr>
        <w:t xml:space="preserve">and </w:t>
      </w:r>
      <w:r>
        <w:rPr>
          <w:rFonts w:ascii="Arial;sans-serif" w:hAnsi="Arial;sans-serif"/>
          <w:b w:val="false"/>
          <w:i/>
          <w:color w:val="000000"/>
          <w:sz w:val="20"/>
        </w:rPr>
        <w:t>Other non-current assets, net</w:t>
      </w:r>
      <w:r>
        <w:rPr>
          <w:rFonts w:ascii="Arial;sans-serif" w:hAnsi="Arial;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Operating lease revenue is generally recognized on a straight-line basis over the lease term. Sales-type lease revenue and a corresponding receivable generally are recognized at lease commencement based on the present value of the future lease payments and related interest income on the receivable is recognized over the lease term. Payments under sales-type leases are discounted using the interest rate implicit in the lease or our incremental borrowing rate if the interest rate implicit in the lease cannot be reasonably determined. We report revenue from sales-type leases at the commencement date and periodic interest income in </w:t>
      </w:r>
      <w:r>
        <w:rPr>
          <w:rFonts w:ascii="Arial;sans-serif" w:hAnsi="Arial;sans-serif"/>
          <w:b w:val="false"/>
          <w:i/>
          <w:color w:val="000000"/>
          <w:sz w:val="20"/>
        </w:rPr>
        <w:t>Equipment revenue.</w:t>
      </w:r>
      <w:r>
        <w:rPr>
          <w:color w:val="000000"/>
        </w:rPr>
        <w:t xml:space="preserve"> </w:t>
      </w:r>
      <w:r>
        <w:rPr>
          <w:rFonts w:ascii="Arial;sans-serif" w:hAnsi="Arial;sans-serif"/>
          <w:b w:val="false"/>
          <w:color w:val="000000"/>
          <w:sz w:val="20"/>
        </w:rPr>
        <w:t xml:space="preserve">We report operating lease revenue in </w:t>
      </w:r>
      <w:r>
        <w:rPr>
          <w:rFonts w:ascii="Arial;sans-serif" w:hAnsi="Arial;sans-serif"/>
          <w:b w:val="false"/>
          <w:i/>
          <w:color w:val="000000"/>
          <w:sz w:val="20"/>
        </w:rPr>
        <w:t>Services and other revenue</w:t>
      </w:r>
      <w:r>
        <w:rPr>
          <w:rFonts w:ascii="Arial;sans-serif" w:hAnsi="Arial;sans-serif"/>
          <w:b w:val="false"/>
          <w:color w:val="000000"/>
          <w:sz w:val="2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Other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Sales and Value Added Taxes, Universal Service Fees and other taxes that we collect concurrent with revenue producing activities are excluded from revenue and included in </w:t>
      </w:r>
      <w:r>
        <w:rPr>
          <w:rFonts w:ascii="Arial;sans-serif" w:hAnsi="Arial;sans-serif"/>
          <w:b w:val="false"/>
          <w:i/>
          <w:color w:val="000000"/>
          <w:sz w:val="20"/>
        </w:rPr>
        <w:t xml:space="preserve">Accrued expenses and other current liabilities </w:t>
      </w:r>
      <w:r>
        <w:rPr>
          <w:rFonts w:ascii="Arial;sans-serif" w:hAnsi="Arial;sans-serif"/>
          <w:b w:val="false"/>
          <w:color w:val="000000"/>
          <w:sz w:val="20"/>
        </w:rPr>
        <w:t xml:space="preserve">in the Consolidated Balance Sheets.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Shipping and handling costs associated with outbound freight are accounted for as a fulfillment cost after control over a product has transferred to the customer and are included in </w:t>
      </w:r>
      <w:r>
        <w:rPr>
          <w:rFonts w:ascii="Arial;sans-serif" w:hAnsi="Arial;sans-serif"/>
          <w:b w:val="false"/>
          <w:i/>
          <w:color w:val="000000"/>
          <w:sz w:val="20"/>
        </w:rPr>
        <w:t>Cost of sales - equipment</w:t>
      </w:r>
      <w:r>
        <w:rPr>
          <w:color w:val="000000"/>
        </w:rPr>
        <w:t xml:space="preserve"> </w:t>
      </w:r>
      <w:r>
        <w:rPr>
          <w:rFonts w:ascii="Arial;sans-serif" w:hAnsi="Arial;sans-serif"/>
          <w:b w:val="false"/>
          <w:color w:val="000000"/>
          <w:sz w:val="20"/>
        </w:rPr>
        <w:t>in the Consolidated Statements of Operations at the time of shipment.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F-11</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Cost of Sales - Services and Other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i/>
          <w:color w:val="000000"/>
          <w:sz w:val="20"/>
        </w:rPr>
        <w:t>Cost of sales - services and other</w:t>
      </w:r>
      <w:r>
        <w:rPr>
          <w:color w:val="000000"/>
        </w:rPr>
        <w:t xml:space="preserve"> </w:t>
      </w:r>
      <w:r>
        <w:rPr>
          <w:rFonts w:ascii="Arial;sans-serif" w:hAnsi="Arial;sans-serif"/>
          <w:b w:val="false"/>
          <w:color w:val="000000"/>
          <w:sz w:val="20"/>
        </w:rPr>
        <w:t xml:space="preserve">in the Consolidated Statements of Operations primarily consists of costs of satellite capacity and services, hub infrastructure, customer care, wireline and wireless capacity and direct labor costs associated with the services provided and is generally charged to expense as incurred.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Cost of Sales - Equipment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i/>
          <w:color w:val="000000"/>
          <w:sz w:val="20"/>
        </w:rPr>
        <w:t>Cost of sales - equipment</w:t>
      </w:r>
      <w:r>
        <w:rPr>
          <w:color w:val="000000"/>
        </w:rPr>
        <w:t xml:space="preserve"> </w:t>
      </w:r>
      <w:r>
        <w:rPr>
          <w:rFonts w:ascii="Arial;sans-serif" w:hAnsi="Arial;sans-serif"/>
          <w:b w:val="false"/>
          <w:color w:val="000000"/>
          <w:sz w:val="20"/>
        </w:rPr>
        <w:t xml:space="preserve">in the Consolidated Statements of Operations primarily consists of inventory costs, including freight and royalties, and is generally recognized at the point in time control of the equipment is passed to the customer and related revenue is recognized.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Additionally, customer-related research and development costs are incurred in connection with the specific requirements of a customer’s order; in such instances, the amounts for these customer funded development efforts are also included in </w:t>
      </w:r>
      <w:r>
        <w:rPr>
          <w:rFonts w:ascii="Arial;sans-serif" w:hAnsi="Arial;sans-serif"/>
          <w:b w:val="false"/>
          <w:i/>
          <w:color w:val="000000"/>
          <w:sz w:val="20"/>
        </w:rPr>
        <w:t>Cost of sales - equipment</w:t>
      </w:r>
      <w:r>
        <w:rPr>
          <w:color w:val="000000"/>
        </w:rPr>
        <w:t xml:space="preserve"> </w:t>
      </w:r>
      <w:r>
        <w:rPr>
          <w:rFonts w:ascii="Arial;sans-serif" w:hAnsi="Arial;sans-serif"/>
          <w:b w:val="false"/>
          <w:color w:val="000000"/>
          <w:sz w:val="20"/>
        </w:rPr>
        <w:t xml:space="preserve">in the Consolidated Statements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Stock-based Compensation Expense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Stock-based compensation expense is recognized based on the fair value of stock awards ultimately expected to vest. Forfeitures are estimated at the time of grant and revised, if necessary, in subsequent periods if actual forfeitures differ from those estimates. Compensation expense for awards with service conditions only is recognized on a straight-line basis over the requisite service period for the entire award. Compensation expense for awards subject to performance conditions is recognized only when satisfaction of the performance condition is probable.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F-12</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Advertising Costs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0"/>
        </w:rPr>
        <w:t xml:space="preserve">Advertising costs are expensed as incurred and are included in </w:t>
      </w:r>
      <w:r>
        <w:rPr>
          <w:rFonts w:ascii="Arial;sans-serif" w:hAnsi="Arial;sans-serif"/>
          <w:b w:val="false"/>
          <w:i/>
          <w:color w:val="000000"/>
          <w:sz w:val="20"/>
        </w:rPr>
        <w:t>Selling, general and administrative expenses</w:t>
      </w:r>
      <w:r>
        <w:rPr>
          <w:color w:val="000000"/>
        </w:rPr>
        <w:t xml:space="preserve"> </w:t>
      </w:r>
      <w:r>
        <w:rPr>
          <w:rFonts w:ascii="Arial;sans-serif" w:hAnsi="Arial;sans-serif"/>
          <w:b w:val="false"/>
          <w:color w:val="000000"/>
          <w:sz w:val="20"/>
        </w:rPr>
        <w:t xml:space="preserve">in the Consolidated Statements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Research and Development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Research and development costs, not incurred in connection with customer requirements, are generally expensed when incurred.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Debt Issuance Costs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0"/>
        </w:rPr>
        <w:t xml:space="preserve">Costs of issuing debt generally are deferred and amortized utilizing the effective interest method, with amortization included in </w:t>
      </w:r>
      <w:r>
        <w:rPr>
          <w:rFonts w:ascii="Arial;sans-serif" w:hAnsi="Arial;sans-serif"/>
          <w:b w:val="false"/>
          <w:i/>
          <w:color w:val="000000"/>
          <w:sz w:val="20"/>
        </w:rPr>
        <w:t>Interest expense, net of amounts capitalized</w:t>
      </w:r>
      <w:r>
        <w:rPr>
          <w:color w:val="000000"/>
        </w:rPr>
        <w:t xml:space="preserve"> </w:t>
      </w:r>
      <w:r>
        <w:rPr>
          <w:rFonts w:ascii="Arial;sans-serif" w:hAnsi="Arial;sans-serif"/>
          <w:b w:val="false"/>
          <w:color w:val="000000"/>
          <w:sz w:val="20"/>
        </w:rPr>
        <w:t>in the Consolidated Statements of Operations. We report unamortized debt issuance costs as a reduction of the related long-term debt in the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Foreign Currency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0"/>
        </w:rPr>
        <w:t xml:space="preserve">The functional currency for certain of our foreign operations is determined to be the local currency. Accordingly, we translate assets and liabilities of these foreign entities from their local currencies to U.S. dollars using period-end exchange rates and translate income and expense accounts at monthly average rates. The resulting translation adjustments are reported as </w:t>
      </w:r>
      <w:r>
        <w:rPr>
          <w:rFonts w:ascii="Arial;sans-serif" w:hAnsi="Arial;sans-serif"/>
          <w:b w:val="false"/>
          <w:i/>
          <w:color w:val="000000"/>
          <w:sz w:val="20"/>
        </w:rPr>
        <w:t>Foreign currency translation adjustments</w:t>
      </w:r>
      <w:r>
        <w:rPr>
          <w:color w:val="000000"/>
        </w:rPr>
        <w:t xml:space="preserve"> </w:t>
      </w:r>
      <w:r>
        <w:rPr>
          <w:rFonts w:ascii="Arial;sans-serif" w:hAnsi="Arial;sans-serif"/>
          <w:b w:val="false"/>
          <w:color w:val="000000"/>
          <w:sz w:val="20"/>
        </w:rPr>
        <w:t>in the Consolidated Statements of Comprehensive Income (Loss). Except in certain uncommon circumstances, we have not recorded deferred income taxes related to our foreign currency translation adjustments.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Gains and losses resulting from the re-measurement of transactions denominated in foreign currencies are recognized in </w:t>
      </w:r>
      <w:r>
        <w:rPr>
          <w:rFonts w:ascii="Arial;sans-serif" w:hAnsi="Arial;sans-serif"/>
          <w:b w:val="false"/>
          <w:i/>
          <w:color w:val="000000"/>
          <w:sz w:val="20"/>
        </w:rPr>
        <w:t>Foreign currency transaction gains (losses), net</w:t>
      </w:r>
      <w:r>
        <w:rPr>
          <w:color w:val="000000"/>
        </w:rPr>
        <w:t xml:space="preserve"> </w:t>
      </w:r>
      <w:r>
        <w:rPr>
          <w:rFonts w:ascii="Arial;sans-serif" w:hAnsi="Arial;sans-serif"/>
          <w:b w:val="false"/>
          <w:color w:val="000000"/>
          <w:sz w:val="20"/>
        </w:rPr>
        <w:t>in the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included in the consolidated federal income tax return of EchoStar. We recognize a provision or benefit for income taxes currently payable or receivable and for income tax amounts deferred to future periods based upon a separate return allocation method which results in income tax expense that approximates the expense that would result if we were a stand-alone entity. Deferred tax assets and liabilities reflect the effects of tax losses, credits, and the future income tax effects of temporary differences between GAAP carrying amounts of existing assets and liabilities and their respective tax bases and are measured using enacted tax rates that apply to taxable income in the years in which those temporary differences are expected to be recovered or settled. Deferred tax assets are offset by valuation allowances when we determine it is more likely than not that such deferred tax assets will not be realized in the foreseeable future. We determine deferred tax assets and liabilities separately for each taxing jurisdiction and report the net amount for each jurisdiction as a non-current asset or liability in the Consolidated Balance Sheets.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From time to time, we engage in transactions where the income tax consequences are uncertain. We recognize tax benefits when, in management’s judgment, a tax filing position is more likely than not to be sustained if challenged by the tax authorities. For tax positions that meet the more-likely-than-not threshold, we may not recognize a portion of a tax benefit depending on management’s assessment of how the tax position will ultimately be settled. Unrecognized tax benefits generally are netted against the deferred tax assets associated with our net operating loss and tax credit carryforwards. We adjust our estimates periodically based on ongoing examinations by, and settlements with, various taxing authorities, as well as changes in tax laws, regulations and precedent. Estimates of our uncertain tax positions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we will record additional income tax provision or benefit in the period in which such resolution occurs. We classify interest and penalties, if any, associated with our unrecognized tax benefits as a component of income tax provision or benefit.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F-13</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Lessee Accounting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At the inception of a contract, we assess whether the contract is, or contains, a lease. The assessment is based on (i) whether the contract involves the use of a distinct identified asset, (ii) whether we obtain the right to substantially all the economic benefit from the use of the asset throughout the period, and (iii) whether we have the right to direct the use of the asset. Our operating leases consist primarily of leases for the EchoStar XXIV satellite, EchoStar office space, data centers, and satellite-related ground infrastructure.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a specialized nature and there is not expected to be an alternative use to the lessor at the end of the lease term. A lease is classified as an operating lease if it does not meet any of these criteria. Our finance leases consist primarily of leases for satellite capacity.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All significant lease arrangements are generally recognized at lease commencement. Operating lease right-of-use (“ROU”) assets and lease liabilities are recognized at commencement. An ROU asset and corresponding lease liability are not recorded for leases with an initial term of 12 months or less (short-term leases), and we recognize lease expense for these leases as incurred over the lease term. 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ROU asset is initially measured at cost, which primarily comprises the initial amount of the lease liability, plus any prepayments to the lessor and initial direct costs such as brokerage commissions, less any lease incentives received. The lease liability is initially measured at the present value of the minimum lease payments, discounted using an estimate of our incremental borrowing rate for a collateralized loan with the same term as the underlying lease. The incremental borrowing rates used for the initial measurement of lease liabilities are based on the original lease terms. In determining our incremental borrowing rate, we consider the lease term, secured incremental borrowing rate, and for leases denominated in a currency different than U.S. dollar, the collateralized borrowing rate in the foreign currency using the U.S. dollar and foreign currency swap spread, when available.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report operating lease ROU assets in </w:t>
      </w:r>
      <w:r>
        <w:rPr>
          <w:rFonts w:ascii="Arial;sans-serif" w:hAnsi="Arial;sans-serif"/>
          <w:b w:val="false"/>
          <w:i/>
          <w:color w:val="000000"/>
          <w:sz w:val="20"/>
        </w:rPr>
        <w:t>Operating lease right-of-use assets</w:t>
      </w:r>
      <w:r>
        <w:rPr>
          <w:color w:val="000000"/>
        </w:rPr>
        <w:t xml:space="preserve"> </w:t>
      </w:r>
      <w:r>
        <w:rPr>
          <w:rFonts w:ascii="Arial;sans-serif" w:hAnsi="Arial;sans-serif"/>
          <w:b w:val="false"/>
          <w:color w:val="000000"/>
          <w:sz w:val="20"/>
        </w:rPr>
        <w:t xml:space="preserve">and operating lease liabilities in </w:t>
      </w:r>
      <w:r>
        <w:rPr>
          <w:rFonts w:ascii="Arial;sans-serif" w:hAnsi="Arial;sans-serif"/>
          <w:b w:val="false"/>
          <w:i/>
          <w:color w:val="000000"/>
          <w:sz w:val="20"/>
        </w:rPr>
        <w:t>Accrued expenses and other current liabilities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Operating lease liabilities</w:t>
      </w:r>
      <w:r>
        <w:rPr>
          <w:rFonts w:ascii="Arial;sans-serif" w:hAnsi="Arial;sans-serif"/>
          <w:b w:val="false"/>
          <w:color w:val="000000"/>
          <w:sz w:val="20"/>
        </w:rPr>
        <w:t xml:space="preserve">. We report finance lease ROU assets in </w:t>
      </w:r>
      <w:r>
        <w:rPr>
          <w:rFonts w:ascii="Arial;sans-serif" w:hAnsi="Arial;sans-serif"/>
          <w:b w:val="false"/>
          <w:i/>
          <w:color w:val="000000"/>
          <w:sz w:val="20"/>
        </w:rPr>
        <w:t>Property and equipment, net</w:t>
      </w:r>
      <w:r>
        <w:rPr>
          <w:color w:val="000000"/>
        </w:rPr>
        <w:t xml:space="preserve"> </w:t>
      </w:r>
      <w:r>
        <w:rPr>
          <w:rFonts w:ascii="Arial;sans-serif" w:hAnsi="Arial;sans-serif"/>
          <w:b w:val="false"/>
          <w:color w:val="000000"/>
          <w:sz w:val="20"/>
        </w:rPr>
        <w:t xml:space="preserve">and finance lease liabilities in </w:t>
      </w:r>
      <w:r>
        <w:rPr>
          <w:rFonts w:ascii="Arial;sans-serif" w:hAnsi="Arial;sans-serif"/>
          <w:b w:val="false"/>
          <w:i/>
          <w:color w:val="000000"/>
          <w:sz w:val="20"/>
        </w:rPr>
        <w:t>Current portion of long-term debt, net</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Long-term debt, net</w:t>
      </w:r>
      <w:r>
        <w:rPr>
          <w:rFonts w:ascii="Arial;sans-serif" w:hAnsi="Arial;sans-serif"/>
          <w:b w:val="false"/>
          <w:color w:val="000000"/>
          <w:sz w:val="2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Other Comprehensive Income (Loss)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amounts reclassified to net income (loss) related to unrealized gain (loss) on available-for-sale securities are included in Gains (losses) on investments, net in the Consolidated Statements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Cash and Cash Equivalents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consider all liquid investments purchased with an original maturity of less than 90 days to be cash equivalents. Cash equivalents as of December 31, 2023 and 2022 primarily consisted of commercial paper, government bonds, corporate notes and money market funds. The amortized cost of these investments approximates their fair value.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F-14</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Marketable Investment Securities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Debt Securities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corporate bond portfolio includes debt instruments issued by individual corporations, primarily in the industrial and financial services industries. Our commercial paper portfolio includes instruments issued by individual corporations, primarily in the industrial, financial services and utilities industries. Our other debt securities portfolio includes investments in various debt instruments, including U.S. government bonds and mutual funds. We consider all liquid investments purchased with an original maturity of 90 days or less to be cash equivalents.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account for our debt securities as available-for-sale or using the fair value option based on our investment strategy for the securities. For available-for-sale debt securities, we recognize periodic changes in the difference between fair value and amortized cost in </w:t>
      </w:r>
      <w:r>
        <w:rPr>
          <w:rFonts w:ascii="Arial;sans-serif" w:hAnsi="Arial;sans-serif"/>
          <w:b w:val="false"/>
          <w:i/>
          <w:color w:val="000000"/>
          <w:sz w:val="20"/>
        </w:rPr>
        <w:t>Unrealized gains (losses) on available-for-sale securities</w:t>
      </w:r>
      <w:r>
        <w:rPr>
          <w:color w:val="000000"/>
        </w:rPr>
        <w:t xml:space="preserve"> </w:t>
      </w:r>
      <w:r>
        <w:rPr>
          <w:rFonts w:ascii="Arial;sans-serif" w:hAnsi="Arial;sans-serif"/>
          <w:b w:val="false"/>
          <w:color w:val="000000"/>
          <w:sz w:val="20"/>
        </w:rPr>
        <w:t xml:space="preserve">in the Consolidated Statements of Comprehensive Income (Loss). Gains and losses realized upon sales of available-for-sale debt securities are reclassified from other comprehensive income (loss) and recognized on the trade date in </w:t>
      </w:r>
      <w:r>
        <w:rPr>
          <w:rFonts w:ascii="Arial;sans-serif" w:hAnsi="Arial;sans-serif"/>
          <w:b w:val="false"/>
          <w:i/>
          <w:color w:val="000000"/>
          <w:sz w:val="20"/>
        </w:rPr>
        <w:t>Gains (losses) on investments, net</w:t>
      </w:r>
      <w:r>
        <w:rPr>
          <w:color w:val="000000"/>
        </w:rPr>
        <w:t xml:space="preserve"> </w:t>
      </w:r>
      <w:r>
        <w:rPr>
          <w:rFonts w:ascii="Arial;sans-serif" w:hAnsi="Arial;sans-serif"/>
          <w:b w:val="false"/>
          <w:color w:val="000000"/>
          <w:sz w:val="20"/>
        </w:rPr>
        <w:t xml:space="preserve">in the Consolidated Statements of Operations. We use the first-in, first-out (“FIFO”) method to determine the cost basis on sales of available-for-sale debt securities. Interest income from available-for-sale debt securities is reported in </w:t>
      </w:r>
      <w:r>
        <w:rPr>
          <w:rFonts w:ascii="Arial;sans-serif" w:hAnsi="Arial;sans-serif"/>
          <w:b w:val="false"/>
          <w:i/>
          <w:color w:val="000000"/>
          <w:sz w:val="20"/>
        </w:rPr>
        <w:t>Interest income, net</w:t>
      </w:r>
      <w:r>
        <w:rPr>
          <w:color w:val="000000"/>
        </w:rPr>
        <w:t xml:space="preserve"> </w:t>
      </w:r>
      <w:r>
        <w:rPr>
          <w:rFonts w:ascii="Arial;sans-serif" w:hAnsi="Arial;sans-serif"/>
          <w:b w:val="false"/>
          <w:color w:val="000000"/>
          <w:sz w:val="20"/>
        </w:rPr>
        <w:t xml:space="preserve">in the Consolidated Statements of Operations.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evaluate our debt investment portfolio to determine whether declines in fair value of these securities are related to credit loss. Management estimates credit losses on marketable debt securities utilizing a credit loss impairment model on a quarterly basis. We estimate the expected credit losses, measured over the contractual life of marketable debt securities considering relevant issuer specific factors, including, but not limited to, a decrease in credit ratings or an entity’s ability to pay. Declines in the fair value of available-for-sale debt securities that are determined to be company specific credit losses are reclassified from other comprehensive income (loss) and recognized in </w:t>
      </w:r>
      <w:r>
        <w:rPr>
          <w:rFonts w:ascii="Arial;sans-serif" w:hAnsi="Arial;sans-serif"/>
          <w:b w:val="false"/>
          <w:i/>
          <w:color w:val="000000"/>
          <w:sz w:val="20"/>
        </w:rPr>
        <w:t>Net income (loss)</w:t>
      </w:r>
      <w:r>
        <w:rPr>
          <w:color w:val="000000"/>
        </w:rPr>
        <w:t xml:space="preserve"> </w:t>
      </w:r>
      <w:r>
        <w:rPr>
          <w:rFonts w:ascii="Arial;sans-serif" w:hAnsi="Arial;sans-serif"/>
          <w:b w:val="false"/>
          <w:color w:val="000000"/>
          <w:sz w:val="20"/>
        </w:rPr>
        <w:t>in the Consolidated Statements of Operations, thus establishing a new cost basis for the investment.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From time to time we make strategic investments in marketable corporate debt securities. Generally, we elect to account for these debt securities using the fair value option because it results in consistency in accounting for unrealized gains and losses for all securities in our portfolio of strategic investments. When we elect the fair value option for investments in debt securities, we recognize periodic changes in fair value of these securities in </w:t>
      </w:r>
      <w:r>
        <w:rPr>
          <w:rFonts w:ascii="Arial;sans-serif" w:hAnsi="Arial;sans-serif"/>
          <w:b w:val="false"/>
          <w:i/>
          <w:color w:val="000000"/>
          <w:sz w:val="20"/>
        </w:rPr>
        <w:t>Gains (losses) on investments, net</w:t>
      </w:r>
      <w:r>
        <w:rPr>
          <w:color w:val="000000"/>
        </w:rPr>
        <w:t xml:space="preserve"> </w:t>
      </w:r>
      <w:r>
        <w:rPr>
          <w:rFonts w:ascii="Arial;sans-serif" w:hAnsi="Arial;sans-serif"/>
          <w:b w:val="false"/>
          <w:color w:val="000000"/>
          <w:sz w:val="20"/>
        </w:rPr>
        <w:t xml:space="preserve">in the Consolidated Statements of Operations. Interest income from these securities is reported in </w:t>
      </w:r>
      <w:r>
        <w:rPr>
          <w:rFonts w:ascii="Arial;sans-serif" w:hAnsi="Arial;sans-serif"/>
          <w:b w:val="false"/>
          <w:i/>
          <w:color w:val="000000"/>
          <w:sz w:val="20"/>
        </w:rPr>
        <w:t>Interest income, net</w:t>
      </w:r>
      <w:r>
        <w:rPr>
          <w:color w:val="000000"/>
        </w:rPr>
        <w:t xml:space="preserve"> </w:t>
      </w:r>
      <w:r>
        <w:rPr>
          <w:rFonts w:ascii="Arial;sans-serif" w:hAnsi="Arial;sans-serif"/>
          <w:b w:val="false"/>
          <w:color w:val="000000"/>
          <w:sz w:val="20"/>
        </w:rPr>
        <w:t xml:space="preserve">in the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Equity Securities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account for equity securities with readily determinable fair values at fair value and recognize periodic changes in the fair value in </w:t>
      </w:r>
      <w:r>
        <w:rPr>
          <w:rFonts w:ascii="Arial;sans-serif" w:hAnsi="Arial;sans-serif"/>
          <w:b w:val="false"/>
          <w:i/>
          <w:color w:val="000000"/>
          <w:sz w:val="20"/>
        </w:rPr>
        <w:t>Gains (losses) on investments, net</w:t>
      </w:r>
      <w:r>
        <w:rPr>
          <w:color w:val="000000"/>
        </w:rPr>
        <w:t xml:space="preserve"> </w:t>
      </w:r>
      <w:r>
        <w:rPr>
          <w:rFonts w:ascii="Arial;sans-serif" w:hAnsi="Arial;sans-serif"/>
          <w:b w:val="false"/>
          <w:color w:val="000000"/>
          <w:sz w:val="20"/>
        </w:rPr>
        <w:t xml:space="preserve">in the Consolidated Statements of Operations. We recognize dividend income on equity securities on the ex-dividend date and report such income in </w:t>
      </w:r>
      <w:r>
        <w:rPr>
          <w:rFonts w:ascii="Arial;sans-serif" w:hAnsi="Arial;sans-serif"/>
          <w:b w:val="false"/>
          <w:i/>
          <w:color w:val="000000"/>
          <w:sz w:val="20"/>
        </w:rPr>
        <w:t>Other, net</w:t>
      </w:r>
      <w:r>
        <w:rPr>
          <w:color w:val="000000"/>
        </w:rPr>
        <w:t xml:space="preserve"> </w:t>
      </w:r>
      <w:r>
        <w:rPr>
          <w:rFonts w:ascii="Arial;sans-serif" w:hAnsi="Arial;sans-serif"/>
          <w:b w:val="false"/>
          <w:color w:val="000000"/>
          <w:sz w:val="20"/>
        </w:rPr>
        <w:t xml:space="preserve">in the Consolidated Statements of Operations. We had no equity securities with readily determinable fair values as of December 31, 2023 and 2022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Restricted Marketable Investment Securities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Restricted marketable investment securities that are pledged as collateral for our letters of credit and surety bonds are included in </w:t>
      </w:r>
      <w:r>
        <w:rPr>
          <w:rFonts w:ascii="Arial;sans-serif" w:hAnsi="Arial;sans-serif"/>
          <w:b w:val="false"/>
          <w:i/>
          <w:color w:val="000000"/>
          <w:sz w:val="20"/>
        </w:rPr>
        <w:t xml:space="preserve">Other non-current assets, net </w:t>
      </w:r>
      <w:r>
        <w:rPr>
          <w:rFonts w:ascii="Arial;sans-serif" w:hAnsi="Arial;sans-serif"/>
          <w:b w:val="false"/>
          <w:color w:val="000000"/>
          <w:sz w:val="20"/>
        </w:rPr>
        <w:t xml:space="preserve">in the Consolidated Balance Sheets. Restricted marketable securities are accounted for in the same manner as marketable securities that are not restricted, but are presented differently in the Consolidated Balance Sheets due to the restrictions.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F-15</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Trade Accounts Receivable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Trade accounts receivable includes amounts billed and currently due from customers and represents our unconditional rights to consideration arising from our performance under our customer contracts. Trade accounts receivable also includes amounts due from customers under our leasing arrangements. We make ongoing estimates relating to the collectability of our trade accounts receivable and maintain an allowance for estimated losses resulting from the inability of our customers to make the required payments. In determining the amount of the allowance, we consider historical levels of credit losses and make judgments about the creditworthiness of our customers based on ongoing credit evaluations. Past due trade accounts receivable balances are written off when our internal collection efforts have been unsuccessful. Bad debt expense related to our trade accounts receivable and other contract assets is included in </w:t>
      </w:r>
      <w:r>
        <w:rPr>
          <w:rFonts w:ascii="Arial;sans-serif" w:hAnsi="Arial;sans-serif"/>
          <w:b w:val="false"/>
          <w:i/>
          <w:color w:val="000000"/>
          <w:sz w:val="20"/>
        </w:rPr>
        <w:t>Selling, general and administrative expenses</w:t>
      </w:r>
      <w:r>
        <w:rPr>
          <w:color w:val="000000"/>
        </w:rPr>
        <w:t xml:space="preserve"> </w:t>
      </w:r>
      <w:r>
        <w:rPr>
          <w:rFonts w:ascii="Arial;sans-serif" w:hAnsi="Arial;sans-serif"/>
          <w:b w:val="false"/>
          <w:color w:val="000000"/>
          <w:sz w:val="20"/>
        </w:rPr>
        <w:t>in the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Concentration of Credit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One customer represented approximately 19.0% of the balance of Trade accounts receivable as of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Contract Assets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Contract assets represent revenue that we have recognized in advance of billing the customer and are included in </w:t>
      </w:r>
      <w:r>
        <w:rPr>
          <w:rFonts w:ascii="Arial;sans-serif" w:hAnsi="Arial;sans-serif"/>
          <w:b w:val="false"/>
          <w:i/>
          <w:color w:val="000000"/>
          <w:sz w:val="20"/>
        </w:rPr>
        <w:t>Trade accounts receivable and contract assets, net</w:t>
      </w:r>
      <w:r>
        <w:rPr>
          <w:color w:val="000000"/>
        </w:rPr>
        <w:t xml:space="preserve"> </w:t>
      </w:r>
      <w:r>
        <w:rPr>
          <w:rFonts w:ascii="Arial;sans-serif" w:hAnsi="Arial;sans-serif"/>
          <w:b w:val="false"/>
          <w:color w:val="000000"/>
          <w:sz w:val="20"/>
        </w:rPr>
        <w:t xml:space="preserve">or </w:t>
      </w:r>
      <w:r>
        <w:rPr>
          <w:rFonts w:ascii="Arial;sans-serif" w:hAnsi="Arial;sans-serif"/>
          <w:b w:val="false"/>
          <w:i/>
          <w:color w:val="000000"/>
          <w:sz w:val="20"/>
        </w:rPr>
        <w:t xml:space="preserve">Other non-current assets, net </w:t>
      </w:r>
      <w:r>
        <w:rPr>
          <w:rFonts w:ascii="Arial;sans-serif" w:hAnsi="Arial;sans-serif"/>
          <w:b w:val="false"/>
          <w:color w:val="000000"/>
          <w:sz w:val="20"/>
        </w:rPr>
        <w:t xml:space="preserve">in the Consolidated Balance Sheets based on the expected timing of customer payment. Our contract assets typically relate to our long-term contracts where we recognize revenue using the cost-based input method and the revenue recognized exceeds the amount billed to the customer. Our contract assets also include receivables related to sales-type leases recognized over the lease term as the customer is billed.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Contract Acquisition Costs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Our contract acquisition costs represent incremental direct costs of obtaining a contract and consist primarily of sales incentives paid to employees and third-party representatives. When we determine that our contract acquisition costs are recoverable, we defer and amortize the costs over the contract term, or over the estimated life of the customer relationship if anticipated renewals are expected and the incentives payable upon renewal are not commensurate with the initial incentive. We amortize contract acquisition costs in proportion to the revenue to which the costs relate on a straight-line basis. We expense sales incentives as incurred if the expected amortization period is one year or less. Unamortized contract acquisition costs are included in </w:t>
      </w:r>
      <w:r>
        <w:rPr>
          <w:rFonts w:ascii="Arial;sans-serif" w:hAnsi="Arial;sans-serif"/>
          <w:b w:val="false"/>
          <w:i/>
          <w:color w:val="000000"/>
          <w:sz w:val="20"/>
        </w:rPr>
        <w:t>Other non-current assets, net</w:t>
      </w:r>
      <w:r>
        <w:rPr>
          <w:color w:val="000000"/>
        </w:rPr>
        <w:t xml:space="preserve"> </w:t>
      </w:r>
      <w:r>
        <w:rPr>
          <w:rFonts w:ascii="Arial;sans-serif" w:hAnsi="Arial;sans-serif"/>
          <w:b w:val="false"/>
          <w:color w:val="000000"/>
          <w:sz w:val="20"/>
        </w:rPr>
        <w:t xml:space="preserve">in the Consolidated Balance Sheets and related amortization expense is included in </w:t>
      </w:r>
      <w:r>
        <w:rPr>
          <w:rFonts w:ascii="Arial;sans-serif" w:hAnsi="Arial;sans-serif"/>
          <w:b w:val="false"/>
          <w:i/>
          <w:color w:val="000000"/>
          <w:sz w:val="20"/>
        </w:rPr>
        <w:t>Selling, general and administrative expenses</w:t>
      </w:r>
      <w:r>
        <w:rPr>
          <w:color w:val="000000"/>
        </w:rPr>
        <w:t xml:space="preserve"> </w:t>
      </w:r>
      <w:r>
        <w:rPr>
          <w:rFonts w:ascii="Arial;sans-serif" w:hAnsi="Arial;sans-serif"/>
          <w:b w:val="false"/>
          <w:color w:val="000000"/>
          <w:sz w:val="20"/>
        </w:rPr>
        <w:t>in the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Inventory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Inventory is stated at the lower of cost or net realizable value. Cost of inventory is determined using the first-in-first-out and average cost methods and consists primarily of materials, direct labor and indirect overhead incurred in the procurement and manufacturing of our products. We use standard costing methodologies in determining the cost of certain of our finished goods and work-in-process inventories. We determine net realizable value using our best estimates of future use or recovery, considering the aging and composition of inventory balances, the effects of technological and/or design changes, forecasted future product demand based on firm or near-firm customer orders and alternative means of disposition of excess or obsolete items. We recognize losses within </w:t>
      </w:r>
      <w:r>
        <w:rPr>
          <w:rFonts w:ascii="Arial;sans-serif" w:hAnsi="Arial;sans-serif"/>
          <w:b w:val="false"/>
          <w:i/>
          <w:color w:val="000000"/>
          <w:sz w:val="20"/>
        </w:rPr>
        <w:t>Cost of sales - equipment</w:t>
      </w:r>
      <w:r>
        <w:rPr>
          <w:color w:val="000000"/>
        </w:rPr>
        <w:t xml:space="preserve"> </w:t>
      </w:r>
      <w:r>
        <w:rPr>
          <w:rFonts w:ascii="Arial;sans-serif" w:hAnsi="Arial;sans-serif"/>
          <w:b w:val="false"/>
          <w:color w:val="000000"/>
          <w:sz w:val="20"/>
        </w:rPr>
        <w:t xml:space="preserve">in the Consolidated Statements of Operations when we determine that the cost of inventory and commitments to purchase inventory exceed net realizable value.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Property and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Satellites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Satellites are stated at cost, less accumulated depreciation. Depreciation is recorded on a straight-line basis over their estimated useful lives. The cost of our satellites includes construction costs, including the present value of in-orbit incentives payable to the satellite manufacturer, launch costs, capitalized interest and related insurance premiums. We depreciate our owned satellites on a straight-line basis over the estimated useful life of each satellite.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satellites acquired under finance leases. The recorded costs of those satellites are the present values of all lease payments. We amortize our finance lease ROU satellites over their respective lease terms.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satellites may experience anomalies from time to time, some of which may have a significant adverse effect on their remaining useful lives, the commercial operation of the satellites or our operating results or financial position.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evaluate our satellites for impairment and test for recoverability whenever events or changes in circumstances indicate that their carrying value may not be recoverable. Certain anomalies may be considered a significant adverse change in the physical condition of a particular satellite. However, based on redundancies designed within each satellite, certain of these anomalies may not be considered to be significant events requiring a test of recoverability.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generally do not carry in-orbit insurance on our satellites and payloads because we have assessed that the cost of insurance is not economical relative to the risk of failures. Therefore, we generally bear the risk of any in-orbit failures. However, we may be required to carry insurance on specific satellites and payloads per the terms of certain agreements. We will continue to assess circumstances going forward and make insurance-related decisions on a case-by-case basis.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 Property and Equipment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Other property and equipment are stated at cost, less accumulated depreciation. Depreciation is recorded on a straight-line basis over their estimated useful lives. Other property and equipment includes: land; buildings and improvements; furniture, fixtures, equipment and internal-use software; customer premises equipment; and construction in process. Costs related to the procurement and development of software for internal-use are capitalized and amortized using the straight-line method over the estimated useful life of the software, not in excess of five years. Repair and maintenance costs are charged to expense when incurred. </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Goodwill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account for acquired businesses using the acquisition method of accounting which requires that the assets acquired and liabilities assumed be recorded at the date of acquisition at their respective fair values. Any excess of the purchase price over the estimated fair values of the net assets acquired is recorded as goodwill. All of our goodwill is assigned to our Hughes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evaluate goodwill for impairment on an annual basis in our second fiscal quarter or whenever events and changes in circumstances indicate the carrying amounts may not be recoverable. Impairments may result from, among other things, deterioration in financial and operational performance, declines in stock price, increased attrition, adverse market conditions, adverse changes in applicable laws and/or regulations, deterioration of general macroeconomic conditions, fluctuations in foreign exchange rates, increased competitive markets in which we operate in, declining financial performance over a sustained period, changes in key personnel and/or strategy, and a variety of other factors. Our impairment assessment typically begins with a qualitative assessment to determine whether it is more likely than not the fair value of the reporting unit is less than its carrying amount. The qualitative assessment includes comparing the overall financial performance against the planned results. In the performance of the qualitative assessment, we analyze a variety of events or factors that may influence the fair value of the reporting unit, that could include, but are not limited to: macroeconomic conditions, industry and market considerations, cost factors, and other relevant entity-specific events which requires significant judgment. If we determine in the qualitative assessment that it is more likely than not that the fair value is less than its carrying value, then we perform a quantitative assessment to determine the estimated fair value of the indefinite lived asset or reporting unit. We could also choose the option to bypass the qualitative assessment for any reporting unit in any period and proceed directly to the quantitative impairment test. In the quantitative assessment, fair value is usually estimated using two valuation approaches: the discounted cash flows method and the market comparable method. In the performance of the quantitative assessment, we use a variety of inputs, some of which may require significant judgment, that influence the fair value of the reporting unit, that could include, but are not limited to: discount rate, revenue growth rate, amount and timing of future cash flows, guideline public company metrics, and comparable market transactions. In addition, we also perform a market capitalization reconciliation to compare the estimated fair value, determined using the discounted cash flows method and the market comparable method, to the Company’s market capitalization as of the date of the test. If the carrying value exceeds the estimated fair value, then an impairment is recognized for the difference.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 impairments were indicated for any reporting unit for the years ended December 31, 2022 and 2021.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fourth quarter in 2023, EchoStar experienced a significant and sustained decrease in its market capitalization and concluded that the goodwill attributable to certain acquisitions was no longer supported. We concluded that this trend is an indicator with respect to the carrying value of goodwill at our entity’s reporting unit. Our assessment process included, among other things, discounted cash flow analyses, consideration of fair values of tangible and indefinite-lived intangible assets held by the reporting unit and the recent market capitalization. Our assessment indicated the goodwill attributed to certain acquisitions was no longer supported based on the sustained decrease in our parent’s market capitalization. As such, we recorded a total noncash impairment charge of approximately $532.9 million in “Impairment of long-lived assets and goodwill” on our Consolidated Statements of Operations and Comprehensive Income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Regulatory Authorizations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Finite Lived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regulatory authorizations that are not related to the Federal Communications Commission (“FCC”) and have determined that they have finite lives due to uncertainties about the ability to extend or renew their terms.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Finite lived regulatory authorizations are amortized over their estimated useful lives on a straight-line basis. Renewal costs are usually capitalized when they are incurred. </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Indefinite Lived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also have indefinite lived regulatory authorizations that primarily consist of FCC authorizations and certain other contractual or regulatory rights to use spectrum at specified orbital locations. We have determined that our FCC authorizations generally have indefinite useful lives based on the following: </w:t>
      </w:r>
    </w:p>
    <w:p>
      <w:pPr>
        <w:pStyle w:val="TextBody"/>
        <w:bidi w:val="0"/>
        <w:spacing w:lineRule="auto" w:line="288" w:before="0" w:after="0"/>
        <w:jc w:val="both"/>
        <w:rPr>
          <w:color w:val="000000"/>
        </w:rPr>
      </w:pPr>
      <w:r>
        <w:rPr>
          <w:color w:val="000000"/>
        </w:rPr>
        <w:t>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FCC authorizations are non-depleting assets;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Renewal satellite applications generally are authorized by the FCC subject to certain conditions, without substantial cost under a stable regulatory, legislative and legal environment;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Expenditures required to maintain the authorization are not significant; and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We intend to use these authorizations indefinitely.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Costs incurred to maintain or renew indefinite-lived regulatory authorizations are expensed as incurred.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Other Intangible Assets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other intangible assets consist of customer relationships, patents, trademarks and licenses which are amortized using the straight-line method over their estimated useful lives. We evaluate the recoverability of intangible assets periodically by taking into account events or circumstances that indicate that the carrying amount of the assets may not be recoverable.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Impairment of Long-lived Assets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0"/>
        </w:rPr>
        <w:t xml:space="preserve">We review our long-lived assets for recoverability whenever events or changes in circumstances indicate that their carrying amounts may not be recoverable. The evaluation is performed at the lowest level for which identifiable cash flows are largely independent of the cash flows of other assets and liabilities. For assets held and used in operations, the asset is not recoverable if the carrying amount of the asset exceeds its undiscounted estimated future net cash flows. When an asset is not recoverable, we adjust the carrying amount of such asset to its estimated fair value and recognize the impairment loss in </w:t>
      </w:r>
      <w:r>
        <w:rPr>
          <w:rFonts w:ascii="Arial;sans-serif" w:hAnsi="Arial;sans-serif"/>
          <w:b w:val="false"/>
          <w:i/>
          <w:color w:val="000000"/>
          <w:sz w:val="20"/>
        </w:rPr>
        <w:t xml:space="preserve">Impairment of long-lived assets and goodwill </w:t>
      </w:r>
      <w:r>
        <w:rPr>
          <w:rFonts w:ascii="Arial;sans-serif" w:hAnsi="Arial;sans-serif"/>
          <w:b w:val="false"/>
          <w:color w:val="000000"/>
          <w:sz w:val="20"/>
        </w:rPr>
        <w:t xml:space="preserve">in the Consolidated Statements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Other Investments</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Equity Method Investments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use the equity method to account for investments when we have the ability to exercise significant influence on the operating decisions of the affiliate. Such investments are initially recorded at cost and subsequently adjusted for our proportionate share of the net earnings or loss of the investee, which is reported in </w:t>
      </w:r>
      <w:r>
        <w:rPr>
          <w:rFonts w:ascii="Arial;sans-serif" w:hAnsi="Arial;sans-serif"/>
          <w:b w:val="false"/>
          <w:i/>
          <w:color w:val="000000"/>
          <w:sz w:val="20"/>
        </w:rPr>
        <w:t>Equity in earnings (losses) of unconsolidated affiliates, net</w:t>
      </w:r>
      <w:r>
        <w:rPr>
          <w:color w:val="000000"/>
        </w:rPr>
        <w:t xml:space="preserve"> </w:t>
      </w:r>
      <w:r>
        <w:rPr>
          <w:rFonts w:ascii="Arial;sans-serif" w:hAnsi="Arial;sans-serif"/>
          <w:b w:val="false"/>
          <w:color w:val="000000"/>
          <w:sz w:val="20"/>
        </w:rPr>
        <w:t>in the Consolidated Statements of Operations. Additionally, the carrying amount of such investments includes a component of goodwill when the cost of our investment exceeds the fair value of the underlying identifiable assets and liabilities of the affiliate. Lastly, dividends received from these affiliates reduces the carrying amount of our investment.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 Equity Investments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generally measure investments in non-publicly traded equity instruments without a readily determinable fair value at cost adjusted for observable price changes in orderly transactions for the identical or similar securities of the same issuer and changes resulting from impairments, if any. Other equity instruments are measured to determine their value based on observable market information. When we adjust the carrying amount of an investment to its estimated fair value, the gain or loss is recorded in </w:t>
      </w:r>
      <w:r>
        <w:rPr>
          <w:rFonts w:ascii="Arial;sans-serif" w:hAnsi="Arial;sans-serif"/>
          <w:b w:val="false"/>
          <w:i/>
          <w:color w:val="000000"/>
          <w:sz w:val="20"/>
        </w:rPr>
        <w:t>Gains (losses) on investments, net</w:t>
      </w:r>
      <w:r>
        <w:rPr>
          <w:color w:val="000000"/>
        </w:rPr>
        <w:t xml:space="preserve"> </w:t>
      </w:r>
      <w:r>
        <w:rPr>
          <w:rFonts w:ascii="Arial;sans-serif" w:hAnsi="Arial;sans-serif"/>
          <w:b w:val="false"/>
          <w:color w:val="000000"/>
          <w:sz w:val="20"/>
        </w:rPr>
        <w:t>in the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Impairment Considerations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periodically evaluate all of our other investments to determine whether events or changes in circumstances have occurred that may have a significant adverse effect on the fair value of the investment. We consider information if provided to us by our investees such as current financial statements, business plans, investment documentation, capitalization tables, liquidation waterfalls, and board materials; and we may make additional inquiries of investee management.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Indicators of impairment may include, but are not limited to, unprofitable operations, material loss contingencies, changes in business strategy, changes in market trends or market conditions, changes in the investees’ enterprise value and changes in the investees’ investment pricing. When we determine that one of our other investments is impaired we reduce its carrying value to its estimated fair value and recognize the impairment loss in </w:t>
      </w:r>
      <w:r>
        <w:rPr>
          <w:rFonts w:ascii="Arial;sans-serif" w:hAnsi="Arial;sans-serif"/>
          <w:b w:val="false"/>
          <w:i/>
          <w:color w:val="000000"/>
          <w:sz w:val="20"/>
        </w:rPr>
        <w:t>Other-than-temporary impairment losses on equity method investments</w:t>
      </w:r>
      <w:r>
        <w:rPr>
          <w:color w:val="000000"/>
        </w:rPr>
        <w:t xml:space="preserve"> </w:t>
      </w:r>
      <w:r>
        <w:rPr>
          <w:rFonts w:ascii="Arial;sans-serif" w:hAnsi="Arial;sans-serif"/>
          <w:b w:val="false"/>
          <w:color w:val="000000"/>
          <w:sz w:val="20"/>
        </w:rPr>
        <w:t xml:space="preserve">or </w:t>
      </w:r>
      <w:r>
        <w:rPr>
          <w:rFonts w:ascii="Arial;sans-serif" w:hAnsi="Arial;sans-serif"/>
          <w:b w:val="false"/>
          <w:i/>
          <w:color w:val="000000"/>
          <w:sz w:val="20"/>
        </w:rPr>
        <w:t>Gains (losses) on investments, net</w:t>
      </w:r>
      <w:r>
        <w:rPr>
          <w:color w:val="000000"/>
        </w:rPr>
        <w:t xml:space="preserve"> </w:t>
      </w:r>
      <w:r>
        <w:rPr>
          <w:rFonts w:ascii="Arial;sans-serif" w:hAnsi="Arial;sans-serif"/>
          <w:b w:val="false"/>
          <w:color w:val="000000"/>
          <w:sz w:val="20"/>
        </w:rPr>
        <w:t>in the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Contract Liabilities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Contract liabilities consist of advance payments and billings in excess of revenue recognized under customer contracts and are included in </w:t>
      </w:r>
      <w:r>
        <w:rPr>
          <w:rFonts w:ascii="Arial;sans-serif" w:hAnsi="Arial;sans-serif"/>
          <w:b w:val="false"/>
          <w:i/>
          <w:color w:val="000000"/>
          <w:sz w:val="20"/>
        </w:rPr>
        <w:t>Contract liabilities</w:t>
      </w:r>
      <w:r>
        <w:rPr>
          <w:color w:val="000000"/>
        </w:rPr>
        <w:t xml:space="preserve"> </w:t>
      </w:r>
      <w:r>
        <w:rPr>
          <w:rFonts w:ascii="Arial;sans-serif" w:hAnsi="Arial;sans-serif"/>
          <w:b w:val="false"/>
          <w:color w:val="000000"/>
          <w:sz w:val="20"/>
        </w:rPr>
        <w:t xml:space="preserve">or </w:t>
      </w:r>
      <w:r>
        <w:rPr>
          <w:rFonts w:ascii="Arial;sans-serif" w:hAnsi="Arial;sans-serif"/>
          <w:b w:val="false"/>
          <w:i/>
          <w:color w:val="000000"/>
          <w:sz w:val="20"/>
        </w:rPr>
        <w:t>Other non-current liabilities</w:t>
      </w:r>
      <w:r>
        <w:rPr>
          <w:color w:val="000000"/>
        </w:rPr>
        <w:t xml:space="preserve"> </w:t>
      </w:r>
      <w:r>
        <w:rPr>
          <w:rFonts w:ascii="Arial;sans-serif" w:hAnsi="Arial;sans-serif"/>
          <w:b w:val="false"/>
          <w:color w:val="000000"/>
          <w:sz w:val="20"/>
        </w:rPr>
        <w:t xml:space="preserve">in the Consolidated Balance Sheets based on the timing of when we expect to recognize revenue. We recognize contract liabilities as revenue after all revenue recognition criteria have been met.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Recently Adopted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Business Combinations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October 2021, the FASB issued ASU No. 2021-08 - </w:t>
      </w:r>
      <w:r>
        <w:rPr>
          <w:rFonts w:ascii="Arial;sans-serif" w:hAnsi="Arial;sans-serif"/>
          <w:b w:val="false"/>
          <w:i/>
          <w:color w:val="000000"/>
          <w:sz w:val="20"/>
        </w:rPr>
        <w:t>Business Combinations (Topic 805): Accounting for Contract Assets and Contract Liabilities from Contracts with Customers</w:t>
      </w:r>
      <w:r>
        <w:rPr>
          <w:rFonts w:ascii="Arial;sans-serif" w:hAnsi="Arial;sans-serif"/>
          <w:b w:val="false"/>
          <w:color w:val="000000"/>
          <w:sz w:val="20"/>
        </w:rPr>
        <w:t xml:space="preserve">, which provides an exception to fair value measurement for contract assets and contract liabilities related to revenue contracts acquired in a business combination. The ASU requires an entity (acquirer) to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ASU is effective for the Company for annual and interim periods in fiscal years beginning after December 15, 2022. The ASU is applied to business combinations occurring on or after the effective date.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Government Assistance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January 1, 2022, we adopted ASU No. 2021-10 -</w:t>
      </w:r>
      <w:r>
        <w:rPr>
          <w:color w:val="000000"/>
        </w:rPr>
        <w:t xml:space="preserve"> </w:t>
      </w:r>
      <w:r>
        <w:rPr>
          <w:rFonts w:ascii="Arial;sans-serif" w:hAnsi="Arial;sans-serif"/>
          <w:b w:val="false"/>
          <w:i/>
          <w:color w:val="000000"/>
          <w:sz w:val="20"/>
        </w:rPr>
        <w:t>Government Assistance (Topic 832)</w:t>
      </w:r>
      <w:r>
        <w:rPr>
          <w:rFonts w:ascii="Arial;sans-serif" w:hAnsi="Arial;sans-serif"/>
          <w:b w:val="false"/>
          <w:color w:val="000000"/>
          <w:sz w:val="20"/>
        </w:rPr>
        <w:t>: Disclosures by Business Entities about Government Assistance, which requires business entities (except for not-for-profit entities and employee benefit plans) to disclose information about certain government assistance they receive. The Company is currently participa</w:t>
      </w:r>
      <w:r>
        <w:rPr>
          <w:rFonts w:ascii="Arial;sans-serif" w:hAnsi="Arial;sans-serif"/>
          <w:b w:val="false"/>
          <w:color w:val="000000"/>
          <w:sz w:val="20"/>
          <w:shd w:fill="FFFFFF" w:val="clear"/>
        </w:rPr>
        <w:t xml:space="preserve">ting in three government programs: New York-Connect America Fund, New York Broadband, and Affordable Connectivity Plan. The purpose of these programs is to provide internet and connectivity services to qualifying households in the United States. The Company is entitled to reimbursement from the government for services provided. </w:t>
      </w:r>
      <w:r>
        <w:rPr>
          <w:rFonts w:ascii="Arial;sans-serif" w:hAnsi="Arial;sans-serif"/>
          <w:b w:val="false"/>
          <w:color w:val="000000"/>
          <w:sz w:val="20"/>
        </w:rPr>
        <w:t>We record gross monies received from government entities in Services and other revenue, and associated expenses such as salaries and supplies are recorded in Cost of sales - services and other, Research and development or Selling, general and administrative expenses, depending on the nature of e</w:t>
      </w:r>
      <w:r>
        <w:rPr>
          <w:rFonts w:ascii="Arial;sans-serif" w:hAnsi="Arial;sans-serif"/>
          <w:b w:val="false"/>
          <w:color w:val="000000"/>
          <w:sz w:val="20"/>
          <w:shd w:fill="FFFFFF" w:val="clear"/>
        </w:rPr>
        <w:t>xpenditure. We accrue for reimbursement requests submitted to government entities in Trade accounts receivable and contract assets, net</w:t>
      </w:r>
      <w:r>
        <w:rPr>
          <w:rFonts w:ascii="Arial;sans-serif" w:hAnsi="Arial;sans-serif"/>
          <w:b w:val="false"/>
          <w:color w:val="000000"/>
          <w:sz w:val="20"/>
        </w:rPr>
        <w:t xml:space="preserve">. </w:t>
      </w:r>
      <w:r>
        <w:rPr>
          <w:rFonts w:ascii="Arial;sans-serif" w:hAnsi="Arial;sans-serif"/>
          <w:b w:val="false"/>
          <w:color w:val="000000"/>
          <w:sz w:val="20"/>
          <w:shd w:fill="FFFFFF" w:val="clear"/>
        </w:rPr>
        <w:t xml:space="preserve">During the </w:t>
      </w:r>
      <w:r>
        <w:rPr>
          <w:rFonts w:ascii="Arial;sans-serif" w:hAnsi="Arial;sans-serif"/>
          <w:b w:val="false"/>
          <w:color w:val="000000"/>
          <w:sz w:val="20"/>
        </w:rPr>
        <w:t>year ended December 31, 2023, the Company recognized $17.4 million in Services and other revenue. As of December 31, 2023 we have trade accounts receivable of $2.9 million related to our government programs.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F-16</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Recently Issued Accounting Pronouncements Not Yet Adopted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Income Taxes - Improvements to Income Tax Disclosures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December 2023, the FASB issued ASU 2023-09, </w:t>
      </w:r>
      <w:r>
        <w:rPr>
          <w:rFonts w:ascii="Arial;sans-serif" w:hAnsi="Arial;sans-serif"/>
          <w:b w:val="false"/>
          <w:i/>
          <w:color w:val="000000"/>
          <w:sz w:val="20"/>
        </w:rPr>
        <w:t>Income Taxes (Topic 740)</w:t>
      </w:r>
      <w:r>
        <w:rPr>
          <w:color w:val="000000"/>
        </w:rPr>
        <w:t xml:space="preserve"> </w:t>
      </w:r>
      <w:r>
        <w:rPr>
          <w:rFonts w:ascii="Arial;sans-serif" w:hAnsi="Arial;sans-serif"/>
          <w:b w:val="false"/>
          <w:color w:val="000000"/>
          <w:sz w:val="20"/>
        </w:rPr>
        <w:t xml:space="preserve">- </w:t>
      </w:r>
      <w:r>
        <w:rPr>
          <w:rFonts w:ascii="Arial;sans-serif" w:hAnsi="Arial;sans-serif"/>
          <w:b w:val="false"/>
          <w:i/>
          <w:color w:val="000000"/>
          <w:sz w:val="20"/>
        </w:rPr>
        <w:t xml:space="preserve">Improvements to Income Tax Disclosures </w:t>
      </w:r>
      <w:r>
        <w:rPr>
          <w:rFonts w:ascii="Arial;sans-serif" w:hAnsi="Arial;sans-serif"/>
          <w:b w:val="false"/>
          <w:color w:val="000000"/>
          <w:sz w:val="20"/>
        </w:rPr>
        <w:t>(“ASU 2023-09”), which will enhance income tax disclosures. ASU 2023-09 requires among other items disaggregated information in a reporting entity’s rate reconciliation table, clarification on uncertain tax positions and the related financial statement impact as well as information on income taxes paid on a disaggregated basis. This standard will be effective for fiscal years beginning after December 15, 2024. Early adoption is permitted. We are evaluating the impact the adoption of ASU 2023-09 will have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Segment Reporting - Improvements to Reportable Segment Disclosures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November 2023 the FASB issued ASU 2023-07 </w:t>
      </w:r>
      <w:r>
        <w:rPr>
          <w:rFonts w:ascii="Arial;sans-serif" w:hAnsi="Arial;sans-serif"/>
          <w:b w:val="false"/>
          <w:i/>
          <w:color w:val="000000"/>
          <w:sz w:val="20"/>
        </w:rPr>
        <w:t>Segment Reporting (Topic 280)</w:t>
      </w:r>
      <w:r>
        <w:rPr>
          <w:rFonts w:ascii="Arial;sans-serif" w:hAnsi="Arial;sans-serif"/>
          <w:b w:val="false"/>
          <w:color w:val="000000"/>
          <w:sz w:val="20"/>
        </w:rPr>
        <w:t xml:space="preserve">- </w:t>
      </w:r>
      <w:r>
        <w:rPr>
          <w:rFonts w:ascii="Arial;sans-serif" w:hAnsi="Arial;sans-serif"/>
          <w:b w:val="false"/>
          <w:i/>
          <w:color w:val="000000"/>
          <w:sz w:val="20"/>
        </w:rPr>
        <w:t xml:space="preserve">Improvements to Reportable Segment Disclosures </w:t>
      </w:r>
      <w:r>
        <w:rPr>
          <w:rFonts w:ascii="Arial;sans-serif" w:hAnsi="Arial;sans-serif"/>
          <w:b w:val="false"/>
          <w:color w:val="000000"/>
          <w:sz w:val="20"/>
        </w:rPr>
        <w:t>(“ASU 2023-07”), which will enhance financial reporting by providing additional information about a public company’s significant segment expenses and more timely and detailed segment information reporting throughout the fiscal period. This standard will be effective for fiscal years beginning after December 15, 2023, and interim periods within fiscal years beginning after December 15, 2024. Early adoption is permitted. We are evaluating the impact the adoption of ASU 2023-07 will have on our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Business Combinations - Joint Venture Formations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August 2023, the FASB issued ASU 2023-05 - </w:t>
      </w:r>
      <w:r>
        <w:rPr>
          <w:rFonts w:ascii="Arial;sans-serif" w:hAnsi="Arial;sans-serif"/>
          <w:b w:val="false"/>
          <w:i/>
          <w:color w:val="000000"/>
          <w:sz w:val="20"/>
        </w:rPr>
        <w:t xml:space="preserve">Business Combinations—Joint Venture Formations </w:t>
      </w:r>
      <w:r>
        <w:rPr>
          <w:rFonts w:ascii="Arial;sans-serif" w:hAnsi="Arial;sans-serif"/>
          <w:b w:val="false"/>
          <w:color w:val="000000"/>
          <w:sz w:val="20"/>
        </w:rPr>
        <w:t>(“ASU 2023-05”)</w:t>
      </w:r>
      <w:r>
        <w:rPr>
          <w:color w:val="000000"/>
        </w:rPr>
        <w:t xml:space="preserve"> </w:t>
      </w:r>
      <w:r>
        <w:rPr>
          <w:rFonts w:ascii="Arial;sans-serif" w:hAnsi="Arial;sans-serif"/>
          <w:b w:val="false"/>
          <w:color w:val="000000"/>
          <w:sz w:val="20"/>
        </w:rPr>
        <w:t>to reduce diversity in practice and provide decision-useful information to a joint venture’s investors. The ASU requires that a joint venture apply a new basis of accounting upon formation. Specifically, the newly formed joint venture will be required to recognize and initially measure its assets and liabilities at fair value (with exceptions to fair value measurement that are consistent with the business combinations guidance). The amendments in this ASU do not amend the definition of a joint venture, the accounting by an equity method investor for its investment in a joint venture, or the accounting by a joint venture for contributions received after its formation. The guidance in this ASU is effective prospectively for all joint ventures with a formation date on or after January 1, 2025. Early adoption is permitted in any interim or annual period in which financial statements have not yet been issued (or made available for issuance), either prospectively or retrospectively. We plan to adopt this new guidance prospectively to all newly formed joint ventures on or after January 1, 2025 and we do not expect this ASU to have a material impact on our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Leases - Common Control Arrangements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March 2023, the FASB issued ASU 2023-01 - </w:t>
      </w:r>
      <w:r>
        <w:rPr>
          <w:rFonts w:ascii="Arial;sans-serif" w:hAnsi="Arial;sans-serif"/>
          <w:b w:val="false"/>
          <w:i/>
          <w:color w:val="000000"/>
          <w:sz w:val="20"/>
        </w:rPr>
        <w:t xml:space="preserve">Leases (Topic 842): Common Control Arrangements </w:t>
      </w:r>
      <w:r>
        <w:rPr>
          <w:rFonts w:ascii="Arial;sans-serif" w:hAnsi="Arial;sans-serif"/>
          <w:b w:val="false"/>
          <w:color w:val="000000"/>
          <w:sz w:val="20"/>
        </w:rPr>
        <w:t>(“ASU 2023-01). Among other things, this ASU requires all lessees to amortize leasehold improvements associated with common control leases over their useful life to the common control group and account for them as a transfer of assets between entities under common control at the end of the lease. Additional disclosures are required when the useful life of leasehold improvements to the common control group exceeds the related lease term. The guidance is effective for fiscal years beginning after December 15, 2023, including interim periods within those fiscal years. Early adoption is permitted. We plan to adopt this new guidance prospectively to all new leasehold improvements recognized on or after January 1, 2024 and we do not expect it to have a material impact on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Reference Rate Reform</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March 2020, the FASB issued ASU 2020-04 - </w:t>
      </w:r>
      <w:r>
        <w:rPr>
          <w:rFonts w:ascii="Arial;sans-serif" w:hAnsi="Arial;sans-serif"/>
          <w:b w:val="false"/>
          <w:i/>
          <w:color w:val="000000"/>
          <w:sz w:val="20"/>
        </w:rPr>
        <w:t>Reference Rate Reform (Topic 848) (</w:t>
      </w:r>
      <w:r>
        <w:rPr>
          <w:color w:val="000000"/>
        </w:rPr>
        <w:t>“</w:t>
      </w:r>
      <w:r>
        <w:rPr>
          <w:rFonts w:ascii="Arial;sans-serif" w:hAnsi="Arial;sans-serif"/>
          <w:b w:val="false"/>
          <w:color w:val="000000"/>
          <w:sz w:val="20"/>
        </w:rPr>
        <w:t>ASU 2020-04”</w:t>
      </w:r>
      <w:r>
        <w:rPr>
          <w:rFonts w:ascii="Arial;sans-serif" w:hAnsi="Arial;sans-serif"/>
          <w:b w:val="false"/>
          <w:i/>
          <w:color w:val="000000"/>
          <w:sz w:val="20"/>
        </w:rPr>
        <w:t>)</w:t>
      </w:r>
      <w:r>
        <w:rPr>
          <w:rFonts w:ascii="Arial;sans-serif" w:hAnsi="Arial;sans-serif"/>
          <w:b w:val="false"/>
          <w:color w:val="000000"/>
          <w:sz w:val="20"/>
        </w:rPr>
        <w:t>, and all subsequent amendments to the initial guidance,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2024. We expect to utilize the optional expedients provided by the guidance for contracts amended solely to use an alternative reference rate. We have evaluated the new guidance and we are in the process of implementing this ASU, and all subsequent amendments, and do not expect them to have a material impact on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F-17</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3.     REVENUE RECOGNITION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Contract Balances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components of our contract balances: </w:t>
      </w:r>
    </w:p>
    <w:tbl>
      <w:tblPr>
        <w:tblW w:w="8076" w:type="dxa"/>
        <w:jc w:val="center"/>
        <w:tblInd w:w="0" w:type="dxa"/>
        <w:tblLayout w:type="fixed"/>
        <w:tblCellMar>
          <w:top w:w="28" w:type="dxa"/>
          <w:left w:w="28" w:type="dxa"/>
          <w:bottom w:w="28" w:type="dxa"/>
          <w:right w:w="28" w:type="dxa"/>
        </w:tblCellMar>
      </w:tblPr>
      <w:tblGrid>
        <w:gridCol w:w="1820"/>
        <w:gridCol w:w="1598"/>
        <w:gridCol w:w="1607"/>
        <w:gridCol w:w="109"/>
        <w:gridCol w:w="109"/>
        <w:gridCol w:w="109"/>
        <w:gridCol w:w="211"/>
        <w:gridCol w:w="856"/>
        <w:gridCol w:w="109"/>
        <w:gridCol w:w="109"/>
        <w:gridCol w:w="109"/>
        <w:gridCol w:w="109"/>
        <w:gridCol w:w="211"/>
        <w:gridCol w:w="856"/>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Trade accounts receivable and 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trade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178,401 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trade accounts receivable and 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revenue recognized in the Consolidated Statements of Operations that was previously included within contract liabilities: </w:t>
      </w:r>
    </w:p>
    <w:p>
      <w:pPr>
        <w:pStyle w:val="TextBody"/>
        <w:bidi w:val="0"/>
        <w:spacing w:before="0" w:after="0"/>
        <w:jc w:val="both"/>
        <w:rPr/>
      </w:pPr>
      <w:r>
        <w:rPr/>
      </w:r>
    </w:p>
    <w:tbl>
      <w:tblPr>
        <w:tblW w:w="6138"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109"/>
        <w:gridCol w:w="109"/>
        <w:gridCol w:w="127"/>
        <w:gridCol w:w="127"/>
        <w:gridCol w:w="247"/>
        <w:gridCol w:w="879"/>
        <w:gridCol w:w="127"/>
        <w:gridCol w:w="127"/>
        <w:gridCol w:w="127"/>
        <w:gridCol w:w="127"/>
        <w:gridCol w:w="247"/>
        <w:gridCol w:w="1002"/>
        <w:gridCol w:w="127"/>
        <w:gridCol w:w="109"/>
        <w:gridCol w:w="109"/>
        <w:gridCol w:w="109"/>
        <w:gridCol w:w="211"/>
        <w:gridCol w:w="751"/>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88,211 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activity in our allowance for doubtful accounts: </w:t>
      </w:r>
    </w:p>
    <w:p>
      <w:pPr>
        <w:pStyle w:val="TextBody"/>
        <w:bidi w:val="0"/>
        <w:spacing w:before="0" w:after="0"/>
        <w:jc w:val="both"/>
        <w:rPr/>
      </w:pPr>
      <w:r>
        <w:rPr/>
      </w:r>
    </w:p>
    <w:tbl>
      <w:tblPr>
        <w:tblW w:w="7224" w:type="dxa"/>
        <w:jc w:val="left"/>
        <w:tblInd w:w="0" w:type="dxa"/>
        <w:tblLayout w:type="fixed"/>
        <w:tblCellMar>
          <w:top w:w="28" w:type="dxa"/>
          <w:left w:w="28" w:type="dxa"/>
          <w:bottom w:w="28" w:type="dxa"/>
          <w:right w:w="28" w:type="dxa"/>
        </w:tblCellMar>
      </w:tblPr>
      <w:tblGrid>
        <w:gridCol w:w="1080"/>
        <w:gridCol w:w="950"/>
        <w:gridCol w:w="955"/>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Credit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F-18</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Contract Acquisition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activity in our contract acquisition costs, net: </w:t>
      </w:r>
    </w:p>
    <w:p>
      <w:pPr>
        <w:pStyle w:val="TextBody"/>
        <w:bidi w:val="0"/>
        <w:spacing w:before="0" w:after="0"/>
        <w:jc w:val="both"/>
        <w:rPr/>
      </w:pPr>
      <w:r>
        <w:rPr/>
      </w:r>
    </w:p>
    <w:tbl>
      <w:tblPr>
        <w:tblW w:w="7224" w:type="dxa"/>
        <w:jc w:val="left"/>
        <w:tblInd w:w="0" w:type="dxa"/>
        <w:tblLayout w:type="fixed"/>
        <w:tblCellMar>
          <w:top w:w="28" w:type="dxa"/>
          <w:left w:w="28" w:type="dxa"/>
          <w:bottom w:w="28" w:type="dxa"/>
          <w:right w:w="28" w:type="dxa"/>
        </w:tblCellMar>
      </w:tblPr>
      <w:tblGrid>
        <w:gridCol w:w="1081"/>
        <w:gridCol w:w="949"/>
        <w:gridCol w:w="955"/>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Performance Obligations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December 31, 2023, the remaining performance obligations for our customer contracts was approximately $1.7 billion. Performance obligations expected to be satisfied within one year and greater than one year are 27% and 73%, respectively. This amount and percentages exclude agreements with consumer customers in our Hughes segment, our leasing arrangements and agreements with certain customers under which collectability of all amounts due through the term of contracts is uncertain.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Disaggregation of Revenue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Geographic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Revenue is attributed to geographic regions based upon the billing location of the customer. The following tables present our revenue from customer contracts disaggregated by primary geographic market and by segment: </w:t>
      </w:r>
    </w:p>
    <w:tbl>
      <w:tblPr>
        <w:tblW w:w="10205" w:type="dxa"/>
        <w:jc w:val="center"/>
        <w:tblInd w:w="0" w:type="dxa"/>
        <w:tblLayout w:type="fixed"/>
        <w:tblCellMar>
          <w:top w:w="28" w:type="dxa"/>
          <w:left w:w="28" w:type="dxa"/>
          <w:bottom w:w="28" w:type="dxa"/>
          <w:right w:w="28" w:type="dxa"/>
        </w:tblCellMar>
      </w:tblPr>
      <w:tblGrid>
        <w:gridCol w:w="1223"/>
        <w:gridCol w:w="1077"/>
        <w:gridCol w:w="1079"/>
        <w:gridCol w:w="109"/>
        <w:gridCol w:w="109"/>
        <w:gridCol w:w="109"/>
        <w:gridCol w:w="211"/>
        <w:gridCol w:w="976"/>
        <w:gridCol w:w="109"/>
        <w:gridCol w:w="109"/>
        <w:gridCol w:w="109"/>
        <w:gridCol w:w="109"/>
        <w:gridCol w:w="211"/>
        <w:gridCol w:w="721"/>
        <w:gridCol w:w="109"/>
        <w:gridCol w:w="109"/>
        <w:gridCol w:w="109"/>
        <w:gridCol w:w="109"/>
        <w:gridCol w:w="372"/>
        <w:gridCol w:w="1273"/>
        <w:gridCol w:w="191"/>
        <w:gridCol w:w="109"/>
        <w:gridCol w:w="109"/>
        <w:gridCol w:w="109"/>
        <w:gridCol w:w="211"/>
        <w:gridCol w:w="976"/>
        <w:gridCol w:w="158"/>
      </w:tblGrid>
      <w:tr>
        <w:trPr/>
        <w:tc>
          <w:tcPr>
            <w:tcW w:w="122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br/>
              <w:t>Total</w:t>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For the 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1,398,123 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and Central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190,213 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1,747,856 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For the 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1,595,906 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and Central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236,119 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2,003,343 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For the year ended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1,634,523 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and Central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1,956,226 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1,994,726 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F-19</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Nature of Products and Services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tables present our revenue disaggregated by the nature of products and services and by segment: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68"/>
        <w:gridCol w:w="1117"/>
        <w:gridCol w:w="1119"/>
        <w:gridCol w:w="109"/>
        <w:gridCol w:w="109"/>
        <w:gridCol w:w="109"/>
        <w:gridCol w:w="211"/>
        <w:gridCol w:w="976"/>
        <w:gridCol w:w="109"/>
        <w:gridCol w:w="109"/>
        <w:gridCol w:w="109"/>
        <w:gridCol w:w="109"/>
        <w:gridCol w:w="211"/>
        <w:gridCol w:w="721"/>
        <w:gridCol w:w="109"/>
        <w:gridCol w:w="109"/>
        <w:gridCol w:w="109"/>
        <w:gridCol w:w="109"/>
        <w:gridCol w:w="347"/>
        <w:gridCol w:w="1187"/>
        <w:gridCol w:w="178"/>
        <w:gridCol w:w="109"/>
        <w:gridCol w:w="109"/>
        <w:gridCol w:w="109"/>
        <w:gridCol w:w="211"/>
        <w:gridCol w:w="976"/>
        <w:gridCol w:w="157"/>
      </w:tblGrid>
      <w:tr>
        <w:trPr/>
        <w:tc>
          <w:tcPr>
            <w:tcW w:w="126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br/>
              <w:t>Total</w:t>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For the 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1,401,438 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1,422,039 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1,448,489 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Equipment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Design, development and construction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equipment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299,367 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1,747,856 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For the 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1,564,819 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1,629,194 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Equipment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Design, development and construction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equipment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374,149 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2,003,343 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For the year ended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1,658,739 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1,724,299 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Equipment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Design, development and construction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152,934 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equipment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270,427 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1,956,226 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20,821 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1,994,726 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F-20</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Lease Revenue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lease revenue by type of lease:</w:t>
      </w:r>
    </w:p>
    <w:p>
      <w:pPr>
        <w:pStyle w:val="TextBody"/>
        <w:bidi w:val="0"/>
        <w:spacing w:before="0" w:after="0"/>
        <w:jc w:val="both"/>
        <w:rPr/>
      </w:pPr>
      <w:r>
        <w:rPr/>
      </w:r>
    </w:p>
    <w:tbl>
      <w:tblPr>
        <w:tblW w:w="8342" w:type="dxa"/>
        <w:jc w:val="center"/>
        <w:tblInd w:w="0" w:type="dxa"/>
        <w:tblLayout w:type="fixed"/>
        <w:tblCellMar>
          <w:top w:w="28" w:type="dxa"/>
          <w:left w:w="28" w:type="dxa"/>
          <w:bottom w:w="28" w:type="dxa"/>
          <w:right w:w="28" w:type="dxa"/>
        </w:tblCellMar>
      </w:tblPr>
      <w:tblGrid>
        <w:gridCol w:w="1118"/>
        <w:gridCol w:w="983"/>
        <w:gridCol w:w="989"/>
        <w:gridCol w:w="109"/>
        <w:gridCol w:w="109"/>
        <w:gridCol w:w="109"/>
        <w:gridCol w:w="109"/>
        <w:gridCol w:w="109"/>
        <w:gridCol w:w="132"/>
        <w:gridCol w:w="132"/>
        <w:gridCol w:w="256"/>
        <w:gridCol w:w="914"/>
        <w:gridCol w:w="132"/>
        <w:gridCol w:w="132"/>
        <w:gridCol w:w="132"/>
        <w:gridCol w:w="132"/>
        <w:gridCol w:w="256"/>
        <w:gridCol w:w="914"/>
        <w:gridCol w:w="132"/>
        <w:gridCol w:w="109"/>
        <w:gridCol w:w="109"/>
        <w:gridCol w:w="109"/>
        <w:gridCol w:w="211"/>
        <w:gridCol w:w="751"/>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Sales-type 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at lease commencement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sales-type 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60,482 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73,152 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Substantially all of our net investment in sales-type leases consisted of lease receivables totaling $30.4 million and $21.9 million as of December 31, 2023 and 2022,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future operating lease payments to be received as of December 31, 2023:</w:t>
      </w:r>
    </w:p>
    <w:tbl>
      <w:tblPr>
        <w:tblW w:w="4833" w:type="dxa"/>
        <w:jc w:val="center"/>
        <w:tblInd w:w="0" w:type="dxa"/>
        <w:tblLayout w:type="fixed"/>
        <w:tblCellMar>
          <w:top w:w="28" w:type="dxa"/>
          <w:left w:w="28" w:type="dxa"/>
          <w:bottom w:w="28" w:type="dxa"/>
          <w:right w:w="28" w:type="dxa"/>
        </w:tblCellMar>
      </w:tblPr>
      <w:tblGrid>
        <w:gridCol w:w="1191"/>
        <w:gridCol w:w="1044"/>
        <w:gridCol w:w="1050"/>
        <w:gridCol w:w="109"/>
        <w:gridCol w:w="109"/>
        <w:gridCol w:w="109"/>
        <w:gridCol w:w="211"/>
        <w:gridCol w:w="856"/>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 and beyond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payments to be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presents amounts for assets subject to operating leases, which are included in </w:t>
      </w:r>
      <w:r>
        <w:rPr>
          <w:rFonts w:ascii="Arial;sans-serif" w:hAnsi="Arial;sans-serif"/>
          <w:b w:val="false"/>
          <w:i/>
          <w:color w:val="000000"/>
          <w:sz w:val="20"/>
        </w:rPr>
        <w:t>Property and equipment, net:</w:t>
      </w:r>
    </w:p>
    <w:tbl>
      <w:tblPr>
        <w:tblW w:w="10389" w:type="dxa"/>
        <w:jc w:val="center"/>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856"/>
        <w:gridCol w:w="109"/>
        <w:gridCol w:w="109"/>
        <w:gridCol w:w="109"/>
        <w:gridCol w:w="109"/>
        <w:gridCol w:w="223"/>
        <w:gridCol w:w="906"/>
        <w:gridCol w:w="117"/>
        <w:gridCol w:w="109"/>
        <w:gridCol w:w="109"/>
        <w:gridCol w:w="109"/>
        <w:gridCol w:w="211"/>
        <w:gridCol w:w="856"/>
        <w:gridCol w:w="109"/>
        <w:gridCol w:w="109"/>
        <w:gridCol w:w="109"/>
        <w:gridCol w:w="109"/>
        <w:gridCol w:w="211"/>
        <w:gridCol w:w="1021"/>
        <w:gridCol w:w="109"/>
        <w:gridCol w:w="109"/>
        <w:gridCol w:w="109"/>
        <w:gridCol w:w="109"/>
        <w:gridCol w:w="223"/>
        <w:gridCol w:w="906"/>
        <w:gridCol w:w="117"/>
        <w:gridCol w:w="109"/>
        <w:gridCol w:w="109"/>
        <w:gridCol w:w="109"/>
        <w:gridCol w:w="211"/>
        <w:gridCol w:w="856"/>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premises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(716,022)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(703,110)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(52,284)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(775,281)</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1,038,289 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(755,394)</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F-21</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presents depreciation expense for assets subject to operating leases, which is included in </w:t>
      </w:r>
      <w:r>
        <w:rPr>
          <w:rFonts w:ascii="Arial;sans-serif" w:hAnsi="Arial;sans-serif"/>
          <w:b w:val="false"/>
          <w:i/>
          <w:color w:val="000000"/>
          <w:sz w:val="20"/>
        </w:rPr>
        <w:t>Depreciation and amortization</w:t>
      </w:r>
      <w:r>
        <w:rPr>
          <w:rFonts w:ascii="Arial;sans-serif" w:hAnsi="Arial;sans-serif"/>
          <w:b w:val="false"/>
          <w:color w:val="000000"/>
          <w:sz w:val="20"/>
        </w:rPr>
        <w:t>:</w:t>
      </w:r>
    </w:p>
    <w:p>
      <w:pPr>
        <w:pStyle w:val="TextBody"/>
        <w:bidi w:val="0"/>
        <w:spacing w:before="0" w:after="0"/>
        <w:jc w:val="both"/>
        <w:rPr/>
      </w:pPr>
      <w:r>
        <w:rPr/>
      </w:r>
    </w:p>
    <w:tbl>
      <w:tblPr>
        <w:tblW w:w="7328" w:type="dxa"/>
        <w:jc w:val="left"/>
        <w:tblInd w:w="0" w:type="dxa"/>
        <w:tblLayout w:type="fixed"/>
        <w:tblCellMar>
          <w:top w:w="28" w:type="dxa"/>
          <w:left w:w="28" w:type="dxa"/>
          <w:bottom w:w="28" w:type="dxa"/>
          <w:right w:w="28" w:type="dxa"/>
        </w:tblCellMar>
      </w:tblPr>
      <w:tblGrid>
        <w:gridCol w:w="1005"/>
        <w:gridCol w:w="883"/>
        <w:gridCol w:w="886"/>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premises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F-22</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4.    LESSEE ACCOUNTING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amounts for ROU assets and lease liabilities: </w:t>
      </w:r>
    </w:p>
    <w:tbl>
      <w:tblPr>
        <w:tblW w:w="5451" w:type="dxa"/>
        <w:jc w:val="center"/>
        <w:tblInd w:w="0" w:type="dxa"/>
        <w:tblLayout w:type="fixed"/>
        <w:tblCellMar>
          <w:top w:w="28" w:type="dxa"/>
          <w:left w:w="28" w:type="dxa"/>
          <w:bottom w:w="28" w:type="dxa"/>
          <w:right w:w="28" w:type="dxa"/>
        </w:tblCellMar>
      </w:tblPr>
      <w:tblGrid>
        <w:gridCol w:w="809"/>
        <w:gridCol w:w="712"/>
        <w:gridCol w:w="714"/>
        <w:gridCol w:w="109"/>
        <w:gridCol w:w="109"/>
        <w:gridCol w:w="109"/>
        <w:gridCol w:w="211"/>
        <w:gridCol w:w="1021"/>
        <w:gridCol w:w="109"/>
        <w:gridCol w:w="109"/>
        <w:gridCol w:w="109"/>
        <w:gridCol w:w="109"/>
        <w:gridCol w:w="211"/>
        <w:gridCol w:w="85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389,380 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December 31, 2023, we have prepaid our obligations regarding our finance ROU assets. Finance lease assets are reported net of accumulated amortization of $149.6 million and $121.9 million as of December 31, 2023 and 2022, respectively.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F-23</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components of lease cost and weighted-average lease terms and discount rates for operating and finance leases: </w:t>
      </w:r>
    </w:p>
    <w:tbl>
      <w:tblPr>
        <w:tblW w:w="7359" w:type="dxa"/>
        <w:jc w:val="center"/>
        <w:tblInd w:w="0" w:type="dxa"/>
        <w:tblLayout w:type="fixed"/>
        <w:tblCellMar>
          <w:top w:w="28" w:type="dxa"/>
          <w:left w:w="28" w:type="dxa"/>
          <w:bottom w:w="28" w:type="dxa"/>
          <w:right w:w="28" w:type="dxa"/>
        </w:tblCellMar>
      </w:tblPr>
      <w:tblGrid>
        <w:gridCol w:w="1128"/>
        <w:gridCol w:w="992"/>
        <w:gridCol w:w="1000"/>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12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719" w:type="dxa"/>
        <w:jc w:val="center"/>
        <w:tblInd w:w="0" w:type="dxa"/>
        <w:tblLayout w:type="fixed"/>
        <w:tblCellMar>
          <w:top w:w="28" w:type="dxa"/>
          <w:left w:w="28" w:type="dxa"/>
          <w:bottom w:w="28" w:type="dxa"/>
          <w:right w:w="28" w:type="dxa"/>
        </w:tblCellMar>
      </w:tblPr>
      <w:tblGrid>
        <w:gridCol w:w="1395"/>
        <w:gridCol w:w="1225"/>
        <w:gridCol w:w="1234"/>
        <w:gridCol w:w="109"/>
        <w:gridCol w:w="109"/>
        <w:gridCol w:w="109"/>
        <w:gridCol w:w="277"/>
        <w:gridCol w:w="264"/>
        <w:gridCol w:w="519"/>
        <w:gridCol w:w="154"/>
        <w:gridCol w:w="154"/>
        <w:gridCol w:w="154"/>
        <w:gridCol w:w="223"/>
        <w:gridCol w:w="213"/>
        <w:gridCol w:w="580"/>
      </w:tblGrid>
      <w:tr>
        <w:trPr/>
        <w:tc>
          <w:tcPr>
            <w:tcW w:w="139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Lease term and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 years</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 years</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years</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years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detailed cash flows from operating and finance leases: </w:t>
      </w:r>
    </w:p>
    <w:tbl>
      <w:tblPr>
        <w:tblW w:w="10205" w:type="dxa"/>
        <w:jc w:val="center"/>
        <w:tblInd w:w="0" w:type="dxa"/>
        <w:tblLayout w:type="fixed"/>
        <w:tblCellMar>
          <w:top w:w="28" w:type="dxa"/>
          <w:left w:w="28" w:type="dxa"/>
          <w:bottom w:w="28" w:type="dxa"/>
          <w:right w:w="28" w:type="dxa"/>
        </w:tblCellMar>
      </w:tblPr>
      <w:tblGrid>
        <w:gridCol w:w="2160"/>
        <w:gridCol w:w="1900"/>
        <w:gridCol w:w="1905"/>
        <w:gridCol w:w="109"/>
        <w:gridCol w:w="109"/>
        <w:gridCol w:w="109"/>
        <w:gridCol w:w="211"/>
        <w:gridCol w:w="751"/>
        <w:gridCol w:w="109"/>
        <w:gridCol w:w="109"/>
        <w:gridCol w:w="109"/>
        <w:gridCol w:w="109"/>
        <w:gridCol w:w="211"/>
        <w:gridCol w:w="751"/>
        <w:gridCol w:w="109"/>
        <w:gridCol w:w="109"/>
        <w:gridCol w:w="109"/>
        <w:gridCol w:w="109"/>
        <w:gridCol w:w="211"/>
        <w:gridCol w:w="751"/>
        <w:gridCol w:w="155"/>
      </w:tblGrid>
      <w:tr>
        <w:trPr/>
        <w:tc>
          <w:tcPr>
            <w:tcW w:w="2160"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5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We obtained ROU assets in exchange for lease liabilities of $903.0 million, $4.3 million and $26.1 million upon commencement of operating leases during the year ended December 31, 2023, 2022 and 2021, respectively. Refer to </w:t>
      </w:r>
      <w:r>
        <w:rPr>
          <w:rFonts w:ascii="Arial;sans-serif" w:hAnsi="Arial;sans-serif"/>
          <w:b w:val="false"/>
          <w:i/>
          <w:color w:val="000000"/>
          <w:sz w:val="20"/>
        </w:rPr>
        <w:t xml:space="preserve">Note 16. Related Party Transactions- EchoStar </w:t>
      </w:r>
      <w:r>
        <w:rPr>
          <w:rFonts w:ascii="Arial;sans-serif" w:hAnsi="Arial;sans-serif"/>
          <w:b w:val="false"/>
          <w:color w:val="000000"/>
          <w:sz w:val="20"/>
        </w:rPr>
        <w:t>for further details on EchoStar XXIV operating lease.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F-24</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future minimum lease payments of our lease liabilities as of December 31, 2023:</w:t>
      </w:r>
    </w:p>
    <w:tbl>
      <w:tblPr>
        <w:tblW w:w="5500" w:type="dxa"/>
        <w:jc w:val="left"/>
        <w:tblInd w:w="0" w:type="dxa"/>
        <w:tblLayout w:type="fixed"/>
        <w:tblCellMar>
          <w:top w:w="28" w:type="dxa"/>
          <w:left w:w="28" w:type="dxa"/>
          <w:bottom w:w="28" w:type="dxa"/>
          <w:right w:w="28" w:type="dxa"/>
        </w:tblCellMar>
      </w:tblPr>
      <w:tblGrid>
        <w:gridCol w:w="1234"/>
        <w:gridCol w:w="1082"/>
        <w:gridCol w:w="1088"/>
        <w:gridCol w:w="109"/>
        <w:gridCol w:w="109"/>
        <w:gridCol w:w="109"/>
        <w:gridCol w:w="269"/>
        <w:gridCol w:w="1304"/>
        <w:gridCol w:w="196"/>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Operating Leases</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233,766 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215,227 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213,422 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211,936 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 and beyond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480,414 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future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1,564,751 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(511,735)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1,053,016 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F-25</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5.    BUSINESS COMBINATIONS AND DECONSOLIDATIONS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India Joint Venture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May 2019, we entered into an agreement with Bharti Airtel Limited (“BAL”) and its subsidiary, Bharti Airtel Services Limited (together with BAL, “Bharti”), pursuant to which Bharti agreed to contribute its very small aperture terminal (“VSAT”) telecommunications services and hardware business in India to Hughes Communications India Private Limited (“HCIPL”) and its subsidiaries, our less than wholly owned Indian subsidiaries, that conduct our VSAT services and hardware business in India. On January 4, 2022, this joint venture was formed (the “India JV”) and subsequent to the formation of the India JV, we hold a 67% ownership interest and Bharti holds a 33% ownership interest in HCIPL. The India JV combines the VSAT businesses of both companies to offer flexible and scalable enterprise networking solutions using satellite connectivity for primary transport, back-up and hybrid implementation in India. The results of operations related to the India JV have been included in these Consolidated Financial Statements from the date of 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value of the consideration transferred was $38.2 million. Net cash paid was $7.9 million, inclusive of amounts paid for the acquisition of, or of HCIPL shares from, entities that were shareholders of HCIPL prior to closing the India JV.</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All assets and liabilities acquired in the India JV formation have been recorded at fair value. The following table presents our allocation of the purchase price: </w:t>
      </w:r>
    </w:p>
    <w:tbl>
      <w:tblPr>
        <w:tblW w:w="6032" w:type="dxa"/>
        <w:jc w:val="center"/>
        <w:tblInd w:w="0" w:type="dxa"/>
        <w:tblLayout w:type="fixed"/>
        <w:tblCellMar>
          <w:top w:w="28" w:type="dxa"/>
          <w:left w:w="28" w:type="dxa"/>
          <w:bottom w:w="28" w:type="dxa"/>
          <w:right w:w="28" w:type="dxa"/>
        </w:tblCellMar>
      </w:tblPr>
      <w:tblGrid>
        <w:gridCol w:w="1656"/>
        <w:gridCol w:w="1455"/>
        <w:gridCol w:w="1478"/>
        <w:gridCol w:w="109"/>
        <w:gridCol w:w="109"/>
        <w:gridCol w:w="109"/>
        <w:gridCol w:w="211"/>
        <w:gridCol w:w="751"/>
        <w:gridCol w:w="154"/>
      </w:tblGrid>
      <w:tr>
        <w:trPr/>
        <w:tc>
          <w:tcPr>
            <w:tcW w:w="165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and 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Deferred tax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purchase price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38,195 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30"/>
        <w:jc w:val="both"/>
        <w:rPr/>
      </w:pPr>
      <w:r>
        <w:rPr>
          <w:rFonts w:ascii="Arial;sans-serif" w:hAnsi="Arial;sans-serif"/>
          <w:b w:val="false"/>
          <w:color w:val="000000"/>
          <w:sz w:val="20"/>
        </w:rPr>
        <w:t xml:space="preserve">The valuation of assets acquired and liabilities assumed in the India JV were derived using primarily unobservable Level 3 inputs, which require significant management judgment and estimation, and resulted in a customer relationship intangible of $4.4 million with an estimated life of 5 years and is reported in </w:t>
      </w:r>
      <w:r>
        <w:rPr>
          <w:rFonts w:ascii="Arial;sans-serif" w:hAnsi="Arial;sans-serif"/>
          <w:b w:val="false"/>
          <w:i/>
          <w:color w:val="000000"/>
          <w:sz w:val="20"/>
        </w:rPr>
        <w:t>Other intangible assets, net</w:t>
      </w:r>
      <w:r>
        <w:rPr>
          <w:rFonts w:ascii="Arial;sans-serif" w:hAnsi="Arial;sans-serif"/>
          <w:b w:val="false"/>
          <w:color w:val="000000"/>
          <w:sz w:val="20"/>
        </w:rPr>
        <w:t>.</w:t>
      </w:r>
    </w:p>
    <w:p>
      <w:pPr>
        <w:pStyle w:val="TextBody"/>
        <w:bidi w:val="0"/>
        <w:spacing w:before="0" w:after="30"/>
        <w:jc w:val="both"/>
        <w:rPr/>
      </w:pPr>
      <w:r>
        <w:rPr/>
      </w:r>
    </w:p>
    <w:p>
      <w:pPr>
        <w:pStyle w:val="TextBody"/>
        <w:bidi w:val="0"/>
        <w:spacing w:lineRule="auto" w:line="288" w:before="0" w:after="30"/>
        <w:jc w:val="both"/>
        <w:rPr>
          <w:rFonts w:ascii="Arial;sans-serif" w:hAnsi="Arial;sans-serif"/>
          <w:b/>
          <w:color w:val="000000"/>
          <w:sz w:val="20"/>
        </w:rPr>
      </w:pPr>
      <w:r>
        <w:rPr>
          <w:rFonts w:ascii="Arial;sans-serif" w:hAnsi="Arial;sans-serif"/>
          <w:b/>
          <w:color w:val="000000"/>
          <w:sz w:val="20"/>
        </w:rPr>
        <w:t xml:space="preserve">Hughes Systique Corporation </w:t>
      </w:r>
    </w:p>
    <w:p>
      <w:pPr>
        <w:pStyle w:val="TextBody"/>
        <w:bidi w:val="0"/>
        <w:spacing w:before="0" w:after="30"/>
        <w:jc w:val="both"/>
        <w:rPr/>
      </w:pPr>
      <w:r>
        <w:rPr/>
      </w:r>
    </w:p>
    <w:p>
      <w:pPr>
        <w:pStyle w:val="TextBody"/>
        <w:bidi w:val="0"/>
        <w:spacing w:lineRule="auto" w:line="288" w:before="0" w:after="30"/>
        <w:jc w:val="both"/>
        <w:rPr/>
      </w:pPr>
      <w:r>
        <w:rPr>
          <w:rFonts w:ascii="Arial;sans-serif" w:hAnsi="Arial;sans-serif"/>
          <w:b w:val="false"/>
          <w:color w:val="000000"/>
          <w:sz w:val="20"/>
        </w:rPr>
        <w:t>We contract with Hughes Systique Corporation (“Hughes Systique”) for software development services. In addition to our approximately 42.2% ownership in Hughes Systique, Mr. Pradman Kaul, the former President of our subsidiary Hughes Communications and former Vice-Chair of our Board of Directors, and his brother, who is the Chief Executive Officer and President of Hughes Systique, own in the aggregate approximately 25%, on an undiluted basis, of Hughes Systique’s outstanding shares as of December 31, 2023. Furthermore, Mr. Pradman Kaul serves on the board of directors of Hughes Systique. Historically, Hughes Systique was considered a variable interest entity and we were considered the primary beneficiary of Hughes Systique due to, among other factors, our ability to direct the activities that most significantly impact the economic performance of Hughes Systique. As a result, we consolidated Hughes Systique’s financial statements in these Consolidated Financial Statements. Upon the consummation of the Merger, Mr. Pradman Kaul will no longer remain on our Board of Directors which was a reconsideration event. Based on the entity’s ability to now fund itself, among other things, we determined that Hughes Systique is no longer a variable interest entity. As a result, we have deconsolidated the Hughes Systique results from our Consolidated Financial Statements as of December 31, 2023 and recorded the investment as a cost method investment in “Other investments, net” on our Consolidated Balance Sheets. No gain or loss was recognized upon deconsolidation as the fair value of our investment in Hughes Systique approximated its carrying value. We determined the fair value of our investment in Hughes Systique based on the market approach using the guideline public company method</w:t>
      </w:r>
      <w:r>
        <w:rPr>
          <w:rFonts w:ascii="Arial;sans-serif" w:hAnsi="Arial;sans-serif"/>
          <w:b w:val="false"/>
          <w:color w:val="000000"/>
          <w:sz w:val="16"/>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F-26</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6.    OTHER COMPREHENSIVE INCOME (LOSS)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presents the tax effect on each component of </w:t>
      </w:r>
      <w:r>
        <w:rPr>
          <w:rFonts w:ascii="Arial;sans-serif" w:hAnsi="Arial;sans-serif"/>
          <w:b w:val="false"/>
          <w:i/>
          <w:color w:val="000000"/>
          <w:sz w:val="20"/>
        </w:rPr>
        <w:t xml:space="preserve">Other comprehensive income (loss) </w:t>
      </w:r>
      <w:r>
        <w:rPr>
          <w:rFonts w:ascii="Arial;sans-serif" w:hAnsi="Arial;sans-serif"/>
          <w:b w:val="false"/>
          <w:color w:val="000000"/>
          <w:sz w:val="20"/>
        </w:rPr>
        <w:t>and excludes noncontrolling interest: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48"/>
        <w:gridCol w:w="1473"/>
        <w:gridCol w:w="1484"/>
        <w:gridCol w:w="109"/>
        <w:gridCol w:w="109"/>
        <w:gridCol w:w="109"/>
        <w:gridCol w:w="264"/>
        <w:gridCol w:w="984"/>
        <w:gridCol w:w="136"/>
        <w:gridCol w:w="109"/>
        <w:gridCol w:w="109"/>
        <w:gridCol w:w="109"/>
        <w:gridCol w:w="415"/>
        <w:gridCol w:w="801"/>
        <w:gridCol w:w="217"/>
        <w:gridCol w:w="109"/>
        <w:gridCol w:w="109"/>
        <w:gridCol w:w="109"/>
        <w:gridCol w:w="256"/>
        <w:gridCol w:w="953"/>
        <w:gridCol w:w="193"/>
      </w:tblGrid>
      <w:tr>
        <w:trPr/>
        <w:tc>
          <w:tcPr>
            <w:tcW w:w="204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Before 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Net of Tax Amount</w:t>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holding gains (losses) on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Recognition of previously unrealized (gains) losses on available-for-sale securities included in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(27,480)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(26,542)</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3,767 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holding gains (losses) on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Recognition of previously unrealized (gains) losses on available-for-sale securities included in 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Balance,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holding gains (losses) on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Recognition of previously unrealized (gains) losses on available-for-sale securities included in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17,693 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presents the changes in the balances of </w:t>
      </w:r>
      <w:r>
        <w:rPr>
          <w:rFonts w:ascii="Arial;sans-serif" w:hAnsi="Arial;sans-serif"/>
          <w:b w:val="false"/>
          <w:i/>
          <w:color w:val="000000"/>
          <w:sz w:val="20"/>
        </w:rPr>
        <w:t xml:space="preserve">Accumulated other comprehensive income (loss) </w:t>
      </w:r>
      <w:r>
        <w:rPr>
          <w:rFonts w:ascii="Arial;sans-serif" w:hAnsi="Arial;sans-serif"/>
          <w:b w:val="false"/>
          <w:color w:val="000000"/>
          <w:sz w:val="20"/>
        </w:rPr>
        <w:t>by component:</w:t>
      </w:r>
    </w:p>
    <w:tbl>
      <w:tblPr>
        <w:tblW w:w="10205" w:type="dxa"/>
        <w:jc w:val="center"/>
        <w:tblInd w:w="0" w:type="dxa"/>
        <w:tblLayout w:type="fixed"/>
        <w:tblCellMar>
          <w:top w:w="28" w:type="dxa"/>
          <w:left w:w="28" w:type="dxa"/>
          <w:bottom w:w="28" w:type="dxa"/>
          <w:right w:w="28" w:type="dxa"/>
        </w:tblCellMar>
      </w:tblPr>
      <w:tblGrid>
        <w:gridCol w:w="1032"/>
        <w:gridCol w:w="505"/>
        <w:gridCol w:w="509"/>
        <w:gridCol w:w="109"/>
        <w:gridCol w:w="109"/>
        <w:gridCol w:w="109"/>
        <w:gridCol w:w="317"/>
        <w:gridCol w:w="1350"/>
        <w:gridCol w:w="164"/>
        <w:gridCol w:w="109"/>
        <w:gridCol w:w="109"/>
        <w:gridCol w:w="109"/>
        <w:gridCol w:w="590"/>
        <w:gridCol w:w="1346"/>
        <w:gridCol w:w="307"/>
        <w:gridCol w:w="109"/>
        <w:gridCol w:w="109"/>
        <w:gridCol w:w="109"/>
        <w:gridCol w:w="211"/>
        <w:gridCol w:w="411"/>
        <w:gridCol w:w="109"/>
        <w:gridCol w:w="109"/>
        <w:gridCol w:w="109"/>
        <w:gridCol w:w="109"/>
        <w:gridCol w:w="351"/>
        <w:gridCol w:w="1430"/>
        <w:gridCol w:w="265"/>
      </w:tblGrid>
      <w:tr>
        <w:trPr/>
        <w:tc>
          <w:tcPr>
            <w:tcW w:w="103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Cumulative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Gain (Loss) On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 Comprehensive Income (Loss)</w:t>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(173,881)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(173,381)</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reclassified to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3,197 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(170,114)</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(170,184)</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17,644 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reclassified to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17,693 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(152,568)</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(152,491)</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F-27</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7.    MARKETABLE INVESTMENT SECURITIES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Marketable investment securities</w:t>
      </w:r>
      <w:r>
        <w:rPr>
          <w:rFonts w:ascii="Arial;sans-serif" w:hAnsi="Arial;sans-serif"/>
          <w:b w:val="false"/>
          <w:color w:val="000000"/>
          <w:sz w:val="20"/>
        </w:rPr>
        <w:t xml:space="preserve">: </w:t>
      </w:r>
    </w:p>
    <w:tbl>
      <w:tblPr>
        <w:tblW w:w="6545" w:type="dxa"/>
        <w:jc w:val="left"/>
        <w:tblInd w:w="0" w:type="dxa"/>
        <w:tblLayout w:type="fixed"/>
        <w:tblCellMar>
          <w:top w:w="28" w:type="dxa"/>
          <w:left w:w="28" w:type="dxa"/>
          <w:bottom w:w="28" w:type="dxa"/>
          <w:right w:w="28" w:type="dxa"/>
        </w:tblCellMar>
      </w:tblPr>
      <w:tblGrid>
        <w:gridCol w:w="1265"/>
        <w:gridCol w:w="1112"/>
        <w:gridCol w:w="1117"/>
        <w:gridCol w:w="109"/>
        <w:gridCol w:w="109"/>
        <w:gridCol w:w="109"/>
        <w:gridCol w:w="211"/>
        <w:gridCol w:w="856"/>
        <w:gridCol w:w="109"/>
        <w:gridCol w:w="109"/>
        <w:gridCol w:w="109"/>
        <w:gridCol w:w="109"/>
        <w:gridCol w:w="211"/>
        <w:gridCol w:w="856"/>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Debt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Available-for-Sale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components of our available-for-sale debt securities:</w:t>
      </w:r>
    </w:p>
    <w:tbl>
      <w:tblPr>
        <w:tblW w:w="8715" w:type="dxa"/>
        <w:jc w:val="center"/>
        <w:tblInd w:w="0" w:type="dxa"/>
        <w:tblLayout w:type="fixed"/>
        <w:tblCellMar>
          <w:top w:w="28" w:type="dxa"/>
          <w:left w:w="28" w:type="dxa"/>
          <w:bottom w:w="28" w:type="dxa"/>
          <w:right w:w="28" w:type="dxa"/>
        </w:tblCellMar>
      </w:tblPr>
      <w:tblGrid>
        <w:gridCol w:w="1240"/>
        <w:gridCol w:w="1087"/>
        <w:gridCol w:w="1093"/>
        <w:gridCol w:w="109"/>
        <w:gridCol w:w="109"/>
        <w:gridCol w:w="109"/>
        <w:gridCol w:w="211"/>
        <w:gridCol w:w="856"/>
        <w:gridCol w:w="109"/>
        <w:gridCol w:w="109"/>
        <w:gridCol w:w="109"/>
        <w:gridCol w:w="109"/>
        <w:gridCol w:w="211"/>
        <w:gridCol w:w="481"/>
        <w:gridCol w:w="109"/>
        <w:gridCol w:w="109"/>
        <w:gridCol w:w="109"/>
        <w:gridCol w:w="109"/>
        <w:gridCol w:w="232"/>
        <w:gridCol w:w="436"/>
        <w:gridCol w:w="121"/>
        <w:gridCol w:w="109"/>
        <w:gridCol w:w="109"/>
        <w:gridCol w:w="109"/>
        <w:gridCol w:w="211"/>
        <w:gridCol w:w="856"/>
        <w:gridCol w:w="154"/>
      </w:tblGrid>
      <w:tr>
        <w:trPr/>
        <w:tc>
          <w:tcPr>
            <w:tcW w:w="124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Amortized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Estimated</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417,743 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activity on our available-for-sale debt securities:</w:t>
      </w:r>
    </w:p>
    <w:p>
      <w:pPr>
        <w:pStyle w:val="TextBody"/>
        <w:bidi w:val="0"/>
        <w:spacing w:before="0" w:after="0"/>
        <w:jc w:val="both"/>
        <w:rPr/>
      </w:pPr>
      <w:r>
        <w:rPr/>
      </w:r>
    </w:p>
    <w:tbl>
      <w:tblPr>
        <w:tblW w:w="7277" w:type="dxa"/>
        <w:jc w:val="left"/>
        <w:tblInd w:w="0" w:type="dxa"/>
        <w:tblLayout w:type="fixed"/>
        <w:tblCellMar>
          <w:top w:w="28" w:type="dxa"/>
          <w:left w:w="28" w:type="dxa"/>
          <w:bottom w:w="28" w:type="dxa"/>
          <w:right w:w="28" w:type="dxa"/>
        </w:tblCellMar>
      </w:tblPr>
      <w:tblGrid>
        <w:gridCol w:w="694"/>
        <w:gridCol w:w="611"/>
        <w:gridCol w:w="615"/>
        <w:gridCol w:w="109"/>
        <w:gridCol w:w="109"/>
        <w:gridCol w:w="109"/>
        <w:gridCol w:w="109"/>
        <w:gridCol w:w="109"/>
        <w:gridCol w:w="127"/>
        <w:gridCol w:w="127"/>
        <w:gridCol w:w="247"/>
        <w:gridCol w:w="1002"/>
        <w:gridCol w:w="127"/>
        <w:gridCol w:w="127"/>
        <w:gridCol w:w="127"/>
        <w:gridCol w:w="127"/>
        <w:gridCol w:w="247"/>
        <w:gridCol w:w="879"/>
        <w:gridCol w:w="127"/>
        <w:gridCol w:w="109"/>
        <w:gridCol w:w="109"/>
        <w:gridCol w:w="109"/>
        <w:gridCol w:w="211"/>
        <w:gridCol w:w="856"/>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228,284 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December 31, 2023, all of our available-for-sale debt securities have contractual maturities of one year or less. Actual maturities may differ from contractual maturities as a result of our ability to sell these securities prior to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F-28</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Fair Value Measurements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our marketable investment securities categorized by the fair value hierarchy, certain of which have historically experienced volatility: </w:t>
      </w:r>
    </w:p>
    <w:tbl>
      <w:tblPr>
        <w:tblW w:w="8214" w:type="dxa"/>
        <w:jc w:val="left"/>
        <w:tblInd w:w="0" w:type="dxa"/>
        <w:tblLayout w:type="fixed"/>
        <w:tblCellMar>
          <w:top w:w="28" w:type="dxa"/>
          <w:left w:w="28" w:type="dxa"/>
          <w:bottom w:w="28" w:type="dxa"/>
          <w:right w:w="28" w:type="dxa"/>
        </w:tblCellMar>
      </w:tblPr>
      <w:tblGrid>
        <w:gridCol w:w="1267"/>
        <w:gridCol w:w="1111"/>
        <w:gridCol w:w="1117"/>
        <w:gridCol w:w="109"/>
        <w:gridCol w:w="109"/>
        <w:gridCol w:w="109"/>
        <w:gridCol w:w="211"/>
        <w:gridCol w:w="856"/>
        <w:gridCol w:w="109"/>
        <w:gridCol w:w="109"/>
        <w:gridCol w:w="109"/>
        <w:gridCol w:w="109"/>
        <w:gridCol w:w="211"/>
        <w:gridCol w:w="856"/>
        <w:gridCol w:w="109"/>
        <w:gridCol w:w="109"/>
        <w:gridCol w:w="109"/>
        <w:gridCol w:w="109"/>
        <w:gridCol w:w="211"/>
        <w:gridCol w:w="102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 (including restricted)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417,743 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 (including restricted)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December 31, 2023 and December 31, 2022, we did not have any investments that were categorized within Level 3 of the fair value hierarchy.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F-29</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NOTE 8.</w:t>
      </w:r>
      <w:r>
        <w:rPr>
          <w:color w:val="000000"/>
        </w:rPr>
        <w:t>    </w:t>
      </w:r>
      <w:r>
        <w:rPr>
          <w:rFonts w:ascii="Arial;sans-serif" w:hAnsi="Arial;sans-serif"/>
          <w:b/>
          <w:color w:val="000000"/>
          <w:sz w:val="20"/>
        </w:rPr>
        <w:t>PROPERTY AND EQUIPMENT</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val="false"/>
          <w:color w:val="000000"/>
          <w:sz w:val="20"/>
        </w:rPr>
        <w:t xml:space="preserve">The following table presents the components of </w:t>
      </w:r>
      <w:r>
        <w:rPr>
          <w:rFonts w:ascii="Arial;sans-serif" w:hAnsi="Arial;sans-serif"/>
          <w:b w:val="false"/>
          <w:i/>
          <w:color w:val="000000"/>
          <w:sz w:val="20"/>
        </w:rPr>
        <w:t>Property and equipment, net</w:t>
      </w:r>
      <w:r>
        <w:rPr>
          <w:rFonts w:ascii="Arial;sans-serif" w:hAnsi="Arial;sans-serif"/>
          <w:b w:val="false"/>
          <w:color w:val="000000"/>
          <w:sz w:val="20"/>
        </w:rPr>
        <w:t>:</w:t>
      </w:r>
    </w:p>
    <w:tbl>
      <w:tblPr>
        <w:tblW w:w="6471" w:type="dxa"/>
        <w:jc w:val="center"/>
        <w:tblInd w:w="0" w:type="dxa"/>
        <w:tblLayout w:type="fixed"/>
        <w:tblCellMar>
          <w:top w:w="28" w:type="dxa"/>
          <w:left w:w="28" w:type="dxa"/>
          <w:bottom w:w="28" w:type="dxa"/>
          <w:right w:w="28" w:type="dxa"/>
        </w:tblCellMar>
      </w:tblPr>
      <w:tblGrid>
        <w:gridCol w:w="1119"/>
        <w:gridCol w:w="984"/>
        <w:gridCol w:w="987"/>
        <w:gridCol w:w="109"/>
        <w:gridCol w:w="109"/>
        <w:gridCol w:w="109"/>
        <w:gridCol w:w="211"/>
        <w:gridCol w:w="1021"/>
        <w:gridCol w:w="109"/>
        <w:gridCol w:w="109"/>
        <w:gridCol w:w="109"/>
        <w:gridCol w:w="109"/>
        <w:gridCol w:w="211"/>
        <w:gridCol w:w="102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1,376,004 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Satellites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December 31, 2023, our satellite fleet consisted of eight geosynchronous (“GEO”) satellites, four of which are owned and four of which are leased. They are all in geosynchronous orbit, approximately 22,300 miles above the equator.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GEO satellite fleet in service as of December 31, 2023:</w:t>
      </w:r>
    </w:p>
    <w:tbl>
      <w:tblPr>
        <w:tblW w:w="10205" w:type="dxa"/>
        <w:jc w:val="left"/>
        <w:tblInd w:w="0" w:type="dxa"/>
        <w:tblLayout w:type="fixed"/>
        <w:tblCellMar>
          <w:top w:w="28" w:type="dxa"/>
          <w:left w:w="28" w:type="dxa"/>
          <w:bottom w:w="28" w:type="dxa"/>
          <w:right w:w="28" w:type="dxa"/>
        </w:tblCellMar>
      </w:tblPr>
      <w:tblGrid>
        <w:gridCol w:w="624"/>
        <w:gridCol w:w="485"/>
        <w:gridCol w:w="488"/>
        <w:gridCol w:w="109"/>
        <w:gridCol w:w="109"/>
        <w:gridCol w:w="109"/>
        <w:gridCol w:w="310"/>
        <w:gridCol w:w="310"/>
        <w:gridCol w:w="311"/>
        <w:gridCol w:w="109"/>
        <w:gridCol w:w="109"/>
        <w:gridCol w:w="109"/>
        <w:gridCol w:w="458"/>
        <w:gridCol w:w="408"/>
        <w:gridCol w:w="392"/>
        <w:gridCol w:w="109"/>
        <w:gridCol w:w="109"/>
        <w:gridCol w:w="109"/>
        <w:gridCol w:w="1033"/>
        <w:gridCol w:w="1033"/>
        <w:gridCol w:w="1036"/>
        <w:gridCol w:w="109"/>
        <w:gridCol w:w="109"/>
        <w:gridCol w:w="109"/>
        <w:gridCol w:w="586"/>
        <w:gridCol w:w="586"/>
        <w:gridCol w:w="837"/>
      </w:tblGrid>
      <w:tr>
        <w:trPr/>
        <w:tc>
          <w:tcPr>
            <w:tcW w:w="62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GEO Satellite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Launch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Nominal Degree Orbital Location (Longitude)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Depreciable Life (In Years)</w:t>
            </w:r>
          </w:p>
        </w:tc>
      </w:tr>
      <w:tr>
        <w:trPr/>
        <w:tc>
          <w:tcPr>
            <w:tcW w:w="1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Owned:</w:t>
            </w:r>
            <w:r>
              <w:rPr>
                <w:rFonts w:ascii="Arial;sans-serif" w:hAnsi="Arial;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XVII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 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XIX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97.1 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Al Yah 3 (“AY 3”)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 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EchoStar IX </w:t>
            </w:r>
            <w:r>
              <w:rPr>
                <w:rFonts w:ascii="Arial;sans-serif" w:hAnsi="Arial;sans-serif"/>
                <w:b w:val="false"/>
                <w:color w:val="000000"/>
                <w:sz w:val="13"/>
              </w:rPr>
              <w:t>(3)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2003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 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Eutelsat 65 West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 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Telesat T19V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 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105/SES-11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October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 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EchoStar XXIV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July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95.2 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    The SPACEWAY 3 satellite was de-orbited in the January 2024 and is excluded from the table above.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    Upon consummation of our joint venture with Al Yah Satellite Communications Company PrJSC (“Yahsat”) in Brazil in November 2019, we acquired the Brazilian Ka-band payload on this satellite with a remaining useful life of 7 years as of that time. In the second quarter of 2023, we reduced the estimated useful life of the satellite as a result of certain technical anomalies. This has increased the depreciation expense by $11.1 million for the full year 2023, and is expected to increase depreciation expense by $12.8 million for the year 2024. Although the anomalies are expected to shorten the remaining useful life of the satellite, they have not affected its current operation.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(3)    We own the Ka-band and Ku-band payloads on this satellite.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    The Company placed the satellite in an inclined-orbit in the first quarter of 2023. Inclined-orbit will extend its life to enable further revenue generating opportunities.</w:t>
      </w:r>
    </w:p>
    <w:p>
      <w:pPr>
        <w:pStyle w:val="TextBody"/>
        <w:bidi w:val="0"/>
        <w:spacing w:before="0" w:after="0"/>
        <w:ind w:left="0" w:right="0" w:hanging="36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F-30</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components of our satellites, net: </w:t>
      </w:r>
    </w:p>
    <w:tbl>
      <w:tblPr>
        <w:tblW w:w="9961" w:type="dxa"/>
        <w:jc w:val="center"/>
        <w:tblInd w:w="0" w:type="dxa"/>
        <w:tblLayout w:type="fixed"/>
        <w:tblCellMar>
          <w:top w:w="28" w:type="dxa"/>
          <w:left w:w="28" w:type="dxa"/>
          <w:bottom w:w="28" w:type="dxa"/>
          <w:right w:w="28" w:type="dxa"/>
        </w:tblCellMar>
      </w:tblPr>
      <w:tblGrid>
        <w:gridCol w:w="1339"/>
        <w:gridCol w:w="1181"/>
        <w:gridCol w:w="1184"/>
        <w:gridCol w:w="109"/>
        <w:gridCol w:w="109"/>
        <w:gridCol w:w="109"/>
        <w:gridCol w:w="849"/>
        <w:gridCol w:w="849"/>
        <w:gridCol w:w="851"/>
        <w:gridCol w:w="109"/>
        <w:gridCol w:w="109"/>
        <w:gridCol w:w="109"/>
        <w:gridCol w:w="211"/>
        <w:gridCol w:w="1021"/>
        <w:gridCol w:w="109"/>
        <w:gridCol w:w="109"/>
        <w:gridCol w:w="109"/>
        <w:gridCol w:w="109"/>
        <w:gridCol w:w="211"/>
        <w:gridCol w:w="1021"/>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Depreciable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Satellites,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 to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acquired under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satellites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1,874,925 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1,864,077 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acquired under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(1,110,058)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satellites,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754,019 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presents the depreciation expense associated with our satellites, net: </w:t>
      </w:r>
    </w:p>
    <w:tbl>
      <w:tblPr>
        <w:tblW w:w="9062" w:type="dxa"/>
        <w:jc w:val="left"/>
        <w:tblInd w:w="0" w:type="dxa"/>
        <w:tblLayout w:type="fixed"/>
        <w:tblCellMar>
          <w:top w:w="28" w:type="dxa"/>
          <w:left w:w="28" w:type="dxa"/>
          <w:bottom w:w="28" w:type="dxa"/>
          <w:right w:w="28" w:type="dxa"/>
        </w:tblCellMar>
      </w:tblPr>
      <w:tblGrid>
        <w:gridCol w:w="1343"/>
        <w:gridCol w:w="1179"/>
        <w:gridCol w:w="1183"/>
        <w:gridCol w:w="109"/>
        <w:gridCol w:w="109"/>
        <w:gridCol w:w="109"/>
        <w:gridCol w:w="109"/>
        <w:gridCol w:w="109"/>
        <w:gridCol w:w="127"/>
        <w:gridCol w:w="127"/>
        <w:gridCol w:w="247"/>
        <w:gridCol w:w="1002"/>
        <w:gridCol w:w="127"/>
        <w:gridCol w:w="127"/>
        <w:gridCol w:w="127"/>
        <w:gridCol w:w="127"/>
        <w:gridCol w:w="247"/>
        <w:gridCol w:w="879"/>
        <w:gridCol w:w="127"/>
        <w:gridCol w:w="109"/>
        <w:gridCol w:w="109"/>
        <w:gridCol w:w="109"/>
        <w:gridCol w:w="211"/>
        <w:gridCol w:w="856"/>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acquired under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105,717 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99,865 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F-31</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capitalized interest associated with our satellites and satellite-related ground infrastructure:</w:t>
      </w:r>
    </w:p>
    <w:p>
      <w:pPr>
        <w:pStyle w:val="TextBody"/>
        <w:bidi w:val="0"/>
        <w:spacing w:before="0" w:after="0"/>
        <w:jc w:val="both"/>
        <w:rPr/>
      </w:pPr>
      <w:r>
        <w:rPr/>
      </w:r>
    </w:p>
    <w:tbl>
      <w:tblPr>
        <w:tblW w:w="6937" w:type="dxa"/>
        <w:jc w:val="left"/>
        <w:tblInd w:w="0" w:type="dxa"/>
        <w:tblLayout w:type="fixed"/>
        <w:tblCellMar>
          <w:top w:w="28" w:type="dxa"/>
          <w:left w:w="28" w:type="dxa"/>
          <w:bottom w:w="28" w:type="dxa"/>
          <w:right w:w="28" w:type="dxa"/>
        </w:tblCellMar>
      </w:tblPr>
      <w:tblGrid>
        <w:gridCol w:w="646"/>
        <w:gridCol w:w="568"/>
        <w:gridCol w:w="571"/>
        <w:gridCol w:w="109"/>
        <w:gridCol w:w="109"/>
        <w:gridCol w:w="109"/>
        <w:gridCol w:w="109"/>
        <w:gridCol w:w="109"/>
        <w:gridCol w:w="138"/>
        <w:gridCol w:w="138"/>
        <w:gridCol w:w="267"/>
        <w:gridCol w:w="951"/>
        <w:gridCol w:w="138"/>
        <w:gridCol w:w="138"/>
        <w:gridCol w:w="138"/>
        <w:gridCol w:w="138"/>
        <w:gridCol w:w="267"/>
        <w:gridCol w:w="818"/>
        <w:gridCol w:w="138"/>
        <w:gridCol w:w="109"/>
        <w:gridCol w:w="109"/>
        <w:gridCol w:w="109"/>
        <w:gridCol w:w="211"/>
        <w:gridCol w:w="646"/>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c>
          <w:tcPr>
            <w:tcW w:w="1338" w:type="dxa"/>
            <w:gridSpan w:val="6"/>
            <w:tcBorders/>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Satellite-Related Commitments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December 31, 2023 and December 31, 2022 our satellite-related commitments were $239.6 million and $143.5 million, respectively. These include payments pursuant to regulatory authorizations, non-lease costs associated with our finance lease satellites, in-orbit incentives relating to certain satellites and commitments for satellite service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certain circumstances, the dates on which we are obligated to pay our contractual obligations could change.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Satellite Anomalies and Impairments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second quarter of 2023, we reduced the estimated useful life of the Al Yah 3 satellite, which serves our Brazilian customers, as a result of certain technical anomalies. In order to safeguard the future operability of the satellite, the Company has, in conjunction with recommendations from the satellite manufacturers, implemented immediate and long-term remedial actions. A revised estimate of the satellite’s remaining lifetime has been calculated using operational data of two previous quarters. Although the anomalies are expected to shorten the remaining useful life of the satellite, they have not affected its current operation.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Except as described above, 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year ended December 31,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Satellite Insurance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generally do not carry in-orbit insurance on our satellites or payloads because we have assessed that the cost of insurance is not economical relative to the risk of failures. Therefore, we generally bear the risk of any in-orbit failures.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Pursuant to the terms of our joint venture agreement with Yahsat, we are required to maintain insurance for the Al Yah 3 Brazilian payload during the commercial in-orbit service of such payload, subject to certain limitations on coverage. The insurance policies were procured by Yahsat, under which the Company and Yahsat are the beneficiaries of any claims in proportion to their shareholdings. An insurance claim was submitted in the second quarter of 2023 for compensation with respect to the reduction in estimated useful life of the Al Yah 3 satellite.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of In-Orbit Incentives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December 31, 2023 and December 31, 2022, the fair values of our in-orbit incentive obligations approximated their carrying amounts of $46.3 million and $50.2 million,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F-32</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Other Property and Equipment, Net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val="false"/>
          <w:color w:val="000000"/>
          <w:sz w:val="20"/>
        </w:rPr>
        <w:t>The following table presents</w:t>
      </w:r>
      <w:r>
        <w:rPr>
          <w:color w:val="000000"/>
        </w:rPr>
        <w:t xml:space="preserve"> </w:t>
      </w:r>
      <w:r>
        <w:rPr>
          <w:rFonts w:ascii="Arial;sans-serif" w:hAnsi="Arial;sans-serif"/>
          <w:b w:val="false"/>
          <w:i/>
          <w:color w:val="000000"/>
          <w:sz w:val="20"/>
        </w:rPr>
        <w:t>Other property and equipment, net</w:t>
      </w:r>
      <w:r>
        <w:rPr>
          <w:rFonts w:ascii="Arial;sans-serif" w:hAnsi="Arial;sans-serif"/>
          <w:b w:val="false"/>
          <w:color w:val="000000"/>
          <w:sz w:val="20"/>
        </w:rPr>
        <w:t>:  </w:t>
      </w:r>
    </w:p>
    <w:tbl>
      <w:tblPr>
        <w:tblW w:w="9493"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849"/>
        <w:gridCol w:w="849"/>
        <w:gridCol w:w="851"/>
        <w:gridCol w:w="109"/>
        <w:gridCol w:w="109"/>
        <w:gridCol w:w="109"/>
        <w:gridCol w:w="213"/>
        <w:gridCol w:w="867"/>
        <w:gridCol w:w="109"/>
        <w:gridCol w:w="109"/>
        <w:gridCol w:w="109"/>
        <w:gridCol w:w="109"/>
        <w:gridCol w:w="213"/>
        <w:gridCol w:w="867"/>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Depreciable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 to 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fixtures, equipment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 to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premises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 to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2,017,837 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621,985 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depreciation expense associated with our other property and equipment:</w:t>
      </w:r>
    </w:p>
    <w:tbl>
      <w:tblPr>
        <w:tblW w:w="9579" w:type="dxa"/>
        <w:jc w:val="left"/>
        <w:tblInd w:w="0" w:type="dxa"/>
        <w:tblLayout w:type="fixed"/>
        <w:tblCellMar>
          <w:top w:w="28" w:type="dxa"/>
          <w:left w:w="28" w:type="dxa"/>
          <w:bottom w:w="28" w:type="dxa"/>
          <w:right w:w="28" w:type="dxa"/>
        </w:tblCellMar>
      </w:tblPr>
      <w:tblGrid>
        <w:gridCol w:w="1819"/>
        <w:gridCol w:w="1599"/>
        <w:gridCol w:w="1607"/>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property and equipment 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fixtures, equipment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premises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324,835 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F-33</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9.    GOODWILL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of our goodwill is assigned to our Hughes segment, as it was generated through: i) the Hughes Acquisition; ii) the agreement with Yahsat pursuant to which, in November 2019, Yahsat contributed its satellite communications services business in Brazil to one of our Brazilian subsidiaries in exchange for a 20% equity ownership interest in that subsidiary (the “Yahsat Brazil JV Transaction”); and iii) the India JV 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During the year ended December 31, 2023 we recorded a noncash impairment charge for goodwill of $532.9 million in “Impairment of long-lived assets and goodwill” on our Consolidated Statements of Operations and Comprehensive Income (Loss). See </w:t>
      </w:r>
      <w:r>
        <w:rPr>
          <w:rFonts w:ascii="Arial;sans-serif" w:hAnsi="Arial;sans-serif"/>
          <w:b w:val="false"/>
          <w:i/>
          <w:color w:val="000000"/>
          <w:sz w:val="20"/>
        </w:rPr>
        <w:t>Note 2. Summary of Significant Accounting Policies</w:t>
      </w:r>
      <w:r>
        <w:rPr>
          <w:color w:val="000000"/>
        </w:rPr>
        <w:t xml:space="preserve"> </w:t>
      </w:r>
      <w:r>
        <w:rPr>
          <w:rFonts w:ascii="Arial;sans-serif" w:hAnsi="Arial;sans-serif"/>
          <w:b w:val="false"/>
          <w:color w:val="000000"/>
          <w:sz w:val="20"/>
        </w:rPr>
        <w:t xml:space="preserve">for further information. The non-recurring measurement of fair value of goodwill is classified as Level 3 in the fair value hierarchy.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goodwill:</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48"/>
        <w:gridCol w:w="1879"/>
        <w:gridCol w:w="1891"/>
        <w:gridCol w:w="211"/>
        <w:gridCol w:w="914"/>
        <w:gridCol w:w="109"/>
        <w:gridCol w:w="109"/>
        <w:gridCol w:w="109"/>
        <w:gridCol w:w="109"/>
        <w:gridCol w:w="211"/>
        <w:gridCol w:w="856"/>
        <w:gridCol w:w="109"/>
        <w:gridCol w:w="109"/>
        <w:gridCol w:w="109"/>
        <w:gridCol w:w="109"/>
        <w:gridCol w:w="211"/>
        <w:gridCol w:w="856"/>
        <w:gridCol w:w="156"/>
      </w:tblGrid>
      <w:tr>
        <w:trPr/>
        <w:tc>
          <w:tcPr>
            <w:tcW w:w="2148"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5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511,597 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India JV formation</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end of period, net of accumulated impairment losses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511,086 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Accumulated impairment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(532,940)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F-34</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10.    REGULATORY AUTHORIZATIONS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Regulatory authorizations, net</w:t>
      </w:r>
      <w:r>
        <w:rPr>
          <w:rFonts w:ascii="Arial;sans-serif" w:hAnsi="Arial;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851"/>
        <w:gridCol w:w="611"/>
        <w:gridCol w:w="615"/>
        <w:gridCol w:w="109"/>
        <w:gridCol w:w="109"/>
        <w:gridCol w:w="109"/>
        <w:gridCol w:w="211"/>
        <w:gridCol w:w="751"/>
        <w:gridCol w:w="109"/>
        <w:gridCol w:w="109"/>
        <w:gridCol w:w="109"/>
        <w:gridCol w:w="109"/>
        <w:gridCol w:w="393"/>
        <w:gridCol w:w="1204"/>
        <w:gridCol w:w="203"/>
        <w:gridCol w:w="109"/>
        <w:gridCol w:w="109"/>
        <w:gridCol w:w="109"/>
        <w:gridCol w:w="211"/>
        <w:gridCol w:w="751"/>
        <w:gridCol w:w="109"/>
        <w:gridCol w:w="109"/>
        <w:gridCol w:w="109"/>
        <w:gridCol w:w="109"/>
        <w:gridCol w:w="237"/>
        <w:gridCol w:w="965"/>
        <w:gridCol w:w="122"/>
        <w:gridCol w:w="109"/>
        <w:gridCol w:w="109"/>
        <w:gridCol w:w="109"/>
        <w:gridCol w:w="211"/>
        <w:gridCol w:w="856"/>
        <w:gridCol w:w="160"/>
      </w:tblGrid>
      <w:tr>
        <w:trPr/>
        <w:tc>
          <w:tcPr>
            <w:tcW w:w="8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Finite 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Indefinite 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410,451 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408,959 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408,619 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(4,935)</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407,819 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useful life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Future Amortization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estimated future amortization of our regulatory authorizations with finite lives as of December 31, 2023:</w:t>
      </w:r>
    </w:p>
    <w:tbl>
      <w:tblPr>
        <w:tblW w:w="4371" w:type="dxa"/>
        <w:jc w:val="left"/>
        <w:tblInd w:w="0" w:type="dxa"/>
        <w:tblLayout w:type="fixed"/>
        <w:tblCellMar>
          <w:top w:w="28" w:type="dxa"/>
          <w:left w:w="28" w:type="dxa"/>
          <w:bottom w:w="28" w:type="dxa"/>
          <w:right w:w="28" w:type="dxa"/>
        </w:tblCellMar>
      </w:tblPr>
      <w:tblGrid>
        <w:gridCol w:w="1216"/>
        <w:gridCol w:w="1071"/>
        <w:gridCol w:w="1073"/>
        <w:gridCol w:w="211"/>
        <w:gridCol w:w="646"/>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years ending December 31,</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 and beyond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F-35</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11.    OTHER INTANGIBLE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other intangible assets:</w:t>
      </w:r>
    </w:p>
    <w:tbl>
      <w:tblPr>
        <w:tblW w:w="10205" w:type="dxa"/>
        <w:jc w:val="center"/>
        <w:tblInd w:w="0" w:type="dxa"/>
        <w:tblLayout w:type="fixed"/>
        <w:tblCellMar>
          <w:top w:w="28" w:type="dxa"/>
          <w:left w:w="28" w:type="dxa"/>
          <w:bottom w:w="28" w:type="dxa"/>
          <w:right w:w="28" w:type="dxa"/>
        </w:tblCellMar>
      </w:tblPr>
      <w:tblGrid>
        <w:gridCol w:w="1157"/>
        <w:gridCol w:w="757"/>
        <w:gridCol w:w="766"/>
        <w:gridCol w:w="109"/>
        <w:gridCol w:w="109"/>
        <w:gridCol w:w="109"/>
        <w:gridCol w:w="343"/>
        <w:gridCol w:w="1400"/>
        <w:gridCol w:w="179"/>
        <w:gridCol w:w="109"/>
        <w:gridCol w:w="109"/>
        <w:gridCol w:w="109"/>
        <w:gridCol w:w="211"/>
        <w:gridCol w:w="784"/>
        <w:gridCol w:w="109"/>
        <w:gridCol w:w="109"/>
        <w:gridCol w:w="109"/>
        <w:gridCol w:w="109"/>
        <w:gridCol w:w="379"/>
        <w:gridCol w:w="1353"/>
        <w:gridCol w:w="197"/>
        <w:gridCol w:w="109"/>
        <w:gridCol w:w="109"/>
        <w:gridCol w:w="109"/>
        <w:gridCol w:w="211"/>
        <w:gridCol w:w="889"/>
        <w:gridCol w:w="162"/>
      </w:tblGrid>
      <w:tr>
        <w:trPr/>
        <w:tc>
          <w:tcPr>
            <w:tcW w:w="11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Trademarks and Licenses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December 31,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270,300 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270,300 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29,700 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274,284 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29,700 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355,384 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274,260 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29,700 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355,360 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(267,429)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(333,060)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(270,300)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(15,716)</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(337,416)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(271,085)</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(17,201)</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(339,686)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(271,873)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(18,686)</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(341,959)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useful life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Future Amortization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estimated future amortization of other intangible assets as of  December 31, 2023:</w:t>
      </w:r>
    </w:p>
    <w:tbl>
      <w:tblPr>
        <w:tblW w:w="4476" w:type="dxa"/>
        <w:jc w:val="left"/>
        <w:tblInd w:w="0" w:type="dxa"/>
        <w:tblLayout w:type="fixed"/>
        <w:tblCellMar>
          <w:top w:w="28" w:type="dxa"/>
          <w:left w:w="28" w:type="dxa"/>
          <w:bottom w:w="28" w:type="dxa"/>
          <w:right w:w="28" w:type="dxa"/>
        </w:tblCellMar>
      </w:tblPr>
      <w:tblGrid>
        <w:gridCol w:w="1218"/>
        <w:gridCol w:w="1068"/>
        <w:gridCol w:w="1074"/>
        <w:gridCol w:w="211"/>
        <w:gridCol w:w="751"/>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years ending December 31,</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 and beyond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F-36</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12.    OTHER INVESTMENTS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Other investments, net</w:t>
      </w:r>
      <w:r>
        <w:rPr>
          <w:rFonts w:ascii="Arial;sans-serif" w:hAnsi="Arial;sans-serif"/>
          <w:b w:val="false"/>
          <w:color w:val="000000"/>
          <w:sz w:val="20"/>
        </w:rPr>
        <w:t xml:space="preserve">: </w:t>
      </w:r>
    </w:p>
    <w:tbl>
      <w:tblPr>
        <w:tblW w:w="5405" w:type="dxa"/>
        <w:jc w:val="center"/>
        <w:tblInd w:w="0" w:type="dxa"/>
        <w:tblLayout w:type="fixed"/>
        <w:tblCellMar>
          <w:top w:w="28" w:type="dxa"/>
          <w:left w:w="28" w:type="dxa"/>
          <w:bottom w:w="28" w:type="dxa"/>
          <w:right w:w="28" w:type="dxa"/>
        </w:tblCellMar>
      </w:tblPr>
      <w:tblGrid>
        <w:gridCol w:w="929"/>
        <w:gridCol w:w="816"/>
        <w:gridCol w:w="819"/>
        <w:gridCol w:w="109"/>
        <w:gridCol w:w="109"/>
        <w:gridCol w:w="109"/>
        <w:gridCol w:w="211"/>
        <w:gridCol w:w="751"/>
        <w:gridCol w:w="109"/>
        <w:gridCol w:w="109"/>
        <w:gridCol w:w="109"/>
        <w:gridCol w:w="109"/>
        <w:gridCol w:w="211"/>
        <w:gridCol w:w="751"/>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Equity Method Investments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Deluxe/EchoStar LLC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own 50% of Deluxe/EchoStar LLC (“Deluxe”), a joint venture that we entered into in 2010 to build an advanced digital cinema satellite distribution network targeting delivery to digitally equipped theaters in the U.S. and Canada.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Broadband Connectivity Solutions (Restricted) Limited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 For the year ended December 31, 2023, we recorded an impairment charge of $33.4 million related to our investment as a result of increased competition and the economic environment for this business. We estimated the fair value of our investment by using the combination of the discounted cash flow model and market value approach.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Financial Information for Our Equity Method Investments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revenue recognized by the Company from our equity method investments:</w:t>
      </w:r>
    </w:p>
    <w:p>
      <w:pPr>
        <w:pStyle w:val="TextBody"/>
        <w:bidi w:val="0"/>
        <w:spacing w:before="0" w:after="0"/>
        <w:jc w:val="both"/>
        <w:rPr/>
      </w:pPr>
      <w:r>
        <w:rPr/>
      </w:r>
    </w:p>
    <w:tbl>
      <w:tblPr>
        <w:tblW w:w="5867"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109"/>
        <w:gridCol w:w="109"/>
        <w:gridCol w:w="143"/>
        <w:gridCol w:w="143"/>
        <w:gridCol w:w="278"/>
        <w:gridCol w:w="853"/>
        <w:gridCol w:w="143"/>
        <w:gridCol w:w="143"/>
        <w:gridCol w:w="143"/>
        <w:gridCol w:w="143"/>
        <w:gridCol w:w="278"/>
        <w:gridCol w:w="853"/>
        <w:gridCol w:w="143"/>
        <w:gridCol w:w="109"/>
        <w:gridCol w:w="109"/>
        <w:gridCol w:w="109"/>
        <w:gridCol w:w="211"/>
        <w:gridCol w:w="646"/>
        <w:gridCol w:w="154"/>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c>
          <w:tcPr>
            <w:tcW w:w="1338" w:type="dxa"/>
            <w:gridSpan w:val="6"/>
            <w:tcBorders/>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Deluxe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trade accounts receivable from our equity method investments:</w:t>
      </w:r>
    </w:p>
    <w:tbl>
      <w:tblPr>
        <w:tblW w:w="3352"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211"/>
        <w:gridCol w:w="646"/>
        <w:gridCol w:w="109"/>
        <w:gridCol w:w="109"/>
        <w:gridCol w:w="109"/>
        <w:gridCol w:w="109"/>
        <w:gridCol w:w="211"/>
        <w:gridCol w:w="646"/>
        <w:gridCol w:w="154"/>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Deluxe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Other Equity Investments</w: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Hughes Systique</w:t>
      </w:r>
    </w:p>
    <w:p>
      <w:pPr>
        <w:pStyle w:val="TextBody"/>
        <w:bidi w:val="0"/>
        <w:spacing w:before="0" w:after="0"/>
        <w:jc w:val="both"/>
        <w:rPr/>
      </w:pPr>
      <w:r>
        <w:rPr/>
      </w:r>
    </w:p>
    <w:p>
      <w:pPr>
        <w:pStyle w:val="TextBody"/>
        <w:bidi w:val="0"/>
        <w:spacing w:lineRule="auto" w:line="288" w:before="0" w:after="120"/>
        <w:jc w:val="both"/>
        <w:rPr/>
      </w:pPr>
      <w:r>
        <w:rPr>
          <w:rFonts w:ascii="Arial;sans-serif" w:hAnsi="Arial;sans-serif"/>
          <w:b w:val="false"/>
          <w:color w:val="000000"/>
          <w:sz w:val="20"/>
        </w:rPr>
        <w:t xml:space="preserve">We own 42.2% of Hughes Systique and contract with Hughes Systique for software development services. Prior to December 31, 2023, we consolidated Hughes Systique’s financial statements into our Consolidated Financial Statements, see </w:t>
      </w:r>
      <w:r>
        <w:rPr>
          <w:rFonts w:ascii="Arial;sans-serif" w:hAnsi="Arial;sans-serif"/>
          <w:b w:val="false"/>
          <w:i/>
          <w:color w:val="000000"/>
          <w:sz w:val="20"/>
        </w:rPr>
        <w:t>Note 5. Business Combinations and Deconsolidations</w:t>
      </w:r>
      <w:r>
        <w:rPr>
          <w:color w:val="000000"/>
        </w:rPr>
        <w:t xml:space="preserve"> </w:t>
      </w:r>
      <w:r>
        <w:rPr>
          <w:rFonts w:ascii="Arial;sans-serif" w:hAnsi="Arial;sans-serif"/>
          <w:b w:val="false"/>
          <w:color w:val="000000"/>
          <w:sz w:val="20"/>
        </w:rPr>
        <w:t>for further information. As of December 31, 2023, we have deconsolidated the Hughes Systique results from our Consolidated Financial Statements and recorded the investment as a cost method investment in “Other investments, net” on our Consolidated Balance Sheets.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table below summarizes our transactions with Hughes Systique: </w:t>
      </w:r>
    </w:p>
    <w:tbl>
      <w:tblPr>
        <w:tblW w:w="6159" w:type="dxa"/>
        <w:jc w:val="left"/>
        <w:tblInd w:w="0" w:type="dxa"/>
        <w:tblLayout w:type="fixed"/>
        <w:tblCellMar>
          <w:top w:w="28" w:type="dxa"/>
          <w:left w:w="28" w:type="dxa"/>
          <w:bottom w:w="28" w:type="dxa"/>
          <w:right w:w="28" w:type="dxa"/>
        </w:tblCellMar>
      </w:tblPr>
      <w:tblGrid>
        <w:gridCol w:w="1235"/>
        <w:gridCol w:w="1081"/>
        <w:gridCol w:w="1088"/>
        <w:gridCol w:w="109"/>
        <w:gridCol w:w="109"/>
        <w:gridCol w:w="109"/>
        <w:gridCol w:w="183"/>
        <w:gridCol w:w="183"/>
        <w:gridCol w:w="183"/>
        <w:gridCol w:w="355"/>
        <w:gridCol w:w="1265"/>
        <w:gridCol w:w="259"/>
      </w:tblGrid>
      <w:tr>
        <w:trPr/>
        <w:tc>
          <w:tcPr>
            <w:tcW w:w="123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December 31, 2023</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Purchases from Hughes Systique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19,597 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Amounts payable to Hughes Systique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F-37</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13.    LONG-TERM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val="false"/>
          <w:color w:val="000000"/>
          <w:sz w:val="20"/>
        </w:rPr>
        <w:t xml:space="preserve">The following table presents the carrying amount and fair values of our </w:t>
      </w:r>
      <w:r>
        <w:rPr>
          <w:rFonts w:ascii="Arial;sans-serif" w:hAnsi="Arial;sans-serif"/>
          <w:b w:val="false"/>
          <w:i/>
          <w:color w:val="000000"/>
          <w:sz w:val="20"/>
        </w:rPr>
        <w:t>Long-term debt, net:</w:t>
      </w:r>
    </w:p>
    <w:tbl>
      <w:tblPr>
        <w:tblW w:w="10205" w:type="dxa"/>
        <w:jc w:val="left"/>
        <w:tblInd w:w="0" w:type="dxa"/>
        <w:tblLayout w:type="fixed"/>
        <w:tblCellMar>
          <w:top w:w="28" w:type="dxa"/>
          <w:left w:w="28" w:type="dxa"/>
          <w:bottom w:w="28" w:type="dxa"/>
          <w:right w:w="28" w:type="dxa"/>
        </w:tblCellMar>
      </w:tblPr>
      <w:tblGrid>
        <w:gridCol w:w="789"/>
        <w:gridCol w:w="554"/>
        <w:gridCol w:w="556"/>
        <w:gridCol w:w="109"/>
        <w:gridCol w:w="109"/>
        <w:gridCol w:w="109"/>
        <w:gridCol w:w="420"/>
        <w:gridCol w:w="420"/>
        <w:gridCol w:w="421"/>
        <w:gridCol w:w="109"/>
        <w:gridCol w:w="109"/>
        <w:gridCol w:w="109"/>
        <w:gridCol w:w="211"/>
        <w:gridCol w:w="1021"/>
        <w:gridCol w:w="109"/>
        <w:gridCol w:w="109"/>
        <w:gridCol w:w="109"/>
        <w:gridCol w:w="109"/>
        <w:gridCol w:w="211"/>
        <w:gridCol w:w="1021"/>
        <w:gridCol w:w="109"/>
        <w:gridCol w:w="109"/>
        <w:gridCol w:w="109"/>
        <w:gridCol w:w="109"/>
        <w:gridCol w:w="211"/>
        <w:gridCol w:w="1021"/>
        <w:gridCol w:w="109"/>
        <w:gridCol w:w="109"/>
        <w:gridCol w:w="109"/>
        <w:gridCol w:w="109"/>
        <w:gridCol w:w="211"/>
        <w:gridCol w:w="1021"/>
        <w:gridCol w:w="155"/>
      </w:tblGrid>
      <w:tr>
        <w:trPr/>
        <w:tc>
          <w:tcPr>
            <w:tcW w:w="78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Carrying</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Fair</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Carrying</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Fair</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Value</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 1/4% Senior Secured Notes due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727,763 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 5/8% Senior Unsecured Notes due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1,497,609 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1,435,253 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2026 Senior Secured Notes and 2026 Senior Unsecured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July 27, 2016, we issued $750.0 million aggregate principal amount of 5 1/4% Senior Secured Notes due 2026 (the “2026 Senior Secured Notes”) at an issue price of 100.0%, pursuant to an indenture dated July 27, 2016 (the “2016 Secured Indenture”) and $750.0 million aggregate principal amount of 6 5/8% Senior Unsecured Notes due 2026 (the “2026 Senior Unsecured Notes”) at an issue price of 100.0%, pursuant to an indenture dated July 27, 2016 (together with the 2016 Secured Indenture, the “Indentures”). The 2026 Senior Secured Notes and the 2026 Senior Unsecured Notes are referred to collectively as the “Notes” and individually as a series of the Notes. The Notes mature on August 1, 2026. Interest on the 2026 Senior Secured Notes accrues at an annual rate of 5 1/4% and interest on the 2026 Senior Unsecured Notes accrues at an annual rate of 6 5/8%. Interest on the Notes is payable semi-annually in cash, in arrears, on February 1 and August 1 of each year.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Additional Information Relating to the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Each series of the Notes is redeemable, in whole or in part, at any time at a redemption price equal to 100.0% of the principal amount thereof plus a “make-whole” premium, as defined in the applicable Indenture, together with accrued and unpaid interest, if any, to the date of redemption.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2026 Senior Secured Notes are: </w:t>
      </w:r>
    </w:p>
    <w:p>
      <w:pPr>
        <w:pStyle w:val="TextBody"/>
        <w:bidi w:val="0"/>
        <w:spacing w:before="0" w:after="0"/>
        <w:jc w:val="both"/>
        <w:rPr/>
      </w:pPr>
      <w:r>
        <w:rPr/>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our secured obligations;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secured by security interests in substantially all of our and certain of our subsidiaries’ existing and future tangible and intangible assets on a first priority basis, subject to certain exceptions;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effectively junior to our obligations that are secured by assets that are not part of the collateral that secures the 2026 Senior Secured Notes to the extent of the value of the collateral securing such obligations;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effectively senior to our existing and future unsecured obligations to the extent of the value of the collateral securing the 2026 Senior Secured Notes, after giving effect to permitted liens as provided in the 2016 Secured Indenture;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senior in right of payment to all of our existing and future obligations that are expressly subordinated to the 2026 Senior Secured Notes;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structurally junior to any existing and future obligations of any of our subsidiaries that do not guarantee the 2026 Senior Secured Notes; and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unconditionally guaranteed, jointly and severally, on a general senior secured basis by certain of our subsidiaries, which guarantees rank equally with all of the guarantors’ existing and future unsubordinated indebtedness and effectively senior to such guarantors’ existing and future obligations to the extent of the value of the assets securing the 2026 Senior Secured Notes.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F-38</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2026 Senior Unsecured Notes are: </w:t>
      </w:r>
    </w:p>
    <w:p>
      <w:pPr>
        <w:pStyle w:val="TextBody"/>
        <w:bidi w:val="0"/>
        <w:spacing w:before="0" w:after="0"/>
        <w:jc w:val="both"/>
        <w:rPr/>
      </w:pPr>
      <w:r>
        <w:rPr/>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our unsecured senior obligations;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ranked equally with all existing and future unsubordinated indebtedness and effectively junior to any secured indebtedness up to the value of the assets securing such indebtedness;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effectively junior to our obligations that are secured to the extent of the value of the collateral securing such obligations;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senior in right of payment to all our existing and future obligations that are expressly subordinated to the 2026 Senior Unsecured Notes;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structurally junior to any existing and future obligations of any of our subsidiaries that do not guarantee the 2026 Senior Unsecured Notes; and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unconditionally guaranteed, jointly and severally, on a general senior secured basis by certain of our subsidiaries, which guarantees rank equally with all of the guarantors’ existing and future unsubordinated indebtedness, and effectively junior to any secured indebtedness of the guarantors up to the value of the assets securing such indebtedness.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Subject to certain exceptions, the Indentures contain restrictive covenants that, among other things, impose limitations on our ability and, in certain instances, the ability of certain of our subsidiaries to:</w:t>
      </w:r>
    </w:p>
    <w:p>
      <w:pPr>
        <w:pStyle w:val="TextBody"/>
        <w:bidi w:val="0"/>
        <w:spacing w:before="0" w:after="0"/>
        <w:jc w:val="both"/>
        <w:rPr/>
      </w:pPr>
      <w:r>
        <w:rPr/>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incur additional debt;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pay dividends or make distributions on our or their capital stock or repurchase our or their capital stock;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make certain investments;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create liens or enter into sale and leaseback transactions;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enter into transactions with affiliates;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merge or consolidate with another company;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transfer and sell assets; and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allow to exist certain restrictions on our or their ability to pay dividends, make distributions, make other payments, or transfer assets.</w:t>
      </w:r>
    </w:p>
    <w:p>
      <w:pPr>
        <w:pStyle w:val="TextBody"/>
        <w:bidi w:val="0"/>
        <w:spacing w:before="0" w:after="90"/>
        <w:jc w:val="both"/>
        <w:rPr/>
      </w:pPr>
      <w:r>
        <w:rPr/>
      </w:r>
    </w:p>
    <w:p>
      <w:pPr>
        <w:pStyle w:val="TextBody"/>
        <w:bidi w:val="0"/>
        <w:spacing w:lineRule="auto" w:line="288" w:before="0" w:after="90"/>
        <w:jc w:val="both"/>
        <w:rPr>
          <w:rFonts w:ascii="Arial;sans-serif" w:hAnsi="Arial;sans-serif"/>
          <w:b w:val="false"/>
          <w:color w:val="000000"/>
          <w:sz w:val="20"/>
        </w:rPr>
      </w:pPr>
      <w:r>
        <w:rPr>
          <w:rFonts w:ascii="Arial;sans-serif" w:hAnsi="Arial;sans-serif"/>
          <w:b w:val="false"/>
          <w:color w:val="000000"/>
          <w:sz w:val="20"/>
        </w:rPr>
        <w:t xml:space="preserve">In the event of a Change of Control, as defined in the respective Indentures, we would be required to make an offer to repurchase all or any part of a holder’s Notes at a purchase price equal to 101.0% of the aggregate principal amount thereof, together with accrued and unpaid interest to the date of repurchase.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Indentures provide for customary events of default for each series of the Notes, including, among other things, non-payment, breach of the covenants in the applicable Indentures, payment defaults or acceleration of other indebtedness, a failure to pay certain judgments and certain events of bankruptcy, insolvency and reorganization. If any event of default occurs and is continuing with respect to any series of the Notes, the trustee or the holders of at least 25.0% in principal amount of the then outstanding Notes of such series may declare all the Notes of such series to be due and payable immediately, together with any accrued and unpaid interest.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Debt Issuance Costs</w:t>
      </w:r>
      <w:r>
        <w:rPr>
          <w:color w:val="00000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0"/>
        </w:rPr>
        <w:t xml:space="preserve">For the years ended December 31, 2023, 2022 and 2021, we amortized $0.8 million, $0.8 million and $2.4 million respectively, of debt issuance costs incurred for all debt issuances, which are included in </w:t>
      </w:r>
      <w:r>
        <w:rPr>
          <w:rFonts w:ascii="Arial;sans-serif" w:hAnsi="Arial;sans-serif"/>
          <w:b w:val="false"/>
          <w:i/>
          <w:color w:val="000000"/>
          <w:sz w:val="20"/>
        </w:rPr>
        <w:t>Interest expense, net of amounts capitalized</w:t>
      </w:r>
      <w:r>
        <w:rPr>
          <w:color w:val="000000"/>
        </w:rPr>
        <w:t xml:space="preserve"> </w:t>
      </w:r>
      <w:r>
        <w:rPr>
          <w:rFonts w:ascii="Arial;sans-serif" w:hAnsi="Arial;sans-serif"/>
          <w:b w:val="false"/>
          <w:color w:val="000000"/>
          <w:sz w:val="20"/>
        </w:rPr>
        <w:t>in the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F-39</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14.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val="false"/>
          <w:color w:val="000000"/>
          <w:sz w:val="20"/>
        </w:rPr>
        <w:t xml:space="preserve">The following table presents the components of </w:t>
      </w:r>
      <w:r>
        <w:rPr>
          <w:rFonts w:ascii="Arial;sans-serif" w:hAnsi="Arial;sans-serif"/>
          <w:b w:val="false"/>
          <w:i/>
          <w:color w:val="000000"/>
          <w:sz w:val="20"/>
        </w:rPr>
        <w:t>Income (loss) before income taxes</w:t>
      </w:r>
      <w:r>
        <w:rPr>
          <w:color w:val="000000"/>
        </w:rPr>
        <w:t xml:space="preserve"> </w:t>
      </w:r>
      <w:r>
        <w:rPr>
          <w:rFonts w:ascii="Arial;sans-serif" w:hAnsi="Arial;sans-serif"/>
          <w:b w:val="false"/>
          <w:color w:val="000000"/>
          <w:sz w:val="20"/>
        </w:rPr>
        <w:t xml:space="preserve">in the Consolidated Statements of Operations: </w:t>
      </w:r>
    </w:p>
    <w:tbl>
      <w:tblPr>
        <w:tblW w:w="7748" w:type="dxa"/>
        <w:jc w:val="left"/>
        <w:tblInd w:w="0" w:type="dxa"/>
        <w:tblLayout w:type="fixed"/>
        <w:tblCellMar>
          <w:top w:w="28" w:type="dxa"/>
          <w:left w:w="28" w:type="dxa"/>
          <w:bottom w:w="28" w:type="dxa"/>
          <w:right w:w="28" w:type="dxa"/>
        </w:tblCellMar>
      </w:tblPr>
      <w:tblGrid>
        <w:gridCol w:w="1133"/>
        <w:gridCol w:w="997"/>
        <w:gridCol w:w="1004"/>
        <w:gridCol w:w="109"/>
        <w:gridCol w:w="109"/>
        <w:gridCol w:w="109"/>
        <w:gridCol w:w="211"/>
        <w:gridCol w:w="916"/>
        <w:gridCol w:w="109"/>
        <w:gridCol w:w="109"/>
        <w:gridCol w:w="109"/>
        <w:gridCol w:w="109"/>
        <w:gridCol w:w="211"/>
        <w:gridCol w:w="856"/>
        <w:gridCol w:w="109"/>
        <w:gridCol w:w="109"/>
        <w:gridCol w:w="109"/>
        <w:gridCol w:w="109"/>
        <w:gridCol w:w="211"/>
        <w:gridCol w:w="856"/>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246,207 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(432,312)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val="false"/>
          <w:color w:val="000000"/>
          <w:sz w:val="20"/>
        </w:rPr>
        <w:t xml:space="preserve">The following table presents the components of </w:t>
      </w:r>
      <w:r>
        <w:rPr>
          <w:rFonts w:ascii="Arial;sans-serif" w:hAnsi="Arial;sans-serif"/>
          <w:b w:val="false"/>
          <w:i/>
          <w:color w:val="000000"/>
          <w:sz w:val="20"/>
        </w:rPr>
        <w:t>Income tax benefit (provision), net</w:t>
      </w:r>
      <w:r>
        <w:rPr>
          <w:rFonts w:ascii="Arial;sans-serif" w:hAnsi="Arial;sans-serif"/>
          <w:b w:val="false"/>
          <w:color w:val="000000"/>
          <w:sz w:val="20"/>
        </w:rPr>
        <w:t xml:space="preserve">, in the Consolidated Statements of Operations: </w:t>
      </w:r>
    </w:p>
    <w:tbl>
      <w:tblPr>
        <w:tblW w:w="8093" w:type="dxa"/>
        <w:jc w:val="left"/>
        <w:tblInd w:w="0" w:type="dxa"/>
        <w:tblLayout w:type="fixed"/>
        <w:tblCellMar>
          <w:top w:w="28" w:type="dxa"/>
          <w:left w:w="28" w:type="dxa"/>
          <w:bottom w:w="28" w:type="dxa"/>
          <w:right w:w="28" w:type="dxa"/>
        </w:tblCellMar>
      </w:tblPr>
      <w:tblGrid>
        <w:gridCol w:w="1293"/>
        <w:gridCol w:w="1135"/>
        <w:gridCol w:w="1141"/>
        <w:gridCol w:w="109"/>
        <w:gridCol w:w="109"/>
        <w:gridCol w:w="109"/>
        <w:gridCol w:w="211"/>
        <w:gridCol w:w="811"/>
        <w:gridCol w:w="109"/>
        <w:gridCol w:w="109"/>
        <w:gridCol w:w="109"/>
        <w:gridCol w:w="109"/>
        <w:gridCol w:w="211"/>
        <w:gridCol w:w="916"/>
        <w:gridCol w:w="109"/>
        <w:gridCol w:w="109"/>
        <w:gridCol w:w="109"/>
        <w:gridCol w:w="109"/>
        <w:gridCol w:w="211"/>
        <w:gridCol w:w="81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benefit (provision),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benefit (provision),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benefit (provision),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benefit (provision),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income tax benefit (provision),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(57,111)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val="false"/>
          <w:color w:val="000000"/>
          <w:sz w:val="20"/>
        </w:rPr>
        <w:t xml:space="preserve">The following table presents our actual tax provisions reconciled to the amounts computed by applying the statutory federal tax rate to </w:t>
      </w:r>
      <w:r>
        <w:rPr>
          <w:rFonts w:ascii="Arial;sans-serif" w:hAnsi="Arial;sans-serif"/>
          <w:b w:val="false"/>
          <w:i/>
          <w:color w:val="000000"/>
          <w:sz w:val="20"/>
        </w:rPr>
        <w:t xml:space="preserve">Income (loss) before income taxes </w:t>
      </w:r>
      <w:r>
        <w:rPr>
          <w:rFonts w:ascii="Arial;sans-serif" w:hAnsi="Arial;sans-serif"/>
          <w:b w:val="false"/>
          <w:color w:val="000000"/>
          <w:sz w:val="20"/>
        </w:rPr>
        <w:t xml:space="preserve">in the Consolidated Statements of Operations: </w:t>
      </w:r>
    </w:p>
    <w:tbl>
      <w:tblPr>
        <w:tblW w:w="9098" w:type="dxa"/>
        <w:jc w:val="left"/>
        <w:tblInd w:w="0" w:type="dxa"/>
        <w:tblLayout w:type="fixed"/>
        <w:tblCellMar>
          <w:top w:w="28" w:type="dxa"/>
          <w:left w:w="28" w:type="dxa"/>
          <w:bottom w:w="28" w:type="dxa"/>
          <w:right w:w="28" w:type="dxa"/>
        </w:tblCellMar>
      </w:tblPr>
      <w:tblGrid>
        <w:gridCol w:w="1697"/>
        <w:gridCol w:w="1486"/>
        <w:gridCol w:w="1496"/>
        <w:gridCol w:w="109"/>
        <w:gridCol w:w="109"/>
        <w:gridCol w:w="109"/>
        <w:gridCol w:w="211"/>
        <w:gridCol w:w="811"/>
        <w:gridCol w:w="109"/>
        <w:gridCol w:w="109"/>
        <w:gridCol w:w="109"/>
        <w:gridCol w:w="109"/>
        <w:gridCol w:w="211"/>
        <w:gridCol w:w="811"/>
        <w:gridCol w:w="109"/>
        <w:gridCol w:w="109"/>
        <w:gridCol w:w="109"/>
        <w:gridCol w:w="109"/>
        <w:gridCol w:w="211"/>
        <w:gridCol w:w="811"/>
        <w:gridCol w:w="154"/>
      </w:tblGrid>
      <w:tr>
        <w:trPr/>
        <w:tc>
          <w:tcPr>
            <w:tcW w:w="169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income taxes, net of federal benefit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Permanent differences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credits, including withholding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Rates different than statutory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income tax benefit (provision),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(57,111)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F-40</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components of our deferred tax assets and liabilities:</w:t>
      </w:r>
    </w:p>
    <w:tbl>
      <w:tblPr>
        <w:tblW w:w="9530" w:type="dxa"/>
        <w:jc w:val="left"/>
        <w:tblInd w:w="0" w:type="dxa"/>
        <w:tblLayout w:type="fixed"/>
        <w:tblCellMar>
          <w:top w:w="28" w:type="dxa"/>
          <w:left w:w="28" w:type="dxa"/>
          <w:bottom w:w="28" w:type="dxa"/>
          <w:right w:w="28" w:type="dxa"/>
        </w:tblCellMar>
      </w:tblPr>
      <w:tblGrid>
        <w:gridCol w:w="2302"/>
        <w:gridCol w:w="2026"/>
        <w:gridCol w:w="2031"/>
        <w:gridCol w:w="109"/>
        <w:gridCol w:w="109"/>
        <w:gridCol w:w="109"/>
        <w:gridCol w:w="211"/>
        <w:gridCol w:w="916"/>
        <w:gridCol w:w="109"/>
        <w:gridCol w:w="109"/>
        <w:gridCol w:w="109"/>
        <w:gridCol w:w="109"/>
        <w:gridCol w:w="211"/>
        <w:gridCol w:w="916"/>
        <w:gridCol w:w="154"/>
      </w:tblGrid>
      <w:tr>
        <w:trPr/>
        <w:tc>
          <w:tcPr>
            <w:tcW w:w="230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losses, credit and other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223,035 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 after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regulatory authorizations,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(332,884)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(321,718)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(351,737)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(281,935)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assets (liabilities) foreign jurisdiction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assets (liabilities) domestic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deferred tax 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(244,622)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(281,935)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Overall, our net deferred tax assets were offset by a valuation allowance of $209.4 million and $153.2 million as of December 31, 2023 and 2022, respectively. The change in the valuation allowance relates to an increase in the net operating loss carryforwards of certain foreign subsidiaries, offset by a decrease due to changes in foreign exchange rates as well as an impairment of a foreign asset (investment).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Tax benefits of net operating loss and tax credit carryforwards are evaluated on an ongoing basis, including a review of historical and projected future operating results, the eligible carryforward period, and other circumstances. As of December 31, 2023, we had foreign net operating loss carryforwards of $518.9 million. The net operating loss carryforwards associated with India will begin to expire in 2027.</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As of December 31, 2023, we had undistributed earnings attributable to foreign subsidiaries for which no provision for U.S. income taxes or foreign withholding taxes has been made because it is expected that such earnings will be reinvested outside the U.S. indefinitely. It is not practicable to determine the amount of the unrecognized deferred tax liability at this time. As of December 31, 2023 and 2022, we had net deferred tax assets related to our foreign subsidiaries of $8.2 million and $7.8 million, respectively, which were recorded in </w:t>
      </w:r>
      <w:r>
        <w:rPr>
          <w:rFonts w:ascii="Arial;sans-serif" w:hAnsi="Arial;sans-serif"/>
          <w:b w:val="false"/>
          <w:i/>
          <w:color w:val="000000"/>
          <w:sz w:val="20"/>
        </w:rPr>
        <w:t>Other non-current assets, net</w:t>
      </w:r>
      <w:r>
        <w:rPr>
          <w:color w:val="000000"/>
        </w:rPr>
        <w:t xml:space="preserve"> </w:t>
      </w:r>
      <w:r>
        <w:rPr>
          <w:rFonts w:ascii="Arial;sans-serif" w:hAnsi="Arial;sans-serif"/>
          <w:b w:val="false"/>
          <w:color w:val="000000"/>
          <w:sz w:val="20"/>
        </w:rPr>
        <w:t xml:space="preserve">in the Consolidated Balance Sheets.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F-41</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Accounting for Uncertainty in Income Taxes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filing U.S. federal income tax returns with EchoStar, we file income tax returns in all states that impose an income tax. As of December 31, 2023, we are not currently under a U.S. federal income tax examination. However, the IRS could perform tax examinations on years as early as tax year 2008. We are also subject to frequent state income tax audits and have open state examinations on years as early as tax year 2008. We also file income tax returns in the United Kingdom, Germany, Brazil, India and a number of other foreign jurisdictions. We generally are open to income tax examination in these foreign jurisdictions for taxable years beginning in 2004. As of December 31, 2023, we are currently being audited by the Indian tax authorities for fiscal years 2004 through 2021. We have no other on-going significant income tax examinations in process in our foreign jurisdictions.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reconciliation of the beginning and ending amount of unrecognized income tax benefits:</w:t>
      </w:r>
    </w:p>
    <w:tbl>
      <w:tblPr>
        <w:tblW w:w="10178" w:type="dxa"/>
        <w:jc w:val="left"/>
        <w:tblInd w:w="0" w:type="dxa"/>
        <w:tblLayout w:type="fixed"/>
        <w:tblCellMar>
          <w:top w:w="28" w:type="dxa"/>
          <w:left w:w="28" w:type="dxa"/>
          <w:bottom w:w="28" w:type="dxa"/>
          <w:right w:w="28" w:type="dxa"/>
        </w:tblCellMar>
      </w:tblPr>
      <w:tblGrid>
        <w:gridCol w:w="2228"/>
        <w:gridCol w:w="1958"/>
        <w:gridCol w:w="1963"/>
        <w:gridCol w:w="109"/>
        <w:gridCol w:w="109"/>
        <w:gridCol w:w="109"/>
        <w:gridCol w:w="211"/>
        <w:gridCol w:w="751"/>
        <w:gridCol w:w="109"/>
        <w:gridCol w:w="109"/>
        <w:gridCol w:w="109"/>
        <w:gridCol w:w="109"/>
        <w:gridCol w:w="211"/>
        <w:gridCol w:w="646"/>
        <w:gridCol w:w="109"/>
        <w:gridCol w:w="109"/>
        <w:gridCol w:w="109"/>
        <w:gridCol w:w="109"/>
        <w:gridCol w:w="211"/>
        <w:gridCol w:w="646"/>
        <w:gridCol w:w="154"/>
      </w:tblGrid>
      <w:tr>
        <w:trPr/>
        <w:tc>
          <w:tcPr>
            <w:tcW w:w="2228"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Unrecognized tax benefit balance as of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based on tax positions reclassified from HSSC to EchoStar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Reductions based on tax positions related to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December 31, 2023 and 2022, we had $10.3 million and $7.2 million of unrecognized income tax benefits, all of which, if recognized, would affect our effective tax rate.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the years ended December 31, 2023, 2022 and 2021, our income tax provision included an insignificant amount of interest and penalties.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F-42</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NOTE 15.</w:t>
      </w:r>
      <w:r>
        <w:rPr>
          <w:color w:val="000000"/>
        </w:rPr>
        <w:t>    </w:t>
      </w:r>
      <w:r>
        <w:rPr>
          <w:rFonts w:ascii="Arial;sans-serif" w:hAnsi="Arial;sans-serif"/>
          <w:b/>
          <w:color w:val="000000"/>
          <w:sz w:val="20"/>
        </w:rPr>
        <w:t>EMPLOYEE BENEFIT PLANS</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Employee Stock Purchase Plan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EchoStar has an employee stock purchase plan (the “ESPP”), under which it is authorized to issue 5.0 million shares of EchoStar’s Class A common stock. As of December 31, 2023, EchoStar had approximately 0.5 million shares of Class A common stock which remain available for issuance under the ESPP. Substantially all full-time employees who have been employed by EchoStar or its subsidiaries for at least one calendar quarter are eligible to participate in the ESPP. Employee stock purchases are made through payroll deductions. Under the terms of the ESPP, each employee’s deductions are limited so that the maximum they may purchase under the ESPP is $25,000 in fair value of Class A common stock per year. Stock purchases are made on the last business day of each calendar quarter at 85.0% of the closing price of EchoStar’s Class A common stock on that date. For the years ended December 31, 2023, 2022 and 2021, employee purchases of EchoStar’s Class A common stock through the ESPP totaled approximately 198,000 shares, 580,000 shares and 446,000 shares,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401(k) Employee Savings Plans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Under the EchoStar 401(k) Plan (“the Plan”), eligible employees are entitled to contribute up to 75.0% of their eligible compensation, on a pre-tax and/or after-tax basis, subject to the maximum contribution limit provided by the Internal Revenue Code of 1986, as amended (the “Code”) All employee contributions to the Plan are immediately vested. EchoStar matches 50 cents on the dollar for the first 6.0% of each employee’s salary contributions to the Plan for a total of 3.0% match on a pre-tax basis up to a maximum of $7,500 annually. EchoStar’s match is calculated each pay period there is an employee contribution. In addition, EchoStar may make an annual discretionary contribution to the Plan to be made in cash or EchoStar’s stock. EchoStar’s contributions under the Plan vest at 20.0% per year and are 100.0% vested after an eligible employee has completed five years of employment. Forfeitures of unvested participant balances may be used to fund matching and discretionary contributions.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matching contributions and discretionary contributions: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77"/>
        <w:gridCol w:w="1999"/>
        <w:gridCol w:w="2004"/>
        <w:gridCol w:w="109"/>
        <w:gridCol w:w="109"/>
        <w:gridCol w:w="109"/>
        <w:gridCol w:w="211"/>
        <w:gridCol w:w="646"/>
        <w:gridCol w:w="109"/>
        <w:gridCol w:w="109"/>
        <w:gridCol w:w="109"/>
        <w:gridCol w:w="109"/>
        <w:gridCol w:w="211"/>
        <w:gridCol w:w="646"/>
        <w:gridCol w:w="109"/>
        <w:gridCol w:w="109"/>
        <w:gridCol w:w="109"/>
        <w:gridCol w:w="109"/>
        <w:gridCol w:w="211"/>
        <w:gridCol w:w="646"/>
        <w:gridCol w:w="155"/>
      </w:tblGrid>
      <w:tr>
        <w:trPr/>
        <w:tc>
          <w:tcPr>
            <w:tcW w:w="2277"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6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Matching contributions,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EchoStar discretionary contributions of its Class A common stock, net of forfeitures, under 401(k)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7,125 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F-43</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16.    RELATED PARTY TRANSACTIONS - ECHOSTAR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is a summary of the transactions and the terms of the underlying principal agreements that have had or may have an impact on our consolidated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Shared Corporate Services.</w:t>
      </w:r>
      <w:r>
        <w:rPr>
          <w:color w:val="000000"/>
        </w:rPr>
        <w:t xml:space="preserve"> </w:t>
      </w:r>
      <w:r>
        <w:rPr>
          <w:rFonts w:ascii="Arial;sans-serif" w:hAnsi="Arial;sans-serif"/>
          <w:b w:val="false"/>
          <w:color w:val="000000"/>
          <w:sz w:val="20"/>
        </w:rPr>
        <w:t>We and EchoStar, including EchoStar’s other subsidiaries, have agreed that we shall each have the right, but not the obligation, to receive from the other certain shared corporate services, including among other things: treasury, tax, accounting and reporting, risk management, cybersecurity, legal, internal audit, human resources, and information technology. These shared corporate services are generally provided at cost. We and EchoStar, including EchoStar’s other subsidiaries, may each terminate a particular shared corporate service for any reason upon at least 30 days’ notice. We recorded these expenses within Operating expenses - EchoStar.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Services and Other Revenue — EchoStar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 xml:space="preserve">Services and other revenue </w:t>
      </w:r>
      <w:r>
        <w:rPr>
          <w:rFonts w:ascii="Arial;sans-serif" w:hAnsi="Arial;sans-serif"/>
          <w:b w:val="false"/>
          <w:color w:val="000000"/>
          <w:sz w:val="20"/>
        </w:rPr>
        <w:t>from EchoStar:</w:t>
      </w:r>
    </w:p>
    <w:tbl>
      <w:tblPr>
        <w:tblW w:w="8752" w:type="dxa"/>
        <w:jc w:val="center"/>
        <w:tblInd w:w="0" w:type="dxa"/>
        <w:tblLayout w:type="fixed"/>
        <w:tblCellMar>
          <w:top w:w="28" w:type="dxa"/>
          <w:left w:w="28" w:type="dxa"/>
          <w:bottom w:w="28" w:type="dxa"/>
          <w:right w:w="28" w:type="dxa"/>
        </w:tblCellMar>
      </w:tblPr>
      <w:tblGrid>
        <w:gridCol w:w="1267"/>
        <w:gridCol w:w="1111"/>
        <w:gridCol w:w="1117"/>
        <w:gridCol w:w="109"/>
        <w:gridCol w:w="109"/>
        <w:gridCol w:w="109"/>
        <w:gridCol w:w="109"/>
        <w:gridCol w:w="109"/>
        <w:gridCol w:w="138"/>
        <w:gridCol w:w="138"/>
        <w:gridCol w:w="267"/>
        <w:gridCol w:w="818"/>
        <w:gridCol w:w="138"/>
        <w:gridCol w:w="138"/>
        <w:gridCol w:w="138"/>
        <w:gridCol w:w="138"/>
        <w:gridCol w:w="267"/>
        <w:gridCol w:w="951"/>
        <w:gridCol w:w="138"/>
        <w:gridCol w:w="109"/>
        <w:gridCol w:w="109"/>
        <w:gridCol w:w="109"/>
        <w:gridCol w:w="211"/>
        <w:gridCol w:w="75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other revenue - EchoStar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17,623 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Receivables.</w:t>
      </w:r>
      <w:r>
        <w:rPr>
          <w:color w:val="000000"/>
        </w:rPr>
        <w:t xml:space="preserve"> </w:t>
      </w:r>
      <w:r>
        <w:rPr>
          <w:rFonts w:ascii="Arial;sans-serif" w:hAnsi="Arial;sans-serif"/>
          <w:b w:val="false"/>
          <w:color w:val="000000"/>
          <w:sz w:val="20"/>
        </w:rPr>
        <w:t xml:space="preserve">EchoStar and its other subsidiaries reimburse us from time to time for amounts paid by us for costs and expenses attributable to EchoStar and its other subsidiaries. In 2023, we reported receivables under these arrangements within Related party payables - EchoStar - current due to the net settlement in 2024.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corresponding related party receivables:</w:t>
      </w:r>
    </w:p>
    <w:tbl>
      <w:tblPr>
        <w:tblW w:w="7431" w:type="dxa"/>
        <w:jc w:val="left"/>
        <w:tblInd w:w="0" w:type="dxa"/>
        <w:tblLayout w:type="fixed"/>
        <w:tblCellMar>
          <w:top w:w="28" w:type="dxa"/>
          <w:left w:w="28" w:type="dxa"/>
          <w:bottom w:w="28" w:type="dxa"/>
          <w:right w:w="28" w:type="dxa"/>
        </w:tblCellMar>
      </w:tblPr>
      <w:tblGrid>
        <w:gridCol w:w="1623"/>
        <w:gridCol w:w="1429"/>
        <w:gridCol w:w="1433"/>
        <w:gridCol w:w="109"/>
        <w:gridCol w:w="109"/>
        <w:gridCol w:w="109"/>
        <w:gridCol w:w="211"/>
        <w:gridCol w:w="751"/>
        <w:gridCol w:w="109"/>
        <w:gridCol w:w="109"/>
        <w:gridCol w:w="109"/>
        <w:gridCol w:w="109"/>
        <w:gridCol w:w="211"/>
        <w:gridCol w:w="856"/>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Related party receivables - EchoStar - current,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receivables - EchoStar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related party receivables - EchoStar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Operating Expenses — EchoStar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following table presents our operating expenses</w:t>
      </w:r>
      <w:r>
        <w:rPr>
          <w:color w:val="000000"/>
        </w:rPr>
        <w:t xml:space="preserve"> </w:t>
      </w:r>
      <w:r>
        <w:rPr>
          <w:rFonts w:ascii="Arial;sans-serif" w:hAnsi="Arial;sans-serif"/>
          <w:b w:val="false"/>
          <w:color w:val="000000"/>
          <w:sz w:val="20"/>
        </w:rPr>
        <w:t>from EchoStar:</w:t>
      </w:r>
    </w:p>
    <w:tbl>
      <w:tblPr>
        <w:tblW w:w="8102" w:type="dxa"/>
        <w:jc w:val="center"/>
        <w:tblInd w:w="0" w:type="dxa"/>
        <w:tblLayout w:type="fixed"/>
        <w:tblCellMar>
          <w:top w:w="28" w:type="dxa"/>
          <w:left w:w="28" w:type="dxa"/>
          <w:bottom w:w="28" w:type="dxa"/>
          <w:right w:w="28" w:type="dxa"/>
        </w:tblCellMar>
      </w:tblPr>
      <w:tblGrid>
        <w:gridCol w:w="1033"/>
        <w:gridCol w:w="906"/>
        <w:gridCol w:w="911"/>
        <w:gridCol w:w="109"/>
        <w:gridCol w:w="109"/>
        <w:gridCol w:w="109"/>
        <w:gridCol w:w="109"/>
        <w:gridCol w:w="109"/>
        <w:gridCol w:w="132"/>
        <w:gridCol w:w="132"/>
        <w:gridCol w:w="256"/>
        <w:gridCol w:w="914"/>
        <w:gridCol w:w="132"/>
        <w:gridCol w:w="132"/>
        <w:gridCol w:w="132"/>
        <w:gridCol w:w="132"/>
        <w:gridCol w:w="256"/>
        <w:gridCol w:w="914"/>
        <w:gridCol w:w="132"/>
        <w:gridCol w:w="109"/>
        <w:gridCol w:w="109"/>
        <w:gridCol w:w="109"/>
        <w:gridCol w:w="211"/>
        <w:gridCol w:w="751"/>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 EchoStar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96,239 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75,462 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F-44</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Payables. </w:t>
      </w:r>
      <w:r>
        <w:rPr>
          <w:rFonts w:ascii="Arial;sans-serif" w:hAnsi="Arial;sans-serif"/>
          <w:b w:val="false"/>
          <w:color w:val="000000"/>
          <w:sz w:val="20"/>
        </w:rPr>
        <w:t xml:space="preserve">We reimburse EchoStar and its other subsidiaries from time to time for amounts paid by EchoStar and its other subsidiaries for costs and expenses attributable to us. We report payables under these arrangements netted within Related party payables - EchoStar - current, net.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corresponding related party payables:</w:t>
      </w:r>
    </w:p>
    <w:tbl>
      <w:tblPr>
        <w:tblW w:w="7491" w:type="dxa"/>
        <w:jc w:val="left"/>
        <w:tblInd w:w="0" w:type="dxa"/>
        <w:tblLayout w:type="fixed"/>
        <w:tblCellMar>
          <w:top w:w="28" w:type="dxa"/>
          <w:left w:w="28" w:type="dxa"/>
          <w:bottom w:w="28" w:type="dxa"/>
          <w:right w:w="28" w:type="dxa"/>
        </w:tblCellMar>
      </w:tblPr>
      <w:tblGrid>
        <w:gridCol w:w="1610"/>
        <w:gridCol w:w="1410"/>
        <w:gridCol w:w="1420"/>
        <w:gridCol w:w="109"/>
        <w:gridCol w:w="109"/>
        <w:gridCol w:w="109"/>
        <w:gridCol w:w="211"/>
        <w:gridCol w:w="856"/>
        <w:gridCol w:w="109"/>
        <w:gridCol w:w="109"/>
        <w:gridCol w:w="109"/>
        <w:gridCol w:w="109"/>
        <w:gridCol w:w="211"/>
        <w:gridCol w:w="856"/>
        <w:gridCol w:w="154"/>
      </w:tblGrid>
      <w:tr>
        <w:trPr/>
        <w:tc>
          <w:tcPr>
            <w:tcW w:w="161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Related party payables - EchoStar - current,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payables - EchoStar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related party payables - EchoStar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239,927 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liabilities - EchoStar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138,694 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liabilities - EchoStar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lease liabilities - EchoStar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settled its current related party payable, net with EchoStar in the first quarter of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Real Estate. </w:t>
      </w:r>
      <w:r>
        <w:rPr>
          <w:rFonts w:ascii="Arial;sans-serif" w:hAnsi="Arial;sans-serif"/>
          <w:b w:val="false"/>
          <w:color w:val="000000"/>
          <w:sz w:val="20"/>
        </w:rPr>
        <w:t>We occupy certain office space in buildings owned or leased by EchoStar and its other subsidiaries and pay a portion of the taxes, insurance, utilities and maintenance of the premises in accordance with the percentage of the space we occupy.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Cash Advances.</w:t>
      </w:r>
      <w:r>
        <w:rPr>
          <w:color w:val="000000"/>
        </w:rPr>
        <w:t xml:space="preserve"> </w:t>
      </w:r>
      <w:r>
        <w:rPr>
          <w:rFonts w:ascii="Arial;sans-serif" w:hAnsi="Arial;sans-serif"/>
          <w:b w:val="false"/>
          <w:color w:val="000000"/>
          <w:sz w:val="20"/>
        </w:rPr>
        <w:t>EchoStar and certain of its other subsidiaries have also provided cash advances to certain of our foreign subsidiaries to fund certain expenditures pursuant to long-term loan agreements. Advances under these agreements bear interest at annual rates of three percent. We report amounts payable under these agreements within Related party payables - EchoStar - non-current.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EchoStar Mobile Limited Service Agreements.</w:t>
      </w:r>
      <w:r>
        <w:rPr>
          <w:color w:val="000000"/>
        </w:rPr>
        <w:t xml:space="preserve"> </w:t>
      </w:r>
      <w:r>
        <w:rPr>
          <w:rFonts w:ascii="Arial;sans-serif" w:hAnsi="Arial;sans-serif"/>
          <w:b w:val="false"/>
          <w:color w:val="000000"/>
          <w:sz w:val="20"/>
        </w:rPr>
        <w:t xml:space="preserve">We provide services and lease equipment to support the business of EchoStar Mobile Limited, a subsidiary of EchoStar that is licensed by the EU to provide mobile satellite services and complementary ground component services covering the entire EU using S-band spectrum. Generally, the amounts EchoStar’s other subsidiaries pay for these services are based on cost plus a fixed margin. We recorded revenue in </w:t>
      </w:r>
      <w:r>
        <w:rPr>
          <w:rFonts w:ascii="Arial;sans-serif" w:hAnsi="Arial;sans-serif"/>
          <w:b w:val="false"/>
          <w:i/>
          <w:color w:val="000000"/>
          <w:sz w:val="20"/>
        </w:rPr>
        <w:t xml:space="preserve">Services and other revenue </w:t>
      </w:r>
      <w:r>
        <w:rPr>
          <w:rFonts w:ascii="Arial;sans-serif" w:hAnsi="Arial;sans-serif"/>
          <w:b w:val="false"/>
          <w:color w:val="000000"/>
          <w:sz w:val="20"/>
        </w:rPr>
        <w:t>of $4.5 million, $17.6 million and $21.2 million for the years ended December 31, 2023, 2022 and 2021, respectively, related to these services. Additionally, we have converted the receivables for certain of these services into loans, bearing an annual interest rate. We report these loans within Related party receivables - EchoStar - non-current.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Construction Management Services for EchoStar XXIV Satellite. </w:t>
      </w:r>
      <w:r>
        <w:rPr>
          <w:rFonts w:ascii="Arial;sans-serif" w:hAnsi="Arial;sans-serif"/>
          <w:b w:val="false"/>
          <w:color w:val="000000"/>
          <w:sz w:val="20"/>
        </w:rPr>
        <w:t>In August 2017, a subsidiary of EchoStar entered into a contract with Maxar Space, LLC (formerly Space Systems/Loral, LLC), for the design and construction of the EchoStar XXIV satellite, a new, next-generation, high throughput geostationary satellite. We provide construction management services to EchoStar’s subsidiary for the construction of the EchoStar XXIV satellite. We charged EchoStar’s subsidiary and reduced our operating expenses by the costs of such services of $2.1 million, $1.6 million and $1.6 million for the years ended December 31, 2023, 2022 and 2021,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EchoStar XXIV Satellite Lease. </w:t>
      </w:r>
      <w:r>
        <w:rPr>
          <w:rFonts w:ascii="Arial;sans-serif" w:hAnsi="Arial;sans-serif"/>
          <w:b w:val="false"/>
          <w:color w:val="000000"/>
          <w:sz w:val="20"/>
        </w:rPr>
        <w:t>Effective December 2023, we lease capacity of the EchoStar XXIV satellite from an affiliate of ours, EchoStar XXIV L.L.C., for a term of seven years for a monthly lease charge of $15.9 million. We have a mandatory obligation to prepay $100.0 million in lease obligations under the agreement. The Company made the mandatory $100.0 million lease payment in March 2024. The Company has $887.4 million in operating right-of-use asset as of December 31, 2023 related to this lease.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F-45</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i/>
          <w:color w:val="000000"/>
          <w:sz w:val="20"/>
        </w:rPr>
        <w:t>Dividends.</w:t>
      </w:r>
      <w:r>
        <w:rPr>
          <w:color w:val="000000"/>
        </w:rPr>
        <w:t xml:space="preserve"> </w:t>
      </w:r>
      <w:r>
        <w:rPr>
          <w:rFonts w:ascii="Arial;sans-serif" w:hAnsi="Arial;sans-serif"/>
          <w:b w:val="false"/>
          <w:color w:val="000000"/>
          <w:sz w:val="20"/>
        </w:rPr>
        <w:t xml:space="preserve">On March 17, 2022, our Board of Directors declared and approved payment of a cash dividend on our outstanding common stock to our shareholder and parent, EchoStar, in the amount of $100.0 million. Payment of this dividend was made in the first quarter of 2022.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February 15, 2024, our Board of Directors declared and approved payment of a cash dividend on our outstanding common stock to our shareholder and parent, EchoStar, in the amount of $529.0 million. Payment of this dividend was made in the first quarter of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12, 2024, the Company’s Board of Directors declared and approved payment of a cash dividend on the Company’s outstanding common stock to its shareholder and parent, EchoStar, in the amount of $500.0 million. Payment of the dividend was made in the first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 xml:space="preserve">Transactions with DISH Network Corporation. </w:t>
      </w:r>
      <w:r>
        <w:rPr>
          <w:rFonts w:ascii="Arial;sans-serif" w:hAnsi="Arial;sans-serif"/>
          <w:b w:val="false"/>
          <w:color w:val="000000"/>
          <w:sz w:val="20"/>
        </w:rPr>
        <w:t xml:space="preserve">EchoStar and DISH operated as separate publicly-traded companies after 2008 (the “Spin-off”) and before the closing of the Merger. A substantial majority of the voting power of the shares of each of EchoStar and DISH is owned beneficially by Charles W. Ergen, our Chairman, and by certain entities established for the benefit of his family. At 11:59pm EST on December 31, 2023, EchoStar and DISH consummated a merger with DISH surviving as a wholly owned subsidiary of EchoStar. </w:t>
      </w:r>
      <w:r>
        <w:rPr>
          <w:rFonts w:ascii="Arial;sans-serif" w:hAnsi="Arial;sans-serif"/>
          <w:b w:val="false"/>
          <w:i/>
          <w:color w:val="000000"/>
          <w:sz w:val="20"/>
        </w:rPr>
        <w:t>See Note 1 - Organization and Business Activities</w:t>
      </w:r>
      <w:r>
        <w:rPr>
          <w:color w:val="000000"/>
        </w:rPr>
        <w:t xml:space="preserve"> </w:t>
      </w:r>
      <w:r>
        <w:rPr>
          <w:rFonts w:ascii="Arial;sans-serif" w:hAnsi="Arial;sans-serif"/>
          <w:b w:val="false"/>
          <w:color w:val="000000"/>
          <w:sz w:val="20"/>
        </w:rPr>
        <w:t>for further details on the merger with DISH.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is a summary of the transactions and the terms of the underlying principal agreements that have had or may have an impact on our consolidated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Services and Other Revenue — DISH Network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Services and other revenue - DISH Network</w:t>
      </w:r>
      <w:r>
        <w:rPr>
          <w:rFonts w:ascii="Arial;sans-serif" w:hAnsi="Arial;sans-serif"/>
          <w:b w:val="false"/>
          <w:color w:val="000000"/>
          <w:sz w:val="20"/>
        </w:rPr>
        <w:t>:</w:t>
      </w:r>
    </w:p>
    <w:tbl>
      <w:tblPr>
        <w:tblW w:w="9166" w:type="dxa"/>
        <w:jc w:val="left"/>
        <w:tblInd w:w="0" w:type="dxa"/>
        <w:tblLayout w:type="fixed"/>
        <w:tblCellMar>
          <w:top w:w="28" w:type="dxa"/>
          <w:left w:w="28" w:type="dxa"/>
          <w:bottom w:w="28" w:type="dxa"/>
          <w:right w:w="28" w:type="dxa"/>
        </w:tblCellMar>
      </w:tblPr>
      <w:tblGrid>
        <w:gridCol w:w="1418"/>
        <w:gridCol w:w="1246"/>
        <w:gridCol w:w="1250"/>
        <w:gridCol w:w="109"/>
        <w:gridCol w:w="109"/>
        <w:gridCol w:w="109"/>
        <w:gridCol w:w="109"/>
        <w:gridCol w:w="109"/>
        <w:gridCol w:w="132"/>
        <w:gridCol w:w="132"/>
        <w:gridCol w:w="256"/>
        <w:gridCol w:w="914"/>
        <w:gridCol w:w="132"/>
        <w:gridCol w:w="132"/>
        <w:gridCol w:w="132"/>
        <w:gridCol w:w="132"/>
        <w:gridCol w:w="256"/>
        <w:gridCol w:w="914"/>
        <w:gridCol w:w="132"/>
        <w:gridCol w:w="109"/>
        <w:gridCol w:w="109"/>
        <w:gridCol w:w="109"/>
        <w:gridCol w:w="211"/>
        <w:gridCol w:w="751"/>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other revenue - DISH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17,832 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related trade accounts receivable:</w:t>
      </w:r>
    </w:p>
    <w:tbl>
      <w:tblPr>
        <w:tblW w:w="6456" w:type="dxa"/>
        <w:jc w:val="left"/>
        <w:tblInd w:w="0" w:type="dxa"/>
        <w:tblLayout w:type="fixed"/>
        <w:tblCellMar>
          <w:top w:w="28" w:type="dxa"/>
          <w:left w:w="28" w:type="dxa"/>
          <w:bottom w:w="28" w:type="dxa"/>
          <w:right w:w="28" w:type="dxa"/>
        </w:tblCellMar>
      </w:tblPr>
      <w:tblGrid>
        <w:gridCol w:w="1384"/>
        <w:gridCol w:w="1217"/>
        <w:gridCol w:w="1224"/>
        <w:gridCol w:w="109"/>
        <w:gridCol w:w="109"/>
        <w:gridCol w:w="109"/>
        <w:gridCol w:w="211"/>
        <w:gridCol w:w="646"/>
        <w:gridCol w:w="109"/>
        <w:gridCol w:w="109"/>
        <w:gridCol w:w="109"/>
        <w:gridCol w:w="109"/>
        <w:gridCol w:w="211"/>
        <w:gridCol w:w="64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 DISH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Satellite Capacity Leased to DISH Network. </w:t>
      </w:r>
      <w:r>
        <w:rPr>
          <w:rFonts w:ascii="Arial;sans-serif" w:hAnsi="Arial;sans-serif"/>
          <w:b w:val="false"/>
          <w:color w:val="000000"/>
          <w:sz w:val="20"/>
        </w:rPr>
        <w:t>Effective January 2008, DISH Network began leasing satellite capacity from us on the EchoStar IX satellite. We terminated the provision of this satellite capacity in December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Telesat Obligation Agreement. </w:t>
      </w:r>
      <w:r>
        <w:rPr>
          <w:rFonts w:ascii="Arial;sans-serif" w:hAnsi="Arial;sans-serif"/>
          <w:b w:val="false"/>
          <w:color w:val="000000"/>
          <w:sz w:val="20"/>
        </w:rPr>
        <w:t xml:space="preserve">In September 2009, we entered into an agreement with Telesat Canada to lease satellite capacity from Telesat Canada on all 32 direct broadcast satellite (“DBS”) transponders on the Nimiq 5 satellite at the 72.7 degree west longitude orbital location (the “Telesat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 commenced in September 2009, when the Nimiq 5 satellite was placed into service. We transferred the Telesat Transponder Agreement to DISH Network in September 2019; however, we retained certain obligations related to DISH Network’s performance under that agreement and we entered into an agreement with DISH Network whereby DISH Network compensates us for retaining such obligations.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F-46</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TerreStar Agreement. </w:t>
      </w:r>
      <w:r>
        <w:rPr>
          <w:rFonts w:ascii="Arial;sans-serif" w:hAnsi="Arial;sans-serif"/>
          <w:b w:val="false"/>
          <w:color w:val="000000"/>
          <w:sz w:val="20"/>
        </w:rPr>
        <w:t>In March 2012, DISH Network completed its acquisition of substantially all the assets of TerreStar Networks Inc. (“TerreStar”). Prior to DISH Network’s acquisition of substantially all the assets of TerreStar and EchoStar’s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these services are terminated by DISH Network upon at least 90 days’ written notice to us.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have recommenced providing warranty services to DISH Network. In May 2022, we and DISH Network amended the agreement for the provision of hosting services to extend the term until May 2027. The price for warranty and operations and maintenance was valid until December 31, 2023. We and DISH Network amended the agreements for warranty, operations, and maintenance services for TerreStar ground-based communications equipment, effective as of January 1, 2024, to extend the existing pricing and other terms through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Hughes Broadband Distribution Agreement. </w:t>
      </w:r>
      <w:r>
        <w:rPr>
          <w:rFonts w:ascii="Arial;sans-serif" w:hAnsi="Arial;sans-serif"/>
          <w:b w:val="false"/>
          <w:color w:val="000000"/>
          <w:sz w:val="20"/>
        </w:rPr>
        <w:t xml:space="preserve">Effective October 2012, we and DISH Network entered into a distribution agreement (the “Distribution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DBSD North America Agreement. </w:t>
      </w:r>
      <w:r>
        <w:rPr>
          <w:rFonts w:ascii="Arial;sans-serif" w:hAnsi="Arial;sans-serif"/>
          <w:b w:val="false"/>
          <w:color w:val="000000"/>
          <w:sz w:val="20"/>
        </w:rPr>
        <w:t>In March 2012, DISH Network completed its acquisition of all of the equity of DBSD North America, Inc. (“DBSD North America”). Prior to DISH Network’s acquisition of DBSD North America and EchoStar’s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 The price for warranty and operations and maintenance services was valid until December 31, 2023. We and DBSD North America amended the agreements for warranty, operations, and maintenance services for DBSD’s gateway and ground-based communications equipment, effective as of January 1, 2024, to extend the existing pricing and other terms through December 31, 2024</w:t>
      </w:r>
      <w:r>
        <w:rPr>
          <w:rFonts w:ascii="Arial;sans-serif" w:hAnsi="Arial;sans-serif"/>
          <w:b w:val="false"/>
          <w:color w:val="000000"/>
          <w:sz w:val="22"/>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F-47</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Hughes Equipment and Services Agreement. </w:t>
      </w:r>
      <w:r>
        <w:rPr>
          <w:rFonts w:ascii="Arial;sans-serif" w:hAnsi="Arial;sans-serif"/>
          <w:b w:val="false"/>
          <w:color w:val="000000"/>
          <w:sz w:val="20"/>
        </w:rPr>
        <w:t xml:space="preserve">In February 2019, we and DISH Network entered into an agreement pursuant to which we will 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Operating Expenses — DISH Network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operating expenses related to DISH Network:</w:t>
      </w:r>
    </w:p>
    <w:p>
      <w:pPr>
        <w:pStyle w:val="TextBody"/>
        <w:bidi w:val="0"/>
        <w:spacing w:before="0" w:after="0"/>
        <w:jc w:val="both"/>
        <w:rPr/>
      </w:pPr>
      <w:r>
        <w:rPr/>
      </w:r>
    </w:p>
    <w:tbl>
      <w:tblPr>
        <w:tblW w:w="8415" w:type="dxa"/>
        <w:jc w:val="left"/>
        <w:tblInd w:w="0" w:type="dxa"/>
        <w:tblLayout w:type="fixed"/>
        <w:tblCellMar>
          <w:top w:w="28" w:type="dxa"/>
          <w:left w:w="28" w:type="dxa"/>
          <w:bottom w:w="28" w:type="dxa"/>
          <w:right w:w="28" w:type="dxa"/>
        </w:tblCellMar>
      </w:tblPr>
      <w:tblGrid>
        <w:gridCol w:w="1184"/>
        <w:gridCol w:w="1041"/>
        <w:gridCol w:w="1044"/>
        <w:gridCol w:w="109"/>
        <w:gridCol w:w="109"/>
        <w:gridCol w:w="109"/>
        <w:gridCol w:w="109"/>
        <w:gridCol w:w="109"/>
        <w:gridCol w:w="143"/>
        <w:gridCol w:w="143"/>
        <w:gridCol w:w="278"/>
        <w:gridCol w:w="853"/>
        <w:gridCol w:w="143"/>
        <w:gridCol w:w="143"/>
        <w:gridCol w:w="143"/>
        <w:gridCol w:w="143"/>
        <w:gridCol w:w="278"/>
        <w:gridCol w:w="853"/>
        <w:gridCol w:w="143"/>
        <w:gridCol w:w="109"/>
        <w:gridCol w:w="109"/>
        <w:gridCol w:w="109"/>
        <w:gridCol w:w="211"/>
        <w:gridCol w:w="64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c>
          <w:tcPr>
            <w:tcW w:w="1338" w:type="dxa"/>
            <w:gridSpan w:val="6"/>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 DISH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related trade accounts payable:</w:t>
      </w:r>
    </w:p>
    <w:tbl>
      <w:tblPr>
        <w:tblW w:w="6080" w:type="dxa"/>
        <w:jc w:val="center"/>
        <w:tblInd w:w="0" w:type="dxa"/>
        <w:tblLayout w:type="fixed"/>
        <w:tblCellMar>
          <w:top w:w="28" w:type="dxa"/>
          <w:left w:w="28" w:type="dxa"/>
          <w:bottom w:w="28" w:type="dxa"/>
          <w:right w:w="28" w:type="dxa"/>
        </w:tblCellMar>
      </w:tblPr>
      <w:tblGrid>
        <w:gridCol w:w="1310"/>
        <w:gridCol w:w="1148"/>
        <w:gridCol w:w="1156"/>
        <w:gridCol w:w="109"/>
        <w:gridCol w:w="109"/>
        <w:gridCol w:w="109"/>
        <w:gridCol w:w="211"/>
        <w:gridCol w:w="646"/>
        <w:gridCol w:w="109"/>
        <w:gridCol w:w="109"/>
        <w:gridCol w:w="109"/>
        <w:gridCol w:w="109"/>
        <w:gridCol w:w="211"/>
        <w:gridCol w:w="481"/>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 - DISH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Amended and Restated Professional Services Agreement.</w:t>
      </w:r>
      <w:r>
        <w:rPr>
          <w:color w:val="000000"/>
        </w:rPr>
        <w:t xml:space="preserve"> </w:t>
      </w:r>
      <w:r>
        <w:rPr>
          <w:rFonts w:ascii="Arial;sans-serif" w:hAnsi="Arial;sans-serif"/>
          <w:b w:val="false"/>
          <w:color w:val="000000"/>
          <w:sz w:val="20"/>
        </w:rPr>
        <w:t>In connection with the Spin-off, EchoStar entered into various agreements with DISH Network including a transition services agreement, satellite procurement agreement and services agreement, all of which expired in January 2010 and were replaced by a professional services agreement (the “Professional Services Agreement”). In January 2010, EchoStar and DISH Network agreed that EchoStar and its subsidiaries shall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EchoStar and DISH Network agreed that DISH Network would continue to have the right, but not the obligation, to engage EchoStar and its subsidiaries to manage the process of procuring new satellite capacity for DISH Network (previously provided under a satellite procurement agreement), receive logistics, procurement and quality assurance services from EchoStar and its subsidiaries (previously provided under a services agreement) and provide other support services. EchoStar and DISH amended and restated the Professional Services Agreement (as amended to date, the “Amended and Restated Professional Services Agreement”) to provide that EchoStar and its subsidiaries and DISH Network shall have the right to receive additional services that either EchoStar and its subsidiaries or DISH Network may require, including access to antennas owned by DISH Network for our use in performing TT&amp;C services and maintenance and support services for our antennas (collectively, the “TT&amp;C Antennas”). In September 2019, EchoStar and DISH amended the Amended and Restated Professional Services Agreement to provide that EchoStar and its subsidiaries and DISH Network shall have the right to receive additional services that either EchoStar and its subsidiaries or DISH Network may require as a result of the BSS Transaction and to remove our access to and the maintenance and support services for the TT&amp;C Antennas. A portion of these costs and expenses have been allocated to us in the manner described above. The term of the Amended and Restated Professional Services Agreement is through January 1, 2025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provided under the Amended and Restated Professional Services Agreement may survive the termination of the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F-48</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Collocation and Antenna Space Agreements. </w:t>
      </w:r>
      <w:r>
        <w:rPr>
          <w:rFonts w:ascii="Arial;sans-serif" w:hAnsi="Arial;sans-serif"/>
          <w:b w:val="false"/>
          <w:color w:val="000000"/>
          <w:sz w:val="20"/>
        </w:rPr>
        <w:t xml:space="preserve">We and DISH Network entered into an agreement pursuant to which DISH Network provided us with collocation space in El Paso, Texas. This agreement was for an initial period ending in July 2015, and provided us with renewal options for four consecutive three-year terms. We exercised our first renewal option for a period commencing in August 2015 and ending in July 2018, in April 2018 we exercised our second renewal option for a period ending in July 2021, and in May 2021 we exercised our third renewal option for a period ending in July 2024.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effective May 2020. In November 2020, we provided a termination notice for one of our Englewood, Colorado agreements effective May 2021. In November 2021, we exercised our right to renew the collocation agreements at Gilbert, Arizona, Cheyenne, Wyoming, Spokane, Washington, Englewood, Colorado and Monee, Illinois for a period ending in February 2025. In August 2017, we and DISH Network also entered into certain other agreements pursuant to which DISH Network provides additional collocation and antenna space to us in Monee, Illinois and Spokane, Washington through August 2022. In May 2022, we exercised our right to renew such other agreements at Monee, Illinois and Spokane, Washington through August 2025.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The fees for the services provided under these agreements depend on the number of racks located at the location.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We entered into an agreement pursuant to which DISH Network provides us with antenna space and power in Cheyenne, Wyoming for a period of five years commencing in August 2020, with four three-year renewal terms, with prior written notice of renewal required no more than 120 days but no less than 90 days prior to the end of the then-current term. In March 2021, we entered into additional agreements pursuant to which DISH Network provides us with</w:t>
      </w:r>
      <w:r>
        <w:rPr>
          <w:color w:val="000000"/>
        </w:rPr>
        <w:t xml:space="preserve"> </w:t>
      </w:r>
      <w:r>
        <w:rPr>
          <w:rFonts w:ascii="Arial;sans-serif" w:hAnsi="Arial;sans-serif"/>
          <w:b w:val="false"/>
          <w:color w:val="000000"/>
          <w:sz w:val="20"/>
        </w:rPr>
        <w:t>antenna space and power in Cheyenne, Wyoming, and the right to use an antenna and certain space in Gilbert, Arizona. Both agreements are for a period of five years with four three-year renewal terms, with prior written notice of renewal required no more than 120 days but no less than 90 days prior to the end of the then-current term.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Hughes Broadband Master Services Agreement</w:t>
      </w:r>
      <w:r>
        <w:rPr>
          <w:rFonts w:ascii="Arial;sans-serif" w:hAnsi="Arial;sans-serif"/>
          <w:b w:val="false"/>
          <w:color w:val="000000"/>
          <w:sz w:val="20"/>
        </w:rPr>
        <w:t>. In conjunction with the launch of our EchoStar XIX satellite, in March 2017, we and DISH 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current term of the Hughes Broadband MSA is through March 2023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$1.9 million, $6.8 million and $8.4 million for the years ended December 31, 2023, 2022 and 2021,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2019 TT&amp;C Agreement</w:t>
      </w:r>
      <w:r>
        <w:rPr>
          <w:rFonts w:ascii="Arial;sans-serif" w:hAnsi="Arial;sans-serif"/>
          <w:b w:val="false"/>
          <w:color w:val="000000"/>
          <w:sz w:val="20"/>
        </w:rPr>
        <w:t>. In September 2019, we and a subsidiary of EchoStar entered into an agreement pursuant to which DISH Network provides TT&amp;C services to us and EchoStar and its other subsidiaries for a period ending in September 2021, with the option for a subsidiary of EchoStar to renew for a one-year period upon written notice at least 90 days prior to the initial expiration (the “2019 TT&amp;C Agreement”). In June 2023, we exercised the option to renew the 2019 TT&amp;C Agreement until September 2024.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F-49</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Referral Marketing Agreement</w:t>
      </w:r>
      <w:r>
        <w:rPr>
          <w:rFonts w:ascii="Arial;sans-serif" w:hAnsi="Arial;sans-serif"/>
          <w:b w:val="false"/>
          <w:color w:val="000000"/>
          <w:sz w:val="20"/>
        </w:rPr>
        <w:t xml:space="preserve">. In June 2021, we and DISH Network entered into an agreement pursuant to which we will pre-qualify prospects contacting Hughes call centers and transfer those prospects to DISH Network for introduction to DISH Network’s video services, for prospects that convert Hughes will receive a commission. This agreement has an indefinite term and may be terminated by either party upon 90 days’ prior written notice.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Whidbey Island 5G Network Test Bed Subcontract. </w:t>
      </w:r>
      <w:r>
        <w:rPr>
          <w:rFonts w:ascii="Arial;sans-serif" w:hAnsi="Arial;sans-serif"/>
          <w:b w:val="false"/>
          <w:color w:val="000000"/>
          <w:sz w:val="20"/>
        </w:rPr>
        <w:t>In June 2022, we and DISH Wireless entered into a subcontract (“DISH Subcontract”) pursuant to which DISH will provide access and use of a DISH lab, technical support and integration and testing support for the 5G network test bed to be delivered by Hughes to its customer. DISH Wireless additionally has agreed to lease certain licensed wireless spectrum to Hughes in connection with the project. Between June 2022 and October 2023 the scope of the DISH Subcontract has expanded to include additional spectrum leases and construction and related services work at Whidbey Island and the Lualualei Annex.</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F-50</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17.    RELATED PARTY TRANSACTIONS - OTHER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TerreStar Solutions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DISH Network owns 37.5%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$1.9 million, $2.0 million and $1.9 million for the years ended December 31, 2023, 2022 and 2021, respectively. As of December 31, 2023, we had no trade accounts receivable from TSI.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F-51</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18.    COMMITMENTS AND CONTINGENCIES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Commitments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summarizes our contractual obligations as of December 31, 2023: </w:t>
      </w:r>
    </w:p>
    <w:tbl>
      <w:tblPr>
        <w:tblW w:w="12067" w:type="dxa"/>
        <w:jc w:val="left"/>
        <w:tblInd w:w="0" w:type="dxa"/>
        <w:tblLayout w:type="fixed"/>
        <w:tblCellMar>
          <w:top w:w="28" w:type="dxa"/>
          <w:left w:w="28" w:type="dxa"/>
          <w:bottom w:w="28" w:type="dxa"/>
          <w:right w:w="28" w:type="dxa"/>
        </w:tblCellMar>
      </w:tblPr>
      <w:tblGrid>
        <w:gridCol w:w="798"/>
        <w:gridCol w:w="306"/>
        <w:gridCol w:w="307"/>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Payments Due in the Years Ending December 31,</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Total </w:t>
            </w:r>
            <w:r>
              <w:rPr>
                <w:rFonts w:ascii="Arial;sans-serif" w:hAnsi="Arial;sans-serif"/>
                <w:b/>
                <w:color w:val="000000"/>
                <w:sz w:val="12"/>
              </w:rPr>
              <w:t>(4)(5)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Thereafter</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Long-term debt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Satellite-related commitments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Operating lease obligations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3,571,535 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575,326 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(1)    Assumes all long-term debt is outstanding until scheduled maturity. </w:t>
      </w:r>
    </w:p>
    <w:p>
      <w:pPr>
        <w:pStyle w:val="TextBody"/>
        <w:bidi w:val="0"/>
        <w:spacing w:lineRule="auto" w:line="288" w:before="40" w:after="283"/>
        <w:ind w:left="0" w:right="0" w:hanging="360"/>
        <w:jc w:val="both"/>
        <w:rPr>
          <w:rFonts w:ascii="Arial;sans-serif" w:hAnsi="Arial;sans-serif"/>
          <w:b w:val="false"/>
          <w:color w:val="000000"/>
          <w:sz w:val="16"/>
        </w:rPr>
      </w:pPr>
      <w:r>
        <w:rPr>
          <w:rFonts w:ascii="Arial;sans-serif" w:hAnsi="Arial;sans-serif"/>
          <w:b w:val="false"/>
          <w:color w:val="000000"/>
          <w:sz w:val="16"/>
        </w:rPr>
        <w:t>(2)    Includes payments pursuant to: i) the EchoStar XXIV launch contract, ii) regulatory authorizations, iii) non-lease costs associated with our finance lease satellites, iv) in-orbit incentives relating to certain satellites and v) commitments for satellite service arrangements.</w:t>
      </w:r>
    </w:p>
    <w:p>
      <w:pPr>
        <w:pStyle w:val="TextBody"/>
        <w:bidi w:val="0"/>
        <w:spacing w:lineRule="auto" w:line="288" w:before="40" w:after="283"/>
        <w:ind w:left="0" w:right="0" w:hanging="360"/>
        <w:jc w:val="both"/>
        <w:rPr>
          <w:rFonts w:ascii="Arial;sans-serif" w:hAnsi="Arial;sans-serif"/>
          <w:b w:val="false"/>
          <w:color w:val="000000"/>
          <w:sz w:val="16"/>
        </w:rPr>
      </w:pPr>
      <w:r>
        <w:rPr>
          <w:rFonts w:ascii="Arial;sans-serif" w:hAnsi="Arial;sans-serif"/>
          <w:b w:val="false"/>
          <w:color w:val="000000"/>
          <w:sz w:val="16"/>
        </w:rPr>
        <w:t>(3)    Operating leases consist primarily of leases for the EchoStar XXIV satellite, office space, data centers and satellite-related ground infrastructure.</w:t>
      </w:r>
    </w:p>
    <w:p>
      <w:pPr>
        <w:pStyle w:val="TextBody"/>
        <w:bidi w:val="0"/>
        <w:spacing w:lineRule="auto" w:line="288" w:before="40" w:after="283"/>
        <w:ind w:left="0" w:right="0" w:hanging="360"/>
        <w:jc w:val="both"/>
        <w:rPr>
          <w:rFonts w:ascii="Arial;sans-serif" w:hAnsi="Arial;sans-serif"/>
          <w:b w:val="false"/>
          <w:color w:val="000000"/>
          <w:sz w:val="16"/>
        </w:rPr>
      </w:pPr>
      <w:r>
        <w:rPr>
          <w:rFonts w:ascii="Arial;sans-serif" w:hAnsi="Arial;sans-serif"/>
          <w:b w:val="false"/>
          <w:color w:val="000000"/>
          <w:sz w:val="16"/>
        </w:rPr>
        <w:t>(4)    The table excludes amounts related to deferred tax liabilities, unrecognized tax positions and certain other amounts recorded in our non-current liabilities as the timing of any payments is uncertain.</w:t>
      </w:r>
    </w:p>
    <w:p>
      <w:pPr>
        <w:pStyle w:val="TextBody"/>
        <w:bidi w:val="0"/>
        <w:spacing w:lineRule="auto" w:line="288" w:before="40" w:after="283"/>
        <w:jc w:val="both"/>
        <w:rPr>
          <w:rFonts w:ascii="Arial;sans-serif" w:hAnsi="Arial;sans-serif"/>
          <w:b w:val="false"/>
          <w:color w:val="000000"/>
          <w:sz w:val="16"/>
        </w:rPr>
      </w:pPr>
      <w:r>
        <w:rPr>
          <w:rFonts w:ascii="Arial;sans-serif" w:hAnsi="Arial;sans-serif"/>
          <w:b w:val="false"/>
          <w:color w:val="000000"/>
          <w:sz w:val="16"/>
        </w:rPr>
        <w:t>(5)    The table excludes long-term deferred revenue and other long-term liabilities that do not require future cash payments.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certain circumstances, the dates on which we are obligated to pay our contractual obligations could change.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Contingencies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Patents and Intellectual Property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Many entities, including some of our competitors, have, or may in the future, obtain patents and other intellectual property rights that cover or affect products or services that we offer or that we may offer in the future. We may not be aware of all intellectual property rights that our products or services may potentially infringe. Damages in patent infringement cases can be substantial, and in certain circumstances can be tripled. Further, we cannot estimate the extent to which we may be required in the future to obtain licenses with respect to patents held by others and the availability and cost of any such licenses. Various parties have asserted patent and other intellectual property rights with respect to components of our products and services. We cannot be certain that these persons do not own the rights they claim, that our products do not infringe on these rights, and/or that these rights are not valid. Further, we cannot be certain that we would be able to obtain licenses from these persons on commercially reasonable terms or, if we were unable to obtain such licenses, that we would be able to redesign our products to avoid infringement.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Litigation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F-52</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License Fee Dispute with Government of India, Department of Telecommunications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1994, the Government of India promulgated a “National Telecommunications Policy” under which the government liberalized the telecommunications sector and required telecommunications service providers to pay fixed license fees. Pursuant to this policy, our subsidiary HCIPL, formerly known as Hughes Escorts Communications Limited, obtained a license to operate a data network over satellite using VSAT systems. In 2002, HCIPL’s license was amended pursuant to a new government policy that was first established in 1999. The new policy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a10-year payment schedule. Under this payment schedule, HCIPL is required to make an annual payment every March 31, through 2031. Following the Supreme Court of India’s October 2019 judgment, HCIPL made payments during the first quarter of 2020, and additional payments on March 31, 2021 and March 31, 2022.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Pursuant to the Contribution and Membership Interest Purchase Agreement (the “Purchase Agreement”) dated December 3, 2004 between The DirecTV Group, Inc. ("DirecTV") and certain other entities relating to the spinoff by DirecTV of certain of its subsidiaries, including HCIPL, DirecTV undertook indemnification obligations to HCIPL, and HCIPL has pursued indemnification claims against DirecTV under the Purchase Agreement in connection with the license fees assessed in this proceeding.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On June 22, 2023, the United States Court of Appeals for the Second Circuit ruled that, under the Purchase Agreement, HCIPL, is entitled to indemnification from DirecTV, with the amount of indemnification to be determined in further proceedings before the district court in New York.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components of the accrual:</w:t>
      </w:r>
    </w:p>
    <w:tbl>
      <w:tblPr>
        <w:tblW w:w="5810" w:type="dxa"/>
        <w:jc w:val="left"/>
        <w:tblInd w:w="0" w:type="dxa"/>
        <w:tblLayout w:type="fixed"/>
        <w:tblCellMar>
          <w:top w:w="28" w:type="dxa"/>
          <w:left w:w="28" w:type="dxa"/>
          <w:bottom w:w="28" w:type="dxa"/>
          <w:right w:w="28" w:type="dxa"/>
        </w:tblCellMar>
      </w:tblPr>
      <w:tblGrid>
        <w:gridCol w:w="1074"/>
        <w:gridCol w:w="946"/>
        <w:gridCol w:w="949"/>
        <w:gridCol w:w="109"/>
        <w:gridCol w:w="109"/>
        <w:gridCol w:w="109"/>
        <w:gridCol w:w="211"/>
        <w:gridCol w:w="751"/>
        <w:gridCol w:w="109"/>
        <w:gridCol w:w="109"/>
        <w:gridCol w:w="109"/>
        <w:gridCol w:w="109"/>
        <w:gridCol w:w="211"/>
        <w:gridCol w:w="751"/>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license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interest on penalties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Any eventual payments made with respect to the ultimate outcome of this matter may be different from our accrual and such differences could be significant. </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i/>
          <w:color w:val="000000"/>
          <w:sz w:val="20"/>
        </w:rPr>
        <w:t>Hughes Telecommunicaoes do Brasil v. State of São Paulo Treasury Department of São Paulo Treasury Department</w:t>
      </w:r>
      <w:r>
        <w:rPr>
          <w:color w:val="000000"/>
        </w:rPr>
        <w:t xml:space="preserve">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 xml:space="preserve">On December 12, 2019, Hughes Telecommunicaoes do Brasil (“HTB”) filed </w:t>
      </w:r>
      <w:r>
        <w:rPr>
          <w:rFonts w:ascii="Arial;sans-serif" w:hAnsi="Arial;sans-serif"/>
          <w:b w:val="false"/>
          <w:color w:val="000000"/>
          <w:sz w:val="20"/>
          <w:shd w:fill="FFFFFF" w:val="clear"/>
        </w:rPr>
        <w:t>a tax annulment claim in the Judicial Court of São Paulo, claiming that a tax assessment from the State Treasury of São Paulo, for the period from January 2013 to December 2014, was based on an erroneous interpretation of an exemption to the ICMS (a state tax on, among other things, communications).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shd w:fill="FFFFFF" w:val="clear"/>
        </w:rPr>
        <w:t>In June 2022, a judicial expert determined that HTB’s interpretation of the exemption was correct.</w:t>
      </w:r>
      <w:r>
        <w:rPr>
          <w:color w:val="000000"/>
        </w:rPr>
        <w:t xml:space="preserve"> </w:t>
      </w:r>
      <w:r>
        <w:rPr>
          <w:rFonts w:ascii="Arial;sans-serif" w:hAnsi="Arial;sans-serif"/>
          <w:b w:val="false"/>
          <w:color w:val="000000"/>
          <w:sz w:val="20"/>
          <w:shd w:fill="FFFFFF" w:val="clear"/>
        </w:rPr>
        <w:t>Nonetheless, in July 2023, the Court entered judgment against HTB, and in October 2023, rejected HTB’s request for clarification.</w:t>
      </w:r>
      <w:r>
        <w:rPr>
          <w:color w:val="000000"/>
        </w:rPr>
        <w:t xml:space="preserve"> </w:t>
      </w:r>
      <w:r>
        <w:rPr>
          <w:rFonts w:ascii="Arial;sans-serif" w:hAnsi="Arial;sans-serif"/>
          <w:b w:val="false"/>
          <w:color w:val="000000"/>
          <w:sz w:val="20"/>
          <w:shd w:fill="FFFFFF" w:val="clear"/>
        </w:rPr>
        <w:t>In November 2023, HTB filed an appeal to the Court of Justice.</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shd w:fill="FFFFFF" w:val="clear"/>
        </w:rPr>
        <w:t>We intend to vigorously defend this case.</w:t>
      </w:r>
      <w:r>
        <w:rPr>
          <w:color w:val="000000"/>
        </w:rPr>
        <w:t xml:space="preserve"> </w:t>
      </w:r>
      <w:r>
        <w:rPr>
          <w:rFonts w:ascii="Arial;sans-serif" w:hAnsi="Arial;sans-serif"/>
          <w:b w:val="false"/>
          <w:color w:val="000000"/>
          <w:sz w:val="20"/>
          <w:shd w:fill="FFFFFF" w:val="clear"/>
        </w:rPr>
        <w:t>We cannot predict with any degree of certainty the outcome of the suit.</w:t>
      </w:r>
      <w:r>
        <w:rPr>
          <w:color w:val="000000"/>
        </w:rPr>
        <w:t xml:space="preserve"> </w:t>
      </w:r>
      <w:r>
        <w:rPr>
          <w:rFonts w:ascii="Arial;sans-serif" w:hAnsi="Arial;sans-serif"/>
          <w:b w:val="false"/>
          <w:color w:val="000000"/>
          <w:sz w:val="20"/>
          <w:shd w:fill="FFFFFF" w:val="clear"/>
        </w:rPr>
        <w:t>The possible liability, including fees and interest, is approximately $</w:t>
      </w:r>
      <w:r>
        <w:rPr>
          <w:rFonts w:ascii="Arial;sans-serif" w:hAnsi="Arial;sans-serif"/>
          <w:b w:val="false"/>
          <w:color w:val="000000"/>
          <w:sz w:val="20"/>
        </w:rPr>
        <w:t>8.0</w:t>
      </w:r>
      <w:r>
        <w:rPr>
          <w:color w:val="000000"/>
          <w:shd w:fill="FFFFFF" w:val="clear"/>
        </w:rPr>
        <w:t xml:space="preserve"> </w:t>
      </w:r>
      <w:r>
        <w:rPr>
          <w:rFonts w:ascii="Arial;sans-serif" w:hAnsi="Arial;sans-serif"/>
          <w:b w:val="false"/>
          <w:color w:val="000000"/>
          <w:sz w:val="20"/>
          <w:shd w:fill="FFFFFF" w:val="clear"/>
        </w:rPr>
        <w:t>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F-53</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NOTE 19.</w:t>
      </w:r>
      <w:r>
        <w:rPr>
          <w:color w:val="000000"/>
        </w:rPr>
        <w:t>    </w:t>
      </w:r>
      <w:r>
        <w:rPr>
          <w:rFonts w:ascii="Arial;sans-serif" w:hAnsi="Arial;sans-serif"/>
          <w:b/>
          <w:color w:val="000000"/>
          <w:sz w:val="20"/>
        </w:rPr>
        <w:t>SEGMENT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Business segments are components of an enterprise for which separate financial information is available and regularly evaluated by our chief operating decision maker (“CODM”). We operate in two business segments, Hughes segment and ESS segment.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primary measure of segment profitability that is reported regularly to our CODM is earnings before interest, taxes, depreciation and amortization, and net income (loss) attributable to non-controlling interests (“EBITDA”).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assets by segment have not been reported herein because the information is not provided to our CODM on a regular basis.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total revenue, capital expenditures and EBITDA for each of our business segments: </w:t>
      </w:r>
    </w:p>
    <w:p>
      <w:pPr>
        <w:pStyle w:val="TextBody"/>
        <w:bidi w:val="0"/>
        <w:spacing w:before="0" w:after="0"/>
        <w:jc w:val="both"/>
        <w:rPr/>
      </w:pPr>
      <w:r>
        <w:rPr/>
      </w:r>
    </w:p>
    <w:tbl>
      <w:tblPr>
        <w:tblW w:w="9537" w:type="dxa"/>
        <w:jc w:val="left"/>
        <w:tblInd w:w="0" w:type="dxa"/>
        <w:tblLayout w:type="fixed"/>
        <w:tblCellMar>
          <w:top w:w="28" w:type="dxa"/>
          <w:left w:w="28" w:type="dxa"/>
          <w:bottom w:w="28" w:type="dxa"/>
          <w:right w:w="28" w:type="dxa"/>
        </w:tblCellMar>
      </w:tblPr>
      <w:tblGrid>
        <w:gridCol w:w="1243"/>
        <w:gridCol w:w="1095"/>
        <w:gridCol w:w="1097"/>
        <w:gridCol w:w="109"/>
        <w:gridCol w:w="109"/>
        <w:gridCol w:w="109"/>
        <w:gridCol w:w="211"/>
        <w:gridCol w:w="976"/>
        <w:gridCol w:w="109"/>
        <w:gridCol w:w="109"/>
        <w:gridCol w:w="109"/>
        <w:gridCol w:w="109"/>
        <w:gridCol w:w="211"/>
        <w:gridCol w:w="721"/>
        <w:gridCol w:w="109"/>
        <w:gridCol w:w="109"/>
        <w:gridCol w:w="109"/>
        <w:gridCol w:w="109"/>
        <w:gridCol w:w="211"/>
        <w:gridCol w:w="796"/>
        <w:gridCol w:w="109"/>
        <w:gridCol w:w="109"/>
        <w:gridCol w:w="109"/>
        <w:gridCol w:w="109"/>
        <w:gridCol w:w="211"/>
        <w:gridCol w:w="97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br/>
              <w:t>Total</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For the 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1,747,856 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(79,582)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(21,578)</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For the 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2,003,343 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732,929 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(50,852)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696,493 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year ended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1,956,226 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1,956,226 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1,994,726 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781,824 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(30,628)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760,381 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F-54</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reconciles </w:t>
      </w:r>
      <w:r>
        <w:rPr>
          <w:rFonts w:ascii="Arial;sans-serif" w:hAnsi="Arial;sans-serif"/>
          <w:b w:val="false"/>
          <w:i/>
          <w:color w:val="000000"/>
          <w:sz w:val="20"/>
        </w:rPr>
        <w:t>Income (loss) before income taxes</w:t>
      </w:r>
      <w:r>
        <w:rPr>
          <w:color w:val="000000"/>
        </w:rPr>
        <w:t xml:space="preserve"> </w:t>
      </w:r>
      <w:r>
        <w:rPr>
          <w:rFonts w:ascii="Arial;sans-serif" w:hAnsi="Arial;sans-serif"/>
          <w:b w:val="false"/>
          <w:color w:val="000000"/>
          <w:sz w:val="20"/>
        </w:rPr>
        <w:t xml:space="preserve">in the Consolidated Statements of Operations to EBITDA: </w:t>
      </w:r>
    </w:p>
    <w:tbl>
      <w:tblPr>
        <w:tblW w:w="10205" w:type="dxa"/>
        <w:jc w:val="left"/>
        <w:tblInd w:w="0" w:type="dxa"/>
        <w:tblLayout w:type="fixed"/>
        <w:tblCellMar>
          <w:top w:w="28" w:type="dxa"/>
          <w:left w:w="28" w:type="dxa"/>
          <w:bottom w:w="28" w:type="dxa"/>
          <w:right w:w="28" w:type="dxa"/>
        </w:tblCellMar>
      </w:tblPr>
      <w:tblGrid>
        <w:gridCol w:w="1776"/>
        <w:gridCol w:w="1539"/>
        <w:gridCol w:w="1546"/>
        <w:gridCol w:w="109"/>
        <w:gridCol w:w="109"/>
        <w:gridCol w:w="109"/>
        <w:gridCol w:w="109"/>
        <w:gridCol w:w="109"/>
        <w:gridCol w:w="119"/>
        <w:gridCol w:w="119"/>
        <w:gridCol w:w="232"/>
        <w:gridCol w:w="1006"/>
        <w:gridCol w:w="119"/>
        <w:gridCol w:w="119"/>
        <w:gridCol w:w="119"/>
        <w:gridCol w:w="119"/>
        <w:gridCol w:w="232"/>
        <w:gridCol w:w="942"/>
        <w:gridCol w:w="119"/>
        <w:gridCol w:w="109"/>
        <w:gridCol w:w="109"/>
        <w:gridCol w:w="109"/>
        <w:gridCol w:w="211"/>
        <w:gridCol w:w="856"/>
        <w:gridCol w:w="160"/>
      </w:tblGrid>
      <w:tr>
        <w:trPr/>
        <w:tc>
          <w:tcPr>
            <w:tcW w:w="177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c>
          <w:tcPr>
            <w:tcW w:w="1554" w:type="dxa"/>
            <w:gridSpan w:val="6"/>
            <w:tcBorders/>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(432,312)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167,728 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(85,036)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126,499 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389,632 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431,065 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464,146 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(21,578)</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696,493 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760,381 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Geographic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summarizes total long-lived assets attributed to the North America, South and Central America and other foreign locations: </w:t>
      </w:r>
    </w:p>
    <w:tbl>
      <w:tblPr>
        <w:tblW w:w="5840" w:type="dxa"/>
        <w:jc w:val="left"/>
        <w:tblInd w:w="0" w:type="dxa"/>
        <w:tblLayout w:type="fixed"/>
        <w:tblCellMar>
          <w:top w:w="28" w:type="dxa"/>
          <w:left w:w="28" w:type="dxa"/>
          <w:bottom w:w="28" w:type="dxa"/>
          <w:right w:w="28" w:type="dxa"/>
        </w:tblCellMar>
      </w:tblPr>
      <w:tblGrid>
        <w:gridCol w:w="890"/>
        <w:gridCol w:w="783"/>
        <w:gridCol w:w="786"/>
        <w:gridCol w:w="109"/>
        <w:gridCol w:w="109"/>
        <w:gridCol w:w="109"/>
        <w:gridCol w:w="211"/>
        <w:gridCol w:w="1021"/>
        <w:gridCol w:w="109"/>
        <w:gridCol w:w="109"/>
        <w:gridCol w:w="109"/>
        <w:gridCol w:w="109"/>
        <w:gridCol w:w="211"/>
        <w:gridCol w:w="102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2,517,036 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and Central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2,689,196 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2,332,812 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F-55</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20.    SUPPLEMENTAL FINANCIAL INFORMATION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Research and Development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research and development costs incurred in connection with customers’ orders:</w:t>
      </w:r>
    </w:p>
    <w:tbl>
      <w:tblPr>
        <w:tblW w:w="7628" w:type="dxa"/>
        <w:jc w:val="center"/>
        <w:tblInd w:w="0" w:type="dxa"/>
        <w:tblLayout w:type="fixed"/>
        <w:tblCellMar>
          <w:top w:w="28" w:type="dxa"/>
          <w:left w:w="28" w:type="dxa"/>
          <w:bottom w:w="28" w:type="dxa"/>
          <w:right w:w="28" w:type="dxa"/>
        </w:tblCellMar>
      </w:tblPr>
      <w:tblGrid>
        <w:gridCol w:w="1227"/>
        <w:gridCol w:w="1078"/>
        <w:gridCol w:w="1084"/>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 -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31,777 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Advertising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incurred advertising expense of $55.8 million, $69.0 million and $82.4 million for the years ended December 31, 2023, 2022 and 2021,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and Cash Equivalents and Restricted Cash</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reconciles cash and cash equivalents and restricted cash, as presented in the Consolidated Balance Sheets to the total of the same as presented in the Consolidated Statements of Cash Flows:</w:t>
      </w:r>
    </w:p>
    <w:tbl>
      <w:tblPr>
        <w:tblW w:w="10205" w:type="dxa"/>
        <w:jc w:val="left"/>
        <w:tblInd w:w="0" w:type="dxa"/>
        <w:tblLayout w:type="fixed"/>
        <w:tblCellMar>
          <w:top w:w="28" w:type="dxa"/>
          <w:left w:w="28" w:type="dxa"/>
          <w:bottom w:w="28" w:type="dxa"/>
          <w:right w:w="28" w:type="dxa"/>
        </w:tblCellMar>
      </w:tblPr>
      <w:tblGrid>
        <w:gridCol w:w="1985"/>
        <w:gridCol w:w="1747"/>
        <w:gridCol w:w="1752"/>
        <w:gridCol w:w="109"/>
        <w:gridCol w:w="109"/>
        <w:gridCol w:w="109"/>
        <w:gridCol w:w="211"/>
        <w:gridCol w:w="1021"/>
        <w:gridCol w:w="109"/>
        <w:gridCol w:w="109"/>
        <w:gridCol w:w="109"/>
        <w:gridCol w:w="109"/>
        <w:gridCol w:w="211"/>
        <w:gridCol w:w="856"/>
        <w:gridCol w:w="109"/>
        <w:gridCol w:w="109"/>
        <w:gridCol w:w="109"/>
        <w:gridCol w:w="109"/>
        <w:gridCol w:w="211"/>
        <w:gridCol w:w="856"/>
        <w:gridCol w:w="156"/>
      </w:tblGrid>
      <w:tr>
        <w:trPr/>
        <w:tc>
          <w:tcPr>
            <w:tcW w:w="1985"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5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5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Cash and cash equivalents, including restricted amounts,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and cash equivalents, included restricted amounts,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741,297 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Cash and cash equivalents, including restricted amounts,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and cash equivalents, included restricted amounts,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1,277,741 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430,148 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F-56</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Other Current Assets, Net and Other Non-current Assets, Net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following table presents the components of</w:t>
      </w:r>
      <w:r>
        <w:rPr>
          <w:color w:val="000000"/>
        </w:rPr>
        <w:t xml:space="preserve"> </w:t>
      </w:r>
      <w:r>
        <w:rPr>
          <w:rFonts w:ascii="Arial;sans-serif" w:hAnsi="Arial;sans-serif"/>
          <w:b w:val="false"/>
          <w:i/>
          <w:color w:val="000000"/>
          <w:sz w:val="20"/>
        </w:rPr>
        <w:t>Other current assets, net</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Other non-current assets, net</w:t>
      </w:r>
      <w:r>
        <w:rPr>
          <w:rFonts w:ascii="Arial;sans-serif" w:hAnsi="Arial;sans-serif"/>
          <w:b w:val="false"/>
          <w:color w:val="000000"/>
          <w:sz w:val="20"/>
        </w:rPr>
        <w:t>:</w:t>
      </w:r>
    </w:p>
    <w:tbl>
      <w:tblPr>
        <w:tblW w:w="6876" w:type="dxa"/>
        <w:jc w:val="center"/>
        <w:tblInd w:w="0" w:type="dxa"/>
        <w:tblLayout w:type="fixed"/>
        <w:tblCellMar>
          <w:top w:w="28" w:type="dxa"/>
          <w:left w:w="28" w:type="dxa"/>
          <w:bottom w:w="28" w:type="dxa"/>
          <w:right w:w="28" w:type="dxa"/>
        </w:tblCellMar>
      </w:tblPr>
      <w:tblGrid>
        <w:gridCol w:w="1386"/>
        <w:gridCol w:w="1215"/>
        <w:gridCol w:w="1224"/>
        <w:gridCol w:w="109"/>
        <w:gridCol w:w="109"/>
        <w:gridCol w:w="109"/>
        <w:gridCol w:w="211"/>
        <w:gridCol w:w="856"/>
        <w:gridCol w:w="109"/>
        <w:gridCol w:w="109"/>
        <w:gridCol w:w="109"/>
        <w:gridCol w:w="109"/>
        <w:gridCol w:w="211"/>
        <w:gridCol w:w="85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receivables - EchoStar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 DISH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non-current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receivables - EchoStar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acquisition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fulfillment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non-current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activity in our allowance for doubtful accounts, which is included within Other, net in each of Other current assets, net and Other non-current assets, net in the table above: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33"/>
        <w:gridCol w:w="377"/>
        <w:gridCol w:w="380"/>
        <w:gridCol w:w="109"/>
        <w:gridCol w:w="109"/>
        <w:gridCol w:w="109"/>
        <w:gridCol w:w="269"/>
        <w:gridCol w:w="517"/>
        <w:gridCol w:w="138"/>
        <w:gridCol w:w="109"/>
        <w:gridCol w:w="109"/>
        <w:gridCol w:w="109"/>
        <w:gridCol w:w="251"/>
        <w:gridCol w:w="894"/>
        <w:gridCol w:w="129"/>
        <w:gridCol w:w="109"/>
        <w:gridCol w:w="109"/>
        <w:gridCol w:w="109"/>
        <w:gridCol w:w="269"/>
        <w:gridCol w:w="517"/>
        <w:gridCol w:w="138"/>
        <w:gridCol w:w="109"/>
        <w:gridCol w:w="109"/>
        <w:gridCol w:w="109"/>
        <w:gridCol w:w="251"/>
        <w:gridCol w:w="894"/>
        <w:gridCol w:w="129"/>
        <w:gridCol w:w="109"/>
        <w:gridCol w:w="109"/>
        <w:gridCol w:w="109"/>
        <w:gridCol w:w="246"/>
        <w:gridCol w:w="755"/>
        <w:gridCol w:w="127"/>
        <w:gridCol w:w="109"/>
        <w:gridCol w:w="109"/>
        <w:gridCol w:w="109"/>
        <w:gridCol w:w="249"/>
        <w:gridCol w:w="888"/>
        <w:gridCol w:w="192"/>
      </w:tblGrid>
      <w:tr>
        <w:trPr/>
        <w:tc>
          <w:tcPr>
            <w:tcW w:w="63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current assets,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non-current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current assets,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non-current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current assets,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non-current assets, net</w:t>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16,709 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F-57</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20"/>
        </w:rPr>
        <w:t>Accrued Expenses and Other Current Liabilities and Other Non-Current Liabilities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presents the components of </w:t>
      </w:r>
      <w:r>
        <w:rPr>
          <w:rFonts w:ascii="Arial;sans-serif" w:hAnsi="Arial;sans-serif"/>
          <w:b w:val="false"/>
          <w:i/>
          <w:color w:val="000000"/>
          <w:sz w:val="20"/>
        </w:rPr>
        <w:t>Accrued expenses and other current liabilities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Other non-current liabilities</w:t>
      </w:r>
      <w:r>
        <w:rPr>
          <w:rFonts w:ascii="Arial;sans-serif" w:hAnsi="Arial;sans-serif"/>
          <w:b w:val="false"/>
          <w:color w:val="000000"/>
          <w:sz w:val="20"/>
        </w:rPr>
        <w:t>:</w:t>
      </w:r>
    </w:p>
    <w:p>
      <w:pPr>
        <w:pStyle w:val="TextBody"/>
        <w:bidi w:val="0"/>
        <w:spacing w:before="0" w:after="0"/>
        <w:jc w:val="both"/>
        <w:rPr/>
      </w:pPr>
      <w:r>
        <w:rPr/>
      </w:r>
    </w:p>
    <w:tbl>
      <w:tblPr>
        <w:tblW w:w="7595" w:type="dxa"/>
        <w:jc w:val="left"/>
        <w:tblInd w:w="0" w:type="dxa"/>
        <w:tblLayout w:type="fixed"/>
        <w:tblCellMar>
          <w:top w:w="28" w:type="dxa"/>
          <w:left w:w="28" w:type="dxa"/>
          <w:bottom w:w="28" w:type="dxa"/>
          <w:right w:w="28" w:type="dxa"/>
        </w:tblCellMar>
      </w:tblPr>
      <w:tblGrid>
        <w:gridCol w:w="1646"/>
        <w:gridCol w:w="1444"/>
        <w:gridCol w:w="1454"/>
        <w:gridCol w:w="109"/>
        <w:gridCol w:w="109"/>
        <w:gridCol w:w="109"/>
        <w:gridCol w:w="211"/>
        <w:gridCol w:w="856"/>
        <w:gridCol w:w="109"/>
        <w:gridCol w:w="109"/>
        <w:gridCol w:w="109"/>
        <w:gridCol w:w="109"/>
        <w:gridCol w:w="211"/>
        <w:gridCol w:w="856"/>
        <w:gridCol w:w="154"/>
      </w:tblGrid>
      <w:tr>
        <w:trPr/>
        <w:tc>
          <w:tcPr>
            <w:tcW w:w="164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payables - EchoStar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Accrual for license fee dispute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 - DISH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393,899 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Accrual for license fee dispute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In-orbit incentive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payables - EchoStar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Inventory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components of inventory:</w:t>
      </w:r>
    </w:p>
    <w:p>
      <w:pPr>
        <w:pStyle w:val="TextBody"/>
        <w:bidi w:val="0"/>
        <w:spacing w:before="0" w:after="0"/>
        <w:jc w:val="both"/>
        <w:rPr/>
      </w:pPr>
      <w:r>
        <w:rPr/>
      </w:r>
    </w:p>
    <w:tbl>
      <w:tblPr>
        <w:tblW w:w="4582" w:type="dxa"/>
        <w:jc w:val="left"/>
        <w:tblInd w:w="0" w:type="dxa"/>
        <w:tblLayout w:type="fixed"/>
        <w:tblCellMar>
          <w:top w:w="28" w:type="dxa"/>
          <w:left w:w="28" w:type="dxa"/>
          <w:bottom w:w="28" w:type="dxa"/>
          <w:right w:w="28" w:type="dxa"/>
        </w:tblCellMar>
      </w:tblPr>
      <w:tblGrid>
        <w:gridCol w:w="554"/>
        <w:gridCol w:w="486"/>
        <w:gridCol w:w="491"/>
        <w:gridCol w:w="109"/>
        <w:gridCol w:w="109"/>
        <w:gridCol w:w="109"/>
        <w:gridCol w:w="211"/>
        <w:gridCol w:w="856"/>
        <w:gridCol w:w="109"/>
        <w:gridCol w:w="109"/>
        <w:gridCol w:w="109"/>
        <w:gridCol w:w="109"/>
        <w:gridCol w:w="211"/>
        <w:gridCol w:w="856"/>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F-58</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Capitalized Software Costs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activity related to our capitalized software cost:</w:t>
      </w:r>
    </w:p>
    <w:p>
      <w:pPr>
        <w:pStyle w:val="TextBody"/>
        <w:bidi w:val="0"/>
        <w:spacing w:before="0" w:after="0"/>
        <w:jc w:val="both"/>
        <w:rPr/>
      </w:pPr>
      <w:r>
        <w:rPr/>
      </w:r>
    </w:p>
    <w:tbl>
      <w:tblPr>
        <w:tblW w:w="10145" w:type="dxa"/>
        <w:jc w:val="left"/>
        <w:tblInd w:w="0" w:type="dxa"/>
        <w:tblLayout w:type="fixed"/>
        <w:tblCellMar>
          <w:top w:w="28" w:type="dxa"/>
          <w:left w:w="28" w:type="dxa"/>
          <w:bottom w:w="28" w:type="dxa"/>
          <w:right w:w="28" w:type="dxa"/>
        </w:tblCellMar>
      </w:tblPr>
      <w:tblGrid>
        <w:gridCol w:w="2569"/>
        <w:gridCol w:w="2259"/>
        <w:gridCol w:w="2266"/>
        <w:gridCol w:w="109"/>
        <w:gridCol w:w="109"/>
        <w:gridCol w:w="109"/>
        <w:gridCol w:w="211"/>
        <w:gridCol w:w="856"/>
        <w:gridCol w:w="109"/>
        <w:gridCol w:w="109"/>
        <w:gridCol w:w="109"/>
        <w:gridCol w:w="109"/>
        <w:gridCol w:w="211"/>
        <w:gridCol w:w="856"/>
        <w:gridCol w:w="154"/>
      </w:tblGrid>
      <w:tr>
        <w:trPr/>
        <w:tc>
          <w:tcPr>
            <w:tcW w:w="2569"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carrying amount of externally marketed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Externally marketed software under development and not yet placed into 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90"/>
        <w:gridCol w:w="1885"/>
        <w:gridCol w:w="1889"/>
        <w:gridCol w:w="109"/>
        <w:gridCol w:w="109"/>
        <w:gridCol w:w="109"/>
        <w:gridCol w:w="211"/>
        <w:gridCol w:w="751"/>
        <w:gridCol w:w="109"/>
        <w:gridCol w:w="109"/>
        <w:gridCol w:w="109"/>
        <w:gridCol w:w="109"/>
        <w:gridCol w:w="211"/>
        <w:gridCol w:w="751"/>
        <w:gridCol w:w="109"/>
        <w:gridCol w:w="109"/>
        <w:gridCol w:w="109"/>
        <w:gridCol w:w="109"/>
        <w:gridCol w:w="211"/>
        <w:gridCol w:w="751"/>
        <w:gridCol w:w="156"/>
      </w:tblGrid>
      <w:tr>
        <w:trPr/>
        <w:tc>
          <w:tcPr>
            <w:tcW w:w="2190"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r>
      <w:tr>
        <w:trPr/>
        <w:tc>
          <w:tcPr>
            <w:tcW w:w="5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5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costs related to development of externally marketed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 relating to externally marketed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29,370 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25,288 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useful life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Supplemental and Non-cash Investing and Financing Activities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supplemental and non-cash investing and financing activities: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43"/>
        <w:gridCol w:w="1795"/>
        <w:gridCol w:w="1804"/>
        <w:gridCol w:w="109"/>
        <w:gridCol w:w="109"/>
        <w:gridCol w:w="109"/>
        <w:gridCol w:w="211"/>
        <w:gridCol w:w="751"/>
        <w:gridCol w:w="109"/>
        <w:gridCol w:w="109"/>
        <w:gridCol w:w="109"/>
        <w:gridCol w:w="109"/>
        <w:gridCol w:w="211"/>
        <w:gridCol w:w="751"/>
        <w:gridCol w:w="109"/>
        <w:gridCol w:w="109"/>
        <w:gridCol w:w="109"/>
        <w:gridCol w:w="109"/>
        <w:gridCol w:w="211"/>
        <w:gridCol w:w="856"/>
        <w:gridCol w:w="109"/>
        <w:gridCol w:w="109"/>
        <w:gridCol w:w="155"/>
      </w:tblGrid>
      <w:tr>
        <w:trPr/>
        <w:tc>
          <w:tcPr>
            <w:tcW w:w="2043"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capital expenditures included in accounts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net assets received as part of the India JV 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36,701 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F-59</w:t>
                      </w:r>
                    </w:p>
                  </w:txbxContent>
                </v:textbox>
                <w10:wrap type="none"/>
              </v:rect>
            </w:pict>
          </mc:Fallback>
        </mc:AlternateContent>
      </w:r>
    </w:p>
    <w:p>
      <w:pPr>
        <w:pStyle w:val="TextBody"/>
        <w:bidi w:val="0"/>
        <w:spacing w:lineRule="auto" w:line="288" w:before="0" w:after="0"/>
        <w:jc w:val="both"/>
        <w:rPr/>
      </w:pPr>
      <w:hyperlink w:anchor="if6de8d550b664cf89bacba6847c193c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NOTE 21.</w:t>
      </w:r>
      <w:r>
        <w:rPr>
          <w:color w:val="000000"/>
        </w:rPr>
        <w:t>    </w:t>
      </w:r>
      <w:r>
        <w:rPr>
          <w:rFonts w:ascii="Arial;sans-serif" w:hAnsi="Arial;sans-serif"/>
          <w:b/>
          <w:color w:val="000000"/>
          <w:sz w:val="20"/>
        </w:rPr>
        <w:t>SUBSEQUENT EVENTS</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On February 15, 2024, the Company’s Board of Directors declared and approved payment of a cash dividend on the Company’s outstanding common stock to its shareholder and parent, EchoStar, in the amount of $529.0 million. Payment of the dividend was made in the first quarter of 2024.</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On March 12, 2024, the Company’s Board of Directors declared and approved payment of a cash dividend on the Company’s outstanding common stock to its shareholder and parent, EchoStar, in the amount of $500.0 million. Payment of the dividend was made in the first quarter of 2024.</w:t>
      </w:r>
    </w:p>
    <w:p>
      <w:pPr>
        <w:pStyle w:val="TextBody"/>
        <w:bidi w:val="0"/>
        <w:spacing w:before="0" w:after="0"/>
        <w:jc w:val="both"/>
        <w:rPr/>
      </w:pPr>
      <w:r>
        <w:rPr/>
      </w:r>
    </w:p>
    <w:p>
      <w:pPr>
        <w:pStyle w:val="TextBody"/>
        <w:bidi w:val="0"/>
        <w:spacing w:lineRule="auto" w:line="256" w:before="0" w:after="0"/>
        <w:jc w:val="both"/>
        <w:rPr/>
      </w:pPr>
      <w:r>
        <w:rPr>
          <w:rFonts w:ascii="Arial;sans-serif" w:hAnsi="Arial;sans-serif"/>
          <w:b w:val="false"/>
          <w:color w:val="000000"/>
          <w:sz w:val="20"/>
        </w:rPr>
        <w:t xml:space="preserve">Refer to </w:t>
      </w:r>
      <w:r>
        <w:rPr>
          <w:rFonts w:ascii="Arial;sans-serif" w:hAnsi="Arial;sans-serif"/>
          <w:b w:val="false"/>
          <w:i/>
          <w:color w:val="000000"/>
          <w:sz w:val="20"/>
        </w:rPr>
        <w:t>Note 16. Related Party Transactions- EchoStar</w:t>
      </w:r>
      <w:r>
        <w:rPr>
          <w:color w:val="000000"/>
        </w:rPr>
        <w:t xml:space="preserve"> </w:t>
      </w:r>
      <w:r>
        <w:rPr>
          <w:rFonts w:ascii="Arial;sans-serif" w:hAnsi="Arial;sans-serif"/>
          <w:b w:val="false"/>
          <w:color w:val="000000"/>
          <w:sz w:val="20"/>
        </w:rPr>
        <w:t xml:space="preserve">for additional subsequent events. </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F-60</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LIST OF GUARANTOR SUBSIDIARIES</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of December 31, 2023</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5 1/4% Senior Secured Notes due 2026 and 6 5/8% Senior Unsecured Notes due 2026 issued by Hughes Satellite Services Corporation (incorporated in Colorado) are jointly and severally guaranteed on a full and unconditional basis by the following 100% owned subsidiaries of Hughes Satellite Systems Corporation as of December 31, 2023:</w:t>
      </w:r>
    </w:p>
    <w:tbl>
      <w:tblPr>
        <w:tblW w:w="8202" w:type="dxa"/>
        <w:jc w:val="left"/>
        <w:tblInd w:w="0" w:type="dxa"/>
        <w:tblLayout w:type="fixed"/>
        <w:tblCellMar>
          <w:top w:w="28" w:type="dxa"/>
          <w:left w:w="28" w:type="dxa"/>
          <w:bottom w:w="28" w:type="dxa"/>
          <w:right w:w="28" w:type="dxa"/>
        </w:tblCellMar>
      </w:tblPr>
      <w:tblGrid>
        <w:gridCol w:w="1684"/>
        <w:gridCol w:w="1478"/>
        <w:gridCol w:w="1488"/>
        <w:gridCol w:w="109"/>
        <w:gridCol w:w="109"/>
        <w:gridCol w:w="109"/>
        <w:gridCol w:w="944"/>
        <w:gridCol w:w="944"/>
        <w:gridCol w:w="1337"/>
      </w:tblGrid>
      <w:tr>
        <w:trPr/>
        <w:tc>
          <w:tcPr>
            <w:tcW w:w="1684"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Legal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State or Country of Incorporation</w:t>
            </w:r>
          </w:p>
        </w:tc>
      </w:tr>
      <w:tr>
        <w:trPr/>
        <w:tc>
          <w:tcPr>
            <w:tcW w:w="4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EchoStar Orbital,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Colorado</w:t>
            </w:r>
          </w:p>
        </w:tc>
      </w:tr>
      <w:tr>
        <w:trPr/>
        <w:tc>
          <w:tcPr>
            <w:tcW w:w="46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EchoStar Government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Colorado</w:t>
            </w:r>
          </w:p>
        </w:tc>
      </w:tr>
      <w:tr>
        <w:trPr/>
        <w:tc>
          <w:tcPr>
            <w:tcW w:w="46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EchoStar Satellite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6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HNS-India VSAT,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6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Hughes Network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6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HNS License-Sub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6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HNS Real Estate L.L.C.</w:t>
            </w:r>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6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Hughes Communications,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6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Hughes Network Systems International Service,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6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HNS Americas,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6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HNS Americas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CHIEF EXECUTIVE OFFICER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Certification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Hamid Akhavan, certify that: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Annual Report on Form 10-K of Hughes Satellite Systems Corporation;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 </w:t>
      </w:r>
    </w:p>
    <w:p>
      <w:pPr>
        <w:pStyle w:val="TextBody"/>
        <w:bidi w:val="0"/>
        <w:spacing w:lineRule="auto" w:line="268" w:before="300" w:after="283"/>
        <w:jc w:val="both"/>
        <w:rPr>
          <w:rFonts w:ascii="Arial;sans-serif" w:hAnsi="Arial;sans-serif"/>
          <w:b w:val="false"/>
          <w:color w:val="000000"/>
          <w:sz w:val="20"/>
        </w:rPr>
      </w:pPr>
      <w:r>
        <w:rPr>
          <w:rFonts w:ascii="Arial;sans-serif" w:hAnsi="Arial;sans-serif"/>
          <w:b w:val="false"/>
          <w:color w:val="000000"/>
          <w:sz w:val="20"/>
        </w:rPr>
        <w:t>Date: April 1, 2024</w:t>
      </w:r>
    </w:p>
    <w:tbl>
      <w:tblPr>
        <w:tblW w:w="3776" w:type="dxa"/>
        <w:jc w:val="left"/>
        <w:tblInd w:w="0" w:type="dxa"/>
        <w:tblLayout w:type="fixed"/>
        <w:tblCellMar>
          <w:top w:w="28" w:type="dxa"/>
          <w:left w:w="28" w:type="dxa"/>
          <w:bottom w:w="28" w:type="dxa"/>
          <w:right w:w="28" w:type="dxa"/>
        </w:tblCellMar>
      </w:tblPr>
      <w:tblGrid>
        <w:gridCol w:w="1234"/>
        <w:gridCol w:w="1083"/>
        <w:gridCol w:w="1087"/>
        <w:gridCol w:w="109"/>
        <w:gridCol w:w="109"/>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Hamid Akhavan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pPr>
      <w:r>
        <w:rPr>
          <w:color w:val="000000"/>
        </w:rPr>
        <w:t> </w:t>
      </w:r>
      <w:r>
        <w:rPr>
          <w:rFonts w:ascii="Arial;sans-serif" w:hAnsi="Arial;sans-serif"/>
          <w:b/>
          <w:color w:val="000000"/>
          <w:sz w:val="20"/>
        </w:rPr>
        <w:t xml:space="preserve">CERTIFICATION OF PRINCIPAL FINANCIAL OFFICER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Certification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Paul W. Orban, certify that: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Annual Report on Form 10-K of Hughes Satellite Systems Corporation;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 </w:t>
      </w:r>
    </w:p>
    <w:p>
      <w:pPr>
        <w:pStyle w:val="TextBody"/>
        <w:bidi w:val="0"/>
        <w:spacing w:before="0" w:after="0"/>
        <w:ind w:left="0" w:right="0" w:hanging="360"/>
        <w:jc w:val="left"/>
        <w:rPr/>
      </w:pPr>
      <w:r>
        <w:rPr/>
      </w:r>
    </w:p>
    <w:p>
      <w:pPr>
        <w:pStyle w:val="TextBody"/>
        <w:bidi w:val="0"/>
        <w:spacing w:lineRule="auto" w:line="268" w:before="0" w:after="0"/>
        <w:jc w:val="left"/>
        <w:rPr/>
      </w:pPr>
      <w:r>
        <w:rPr>
          <w:rFonts w:ascii="Arial;sans-serif" w:hAnsi="Arial;sans-serif"/>
          <w:b w:val="false"/>
          <w:color w:val="000000"/>
          <w:sz w:val="20"/>
        </w:rPr>
        <w:t>Date:</w:t>
      </w:r>
      <w:r>
        <w:rPr>
          <w:color w:val="000000"/>
        </w:rPr>
        <w:t xml:space="preserve"> </w:t>
      </w:r>
      <w:r>
        <w:rPr>
          <w:rFonts w:ascii="Arial;sans-serif" w:hAnsi="Arial;sans-serif"/>
          <w:b w:val="false"/>
          <w:color w:val="000000"/>
          <w:sz w:val="20"/>
        </w:rPr>
        <w:t>April 1, 2024</w:t>
      </w:r>
    </w:p>
    <w:tbl>
      <w:tblPr>
        <w:tblW w:w="2726" w:type="dxa"/>
        <w:jc w:val="left"/>
        <w:tblInd w:w="0" w:type="dxa"/>
        <w:tblLayout w:type="fixed"/>
        <w:tblCellMar>
          <w:top w:w="28" w:type="dxa"/>
          <w:left w:w="28" w:type="dxa"/>
          <w:bottom w:w="28" w:type="dxa"/>
          <w:right w:w="28" w:type="dxa"/>
        </w:tblCellMar>
      </w:tblPr>
      <w:tblGrid>
        <w:gridCol w:w="853"/>
        <w:gridCol w:w="747"/>
        <w:gridCol w:w="754"/>
        <w:gridCol w:w="109"/>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Paul W. Orban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Arial;sans-serif" w:hAnsi="Arial;sans-serif"/>
          <w:b/>
          <w:color w:val="000000"/>
          <w:sz w:val="20"/>
        </w:rPr>
        <w:t>CERTIFICATION OF CHIEF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Certification</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Pursuant to 18 U.S.C. § 1350, the undersigned officer of Hughes Satellite Systems Corporation (the “Company”) hereby certifies that to the best of his knowledge the Company’s Annual Report on Form 10-K for the year ended December 31, 2023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451" w:type="dxa"/>
        <w:jc w:val="left"/>
        <w:tblInd w:w="0" w:type="dxa"/>
        <w:tblLayout w:type="fixed"/>
        <w:tblCellMar>
          <w:top w:w="28" w:type="dxa"/>
          <w:left w:w="28" w:type="dxa"/>
          <w:bottom w:w="28" w:type="dxa"/>
          <w:right w:w="28" w:type="dxa"/>
        </w:tblCellMar>
      </w:tblPr>
      <w:tblGrid>
        <w:gridCol w:w="124"/>
        <w:gridCol w:w="109"/>
        <w:gridCol w:w="109"/>
        <w:gridCol w:w="224"/>
        <w:gridCol w:w="224"/>
        <w:gridCol w:w="226"/>
        <w:gridCol w:w="1002"/>
        <w:gridCol w:w="1002"/>
        <w:gridCol w:w="14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Dated:</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Hamid Akhavan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0" w:after="0"/>
        <w:ind w:left="0" w:right="0" w:hanging="36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foregoing certification is being furnished solely pursuant to 18 U.S.C. § 1350 and is not being filed as part of the Report or as a separate disclosure document.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Certification</w:t>
      </w:r>
    </w:p>
    <w:p>
      <w:pPr>
        <w:pStyle w:val="TextBody"/>
        <w:bidi w:val="0"/>
        <w:spacing w:lineRule="auto" w:line="288" w:before="0" w:after="0"/>
        <w:jc w:val="center"/>
        <w:rPr>
          <w:color w:val="000000"/>
        </w:rPr>
      </w:pPr>
      <w:r>
        <w:rPr>
          <w:color w:val="000000"/>
        </w:rPr>
        <w:t>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Pursuant to 18 U.S.C. § 1350, the undersigned officer of Hughes Satellite Systems Corporation (the “Company”) hereby certifies that to the best of his knowledge the Company’s Annual Report on Form 10-K for the year ended December 31, 2023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before="0" w:after="0"/>
        <w:jc w:val="both"/>
        <w:rPr/>
      </w:pPr>
      <w:r>
        <w:rPr/>
      </w:r>
    </w:p>
    <w:tbl>
      <w:tblPr>
        <w:tblW w:w="3401" w:type="dxa"/>
        <w:jc w:val="left"/>
        <w:tblInd w:w="0" w:type="dxa"/>
        <w:tblLayout w:type="fixed"/>
        <w:tblCellMar>
          <w:top w:w="28" w:type="dxa"/>
          <w:left w:w="28" w:type="dxa"/>
          <w:bottom w:w="28" w:type="dxa"/>
          <w:right w:w="28" w:type="dxa"/>
        </w:tblCellMar>
      </w:tblPr>
      <w:tblGrid>
        <w:gridCol w:w="124"/>
        <w:gridCol w:w="109"/>
        <w:gridCol w:w="109"/>
        <w:gridCol w:w="224"/>
        <w:gridCol w:w="224"/>
        <w:gridCol w:w="226"/>
        <w:gridCol w:w="696"/>
        <w:gridCol w:w="696"/>
        <w:gridCol w:w="9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Dated:</w:t>
            </w:r>
          </w:p>
        </w:tc>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April 1,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Paul W. Orban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0"/>
        <w:ind w:left="0" w:right="0" w:hanging="36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foregoing certification is being furnished solely pursuant to 18 U.S.C. § 1350 and is not being filed as part of the Report or as a separate disclosure document.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345840/000110465912003165/a12-2227_1ex3d1a.htm" TargetMode="External"/><Relationship Id="rId4" Type="http://schemas.openxmlformats.org/officeDocument/2006/relationships/hyperlink" Target="http://www.sec.gov/Archives/edgar/data/1345840/000110465912003165/a12-2227_1ex3d1a.htm" TargetMode="External"/><Relationship Id="rId5" Type="http://schemas.openxmlformats.org/officeDocument/2006/relationships/hyperlink" Target="http://www.sec.gov/Archives/edgar/data/1345840/000110465912003165/a12-2227_1ex3d1b.htm" TargetMode="External"/><Relationship Id="rId6" Type="http://schemas.openxmlformats.org/officeDocument/2006/relationships/hyperlink" Target="http://www.sec.gov/Archives/edgar/data/1345840/000110465912003165/a12-2227_1ex3d1b.htm" TargetMode="External"/><Relationship Id="rId7" Type="http://schemas.openxmlformats.org/officeDocument/2006/relationships/hyperlink" Target="http://www.sec.gov/Archives/edgar/data/1533758/000104746914001114/a2218342zex-3_1c.htm" TargetMode="External"/><Relationship Id="rId8" Type="http://schemas.openxmlformats.org/officeDocument/2006/relationships/hyperlink" Target="http://www.sec.gov/Archives/edgar/data/1533758/000104746914001114/a2218342zex-3_1c.htm" TargetMode="External"/><Relationship Id="rId9" Type="http://schemas.openxmlformats.org/officeDocument/2006/relationships/hyperlink" Target="http://www.sec.gov/Archives/edgar/data/1533758/000104746914001114/a2218342zex-3_1d.htm" TargetMode="External"/><Relationship Id="rId10" Type="http://schemas.openxmlformats.org/officeDocument/2006/relationships/hyperlink" Target="http://www.sec.gov/Archives/edgar/data/1533758/000104746914001114/a2218342zex-3_1d.htm" TargetMode="External"/><Relationship Id="rId11" Type="http://schemas.openxmlformats.org/officeDocument/2006/relationships/hyperlink" Target="http://www.sec.gov/Archives/edgar/data/1533758/000110465914036643/a14-9519_1ex3d1a.htm" TargetMode="External"/><Relationship Id="rId12" Type="http://schemas.openxmlformats.org/officeDocument/2006/relationships/hyperlink" Target="http://www.sec.gov/Archives/edgar/data/1533758/000110465914036643/a14-9519_1ex3d1a.htm" TargetMode="External"/><Relationship Id="rId13" Type="http://schemas.openxmlformats.org/officeDocument/2006/relationships/hyperlink" Target="http://www.sec.gov/Archives/edgar/data/1415404/000141540417000016/ex32carticlesofamendment.htm" TargetMode="External"/><Relationship Id="rId14" Type="http://schemas.openxmlformats.org/officeDocument/2006/relationships/hyperlink" Target="http://www.sec.gov/Archives/edgar/data/1415404/000141540417000016/ex32carticlesofamendment.htm" TargetMode="External"/><Relationship Id="rId15" Type="http://schemas.openxmlformats.org/officeDocument/2006/relationships/hyperlink" Target="http://www.sec.gov/Archives/edgar/data/1345840/000110465912003165/a12-2227_1ex3d2.htm" TargetMode="External"/><Relationship Id="rId16" Type="http://schemas.openxmlformats.org/officeDocument/2006/relationships/hyperlink" Target="http://www.sec.gov/Archives/edgar/data/1345840/000110465912003165/a12-2227_1ex3d2.htm" TargetMode="External"/><Relationship Id="rId17" Type="http://schemas.openxmlformats.org/officeDocument/2006/relationships/hyperlink" Target="http://www.sec.gov/Archives/edgar/data/1415404/000110465911033872/a11-14479_1ex4d1.htm" TargetMode="External"/><Relationship Id="rId18" Type="http://schemas.openxmlformats.org/officeDocument/2006/relationships/hyperlink" Target="http://www.sec.gov/Archives/edgar/data/1415404/000110465911033872/a11-14479_1ex4d1.htm" TargetMode="External"/><Relationship Id="rId19" Type="http://schemas.openxmlformats.org/officeDocument/2006/relationships/hyperlink" Target="http://www.sec.gov/Archives/edgar/data/1415404/000110465916134602/a16-15573_1ex4d1.htm" TargetMode="External"/><Relationship Id="rId20" Type="http://schemas.openxmlformats.org/officeDocument/2006/relationships/hyperlink" Target="http://www.sec.gov/Archives/edgar/data/1415404/000110465916134602/a16-15573_1ex4d1.htm" TargetMode="External"/><Relationship Id="rId21" Type="http://schemas.openxmlformats.org/officeDocument/2006/relationships/hyperlink" Target="http://www.sec.gov/Archives/edgar/data/1415404/000110465916134602/a16-15573_1ex4d2.htm" TargetMode="External"/><Relationship Id="rId22" Type="http://schemas.openxmlformats.org/officeDocument/2006/relationships/hyperlink" Target="http://www.sec.gov/Archives/edgar/data/1415404/000110465916134602/a16-15573_1ex4d2.htm" TargetMode="External"/><Relationship Id="rId23" Type="http://schemas.openxmlformats.org/officeDocument/2006/relationships/hyperlink" Target="http://www.sec.gov/Archives/edgar/data/1415404/000110465916134602/a16-15573_1ex4d3.htm" TargetMode="External"/><Relationship Id="rId24" Type="http://schemas.openxmlformats.org/officeDocument/2006/relationships/hyperlink" Target="http://www.sec.gov/Archives/edgar/data/1415404/000110465916134602/a16-15573_1ex4d3.htm" TargetMode="External"/><Relationship Id="rId25" Type="http://schemas.openxmlformats.org/officeDocument/2006/relationships/hyperlink" Target="http://www.sec.gov/Archives/edgar/data/1415404/000110465916134602/a16-15573_1ex4d4.htm" TargetMode="External"/><Relationship Id="rId26" Type="http://schemas.openxmlformats.org/officeDocument/2006/relationships/hyperlink" Target="http://www.sec.gov/Archives/edgar/data/1415404/000110465916134602/a16-15573_1ex4d4.htm" TargetMode="External"/><Relationship Id="rId27" Type="http://schemas.openxmlformats.org/officeDocument/2006/relationships/hyperlink" Target="http://www.sec.gov/Archives/edgar/data/1415404/000110465916134602/a16-15573_1ex4d1.htm" TargetMode="External"/><Relationship Id="rId28" Type="http://schemas.openxmlformats.org/officeDocument/2006/relationships/hyperlink" Target="http://www.sec.gov/Archives/edgar/data/1415404/000110465916134602/a16-15573_1ex4d1.htm" TargetMode="External"/><Relationship Id="rId29" Type="http://schemas.openxmlformats.org/officeDocument/2006/relationships/hyperlink" Target="http://www.sec.gov/Archives/edgar/data/1415404/000110465916134602/a16-15573_1ex4d2.htm" TargetMode="External"/><Relationship Id="rId30" Type="http://schemas.openxmlformats.org/officeDocument/2006/relationships/hyperlink" Target="http://www.sec.gov/Archives/edgar/data/1415404/000110465916134602/a16-15573_1ex4d2.htm" TargetMode="External"/><Relationship Id="rId31" Type="http://schemas.openxmlformats.org/officeDocument/2006/relationships/hyperlink" Target="http://www.sec.gov/Archives/edgar/data/1345840/000153375817000023/hssc_2017exchexhibit4d19.htm" TargetMode="External"/><Relationship Id="rId32" Type="http://schemas.openxmlformats.org/officeDocument/2006/relationships/hyperlink" Target="http://www.sec.gov/Archives/edgar/data/1345840/000153375817000023/hssc_2017exchexhibit4d19.htm" TargetMode="External"/><Relationship Id="rId33" Type="http://schemas.openxmlformats.org/officeDocument/2006/relationships/hyperlink" Target="http://www.sec.gov/Archives/edgar/data/1345840/000153375817000023/hssc_2017exchexhibitx4d20.htm" TargetMode="External"/><Relationship Id="rId34" Type="http://schemas.openxmlformats.org/officeDocument/2006/relationships/hyperlink" Target="http://www.sec.gov/Archives/edgar/data/1345840/000153375817000023/hssc_2017exchexhibitx4d20.htm" TargetMode="External"/><Relationship Id="rId35" Type="http://schemas.openxmlformats.org/officeDocument/2006/relationships/hyperlink" Target="http://www.sec.gov/Archives/edgar/data/1533758/000153375818000004/exhibit423-xjoinderagr.htm" TargetMode="External"/><Relationship Id="rId36" Type="http://schemas.openxmlformats.org/officeDocument/2006/relationships/hyperlink" Target="http://www.sec.gov/Archives/edgar/data/1533758/000153375818000004/exhibit423-xjoinderagr.htm" TargetMode="External"/><Relationship Id="rId37" Type="http://schemas.openxmlformats.org/officeDocument/2006/relationships/hyperlink" Target="http://www.sec.gov/Archives/edgar/data/1533758/000153375818000004/exhibit424-xhsscxsecon.htm" TargetMode="External"/><Relationship Id="rId38" Type="http://schemas.openxmlformats.org/officeDocument/2006/relationships/hyperlink" Target="http://www.sec.gov/Archives/edgar/data/1533758/000153375818000004/exhibit424-xhsscxsecon.htm" TargetMode="External"/><Relationship Id="rId39" Type="http://schemas.openxmlformats.org/officeDocument/2006/relationships/hyperlink" Target="http://www.sec.gov/Archives/edgar/data/1533758/000153375818000004/exhibit425-xhsscxsecon.htm" TargetMode="External"/><Relationship Id="rId40" Type="http://schemas.openxmlformats.org/officeDocument/2006/relationships/hyperlink" Target="http://www.sec.gov/Archives/edgar/data/1533758/000153375818000004/exhibit425-xhsscxsecon.htm" TargetMode="External"/><Relationship Id="rId41" Type="http://schemas.openxmlformats.org/officeDocument/2006/relationships/hyperlink" Target="http://www.sec.gov/Archives/edgar/data/1533758/000153375819000025/ex41-joinderagreement1.htm" TargetMode="External"/><Relationship Id="rId42" Type="http://schemas.openxmlformats.org/officeDocument/2006/relationships/hyperlink" Target="http://www.sec.gov/Archives/edgar/data/1533758/000153375819000025/ex41-joinderagreement1.htm" TargetMode="External"/><Relationship Id="rId43" Type="http://schemas.openxmlformats.org/officeDocument/2006/relationships/hyperlink" Target="http://www.sec.gov/Archives/edgar/data/1533758/000153375819000025/ex42-thirdsupplemental.htm" TargetMode="External"/><Relationship Id="rId44" Type="http://schemas.openxmlformats.org/officeDocument/2006/relationships/hyperlink" Target="http://www.sec.gov/Archives/edgar/data/1533758/000153375819000025/ex42-thirdsupplemental.htm" TargetMode="External"/><Relationship Id="rId45" Type="http://schemas.openxmlformats.org/officeDocument/2006/relationships/hyperlink" Target="http://www.sec.gov/Archives/edgar/data/1533758/000153375819000025/ex43-thirdsupplemental.htm" TargetMode="External"/><Relationship Id="rId46" Type="http://schemas.openxmlformats.org/officeDocument/2006/relationships/hyperlink" Target="http://www.sec.gov/Archives/edgar/data/1533758/000153375819000025/ex43-thirdsupplemental.htm" TargetMode="External"/><Relationship Id="rId47" Type="http://schemas.openxmlformats.org/officeDocument/2006/relationships/hyperlink" Target="http://www.sec.gov/Archives/edgar/data/1415404/000110465914067061/a14-20006_2def14a.htm" TargetMode="External"/><Relationship Id="rId48" Type="http://schemas.openxmlformats.org/officeDocument/2006/relationships/hyperlink" Target="http://www.sec.gov/Archives/edgar/data/1415404/000110465914067061/a14-20006_2def14a.htm" TargetMode="External"/><Relationship Id="rId49" Type="http://schemas.openxmlformats.org/officeDocument/2006/relationships/hyperlink" Target="http://www.sec.gov/Archives/edgar/data/1345840/000092153006000278/hughes_exh1001-062206.txt" TargetMode="External"/><Relationship Id="rId50" Type="http://schemas.openxmlformats.org/officeDocument/2006/relationships/hyperlink" Target="http://www.sec.gov/Archives/edgar/data/1345840/000092153006000278/hughes_exh1001-062206.txt" TargetMode="External"/><Relationship Id="rId51" Type="http://schemas.openxmlformats.org/officeDocument/2006/relationships/hyperlink" Target="http://www.sec.gov/Archives/edgar/data/1415404/000110465915076360/a15-17922_1ex10d1.htm" TargetMode="External"/><Relationship Id="rId52" Type="http://schemas.openxmlformats.org/officeDocument/2006/relationships/hyperlink" Target="http://www.sec.gov/Archives/edgar/data/1415404/000110465915076360/a15-17922_1ex10d1.htm" TargetMode="External"/><Relationship Id="rId53" Type="http://schemas.openxmlformats.org/officeDocument/2006/relationships/hyperlink" Target="http://www.sec.gov/Archives/edgar/data/1533758/000110465916099382/a15-23245_1ex10d31.htm" TargetMode="External"/><Relationship Id="rId54" Type="http://schemas.openxmlformats.org/officeDocument/2006/relationships/hyperlink" Target="http://www.sec.gov/Archives/edgar/data/1533758/000110465916099382/a15-23245_1ex10d31.htm" TargetMode="External"/><Relationship Id="rId55" Type="http://schemas.openxmlformats.org/officeDocument/2006/relationships/hyperlink" Target="http://www.sec.gov/Archives/edgar/data/1533758/000110465916099382/a15-23245_1ex10d32.htm" TargetMode="External"/><Relationship Id="rId56" Type="http://schemas.openxmlformats.org/officeDocument/2006/relationships/hyperlink" Target="http://www.sec.gov/Archives/edgar/data/1533758/000110465916099382/a15-23245_1ex10d32.htm" TargetMode="External"/><Relationship Id="rId57" Type="http://schemas.openxmlformats.org/officeDocument/2006/relationships/hyperlink" Target="http://www.sec.gov/Archives/edgar/data/1533758/000110465916099382/a15-23245_1ex10d33.htm" TargetMode="External"/><Relationship Id="rId58" Type="http://schemas.openxmlformats.org/officeDocument/2006/relationships/hyperlink" Target="http://www.sec.gov/Archives/edgar/data/1533758/000110465916099382/a15-23245_1ex10d33.htm" TargetMode="External"/><Relationship Id="rId59" Type="http://schemas.openxmlformats.org/officeDocument/2006/relationships/hyperlink" Target="http://www.sec.gov/Archives/edgar/data/1533758/000110465916099382/a15-23245_1ex10d34.htm" TargetMode="External"/><Relationship Id="rId60" Type="http://schemas.openxmlformats.org/officeDocument/2006/relationships/hyperlink" Target="http://www.sec.gov/Archives/edgar/data/1533758/000110465916099382/a15-23245_1ex10d34.htm" TargetMode="External"/><Relationship Id="rId61" Type="http://schemas.openxmlformats.org/officeDocument/2006/relationships/hyperlink" Target="http://www.sec.gov/Archives/edgar/data/1533758/000110465916099382/a15-23245_1ex10d35.htm" TargetMode="External"/><Relationship Id="rId62" Type="http://schemas.openxmlformats.org/officeDocument/2006/relationships/hyperlink" Target="http://www.sec.gov/Archives/edgar/data/1533758/000110465916099382/a15-23245_1ex10d35.htm" TargetMode="External"/><Relationship Id="rId63" Type="http://schemas.openxmlformats.org/officeDocument/2006/relationships/hyperlink" Target="http://www.sec.gov/Archives/edgar/data/1533758/000110465916099382/a15-23245_1ex10d36.htm" TargetMode="External"/><Relationship Id="rId64" Type="http://schemas.openxmlformats.org/officeDocument/2006/relationships/hyperlink" Target="http://www.sec.gov/Archives/edgar/data/1533758/000110465916099382/a15-23245_1ex10d36.htm" TargetMode="External"/><Relationship Id="rId65" Type="http://schemas.openxmlformats.org/officeDocument/2006/relationships/hyperlink" Target="http://www.sec.gov/Archives/edgar/data/1415404/000141540417000022/sats2017proxystatement.htm" TargetMode="External"/><Relationship Id="rId66" Type="http://schemas.openxmlformats.org/officeDocument/2006/relationships/hyperlink" Target="http://www.sec.gov/Archives/edgar/data/1415404/000141540417000022/sats2017proxystatement.htm" TargetMode="External"/><Relationship Id="rId67" Type="http://schemas.openxmlformats.org/officeDocument/2006/relationships/hyperlink" Target="http://www.sec.gov/Archives/edgar/data/1415404/000141540417000022/sats2017proxystatement.htm" TargetMode="External"/><Relationship Id="rId68" Type="http://schemas.openxmlformats.org/officeDocument/2006/relationships/hyperlink" Target="http://www.sec.gov/Archives/edgar/data/1415404/000141540417000022/sats2017proxystatement.htm" TargetMode="External"/><Relationship Id="rId69" Type="http://schemas.openxmlformats.org/officeDocument/2006/relationships/hyperlink" Target="https://www.sec.gov/Archives/edgar/data/1415404/000141540422000080/sats093022-ex105xamendedan.htm" TargetMode="External"/><Relationship Id="rId70" Type="http://schemas.openxmlformats.org/officeDocument/2006/relationships/hyperlink" Target="https://www.sec.gov/Archives/edgar/data/1415404/000141540422000080/sats093022-ex105xamendedan.htm" TargetMode="External"/><Relationship Id="rId71" Type="http://schemas.openxmlformats.org/officeDocument/2006/relationships/hyperlink" Target="http://www.sec.gov/Archives/edgar/data/1415404/000141540417000045/a101echostarnon-qualifiedp.htm" TargetMode="External"/><Relationship Id="rId72" Type="http://schemas.openxmlformats.org/officeDocument/2006/relationships/hyperlink" Target="http://www.sec.gov/Archives/edgar/data/1415404/000141540417000045/a101echostarnon-qualifiedp.htm" TargetMode="External"/><Relationship Id="rId73" Type="http://schemas.openxmlformats.org/officeDocument/2006/relationships/hyperlink" Target="http://www.sec.gov/Archives/edgar/data/1415404/000141540417000045/ex102-formofstockoptionagr.htm" TargetMode="External"/><Relationship Id="rId74" Type="http://schemas.openxmlformats.org/officeDocument/2006/relationships/hyperlink" Target="http://www.sec.gov/Archives/edgar/data/1415404/000141540417000045/ex102-formofstockoptionagr.htm" TargetMode="External"/><Relationship Id="rId75" Type="http://schemas.openxmlformats.org/officeDocument/2006/relationships/hyperlink" Target="http://www.sec.gov/Archives/edgar/data/1415404/000141540417000045/ex103-formofstockoptionagr.htm" TargetMode="External"/><Relationship Id="rId76" Type="http://schemas.openxmlformats.org/officeDocument/2006/relationships/hyperlink" Target="http://www.sec.gov/Archives/edgar/data/1415404/000141540417000045/ex103-formofstockoptionagr.htm" TargetMode="External"/><Relationship Id="rId77" Type="http://schemas.openxmlformats.org/officeDocument/2006/relationships/hyperlink" Target="http://www.sec.gov/Archives/edgar/data/1415404/000141540417000045/ex105formofrsuagreementfor.htm" TargetMode="External"/><Relationship Id="rId78" Type="http://schemas.openxmlformats.org/officeDocument/2006/relationships/hyperlink" Target="http://www.sec.gov/Archives/edgar/data/1415404/000141540417000045/ex105formofrsuagreementfor.htm" TargetMode="External"/><Relationship Id="rId79" Type="http://schemas.openxmlformats.org/officeDocument/2006/relationships/hyperlink" Target="https://www.sec.gov/Archives/edgar/data/1415404/000141540422000080/sats093022-ex101xformofsto.htm" TargetMode="External"/><Relationship Id="rId80" Type="http://schemas.openxmlformats.org/officeDocument/2006/relationships/hyperlink" Target="https://www.sec.gov/Archives/edgar/data/1415404/000141540422000080/sats093022-ex101xformofsto.htm" TargetMode="External"/><Relationship Id="rId81" Type="http://schemas.openxmlformats.org/officeDocument/2006/relationships/hyperlink" Target="https://www.sec.gov/Archives/edgar/data/1415404/000141540422000080/sats093022-ex102xformofsto.htm" TargetMode="External"/><Relationship Id="rId82" Type="http://schemas.openxmlformats.org/officeDocument/2006/relationships/hyperlink" Target="https://www.sec.gov/Archives/edgar/data/1415404/000141540422000080/sats093022-ex102xformofsto.htm" TargetMode="External"/><Relationship Id="rId83" Type="http://schemas.openxmlformats.org/officeDocument/2006/relationships/hyperlink" Target="https://www.sec.gov/Archives/edgar/data/1415404/000141540422000080/sats093022-ex103xformofnon.htm" TargetMode="External"/><Relationship Id="rId84" Type="http://schemas.openxmlformats.org/officeDocument/2006/relationships/hyperlink" Target="https://www.sec.gov/Archives/edgar/data/1415404/000141540422000080/sats093022-ex103xformofnon.htm" TargetMode="External"/><Relationship Id="rId85" Type="http://schemas.openxmlformats.org/officeDocument/2006/relationships/hyperlink" Target="https://www.sec.gov/Archives/edgar/data/1415404/000141540422000080/sats093022-ex104xformofrsu.htm" TargetMode="External"/><Relationship Id="rId86" Type="http://schemas.openxmlformats.org/officeDocument/2006/relationships/hyperlink" Target="https://www.sec.gov/Archives/edgar/data/1415404/000141540422000080/sats093022-ex104xformofrsu.htm" TargetMode="External"/><Relationship Id="rId87" Type="http://schemas.openxmlformats.org/officeDocument/2006/relationships/hyperlink" Target="https://www.sec.gov/Archives/edgar/data/1415404/000110465923106157/tm2327406d2_ex10-2.htm" TargetMode="External"/><Relationship Id="rId88" Type="http://schemas.openxmlformats.org/officeDocument/2006/relationships/hyperlink" Target="https://www.sec.gov/Archives/edgar/data/1415404/000110465923106157/tm2327406d2_ex10-2.htm" TargetMode="External"/><Relationship Id="rId89" Type="http://schemas.openxmlformats.org/officeDocument/2006/relationships/hyperlink" Target="https://www.sec.gov/Archives/edgar/data/1415404/000141540422000042/sats03312210-qxexx102.htm" TargetMode="External"/><Relationship Id="rId90" Type="http://schemas.openxmlformats.org/officeDocument/2006/relationships/hyperlink" Target="https://www.sec.gov/Archives/edgar/data/1415404/000141540422000042/sats03312210-qxexx102.htm" TargetMode="External"/><Relationship Id="rId91" Type="http://schemas.openxmlformats.org/officeDocument/2006/relationships/hyperlink" Target="https://www.sec.gov/Archives/edgar/data/1415404/000141540422000042/sats03312210-qxexx103.htm" TargetMode="External"/><Relationship Id="rId92" Type="http://schemas.openxmlformats.org/officeDocument/2006/relationships/hyperlink" Target="https://www.sec.gov/Archives/edgar/data/1415404/000141540422000042/sats03312210-qxexx103.htm" TargetMode="External"/><Relationship Id="rId93" Type="http://schemas.openxmlformats.org/officeDocument/2006/relationships/hyperlink" Target="http://www.sec.gov/Archives/edgar/data/1533758/000153375819000005/ex1030amendmenttonon-q.htm" TargetMode="External"/><Relationship Id="rId94" Type="http://schemas.openxmlformats.org/officeDocument/2006/relationships/hyperlink" Target="http://www.sec.gov/Archives/edgar/data/1533758/000153375819000005/ex1030amendmenttonon-q.htm" TargetMode="External"/><Relationship Id="rId95" Type="http://schemas.openxmlformats.org/officeDocument/2006/relationships/hyperlink" Target="http://www.sec.gov/Archives/edgar/data/1533758/000153375819000025/hssc063019ex-1011.htm" TargetMode="External"/><Relationship Id="rId96" Type="http://schemas.openxmlformats.org/officeDocument/2006/relationships/hyperlink" Target="http://www.sec.gov/Archives/edgar/data/1533758/000153375819000025/hssc063019ex-1011.htm" TargetMode="External"/><Relationship Id="rId97" Type="http://schemas.openxmlformats.org/officeDocument/2006/relationships/hyperlink" Target="https://www.sec.gov/Archives/edgar/data/1415404/000141540420000033/ex-101xadoptionagreeme.htm" TargetMode="External"/><Relationship Id="rId98" Type="http://schemas.openxmlformats.org/officeDocument/2006/relationships/hyperlink" Target="https://www.sec.gov/Archives/edgar/data/1415404/000141540420000033/ex-101xadoptionagreeme.htm" TargetMode="External"/><Relationship Id="rId99" Type="http://schemas.openxmlformats.org/officeDocument/2006/relationships/hyperlink" Target="https://www.sec.gov/Archives/edgar/data/1533758/000153375822000003/hssc202110-kxexx1022.htm" TargetMode="External"/><Relationship Id="rId100" Type="http://schemas.openxmlformats.org/officeDocument/2006/relationships/hyperlink" Target="https://www.sec.gov/Archives/edgar/data/1533758/000153375822000003/hssc202110-kxexx1022.htm" TargetMode="External"/><Relationship Id="rId101" Type="http://schemas.openxmlformats.org/officeDocument/2006/relationships/hyperlink" Target="https://www.sec.gov/Archives/edgar/data/1415404/000110465923106152/tm2326297d1_ex10-1.htm" TargetMode="External"/><Relationship Id="rId102" Type="http://schemas.openxmlformats.org/officeDocument/2006/relationships/hyperlink" Target="https://www.sec.gov/Archives/edgar/data/1415404/000110465923106152/tm2326297d1_ex10-1.htm" TargetMode="External"/><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52838</Words>
  <Characters>301358</Characters>
  <CharactersWithSpaces>351653</CharactersWithSpaces>
  <Paragraphs>5432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