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8" w:lineRule="exact"/>
        <w:rPr>
          <w:sz w:val="24"/>
          <w:szCs w:val="24"/>
          <w:color w:val="auto"/>
        </w:rPr>
      </w:pPr>
    </w:p>
    <w:p>
      <w:pPr>
        <w:ind w:left="2720" w:right="1519" w:hanging="2521"/>
        <w:spacing w:after="0" w:line="446" w:lineRule="auto"/>
        <w:tabs>
          <w:tab w:leader="none" w:pos="49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171" w:lineRule="exact"/>
        <w:rPr>
          <w:sz w:val="24"/>
          <w:szCs w:val="24"/>
          <w:color w:val="auto"/>
        </w:rPr>
      </w:pPr>
    </w:p>
    <w:p>
      <w:pPr>
        <w:ind w:left="480" w:hanging="281"/>
        <w:spacing w:after="0"/>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5600" w:type="dxa"/>
            <w:vAlign w:val="bottom"/>
            <w:gridSpan w:val="6"/>
          </w:tcPr>
          <w:p>
            <w:pPr>
              <w:ind w:left="24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w:t>
            </w:r>
          </w:p>
        </w:tc>
        <w:tc>
          <w:tcPr>
            <w:tcW w:w="2760" w:type="dxa"/>
            <w:vAlign w:val="bottom"/>
          </w:tcPr>
          <w:p>
            <w:pPr>
              <w:jc w:val="right"/>
              <w:ind w:right="23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2980" w:type="dxa"/>
            <w:vAlign w:val="bottom"/>
          </w:tcPr>
          <w:p>
            <w:pPr>
              <w:spacing w:after="0"/>
              <w:rPr>
                <w:sz w:val="18"/>
                <w:szCs w:val="18"/>
                <w:color w:val="auto"/>
              </w:rPr>
            </w:pPr>
          </w:p>
        </w:tc>
        <w:tc>
          <w:tcPr>
            <w:tcW w:w="2620" w:type="dxa"/>
            <w:vAlign w:val="bottom"/>
            <w:gridSpan w:val="5"/>
          </w:tcPr>
          <w:p>
            <w:pPr>
              <w:jc w:val="center"/>
              <w:ind w:left="264"/>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001-33807</w:t>
            </w:r>
          </w:p>
        </w:tc>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63"/>
        </w:trPr>
        <w:tc>
          <w:tcPr>
            <w:tcW w:w="2980" w:type="dxa"/>
            <w:vAlign w:val="bottom"/>
          </w:tcPr>
          <w:p>
            <w:pPr>
              <w:spacing w:after="0"/>
              <w:rPr>
                <w:sz w:val="22"/>
                <w:szCs w:val="22"/>
                <w:color w:val="auto"/>
              </w:rPr>
            </w:pPr>
          </w:p>
        </w:tc>
        <w:tc>
          <w:tcPr>
            <w:tcW w:w="2620" w:type="dxa"/>
            <w:vAlign w:val="bottom"/>
            <w:gridSpan w:val="5"/>
          </w:tcPr>
          <w:p>
            <w:pPr>
              <w:jc w:val="center"/>
              <w:ind w:left="264"/>
              <w:spacing w:after="0"/>
              <w:rPr>
                <w:sz w:val="20"/>
                <w:szCs w:val="20"/>
                <w:color w:val="auto"/>
              </w:rPr>
            </w:pPr>
            <w:r>
              <w:rPr>
                <w:rFonts w:ascii="Times New Roman" w:cs="Times New Roman" w:eastAsia="Times New Roman" w:hAnsi="Times New Roman"/>
                <w:sz w:val="22"/>
                <w:szCs w:val="22"/>
                <w:b w:val="1"/>
                <w:bCs w:val="1"/>
                <w:color w:val="auto"/>
                <w:w w:val="98"/>
              </w:rPr>
              <w:t>EchoStar Corporation</w:t>
            </w:r>
          </w:p>
        </w:tc>
        <w:tc>
          <w:tcPr>
            <w:tcW w:w="54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188"/>
        </w:trPr>
        <w:tc>
          <w:tcPr>
            <w:tcW w:w="2980" w:type="dxa"/>
            <w:vAlign w:val="bottom"/>
          </w:tcPr>
          <w:p>
            <w:pPr>
              <w:spacing w:after="0"/>
              <w:rPr>
                <w:sz w:val="16"/>
                <w:szCs w:val="16"/>
                <w:color w:val="auto"/>
              </w:rPr>
            </w:pPr>
          </w:p>
        </w:tc>
        <w:tc>
          <w:tcPr>
            <w:tcW w:w="31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760" w:type="dxa"/>
            <w:vAlign w:val="bottom"/>
          </w:tcPr>
          <w:p>
            <w:pPr>
              <w:spacing w:after="0"/>
              <w:rPr>
                <w:sz w:val="16"/>
                <w:szCs w:val="16"/>
                <w:color w:val="auto"/>
              </w:rPr>
            </w:pPr>
          </w:p>
        </w:tc>
      </w:tr>
      <w:tr>
        <w:trPr>
          <w:trHeight w:val="208"/>
        </w:trPr>
        <w:tc>
          <w:tcPr>
            <w:tcW w:w="2980" w:type="dxa"/>
            <w:vAlign w:val="bottom"/>
          </w:tcPr>
          <w:p>
            <w:pPr>
              <w:jc w:val="center"/>
              <w:ind w:left="1336"/>
              <w:spacing w:after="0"/>
              <w:rPr>
                <w:sz w:val="20"/>
                <w:szCs w:val="20"/>
                <w:color w:val="auto"/>
              </w:rPr>
            </w:pPr>
            <w:r>
              <w:rPr>
                <w:rFonts w:ascii="Times New Roman" w:cs="Times New Roman" w:eastAsia="Times New Roman" w:hAnsi="Times New Roman"/>
                <w:sz w:val="13"/>
                <w:szCs w:val="13"/>
                <w:b w:val="1"/>
                <w:bCs w:val="1"/>
                <w:color w:val="auto"/>
              </w:rPr>
              <w:t>Nevada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tcPr>
          <w:p>
            <w:pPr>
              <w:jc w:val="right"/>
              <w:ind w:right="1795"/>
              <w:spacing w:after="0"/>
              <w:rPr>
                <w:sz w:val="20"/>
                <w:szCs w:val="20"/>
                <w:color w:val="auto"/>
              </w:rPr>
            </w:pPr>
            <w:r>
              <w:rPr>
                <w:rFonts w:ascii="Times New Roman" w:cs="Times New Roman" w:eastAsia="Times New Roman" w:hAnsi="Times New Roman"/>
                <w:sz w:val="13"/>
                <w:szCs w:val="13"/>
                <w:b w:val="1"/>
                <w:bCs w:val="1"/>
                <w:color w:val="auto"/>
              </w:rPr>
              <w:t>26-1232727</w:t>
            </w:r>
          </w:p>
        </w:tc>
      </w:tr>
      <w:tr>
        <w:trPr>
          <w:trHeight w:val="164"/>
        </w:trPr>
        <w:tc>
          <w:tcPr>
            <w:tcW w:w="5600" w:type="dxa"/>
            <w:vAlign w:val="bottom"/>
            <w:gridSpan w:val="6"/>
          </w:tcPr>
          <w:p>
            <w:pPr>
              <w:jc w:val="center"/>
              <w:ind w:right="1220"/>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198"/>
        </w:trPr>
        <w:tc>
          <w:tcPr>
            <w:tcW w:w="5600" w:type="dxa"/>
            <w:vAlign w:val="bottom"/>
            <w:gridSpan w:val="6"/>
          </w:tcPr>
          <w:p>
            <w:pPr>
              <w:jc w:val="center"/>
              <w:ind w:right="1220"/>
              <w:spacing w:after="0"/>
              <w:rPr>
                <w:sz w:val="20"/>
                <w:szCs w:val="20"/>
                <w:color w:val="auto"/>
              </w:rPr>
            </w:pPr>
            <w:r>
              <w:rPr>
                <w:rFonts w:ascii="Times New Roman" w:cs="Times New Roman" w:eastAsia="Times New Roman" w:hAnsi="Times New Roman"/>
                <w:sz w:val="13"/>
                <w:szCs w:val="13"/>
                <w:b w:val="1"/>
                <w:bCs w:val="1"/>
                <w:color w:val="auto"/>
                <w:w w:val="97"/>
              </w:rPr>
              <w:t>9601 South Meridian Boulevard</w:t>
            </w:r>
          </w:p>
        </w:tc>
        <w:tc>
          <w:tcPr>
            <w:tcW w:w="5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37"/>
        </w:trPr>
        <w:tc>
          <w:tcPr>
            <w:tcW w:w="2980" w:type="dxa"/>
            <w:vAlign w:val="bottom"/>
          </w:tcPr>
          <w:p>
            <w:pPr>
              <w:jc w:val="center"/>
              <w:ind w:left="1356"/>
              <w:spacing w:after="0" w:line="137" w:lineRule="exact"/>
              <w:rPr>
                <w:sz w:val="20"/>
                <w:szCs w:val="20"/>
                <w:color w:val="auto"/>
              </w:rPr>
            </w:pPr>
            <w:r>
              <w:rPr>
                <w:rFonts w:ascii="Times New Roman" w:cs="Times New Roman" w:eastAsia="Times New Roman" w:hAnsi="Times New Roman"/>
                <w:sz w:val="13"/>
                <w:szCs w:val="13"/>
                <w:b w:val="1"/>
                <w:bCs w:val="1"/>
                <w:color w:val="auto"/>
                <w:w w:val="96"/>
              </w:rPr>
              <w:t>Englewood, Colorado</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760" w:type="dxa"/>
            <w:vAlign w:val="bottom"/>
          </w:tcPr>
          <w:p>
            <w:pPr>
              <w:jc w:val="right"/>
              <w:ind w:right="1955"/>
              <w:spacing w:after="0" w:line="137" w:lineRule="exact"/>
              <w:rPr>
                <w:sz w:val="20"/>
                <w:szCs w:val="20"/>
                <w:color w:val="auto"/>
              </w:rPr>
            </w:pPr>
            <w:r>
              <w:rPr>
                <w:rFonts w:ascii="Times New Roman" w:cs="Times New Roman" w:eastAsia="Times New Roman" w:hAnsi="Times New Roman"/>
                <w:sz w:val="13"/>
                <w:szCs w:val="13"/>
                <w:b w:val="1"/>
                <w:bCs w:val="1"/>
                <w:color w:val="auto"/>
              </w:rPr>
              <w:t>80112</w:t>
            </w:r>
          </w:p>
        </w:tc>
      </w:tr>
      <w:tr>
        <w:trPr>
          <w:trHeight w:val="164"/>
        </w:trPr>
        <w:tc>
          <w:tcPr>
            <w:tcW w:w="5600" w:type="dxa"/>
            <w:vAlign w:val="bottom"/>
            <w:gridSpan w:val="6"/>
          </w:tcPr>
          <w:p>
            <w:pPr>
              <w:jc w:val="center"/>
              <w:ind w:right="1220"/>
              <w:spacing w:after="0"/>
              <w:rPr>
                <w:sz w:val="20"/>
                <w:szCs w:val="20"/>
                <w:color w:val="auto"/>
              </w:rPr>
            </w:pPr>
            <w:r>
              <w:rPr>
                <w:rFonts w:ascii="Times New Roman" w:cs="Times New Roman" w:eastAsia="Times New Roman" w:hAnsi="Times New Roman"/>
                <w:sz w:val="13"/>
                <w:szCs w:val="13"/>
                <w:color w:val="auto"/>
                <w:w w:val="95"/>
              </w:rPr>
              <w:t>(Address of principal executive offices)</w:t>
            </w:r>
          </w:p>
        </w:tc>
        <w:tc>
          <w:tcPr>
            <w:tcW w:w="540" w:type="dxa"/>
            <w:vAlign w:val="bottom"/>
          </w:tcPr>
          <w:p>
            <w:pPr>
              <w:spacing w:after="0"/>
              <w:rPr>
                <w:sz w:val="14"/>
                <w:szCs w:val="14"/>
                <w:color w:val="auto"/>
              </w:rPr>
            </w:pPr>
          </w:p>
        </w:tc>
        <w:tc>
          <w:tcPr>
            <w:tcW w:w="2760" w:type="dxa"/>
            <w:vAlign w:val="bottom"/>
          </w:tcPr>
          <w:p>
            <w:pPr>
              <w:jc w:val="right"/>
              <w:ind w:right="1835"/>
              <w:spacing w:after="0"/>
              <w:rPr>
                <w:sz w:val="20"/>
                <w:szCs w:val="20"/>
                <w:color w:val="auto"/>
              </w:rPr>
            </w:pPr>
            <w:r>
              <w:rPr>
                <w:rFonts w:ascii="Times New Roman" w:cs="Times New Roman" w:eastAsia="Times New Roman" w:hAnsi="Times New Roman"/>
                <w:sz w:val="13"/>
                <w:szCs w:val="13"/>
                <w:color w:val="auto"/>
              </w:rPr>
              <w:t>(Zip Code)</w:t>
            </w:r>
          </w:p>
        </w:tc>
      </w:tr>
      <w:tr>
        <w:trPr>
          <w:trHeight w:val="229"/>
        </w:trPr>
        <w:tc>
          <w:tcPr>
            <w:tcW w:w="6140" w:type="dxa"/>
            <w:vAlign w:val="bottom"/>
            <w:gridSpan w:val="7"/>
          </w:tcPr>
          <w:p>
            <w:pPr>
              <w:ind w:left="2720"/>
              <w:spacing w:after="0"/>
              <w:rPr>
                <w:sz w:val="20"/>
                <w:szCs w:val="20"/>
                <w:color w:val="auto"/>
              </w:rPr>
            </w:pPr>
            <w:r>
              <w:rPr>
                <w:rFonts w:ascii="Times New Roman" w:cs="Times New Roman" w:eastAsia="Times New Roman" w:hAnsi="Times New Roman"/>
                <w:sz w:val="13"/>
                <w:szCs w:val="13"/>
                <w:color w:val="auto"/>
                <w:w w:val="95"/>
              </w:rPr>
              <w:t xml:space="preserve">Registrant’s telephone number, including area code: </w:t>
            </w:r>
            <w:r>
              <w:rPr>
                <w:rFonts w:ascii="Times New Roman" w:cs="Times New Roman" w:eastAsia="Times New Roman" w:hAnsi="Times New Roman"/>
                <w:sz w:val="13"/>
                <w:szCs w:val="13"/>
                <w:b w:val="1"/>
                <w:bCs w:val="1"/>
                <w:color w:val="auto"/>
                <w:w w:val="95"/>
              </w:rPr>
              <w:t>(303) 723-1000</w:t>
            </w:r>
          </w:p>
        </w:tc>
        <w:tc>
          <w:tcPr>
            <w:tcW w:w="2760" w:type="dxa"/>
            <w:vAlign w:val="bottom"/>
          </w:tcPr>
          <w:p>
            <w:pPr>
              <w:spacing w:after="0"/>
              <w:rPr>
                <w:sz w:val="19"/>
                <w:szCs w:val="19"/>
                <w:color w:val="auto"/>
              </w:rPr>
            </w:pPr>
          </w:p>
        </w:tc>
      </w:tr>
      <w:tr>
        <w:trPr>
          <w:trHeight w:val="229"/>
        </w:trPr>
        <w:tc>
          <w:tcPr>
            <w:tcW w:w="2980" w:type="dxa"/>
            <w:vAlign w:val="bottom"/>
          </w:tcPr>
          <w:p>
            <w:pPr>
              <w:spacing w:after="0"/>
              <w:rPr>
                <w:sz w:val="19"/>
                <w:szCs w:val="19"/>
                <w:color w:val="auto"/>
              </w:rPr>
            </w:pPr>
          </w:p>
        </w:tc>
        <w:tc>
          <w:tcPr>
            <w:tcW w:w="3160" w:type="dxa"/>
            <w:vAlign w:val="bottom"/>
            <w:gridSpan w:val="6"/>
          </w:tcPr>
          <w:p>
            <w:pPr>
              <w:jc w:val="center"/>
              <w:ind w:right="114"/>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2760" w:type="dxa"/>
            <w:vAlign w:val="bottom"/>
          </w:tcPr>
          <w:p>
            <w:pPr>
              <w:spacing w:after="0"/>
              <w:rPr>
                <w:sz w:val="19"/>
                <w:szCs w:val="19"/>
                <w:color w:val="auto"/>
              </w:rPr>
            </w:pPr>
          </w:p>
        </w:tc>
      </w:tr>
      <w:tr>
        <w:trPr>
          <w:trHeight w:val="212"/>
        </w:trPr>
        <w:tc>
          <w:tcPr>
            <w:tcW w:w="2980" w:type="dxa"/>
            <w:vAlign w:val="bottom"/>
          </w:tcPr>
          <w:p>
            <w:pPr>
              <w:jc w:val="center"/>
              <w:ind w:left="856"/>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5"/>
        </w:trPr>
        <w:tc>
          <w:tcPr>
            <w:tcW w:w="2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3"/>
              </w:rPr>
              <w:t>Symbol(s)</w:t>
            </w:r>
          </w:p>
        </w:tc>
        <w:tc>
          <w:tcPr>
            <w:tcW w:w="54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158"/>
        </w:trPr>
        <w:tc>
          <w:tcPr>
            <w:tcW w:w="2980" w:type="dxa"/>
            <w:vAlign w:val="bottom"/>
            <w:tcBorders>
              <w:top w:val="single" w:sz="8" w:color="auto"/>
            </w:tcBorders>
          </w:tcPr>
          <w:p>
            <w:pPr>
              <w:jc w:val="center"/>
              <w:ind w:left="856"/>
              <w:spacing w:after="0"/>
              <w:rPr>
                <w:sz w:val="20"/>
                <w:szCs w:val="20"/>
                <w:color w:val="auto"/>
              </w:rPr>
            </w:pPr>
            <w:r>
              <w:rPr>
                <w:rFonts w:ascii="Times New Roman" w:cs="Times New Roman" w:eastAsia="Times New Roman" w:hAnsi="Times New Roman"/>
                <w:sz w:val="13"/>
                <w:szCs w:val="13"/>
                <w:color w:val="auto"/>
                <w:w w:val="96"/>
              </w:rPr>
              <w:t>Class A common stock, $0.001 par value</w:t>
            </w: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7"/>
              </w:rPr>
              <w:t>SATS</w:t>
            </w: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tcPr>
          <w:p>
            <w:pPr>
              <w:jc w:val="right"/>
              <w:ind w:right="995"/>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67" w:lineRule="exact"/>
        <w:rPr>
          <w:sz w:val="24"/>
          <w:szCs w:val="24"/>
          <w:color w:val="auto"/>
        </w:rPr>
      </w:pPr>
    </w:p>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w:t>
      </w:r>
    </w:p>
    <w:p>
      <w:pPr>
        <w:spacing w:after="0" w:line="20" w:lineRule="exact"/>
        <w:rPr>
          <w:sz w:val="24"/>
          <w:szCs w:val="24"/>
          <w:color w:val="auto"/>
        </w:rPr>
      </w:pPr>
    </w:p>
    <w:p>
      <w:pPr>
        <w:ind w:left="60"/>
        <w:spacing w:after="0" w:line="138" w:lineRule="exact"/>
        <w:rPr>
          <w:sz w:val="20"/>
          <w:szCs w:val="20"/>
          <w:color w:val="auto"/>
        </w:rPr>
      </w:pPr>
      <w:r>
        <w:rPr>
          <w:rFonts w:ascii="Times New Roman" w:cs="Times New Roman" w:eastAsia="Times New Roman" w:hAnsi="Times New Roman"/>
          <w:sz w:val="12"/>
          <w:szCs w:val="12"/>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ind w:left="60" w:right="559"/>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left="60" w:right="99"/>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7" w:lineRule="exact"/>
        <w:rPr>
          <w:sz w:val="24"/>
          <w:szCs w:val="24"/>
          <w:color w:val="auto"/>
        </w:rPr>
      </w:pPr>
    </w:p>
    <w:p>
      <w:pPr>
        <w:ind w:left="16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2">
            <w:col w:w="5560" w:space="720"/>
            <w:col w:w="2739"/>
          </w:cols>
          <w:pgMar w:left="1440" w:top="661" w:right="1440" w:bottom="1440" w:gutter="0" w:footer="0" w:header="0"/>
          <w:type w:val="continuous"/>
        </w:sectPr>
      </w:pPr>
    </w:p>
    <w:p>
      <w:pPr>
        <w:ind w:left="162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18" w:lineRule="exact"/>
        <w:rPr>
          <w:sz w:val="24"/>
          <w:szCs w:val="24"/>
          <w:color w:val="auto"/>
        </w:rPr>
      </w:pPr>
    </w:p>
    <w:p>
      <w:pPr>
        <w:sectPr>
          <w:pgSz w:w="11900" w:h="16838" w:orient="portrait"/>
          <w:cols w:equalWidth="0" w:num="2">
            <w:col w:w="5280" w:space="720"/>
            <w:col w:w="3019"/>
          </w:cols>
          <w:pgMar w:left="1440" w:top="661" w:right="1440" w:bottom="1440" w:gutter="0" w:footer="0" w:header="0"/>
          <w:type w:val="continuous"/>
        </w:sectPr>
      </w:pPr>
    </w:p>
    <w:p>
      <w:pPr>
        <w:ind w:left="60" w:right="21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60" w:right="399"/>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46" w:lineRule="exact"/>
        <w:rPr>
          <w:sz w:val="24"/>
          <w:szCs w:val="24"/>
          <w:color w:val="auto"/>
        </w:rPr>
      </w:pPr>
    </w:p>
    <w:p>
      <w:pPr>
        <w:ind w:left="60" w:right="479"/>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2" w:lineRule="exact"/>
        <w:rPr>
          <w:sz w:val="24"/>
          <w:szCs w:val="24"/>
          <w:color w:val="auto"/>
        </w:rPr>
      </w:pPr>
    </w:p>
    <w:p>
      <w:pPr>
        <w:ind w:left="60" w:right="47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0" w:lineRule="exact"/>
        <w:rPr>
          <w:sz w:val="24"/>
          <w:szCs w:val="24"/>
          <w:color w:val="auto"/>
        </w:rPr>
      </w:pPr>
    </w:p>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60" w:right="59"/>
        <w:spacing w:after="0"/>
        <w:rPr>
          <w:sz w:val="20"/>
          <w:szCs w:val="20"/>
          <w:color w:val="auto"/>
        </w:rPr>
      </w:pPr>
      <w:r>
        <w:rPr>
          <w:rFonts w:ascii="Times New Roman" w:cs="Times New Roman" w:eastAsia="Times New Roman" w:hAnsi="Times New Roman"/>
          <w:sz w:val="13"/>
          <w:szCs w:val="13"/>
          <w:color w:val="auto"/>
        </w:rPr>
        <w:t>As of June 30, 2023, the aggregate market value of Class A common stock held by non-affiliates of the registrant was $585.3 million based upon the closing price of the Class A common stock as reported on the Nasdaq Global Select Market as of the close of business on the last trading day of the month.</w:t>
      </w:r>
    </w:p>
    <w:p>
      <w:pPr>
        <w:spacing w:after="0" w:line="52" w:lineRule="exact"/>
        <w:rPr>
          <w:sz w:val="24"/>
          <w:szCs w:val="24"/>
          <w:color w:val="auto"/>
        </w:rPr>
      </w:pPr>
    </w:p>
    <w:p>
      <w:pPr>
        <w:ind w:left="60" w:right="319"/>
        <w:spacing w:after="0"/>
        <w:rPr>
          <w:sz w:val="20"/>
          <w:szCs w:val="20"/>
          <w:color w:val="auto"/>
        </w:rPr>
      </w:pPr>
      <w:r>
        <w:rPr>
          <w:rFonts w:ascii="Times New Roman" w:cs="Times New Roman" w:eastAsia="Times New Roman" w:hAnsi="Times New Roman"/>
          <w:sz w:val="13"/>
          <w:szCs w:val="13"/>
          <w:color w:val="auto"/>
        </w:rPr>
        <w:t>As of February 20, 2024, the registrant’s outstanding common stock consisted of 140,170,052 shares of Class A common stock and 131,348,468 shares of Class B common stock, each $0.001 par value.</w:t>
      </w:r>
    </w:p>
    <w:p>
      <w:pPr>
        <w:spacing w:after="0" w:line="5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The following documents are incorporated into this Form 10-K by reference:</w:t>
      </w:r>
    </w:p>
    <w:p>
      <w:pPr>
        <w:spacing w:after="0" w:line="8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to be filed in connection with its 2023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508000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45085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88265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gridSpan w:val="20"/>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14"/>
          </w:tcPr>
          <w:p>
            <w:pPr>
              <w:jc w:val="center"/>
              <w:ind w:right="330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7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460" w:type="dxa"/>
            <w:vAlign w:val="bottom"/>
            <w:gridSpan w:val="4"/>
          </w:tcPr>
          <w:p>
            <w:pPr>
              <w:spacing w:after="0"/>
              <w:rPr>
                <w:sz w:val="17"/>
                <w:szCs w:val="17"/>
                <w:color w:val="auto"/>
              </w:rPr>
            </w:pPr>
          </w:p>
        </w:tc>
        <w:tc>
          <w:tcPr>
            <w:tcW w:w="37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50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320" w:type="dxa"/>
            <w:vAlign w:val="bottom"/>
          </w:tcPr>
          <w:p>
            <w:pPr>
              <w:spacing w:after="0"/>
              <w:rPr>
                <w:sz w:val="17"/>
                <w:szCs w:val="17"/>
                <w:color w:val="auto"/>
              </w:rPr>
            </w:pPr>
          </w:p>
        </w:tc>
        <w:tc>
          <w:tcPr>
            <w:tcW w:w="9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300" w:type="dxa"/>
            <w:vAlign w:val="bottom"/>
            <w:gridSpan w:val="2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380" w:type="dxa"/>
            <w:vAlign w:val="bottom"/>
            <w:gridSpan w:val="2"/>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5160" w:type="dxa"/>
            <w:vAlign w:val="bottom"/>
            <w:gridSpan w:val="2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60" w:type="dxa"/>
            <w:vAlign w:val="bottom"/>
            <w:tcBorders>
              <w:top w:val="single" w:sz="8" w:color="0000EE"/>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tcBorders>
              <w:top w:val="single" w:sz="8" w:color="0000EE"/>
            </w:tcBorders>
            <w:gridSpan w:val="4"/>
          </w:tcPr>
          <w:p>
            <w:pPr>
              <w:spacing w:after="0"/>
              <w:rPr>
                <w:sz w:val="17"/>
                <w:szCs w:val="17"/>
                <w:color w:val="auto"/>
              </w:rPr>
            </w:pPr>
          </w:p>
        </w:tc>
        <w:tc>
          <w:tcPr>
            <w:tcW w:w="6200" w:type="dxa"/>
            <w:vAlign w:val="bottom"/>
            <w:gridSpan w:val="2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60" w:type="dxa"/>
            <w:vAlign w:val="bottom"/>
            <w:gridSpan w:val="4"/>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60" w:type="dxa"/>
            <w:vAlign w:val="bottom"/>
            <w:gridSpan w:val="4"/>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26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60" w:type="dxa"/>
            <w:vAlign w:val="bottom"/>
            <w:gridSpan w:val="4"/>
          </w:tcPr>
          <w:p>
            <w:pPr>
              <w:spacing w:after="0"/>
              <w:rPr>
                <w:sz w:val="24"/>
                <w:szCs w:val="24"/>
                <w:color w:val="auto"/>
              </w:rPr>
            </w:pPr>
          </w:p>
        </w:tc>
        <w:tc>
          <w:tcPr>
            <w:tcW w:w="72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5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60" w:type="dxa"/>
            <w:vAlign w:val="bottom"/>
            <w:gridSpan w:val="4"/>
          </w:tcPr>
          <w:p>
            <w:pPr>
              <w:spacing w:after="0"/>
              <w:rPr>
                <w:sz w:val="17"/>
                <w:szCs w:val="17"/>
                <w:color w:val="auto"/>
              </w:rPr>
            </w:pPr>
          </w:p>
        </w:tc>
        <w:tc>
          <w:tcPr>
            <w:tcW w:w="8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440" w:type="dxa"/>
            <w:vAlign w:val="bottom"/>
            <w:tcBorders>
              <w:top w:val="single" w:sz="8" w:color="0000EE"/>
            </w:tcBorders>
            <w:gridSpan w:val="3"/>
          </w:tcPr>
          <w:p>
            <w:pPr>
              <w:spacing w:after="0"/>
              <w:rPr>
                <w:sz w:val="17"/>
                <w:szCs w:val="17"/>
                <w:color w:val="auto"/>
              </w:rPr>
            </w:pPr>
          </w:p>
        </w:tc>
        <w:tc>
          <w:tcPr>
            <w:tcW w:w="5980" w:type="dxa"/>
            <w:vAlign w:val="bottom"/>
            <w:gridSpan w:val="2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460" w:type="dxa"/>
            <w:vAlign w:val="bottom"/>
            <w:gridSpan w:val="4"/>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320" w:type="dxa"/>
            <w:vAlign w:val="bottom"/>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40" w:type="dxa"/>
            <w:vAlign w:val="bottom"/>
            <w:tcBorders>
              <w:top w:val="single" w:sz="8" w:color="0000EE"/>
            </w:tcBorders>
            <w:gridSpan w:val="3"/>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7"/>
          </w:tcPr>
          <w:p>
            <w:pPr>
              <w:spacing w:after="0"/>
              <w:rPr>
                <w:sz w:val="17"/>
                <w:szCs w:val="17"/>
                <w:color w:val="auto"/>
              </w:rPr>
            </w:pPr>
          </w:p>
        </w:tc>
        <w:tc>
          <w:tcPr>
            <w:tcW w:w="286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460" w:type="dxa"/>
            <w:vAlign w:val="bottom"/>
            <w:gridSpan w:val="4"/>
          </w:tcPr>
          <w:p>
            <w:pPr>
              <w:spacing w:after="0"/>
              <w:rPr>
                <w:sz w:val="17"/>
                <w:szCs w:val="17"/>
                <w:color w:val="auto"/>
              </w:rPr>
            </w:pPr>
          </w:p>
        </w:tc>
        <w:tc>
          <w:tcPr>
            <w:tcW w:w="65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7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32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44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380" w:type="dxa"/>
            <w:vAlign w:val="bottom"/>
            <w:gridSpan w:val="2"/>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9C.</w:t>
            </w:r>
          </w:p>
        </w:tc>
        <w:tc>
          <w:tcPr>
            <w:tcW w:w="380" w:type="dxa"/>
            <w:vAlign w:val="bottom"/>
            <w:gridSpan w:val="2"/>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900" w:type="dxa"/>
            <w:vAlign w:val="bottom"/>
            <w:tcBorders>
              <w:top w:val="single" w:sz="8" w:color="0000EE"/>
            </w:tcBorders>
            <w:gridSpan w:val="3"/>
          </w:tcPr>
          <w:p>
            <w:pPr>
              <w:spacing w:after="0"/>
              <w:rPr>
                <w:sz w:val="24"/>
                <w:szCs w:val="24"/>
                <w:color w:val="auto"/>
              </w:rPr>
            </w:pPr>
          </w:p>
        </w:tc>
        <w:tc>
          <w:tcPr>
            <w:tcW w:w="23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10.</w:t>
            </w:r>
          </w:p>
        </w:tc>
        <w:tc>
          <w:tcPr>
            <w:tcW w:w="72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11.</w:t>
            </w:r>
          </w:p>
        </w:tc>
        <w:tc>
          <w:tcPr>
            <w:tcW w:w="380" w:type="dxa"/>
            <w:vAlign w:val="bottom"/>
            <w:gridSpan w:val="2"/>
          </w:tcPr>
          <w:p>
            <w:pPr>
              <w:spacing w:after="0"/>
              <w:rPr>
                <w:sz w:val="17"/>
                <w:szCs w:val="17"/>
                <w:color w:val="auto"/>
              </w:rPr>
            </w:pPr>
          </w:p>
        </w:tc>
        <w:tc>
          <w:tcPr>
            <w:tcW w:w="1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13"/>
          </w:tcPr>
          <w:p>
            <w:pPr>
              <w:spacing w:after="0"/>
              <w:rPr>
                <w:sz w:val="17"/>
                <w:szCs w:val="17"/>
                <w:color w:val="auto"/>
              </w:rPr>
            </w:pPr>
          </w:p>
        </w:tc>
        <w:tc>
          <w:tcPr>
            <w:tcW w:w="312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140" w:type="dxa"/>
            <w:vAlign w:val="bottom"/>
            <w:tcBorders>
              <w:top w:val="single" w:sz="8" w:color="0000EE"/>
            </w:tcBorders>
            <w:gridSpan w:val="30"/>
          </w:tcPr>
          <w:p>
            <w:pPr>
              <w:spacing w:after="0"/>
              <w:rPr>
                <w:sz w:val="17"/>
                <w:szCs w:val="17"/>
                <w:color w:val="auto"/>
              </w:rPr>
            </w:pPr>
          </w:p>
        </w:tc>
        <w:tc>
          <w:tcPr>
            <w:tcW w:w="5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5"/>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EE"/>
                <w:w w:val="92"/>
              </w:rPr>
              <w:t>PART IV</w:t>
            </w:r>
          </w:p>
        </w:tc>
        <w:tc>
          <w:tcPr>
            <w:tcW w:w="720" w:type="dxa"/>
            <w:vAlign w:val="bottom"/>
          </w:tcPr>
          <w:p>
            <w:pPr>
              <w:spacing w:after="0"/>
              <w:rPr>
                <w:sz w:val="24"/>
                <w:szCs w:val="24"/>
                <w:color w:val="auto"/>
              </w:rPr>
            </w:pP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15.</w:t>
            </w:r>
          </w:p>
        </w:tc>
        <w:tc>
          <w:tcPr>
            <w:tcW w:w="3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680" w:type="dxa"/>
            <w:vAlign w:val="bottom"/>
            <w:tcBorders>
              <w:top w:val="single" w:sz="8" w:color="0000EE"/>
            </w:tcBorders>
            <w:gridSpan w:val="5"/>
          </w:tcPr>
          <w:p>
            <w:pPr>
              <w:spacing w:after="0"/>
              <w:rPr>
                <w:sz w:val="24"/>
                <w:szCs w:val="24"/>
                <w:color w:val="auto"/>
              </w:rPr>
            </w:pPr>
          </w:p>
        </w:tc>
        <w:tc>
          <w:tcPr>
            <w:tcW w:w="324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60" w:type="dxa"/>
            <w:vAlign w:val="bottom"/>
            <w:gridSpan w:val="2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40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810"/>
        </w:trPr>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wholly-owned, indirect subsidiary of DISH Network, and its subsidiaries.</w:t>
      </w:r>
    </w:p>
    <w:p>
      <w:pPr>
        <w:spacing w:after="0" w:line="11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Integration</w:t>
      </w:r>
    </w:p>
    <w:p>
      <w:pPr>
        <w:spacing w:after="0" w:line="162" w:lineRule="exact"/>
        <w:rPr>
          <w:sz w:val="20"/>
          <w:szCs w:val="20"/>
          <w:color w:val="auto"/>
        </w:rPr>
      </w:pPr>
    </w:p>
    <w:p>
      <w:pPr>
        <w:ind w:left="720" w:right="21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w:t>
      </w:r>
    </w:p>
    <w:p>
      <w:pPr>
        <w:spacing w:after="0" w:line="81" w:lineRule="exact"/>
        <w:rPr>
          <w:rFonts w:ascii="Times New Roman" w:cs="Times New Roman" w:eastAsia="Times New Roman" w:hAnsi="Times New Roman"/>
          <w:sz w:val="18"/>
          <w:szCs w:val="18"/>
          <w:color w:val="auto"/>
        </w:rPr>
      </w:pPr>
    </w:p>
    <w:p>
      <w:pPr>
        <w:ind w:left="720" w:right="4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shares of our common stock may be affected by factors different from, or in addition to, those that historically affected the market prices of shares of DISH Network Class A Common Stock and EchoStar Class A Common Stock.</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 and Economic Risks</w:t>
      </w:r>
    </w:p>
    <w:p>
      <w:pPr>
        <w:spacing w:after="0" w:line="162" w:lineRule="exact"/>
        <w:rPr>
          <w:sz w:val="20"/>
          <w:szCs w:val="20"/>
          <w:color w:val="auto"/>
        </w:rPr>
      </w:pPr>
    </w:p>
    <w:p>
      <w:pPr>
        <w:ind w:left="720" w:right="13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8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certain risks competing in the wireless services industry and operating a facilities-based wireless services business.</w:t>
      </w:r>
    </w:p>
    <w:p>
      <w:pPr>
        <w:spacing w:after="0" w:line="67"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pay-TV competitors may be able to leverage their relationships with programmers to reduce their programming costs and/or offer exclusive content that will place them at a competitive advantage to us.</w:t>
      </w:r>
    </w:p>
    <w:p>
      <w:pPr>
        <w:spacing w:after="0" w:line="67"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the MNOs whose networks we rely on to provide wireless services to our customers, and they may seek to limit, reduce or terminate our network access to the extent that it becomes competitively advantageous to do so.</w:t>
      </w:r>
    </w:p>
    <w:p>
      <w:pPr>
        <w:spacing w:after="0" w:line="81" w:lineRule="exact"/>
        <w:rPr>
          <w:rFonts w:ascii="Times New Roman" w:cs="Times New Roman" w:eastAsia="Times New Roman" w:hAnsi="Times New Roman"/>
          <w:sz w:val="18"/>
          <w:szCs w:val="18"/>
          <w:color w:val="auto"/>
        </w:rPr>
      </w:pPr>
    </w:p>
    <w:p>
      <w:pPr>
        <w:ind w:left="720" w:right="19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take advantage of technological developments on a timely basis, or at all, we may experience a decline in demand for our services or face challenges in implementing or evolving our business strategy.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Operational and Service Delivery Risks</w:t>
      </w:r>
    </w:p>
    <w:p>
      <w:pPr>
        <w:spacing w:after="0" w:line="162" w:lineRule="exact"/>
        <w:rPr>
          <w:sz w:val="20"/>
          <w:szCs w:val="20"/>
          <w:color w:val="auto"/>
        </w:rPr>
      </w:pPr>
    </w:p>
    <w:p>
      <w:pPr>
        <w:ind w:left="720" w:right="91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81" w:lineRule="exact"/>
        <w:rPr>
          <w:rFonts w:ascii="Times New Roman" w:cs="Times New Roman" w:eastAsia="Times New Roman" w:hAnsi="Times New Roman"/>
          <w:sz w:val="18"/>
          <w:szCs w:val="18"/>
          <w:color w:val="auto"/>
        </w:rPr>
      </w:pPr>
    </w:p>
    <w:p>
      <w:pPr>
        <w:ind w:left="720" w:right="63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8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independent third parties to solicit orders for our services that represent a meaningful percentage of our total gross new subscriber activations.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Human Capital</w:t>
      </w:r>
    </w:p>
    <w:p>
      <w:pPr>
        <w:spacing w:after="0" w:line="162" w:lineRule="exact"/>
        <w:rPr>
          <w:sz w:val="20"/>
          <w:szCs w:val="20"/>
          <w:color w:val="auto"/>
        </w:rPr>
      </w:pPr>
    </w:p>
    <w:p>
      <w:pPr>
        <w:ind w:left="720" w:right="2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and customer retention strategies rely in part on the work of technically skilled employees.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Products and Technology</w:t>
      </w:r>
    </w:p>
    <w:p>
      <w:pPr>
        <w:spacing w:after="0" w:line="229" w:lineRule="exact"/>
        <w:rPr>
          <w:sz w:val="20"/>
          <w:szCs w:val="20"/>
          <w:color w:val="auto"/>
        </w:rPr>
      </w:pPr>
    </w:p>
    <w:p>
      <w:pPr>
        <w:ind w:left="720" w:right="2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become, party to various lawsuits which, if adversely decided, could have a significant adverse impact on our business, particularly lawsuits regarding intellectual property.</w:t>
      </w:r>
    </w:p>
    <w:p>
      <w:pPr>
        <w:spacing w:after="0" w:line="67"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Cybersecurity</w:t>
      </w:r>
    </w:p>
    <w:p>
      <w:pPr>
        <w:spacing w:after="0" w:line="162" w:lineRule="exact"/>
        <w:rPr>
          <w:sz w:val="20"/>
          <w:szCs w:val="20"/>
          <w:color w:val="auto"/>
        </w:rPr>
      </w:pPr>
    </w:p>
    <w:p>
      <w:pPr>
        <w:ind w:left="720" w:right="99" w:hanging="319"/>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8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integrity, and availability of our services and products depends on the continuing operation of our information technology and other enabling systems.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and Capital Structure Risks</w:t>
      </w:r>
    </w:p>
    <w:p>
      <w:pPr>
        <w:spacing w:after="0" w:line="162" w:lineRule="exact"/>
        <w:rPr>
          <w:sz w:val="20"/>
          <w:szCs w:val="20"/>
          <w:color w:val="auto"/>
        </w:rPr>
      </w:pPr>
    </w:p>
    <w:p>
      <w:pPr>
        <w:ind w:left="720" w:right="25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outstanding and may incur additional debt and covenants in our Indentures could limit our ability to undertake certain types of activities and adversely affect our liquidity.</w:t>
      </w:r>
    </w:p>
    <w:p>
      <w:pPr>
        <w:spacing w:after="0" w:line="67"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substantial investments to acquire certain wireless spectrum licenses and other related assets, and may be unable to realize a return on these assets.</w:t>
      </w:r>
    </w:p>
    <w:p>
      <w:pPr>
        <w:spacing w:after="0" w:line="67"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capital, which may not be available on favorable terms, to fund current obligations, continue investing in our business and to finance acquisitions and other strategic transactions.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one principal stockholder who is our Chairman.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Business</w:t>
      </w:r>
    </w:p>
    <w:p>
      <w:pPr>
        <w:spacing w:after="0" w:line="229" w:lineRule="exact"/>
        <w:rPr>
          <w:sz w:val="20"/>
          <w:szCs w:val="20"/>
          <w:color w:val="auto"/>
        </w:rPr>
      </w:pPr>
    </w:p>
    <w:p>
      <w:pPr>
        <w:ind w:left="720" w:right="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services depend on FCC licenses that can expire or be revoked or modified and applications for FCC licenses that may not be granted.</w:t>
      </w:r>
    </w:p>
    <w:p>
      <w:pPr>
        <w:spacing w:after="0" w:line="162"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Other factors that could cause or contribute to such differences include, but are not limited to, those discussed under the caption “Risk Factors” in Part I, Item 1A in this Annual Report on Form 10-K, those discussed in “Management’s Discussion and Analysis of Financial Condition and Results of Operations” herein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Our Class A common stock is publicly traded on the NASDAQ Global Select Market (“NASDAQ”) under the symbol “SATS.” Our principal executive offices are located at 9601 South Meridian Boulevard, Englewood, Colorado 80112 and our telephone number is (303) 723- 1000.</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 with DISH Network</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w:t>
      </w:r>
    </w:p>
    <w:p>
      <w:pPr>
        <w:spacing w:after="0" w:line="183"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Any shares of DISH Network Common Stock that were held in DISH Network’s treasury or held directly by us or Merger Sub immediately prior to the Effective Time were cancelled and cease to exist and no consideration was paid in respect thereof. All shares of the DISH Network Class A Common Stock were delisted from the Nasdaq Global Select Market (“NASDAQ”) and deregistered under the Securities Exchange Act of 1934, as amended.</w:t>
      </w:r>
    </w:p>
    <w:p>
      <w:pPr>
        <w:spacing w:after="0" w:line="18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spacing w:after="0" w:line="189"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Concurrently with the entry into the Amended Merger Agreement, the Ergen EchoStar Stockholders (as defined in the Amended Merger Agreement), the Ergen DISH Stockholders (collectively, the “Ergen Stockholders”), we and DISH Network entered into an amended and restated support agreement (the “Amended Support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of the Merger, and pursuant to the Amended and Restated Support Agreement, the Ergen Stockholders, we and DISH Network, on December 31, 2023, we and the Ergen Stockholders entered into a registration rights agreement (the “Registration Rights Agreement”). 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us to make appropriate officers available to participate in roadshow presentations and cooperate as reasonably requested in connection with any underwritten offerings. We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us for use in a registration statement by a participating stockholder.</w:t>
      </w:r>
    </w:p>
    <w:p>
      <w:pPr>
        <w:spacing w:after="0" w:line="18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For more information and a copy of the Amended Merger Agreement, the Amended Support Agreement and the Registration Rights Agreement, see the Form 8-K of EchoStar Corporation filed on October 3, 2023 and the Form 8-K of EchoStar Corporation filed on January 2, 2024.</w:t>
      </w:r>
    </w:p>
    <w:p>
      <w:pPr>
        <w:spacing w:after="0" w:line="1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With the Merger complete, we are currently focused on the process of integrating our and DISH Network’s business in a manner that facilitates synergies, cost savings, growth opportunities and achieves other anticipated benefits (the “Integration”).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EchoStar Corporation is a holding company. Its subsidiaries operate four primary business segments: (1) Pay-TV; (2) Retail Wireless; (3) 5G Network Deployment; and (4) Broadband and Satellite Services.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Pay-TV</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2023, we had 8.526 million Pay-TV subscribers in the United States, including 6.471 million DISH TV subscribers and 2.055 million SLING TV subscribers.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Retail Wireless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offer nationwide prepaid and postpaid retail wireless services to subscribers primarily under our Boost Mobile®, Boost postpaid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financing arrangements for wireless devices.</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 xml:space="preserve">We are currently operating our Retail Wireless segment primarily as a mobile virtual network operator (“MVNO”) as we continue our 5G Network Deployment and commercialize our 5G Network, as defined below. We are transitioning our Retail Wireless segment to a mobile network operator (“MNO”) as our 5G Network becomes commercially available and we are currently activating subscribers onto our 5G Network in markets where we have reached </w:t>
      </w:r>
      <w:r>
        <w:rPr>
          <w:rFonts w:ascii="Times New Roman" w:cs="Times New Roman" w:eastAsia="Times New Roman" w:hAnsi="Times New Roman"/>
          <w:sz w:val="18"/>
          <w:szCs w:val="18"/>
          <w:color w:val="0A0A0A"/>
        </w:rPr>
        <w:t>voice over new radio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(“VoNR”)</w:t>
      </w:r>
      <w:r>
        <w:rPr>
          <w:rFonts w:ascii="Times New Roman" w:cs="Times New Roman" w:eastAsia="Times New Roman" w:hAnsi="Times New Roman"/>
          <w:sz w:val="18"/>
          <w:szCs w:val="18"/>
          <w:color w:val="000000"/>
        </w:rPr>
        <w:t>.</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786130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As an MVNO, today we depend on T-Mobile and AT&amp;T to provide us with network services under the amended Master Network Services Agreement (“MNSA”) and Network Services Agreement (the “NSA”), respectively. Under the NSA, we expect AT&amp;T will become our primary network services provider. As of December 31, 2023, we had 7.378 million Wireless subscribers.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5G Network Deployment</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15 in the Notes to our Consolidated Financial Statements in this Annual Report on Form 10-K for further information. We plan to commercialize our Wireless spectrum licenses through the completion of the nation’s first cloud-native, Open Radio Access Network (“O-RAN”) based 5G network (our “5G Network Deployment”).</w:t>
      </w:r>
    </w:p>
    <w:p>
      <w:pPr>
        <w:spacing w:after="0" w:line="187" w:lineRule="exact"/>
        <w:rPr>
          <w:sz w:val="20"/>
          <w:szCs w:val="20"/>
          <w:color w:val="auto"/>
        </w:rPr>
      </w:pPr>
    </w:p>
    <w:p>
      <w:pPr>
        <w:ind w:left="60" w:right="779"/>
        <w:spacing w:after="0" w:line="266" w:lineRule="auto"/>
        <w:rPr>
          <w:sz w:val="20"/>
          <w:szCs w:val="20"/>
          <w:color w:val="auto"/>
        </w:rPr>
      </w:pPr>
      <w:r>
        <w:rPr>
          <w:rFonts w:ascii="Times New Roman" w:cs="Times New Roman" w:eastAsia="Times New Roman" w:hAnsi="Times New Roman"/>
          <w:sz w:val="18"/>
          <w:szCs w:val="18"/>
          <w:color w:val="auto"/>
        </w:rPr>
        <w:t>We have committed to deploy a facilities-based 5G broadband network (our “5G Network”) capable of serving increasingly larger portions of the U.S. population at different deadlines, including 20% of the U.S. population by June 2022 and 70% of the U.S. population by June 2023.</w:t>
      </w:r>
    </w:p>
    <w:p>
      <w:pPr>
        <w:spacing w:after="0" w:line="1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 </w:t>
      </w:r>
      <w:r>
        <w:rPr>
          <w:rFonts w:ascii="Times New Roman" w:cs="Times New Roman" w:eastAsia="Times New Roman" w:hAnsi="Times New Roman"/>
          <w:sz w:val="18"/>
          <w:szCs w:val="18"/>
          <w:color w:val="0A0A0A"/>
        </w:rPr>
        <w:t>We now have the largest commercial deployment of 5G VoNR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world reaching approximately 200 million Americans and </w:t>
      </w:r>
      <w:r>
        <w:rPr>
          <w:rFonts w:ascii="Times New Roman" w:cs="Times New Roman" w:eastAsia="Times New Roman" w:hAnsi="Times New Roman"/>
          <w:sz w:val="18"/>
          <w:szCs w:val="18"/>
          <w:color w:val="000000"/>
        </w:rPr>
        <w:t>5G broadband service</w:t>
      </w:r>
      <w:r>
        <w:rPr>
          <w:rFonts w:ascii="Times New Roman" w:cs="Times New Roman" w:eastAsia="Times New Roman" w:hAnsi="Times New Roman"/>
          <w:sz w:val="18"/>
          <w:szCs w:val="18"/>
          <w:color w:val="0A0A0A"/>
        </w:rPr>
        <w:t xml:space="preserve"> reaching approximately 250 million Americans.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-416560</wp:posOffset>
            </wp:positionV>
            <wp:extent cx="290576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5760" cy="128905"/>
                    </a:xfrm>
                    <a:prstGeom prst="rect">
                      <a:avLst/>
                    </a:prstGeom>
                    <a:noFill/>
                  </pic:spPr>
                </pic:pic>
              </a:graphicData>
            </a:graphic>
          </wp:anchor>
        </w:drawing>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Broadband and Satellite Services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are an industry leader in both networking technologies and services, innovating to deliver the solutions that power a connected future for people, enterprises and things everywhere. We provide broadband services to consumer customers, which include home and small to medium-sized businesses. We also provide satellite and multi-transport technologies and managed network services to telecommunications providers, aeronautical service providers, civilian and defense government entities, and other enterprise customers.</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EchoStar XXIV satellite began service in December 2023, bringing additional broadband capacity to North and South America. We will leverage EchoStar XXIV to serve the unserved and underserved consumer markets in the Americas as well as enterprise and government markets.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other enterprise customers. We also offer a robust suite of integrated, multi-transport solutions to enable airline and airline service providers to deliver reliable in-flight network connectivity serving both commercial and business aviation.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PAY-TV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 Pay-TV</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Our Pay-TV segment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ectPr>
          <w:pgSz w:w="11900" w:h="16838" w:orient="portrait"/>
          <w:cols w:equalWidth="0" w:num="1">
            <w:col w:w="9019"/>
          </w:cols>
          <w:pgMar w:left="1440" w:top="513" w:right="1440" w:bottom="144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0" w:right="139" w:hanging="319"/>
        <w:spacing w:after="0" w:line="257"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with the Best Technology. </w:t>
      </w:r>
      <w:r>
        <w:rPr>
          <w:rFonts w:ascii="Times New Roman" w:cs="Times New Roman" w:eastAsia="Times New Roman" w:hAnsi="Times New Roman"/>
          <w:sz w:val="18"/>
          <w:szCs w:val="18"/>
          <w:color w:val="auto"/>
        </w:rPr>
        <w:t>We offer a wide selection of local and national HD programming and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leader in our industry, offering award-winning DVRs (including our Hopper® whole-home HD DVR), multiple tuner receivers, video on demand and external hard drives. We offer several SLING TV services, including SLING Orange (our single-stream SLING domestic service), SLING Blue (our multi-stream Sling domestic service), International, Latino and Freestream, among others, as well as add-on extras, direct to consumer services, pay-per-view events and a cloud-based DVR service.</w:t>
      </w:r>
    </w:p>
    <w:p>
      <w:pPr>
        <w:spacing w:after="0" w:line="182" w:lineRule="exact"/>
        <w:rPr>
          <w:rFonts w:ascii="Times New Roman" w:cs="Times New Roman" w:eastAsia="Times New Roman" w:hAnsi="Times New Roman"/>
          <w:sz w:val="18"/>
          <w:szCs w:val="18"/>
          <w:color w:val="auto"/>
        </w:rPr>
      </w:pPr>
    </w:p>
    <w:p>
      <w:pPr>
        <w:ind w:left="720" w:right="41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Outstanding Customer Service. </w:t>
      </w:r>
      <w:r>
        <w:rPr>
          <w:rFonts w:ascii="Times New Roman" w:cs="Times New Roman" w:eastAsia="Times New Roman" w:hAnsi="Times New Roman"/>
          <w:sz w:val="18"/>
          <w:szCs w:val="18"/>
          <w:color w:val="auto"/>
        </w:rPr>
        <w:t>We strive to provide outstanding customer service by,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improving the quality of the initial installation of subscriber equipment, improving the reliability of our equipment, better educating our customers about our products and services, and resolving customer problems promptly and effectively when they arise.</w:t>
      </w:r>
    </w:p>
    <w:p>
      <w:pPr>
        <w:spacing w:after="0" w:line="179"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Great Value. </w:t>
      </w:r>
      <w:r>
        <w:rPr>
          <w:rFonts w:ascii="Times New Roman" w:cs="Times New Roman" w:eastAsia="Times New Roman" w:hAnsi="Times New Roman"/>
          <w:sz w:val="18"/>
          <w:szCs w:val="18"/>
          <w:color w:val="auto"/>
        </w:rPr>
        <w:t>We have historically been viewed as the low-cost provider in the pay-TV industry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However, today with DISH TV, we are focused on a message of Service, Value and Technology. We also offer a differentiated customer experience with our award-winning Hopper® platform that integrates voice control powered by Google Assistant, access to apps including Netflix, Prime Video and YouTube, and the ability to watch live, recorded and On Demand content anywhere with the DISH Anywhere mobile application. As another example, our SLING Orange service and our SLING Blue service are two of the lowest priced live-linear online streaming services in the industry.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 – Pay-TV</w:t>
      </w:r>
    </w:p>
    <w:p>
      <w:pPr>
        <w:spacing w:after="0" w:line="225"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services. </w:t>
      </w:r>
      <w:r>
        <w:rPr>
          <w:rFonts w:ascii="Times New Roman" w:cs="Times New Roman" w:eastAsia="Times New Roman" w:hAnsi="Times New Roman"/>
          <w:sz w:val="18"/>
          <w:szCs w:val="18"/>
          <w:color w:val="auto"/>
        </w:rPr>
        <w:t>We offer a wide selection of video services under the DISH TV brand, with access to hundreds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Our Latino and international programming packages allow subscribers to choose from over 300 channels in over 20 languages.</w:t>
      </w:r>
    </w:p>
    <w:p>
      <w:pPr>
        <w:spacing w:after="0" w:line="183"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addition, we offer our DISH TV subscribers streaming access through DISH On Demand</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to thousands of movies and television shows via their TV or Internet-connected devices.</w:t>
      </w:r>
    </w:p>
    <w:p>
      <w:pPr>
        <w:spacing w:after="0" w:line="16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DISH TV subscribers also have the ability to use dishanywhere.com and our DISH Anywhere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mobile applications on Internet-connected devices to view authorized content, search program listings and remotely control certain features of their DVRs. Dishanywhere.com and our DISH Anywhere mobile applications provide access to thousands of movies and television shows.</w:t>
      </w:r>
    </w:p>
    <w:p>
      <w:pPr>
        <w:spacing w:after="0" w:line="176" w:lineRule="exact"/>
        <w:rPr>
          <w:sz w:val="20"/>
          <w:szCs w:val="20"/>
          <w:color w:val="auto"/>
        </w:rPr>
      </w:pPr>
    </w:p>
    <w:p>
      <w:pPr>
        <w:ind w:left="60" w:right="3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SLING TV services. </w:t>
      </w:r>
      <w:r>
        <w:rPr>
          <w:rFonts w:ascii="Times New Roman" w:cs="Times New Roman" w:eastAsia="Times New Roman" w:hAnsi="Times New Roman"/>
          <w:sz w:val="18"/>
          <w:szCs w:val="18"/>
          <w:color w:val="auto"/>
        </w:rPr>
        <w:t>Our SLING TV services require an Internet connection and are available on multiple streaming-capable devices including, among others, streaming media devices, TVs, tablets, computers, game consoles and phones. We offer domestic, International, Latino and Freestream video programming services. We offer domestic SLING TV services as a single-stream service branded SLING Orange and a multi-stream service branded SLING Blue, which includes, among other things, the ability to stream on up to three devices simultaneously. We also offer add-on extras, direct to consumer services, pay-per-view events and a cloud-based DVR service.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 – Pay-TV</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operate in the consumer market in the United States and use print, radio, television and Internet media, on a local and national basis to motivate potential subscribers to contact DISH TV and SLING TV, visit our websites or contact independent third party retailers. We often offer our new DISH TV subscribers certain programming at no additional charge and/or promotional pricing during a commitment period. We often offer our new SLING TV subscribers free trials and/or streaming-capable devices at no additional charge and/or promotional pricing.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While we offer receiver systems and programming through direct sales channels, a meaningful percentage of our gross new DISH TV subscriber activations are generated through independent third parties such as small retailers, direct marketing groups, local and regional consumer electronics stores, nationwide retailers, and telecommunications companies. In general, we pay these independent third parties a mix of upfront and monthly incentives to solicit orders for our services and provide customer service. We offer our SLING TV services through direct sales channels and third-party marketing agreements.</w:t>
      </w:r>
    </w:p>
    <w:p>
      <w:pPr>
        <w:spacing w:after="0" w:line="18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incur significant upfront costs to provide our new DISH TV subscribers with in-home equipment, which most of our new DISH TV subscribers lease from us. We also incur significant upfront costs to install satellite dishes and receivers in the homes of our new DISH TV subscribers.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 Pay-TV</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8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increasing their Internet-based video offerings.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192" w:lineRule="exact"/>
        <w:rPr>
          <w:sz w:val="20"/>
          <w:szCs w:val="20"/>
          <w:color w:val="auto"/>
        </w:rPr>
      </w:pPr>
    </w:p>
    <w:p>
      <w:pPr>
        <w:jc w:val="both"/>
        <w:ind w:left="60" w:right="619"/>
        <w:spacing w:after="0" w:line="266" w:lineRule="auto"/>
        <w:rPr>
          <w:sz w:val="20"/>
          <w:szCs w:val="20"/>
          <w:color w:val="auto"/>
        </w:rPr>
      </w:pPr>
      <w:r>
        <w:rPr>
          <w:rFonts w:ascii="Times New Roman" w:cs="Times New Roman" w:eastAsia="Times New Roman" w:hAnsi="Times New Roman"/>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in our public filings. These transactions may affect us adversely by, among other things, making it more difficult for us to obtain access to certain programming networks on nondiscriminatory and fair terms, or at all.</w:t>
      </w:r>
    </w:p>
    <w:p>
      <w:pPr>
        <w:spacing w:after="0" w:line="185" w:lineRule="exact"/>
        <w:rPr>
          <w:sz w:val="20"/>
          <w:szCs w:val="20"/>
          <w:color w:val="auto"/>
        </w:rPr>
      </w:pPr>
    </w:p>
    <w:p>
      <w:pPr>
        <w:ind w:left="60" w:right="239"/>
        <w:spacing w:after="0" w:line="290" w:lineRule="auto"/>
        <w:rPr>
          <w:sz w:val="20"/>
          <w:szCs w:val="20"/>
          <w:color w:val="auto"/>
        </w:rPr>
      </w:pPr>
      <w:r>
        <w:rPr>
          <w:rFonts w:ascii="Times New Roman" w:cs="Times New Roman" w:eastAsia="Times New Roman" w:hAnsi="Times New Roman"/>
          <w:sz w:val="17"/>
          <w:szCs w:val="17"/>
          <w:color w:val="auto"/>
        </w:rPr>
        <w:t xml:space="preserve">For further information see </w:t>
      </w:r>
      <w:r>
        <w:rPr>
          <w:rFonts w:ascii="Times New Roman" w:cs="Times New Roman" w:eastAsia="Times New Roman" w:hAnsi="Times New Roman"/>
          <w:sz w:val="17"/>
          <w:szCs w:val="17"/>
          <w:i w:val="1"/>
          <w:iCs w:val="1"/>
          <w:color w:val="auto"/>
        </w:rPr>
        <w:t>“Item 1A – Risk Factors – Competition and Economic Risks – We face intense and increasing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competition from providers of video, broadband and/or wireless services, which may require us to further increase subscriber acquisition and retention spending or accept lower subscriber activations and higher subscriber churn.”</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WIRELESS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 Retail Wireless</w:t>
      </w:r>
    </w:p>
    <w:p>
      <w:pPr>
        <w:spacing w:after="0" w:line="229"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We offer nationwide prepaid and postpaid Retail Wireless services to subscribers primarily under our Boost Mobile, Boost postpaid and Gen Mobile brands, as well as a competitive portfolio of wireless devices. We offer customers value by providing choice and flexibility in our Retail Wireless services. Prepaid wireless subscribers generally pay in advance</w:t>
      </w:r>
    </w:p>
    <w:p>
      <w:pPr>
        <w:spacing w:after="0" w:line="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for monthly access to wireless talk, text, and data services. Postpaid wireless subscribers are qualified to pay after receiving wireless talk, text, and data services, and may also qualify for financing arrangements for wireless devices.</w:t>
      </w:r>
    </w:p>
    <w:p>
      <w:pPr>
        <w:spacing w:after="0" w:line="17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Boost postpaid</w:t>
      </w:r>
      <w:r>
        <w:rPr>
          <w:rFonts w:ascii="Times New Roman" w:cs="Times New Roman" w:eastAsia="Times New Roman" w:hAnsi="Times New Roman"/>
          <w:sz w:val="18"/>
          <w:szCs w:val="18"/>
          <w:color w:val="auto"/>
        </w:rPr>
        <w:t>. In the fourth quarter of 2022, we launched our Boost postpaid wireless service, to a limited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who had signed up for early registration. During 2023, we launched our nationwide expansion of our Boost postpaid wireless service, and at the end of the third quarter of 2023, we began offering the iPhone 15 on our 5G Network and expanded our Boost postpaid offering through a distribution partnership with Amazon.</w:t>
      </w:r>
    </w:p>
    <w:p>
      <w:pPr>
        <w:spacing w:after="0" w:line="182"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We are currently operating our Retail Wireless segment primarily as an MVNO as we continue our 5G Network Deployment and commercialize and grow customer traffic on our 5G Network. We are transitioning our Retail Wireless segment to an MNO as our 5G Network becomes commercially available. We are currently activating Boost Mobile and Boost postpaid subscribers with compatible devices onto our 5G Network in markets where we have launched 5G voice services. Within our MVNO operations, today we depend on T-Mobile and AT&amp;T to provide us with network services under MNSA and NSA, respectively. Under the NSA, we expect AT&amp;T will become our primary network services provider.</w:t>
      </w:r>
    </w:p>
    <w:p>
      <w:pPr>
        <w:spacing w:after="0" w:line="18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 - Retail Wireless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Currently, we offer Wireless subscribers competitive consumer plans with no annual service contracts and monthly service plans including high-speed data and unlimited talk and text. We also offer a variety of value-added services, including device payment and protection plans.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 - Retail Wireless</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We operate in the consumer market in the United States and use, among other things, print, radio, television and Internet media, on a local and national basis to motivate potential subscribers to contact us, visit our websites or contact independent third party retailers.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have both an indirect sales channel, which includes third-party owned retail stores and big box stores, and a direct sales channel, which services customers online. Through the indirect sales channel, we use direct distribution partners to facilitate product delivery to the third-party retailers. We currently market and distribute our products and services indirectly through third-party owned Boost-branded stores, multi-branded stores, national retail stores (such as Target, Best Buy, and Walmart stores) and other stores (such as convenience and grocery stores).</w:t>
      </w:r>
    </w:p>
    <w:p>
      <w:pPr>
        <w:spacing w:after="0" w:line="183"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We have relationships with most large manufacturers of wireless devices. We can incur significant upfront costs to subsidize wireless devices offered under promotional pricing to consumers.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 Retail Wireless</w:t>
      </w:r>
    </w:p>
    <w:p>
      <w:pPr>
        <w:spacing w:after="0" w:line="229" w:lineRule="exact"/>
        <w:rPr>
          <w:sz w:val="20"/>
          <w:szCs w:val="20"/>
          <w:color w:val="auto"/>
        </w:rPr>
      </w:pPr>
    </w:p>
    <w:p>
      <w:pPr>
        <w:ind w:left="60" w:right="379"/>
        <w:spacing w:after="0" w:line="276" w:lineRule="auto"/>
        <w:rPr>
          <w:sz w:val="20"/>
          <w:szCs w:val="20"/>
          <w:color w:val="auto"/>
        </w:rPr>
      </w:pPr>
      <w:r>
        <w:rPr>
          <w:rFonts w:ascii="Times New Roman" w:cs="Times New Roman" w:eastAsia="Times New Roman" w:hAnsi="Times New Roman"/>
          <w:sz w:val="17"/>
          <w:szCs w:val="17"/>
          <w:color w:val="auto"/>
        </w:rPr>
        <w:t>The Boost Mobile and Gen Mobile brands operate within the prepaid wireless industry segment and the Boost postpaid brand operates within the postpaid wireless industry segment. Retail wireless is a mature market with moderate year</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over year organic growth. Competitors include, among others, providers who offer similar communication services, such as talk, text and data. Competitive factors within the wireless communications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90" w:lineRule="exact"/>
        <w:rPr>
          <w:sz w:val="20"/>
          <w:szCs w:val="20"/>
          <w:color w:val="auto"/>
        </w:rPr>
      </w:pPr>
    </w:p>
    <w:p>
      <w:pPr>
        <w:ind w:left="60" w:right="399"/>
        <w:spacing w:after="0" w:line="289" w:lineRule="auto"/>
        <w:rPr>
          <w:sz w:val="20"/>
          <w:szCs w:val="20"/>
          <w:color w:val="auto"/>
        </w:rPr>
      </w:pPr>
      <w:r>
        <w:rPr>
          <w:rFonts w:ascii="Times New Roman" w:cs="Times New Roman" w:eastAsia="Times New Roman" w:hAnsi="Times New Roman"/>
          <w:sz w:val="17"/>
          <w:szCs w:val="17"/>
          <w:color w:val="auto"/>
        </w:rPr>
        <w:t>Primary competitors to our Retail Wireless segment include, but are not limited to, Metro PCS (owned by T-Mobile), Cricket Wireless (owned by AT&amp;T), Visible (owned by Verizon), Tracfone Wireless (owned by Verizon), and other MVNOs such as Consumer Cellular, Mint Mobile (T-Mobile has reached an agreement to acquire) and Xfinity Mobile.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5G NETWORK DEPLOYMENT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 5G Network Deployment</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15 in the Notes to our Consolidated Financial Statements in this Annual Report on Form 10-K for further information.</w:t>
      </w:r>
    </w:p>
    <w:p>
      <w:pPr>
        <w:spacing w:after="0" w:line="18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 See Note 15 in the Notes to our Consolidated Financial Statements in this Annual Report on Form 10-K for further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DISH Network Spectrum</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have invested a total of over $30 billion to acquire certain Wireless spectrum licenses. These Wireless spectrum licenses are subject to certain interim and final build-out requirements, as well as certain renewal requirements. Our 5G Network Deployment segment strategy is to commercialize our Wireless spectrum licenses through the completion of the nation’s first cloud-native, Open Radio Access Network (“O-RAN”) based 5G network (our “5G Network Deployment”). We have committed to deploy our 5G Network capable of serving increasingly larger portions of the U.S. population at different deadlines, including 20% of the U.S. population by 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 xml:space="preserve">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 </w:t>
      </w:r>
      <w:r>
        <w:rPr>
          <w:rFonts w:ascii="Times New Roman" w:cs="Times New Roman" w:eastAsia="Times New Roman" w:hAnsi="Times New Roman"/>
          <w:sz w:val="18"/>
          <w:szCs w:val="18"/>
          <w:color w:val="0A0A0A"/>
        </w:rPr>
        <w:t>We now have the largest commercial deployment of 5G VoNR in the world reaching approximately 200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Americans and </w:t>
      </w:r>
      <w:r>
        <w:rPr>
          <w:rFonts w:ascii="Times New Roman" w:cs="Times New Roman" w:eastAsia="Times New Roman" w:hAnsi="Times New Roman"/>
          <w:sz w:val="18"/>
          <w:szCs w:val="18"/>
          <w:color w:val="000000"/>
        </w:rPr>
        <w:t>5G broadband service</w:t>
      </w:r>
      <w:r>
        <w:rPr>
          <w:rFonts w:ascii="Times New Roman" w:cs="Times New Roman" w:eastAsia="Times New Roman" w:hAnsi="Times New Roman"/>
          <w:sz w:val="18"/>
          <w:szCs w:val="18"/>
          <w:color w:val="0A0A0A"/>
        </w:rPr>
        <w:t xml:space="preserve"> reaching approximately 250 million Americans.</w:t>
      </w:r>
    </w:p>
    <w:p>
      <w:pPr>
        <w:spacing w:after="0" w:line="18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15 in the Notes to our Consolidated Financial Statements in this Annual Report on Form 10-K for further information.</w:t>
      </w:r>
    </w:p>
    <w:p>
      <w:pPr>
        <w:spacing w:after="0" w:line="190" w:lineRule="exact"/>
        <w:rPr>
          <w:sz w:val="20"/>
          <w:szCs w:val="20"/>
          <w:color w:val="auto"/>
        </w:rPr>
      </w:pPr>
    </w:p>
    <w:p>
      <w:pPr>
        <w:ind w:left="60" w:right="579"/>
        <w:spacing w:after="0" w:line="284" w:lineRule="auto"/>
        <w:rPr>
          <w:sz w:val="20"/>
          <w:szCs w:val="20"/>
          <w:color w:val="auto"/>
        </w:rPr>
      </w:pPr>
      <w:r>
        <w:rPr>
          <w:rFonts w:ascii="Times New Roman" w:cs="Times New Roman" w:eastAsia="Times New Roman" w:hAnsi="Times New Roman"/>
          <w:sz w:val="18"/>
          <w:szCs w:val="18"/>
          <w:i w:val="1"/>
          <w:iCs w:val="1"/>
          <w:color w:val="auto"/>
        </w:rPr>
        <w:t>DISH Network Noncontrolling Investments in the Northstar Entities and the SNR Entities Related to AWS-3 Wireless Spectrum Licenses</w:t>
      </w:r>
    </w:p>
    <w:p>
      <w:pPr>
        <w:spacing w:after="0" w:line="160"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During 2015, through our wholly-owned subsidiaries American AWS-3 Wireless II L.L.C. (“American II”) and American AWS-3 Wireless III L.L.C. (“American III”), we initially made over $10 billion in certain noncontrolling investments</w:t>
      </w:r>
    </w:p>
    <w:p>
      <w:pPr>
        <w:spacing w:after="0" w:line="1"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7"/>
          <w:szCs w:val="17"/>
          <w:color w:val="auto"/>
        </w:rPr>
        <w:t xml:space="preserve">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and to SNR Wireless, respectively, which are recorded in “Regulatory authorizations, net” on our Consolidated Balance Sheets. Under the applicable accounting guidance in Accounting Standards Codification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xml:space="preserve"> (“ASC 810”), Northstar Spectrum and SNR HoldCo are considered variable interest entities (“VIEs”) and, based on the characteristics of the structure of these entities and in accordance with the applicable accounting guidance, we consolidate these entities into our financial statements. On October 12, 2023, the FCC consented to the sale of Northstar Manager, LLC’s (“Northstar Manager”)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Wireless Management, LLC’s (“SNR Management”)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 See Note 2 in the Notes to our Consolidated Financial Statements in this Annual Report on Form 10-K for further information.</w:t>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BROADBAND AND SATELLITE SERVICES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 Broadband and Satellite Services</w:t>
      </w:r>
    </w:p>
    <w:p>
      <w:pPr>
        <w:spacing w:after="0" w:line="229" w:lineRule="exact"/>
        <w:rPr>
          <w:sz w:val="20"/>
          <w:szCs w:val="20"/>
          <w:color w:val="auto"/>
        </w:rPr>
      </w:pPr>
    </w:p>
    <w:p>
      <w:pPr>
        <w:ind w:left="60" w:right="299"/>
        <w:spacing w:after="0" w:line="257" w:lineRule="auto"/>
        <w:rPr>
          <w:sz w:val="20"/>
          <w:szCs w:val="20"/>
          <w:color w:val="auto"/>
        </w:rPr>
      </w:pPr>
      <w:r>
        <w:rPr>
          <w:rFonts w:ascii="Times New Roman" w:cs="Times New Roman" w:eastAsia="Times New Roman" w:hAnsi="Times New Roman"/>
          <w:sz w:val="18"/>
          <w:szCs w:val="18"/>
          <w:color w:val="auto"/>
        </w:rPr>
        <w:t>Our overall business objective is to maintain and improve our leadership position and competitive advantage through development of leading-edge technologies and services marketed to selected sectors within the consumer, enterprise and government markets globally.</w:t>
      </w:r>
    </w:p>
    <w:p>
      <w:pPr>
        <w:sectPr>
          <w:pgSz w:w="11900" w:h="16838" w:orient="portrait"/>
          <w:cols w:equalWidth="0" w:num="1">
            <w:col w:w="9019"/>
          </w:cols>
          <w:pgMar w:left="1440" w:top="513" w:right="1440"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expect demand for broadband internet access, connectivity, networking and related value-added services will continue to grow across all major end-user sectors – consumer, businesses, enterprises and government. Our strategic objective is to maintain our leadership position and grow our competitive advantage by using our satellite assets, expertise, technologies, capital, investments, global presence, relationships, spectrum assets, and other capabilities for development of leading-edge technologies and services marketed to targeted sectors within these markets globally.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strategy consists of the following key aspects:</w:t>
      </w:r>
    </w:p>
    <w:p>
      <w:pPr>
        <w:spacing w:after="0" w:line="221" w:lineRule="exact"/>
        <w:rPr>
          <w:sz w:val="20"/>
          <w:szCs w:val="20"/>
          <w:color w:val="auto"/>
        </w:rPr>
      </w:pPr>
    </w:p>
    <w:p>
      <w:pPr>
        <w:ind w:left="700" w:right="79" w:hanging="326"/>
        <w:spacing w:after="0" w:line="259" w:lineRule="auto"/>
        <w:tabs>
          <w:tab w:leader="none" w:pos="6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the capabilities of our industry leading EchoStar XXIV satellite</w:t>
      </w:r>
      <w:r>
        <w:rPr>
          <w:rFonts w:ascii="Times New Roman" w:cs="Times New Roman" w:eastAsia="Times New Roman" w:hAnsi="Times New Roman"/>
          <w:sz w:val="18"/>
          <w:szCs w:val="18"/>
          <w:color w:val="auto"/>
        </w:rPr>
        <w:t>. We continue to focus on delivering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broadband services to the unserved and underserved markets in the Americas, with a vertical integration strategy. Following the service launch of the EchoStar XXIV satellite in December 2023, which provides us with additional capabilities and capacity, we have introduced new higher speed, higher data Hughesnet ® service plans, including a new Hughesnet Fusion® offering.</w:t>
      </w:r>
    </w:p>
    <w:p>
      <w:pPr>
        <w:spacing w:after="0" w:line="179" w:lineRule="exact"/>
        <w:rPr>
          <w:sz w:val="20"/>
          <w:szCs w:val="20"/>
          <w:color w:val="auto"/>
        </w:rPr>
      </w:pPr>
    </w:p>
    <w:p>
      <w:pPr>
        <w:ind w:left="720" w:right="219" w:hanging="319"/>
        <w:spacing w:after="0" w:line="259" w:lineRule="auto"/>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high growth segments within our enterprise business</w:t>
      </w:r>
      <w:r>
        <w:rPr>
          <w:rFonts w:ascii="Times New Roman" w:cs="Times New Roman" w:eastAsia="Times New Roman" w:hAnsi="Times New Roman"/>
          <w:sz w:val="18"/>
          <w:szCs w:val="18"/>
          <w:color w:val="auto"/>
        </w:rPr>
        <w:t>. We have a strong focus on growing our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business by leveraging our network connectivity solutions, managed services portfolio and internally-developed technologies and products.</w:t>
      </w:r>
    </w:p>
    <w:p>
      <w:pPr>
        <w:jc w:val="both"/>
        <w:ind w:left="1380" w:right="119" w:hanging="324"/>
        <w:spacing w:after="0" w:line="24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Our strategy is to grow managed services by offering the provision and management of advanced</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services, such as software-defined wide area network (“SD-WAN”) and cybersecurity, to enterprises and businesses that are seeking to outsource management. We believe that the demand for such services will remain high due to the challenges that many businesses face in managing these services internally.</w:t>
      </w:r>
    </w:p>
    <w:p>
      <w:pPr>
        <w:spacing w:after="0" w:line="2" w:lineRule="exact"/>
        <w:rPr>
          <w:rFonts w:ascii="Times New Roman" w:cs="Times New Roman" w:eastAsia="Times New Roman" w:hAnsi="Times New Roman"/>
          <w:sz w:val="18"/>
          <w:szCs w:val="18"/>
          <w:color w:val="auto"/>
        </w:rPr>
      </w:pPr>
    </w:p>
    <w:p>
      <w:pPr>
        <w:ind w:left="1380" w:right="199" w:hanging="324"/>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We will continue improving operational scale and reducing operational cost through the specialized use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of artificial intelligence for IT operations (“AIOps”), automation, and process efficiencies.</w:t>
      </w:r>
    </w:p>
    <w:p>
      <w:pPr>
        <w:ind w:left="1380" w:right="119" w:hanging="324"/>
        <w:spacing w:after="0" w:line="24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We intend to continue our growth in the in-flight connectivity market by providing a robust suite of</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integrated multi-transport solutions enabling airlines to deliver WiFi solutions to their passengers. We will leverage multi-orbit, i.e., Low Earth Orbit (“LEO”), Medium Earth Orbit (“MEO”) and Geosynchronous Equatorial Orbit (“GEO”) solutions incorporating our own and partners’ satellite assets as well as our state-of-the-art antenna and other technologies.</w:t>
      </w:r>
    </w:p>
    <w:p>
      <w:pPr>
        <w:spacing w:after="0" w:line="1" w:lineRule="exact"/>
        <w:rPr>
          <w:rFonts w:ascii="Times New Roman" w:cs="Times New Roman" w:eastAsia="Times New Roman" w:hAnsi="Times New Roman"/>
          <w:sz w:val="18"/>
          <w:szCs w:val="18"/>
          <w:color w:val="auto"/>
        </w:rPr>
      </w:pPr>
    </w:p>
    <w:p>
      <w:pPr>
        <w:ind w:left="1380" w:right="159" w:hanging="324"/>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We intend to exploit fixed access and wireless technologies for enterprise and government customers by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leveraging our expertise in wireless and managed services.</w:t>
      </w:r>
    </w:p>
    <w:p>
      <w:pPr>
        <w:ind w:left="1380" w:right="79"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We intend to continue leadership in the satellite technology platform market by focusing on development</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of advanced ground segments for next generation satellite systems, such as LEOs and flexible payload satellites.</w:t>
      </w:r>
    </w:p>
    <w:p>
      <w:pPr>
        <w:spacing w:after="0" w:line="195" w:lineRule="exact"/>
        <w:rPr>
          <w:rFonts w:ascii="Times New Roman" w:cs="Times New Roman" w:eastAsia="Times New Roman" w:hAnsi="Times New Roman"/>
          <w:sz w:val="18"/>
          <w:szCs w:val="18"/>
          <w:color w:val="auto"/>
        </w:rPr>
      </w:pPr>
    </w:p>
    <w:p>
      <w:pPr>
        <w:ind w:left="640" w:right="179" w:hanging="291"/>
        <w:spacing w:after="0" w:line="259"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focus on growing our business and cash-generation. </w:t>
      </w:r>
      <w:r>
        <w:rPr>
          <w:rFonts w:ascii="Times New Roman" w:cs="Times New Roman" w:eastAsia="Times New Roman" w:hAnsi="Times New Roman"/>
          <w:sz w:val="18"/>
          <w:szCs w:val="18"/>
          <w:color w:val="auto"/>
        </w:rPr>
        <w:t>We intend to focus on growing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improving efficiency, particularly on profitable growth and cash generation through increased discipline in capital expenditure and selling, general, and administrative spend. We continue to execute our strategy of maximizing financial returns by focusing on higher economic value enterprise and government applications in the U.S. and Latin America as well as by more selective customer screening.</w:t>
      </w:r>
    </w:p>
    <w:p>
      <w:pPr>
        <w:spacing w:after="0" w:line="179" w:lineRule="exact"/>
        <w:rPr>
          <w:rFonts w:ascii="Times New Roman" w:cs="Times New Roman" w:eastAsia="Times New Roman" w:hAnsi="Times New Roman"/>
          <w:sz w:val="18"/>
          <w:szCs w:val="18"/>
          <w:color w:val="auto"/>
        </w:rPr>
      </w:pPr>
    </w:p>
    <w:p>
      <w:pPr>
        <w:ind w:left="640" w:right="99" w:hanging="291"/>
        <w:spacing w:after="0" w:line="234"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development of emerging Non-Terrestrial-Networks (“NTN”) opportunities</w:t>
      </w:r>
      <w:r>
        <w:rPr>
          <w:rFonts w:ascii="Times New Roman" w:cs="Times New Roman" w:eastAsia="Times New Roman" w:hAnsi="Times New Roman"/>
          <w:sz w:val="18"/>
          <w:szCs w:val="18"/>
          <w:color w:val="auto"/>
        </w:rPr>
        <w:t>. The adoption of NTN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 of the worldwide wireless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Generation Partnership Project (“3GPP”) standards has created significant opportunities for our industry by combining satellite networks with terrestrial 5G networks. We believe our combination of resources, investments, know-how, and partnerships are second to none and intend to capitalize on this opportunity as described below:</w:t>
      </w:r>
    </w:p>
    <w:p>
      <w:pPr>
        <w:spacing w:after="0" w:line="3" w:lineRule="exact"/>
        <w:rPr>
          <w:rFonts w:ascii="Times New Roman" w:cs="Times New Roman" w:eastAsia="Times New Roman" w:hAnsi="Times New Roman"/>
          <w:sz w:val="18"/>
          <w:szCs w:val="18"/>
          <w:color w:val="auto"/>
        </w:rPr>
      </w:pPr>
    </w:p>
    <w:p>
      <w:pPr>
        <w:ind w:left="1380" w:right="119" w:hanging="324"/>
        <w:spacing w:after="0" w:line="24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Spectrum Assets: We hold certain high priority S-band International Telecommunication Union (“ITU”)</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rights, and mobile satellite service (“MSS”) authorizations in the US, Canada, Europe, Mexico and Chile. We are in the process of applying for and receiving additional authorizations globally. We have positioned ourselves to continue to develop the S-band spectrum globally by acquiring Sirion Global Pty Ltd., which we have renamed EchoStar Global Australia Pty Ltd (“EchoStar Global”). EchoStar Global has brought into use the ITU global S-band non-geostationary satellite spectrum rights for MSS.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80" w:right="79" w:hanging="331"/>
        <w:spacing w:after="0" w:line="251" w:lineRule="auto"/>
        <w:tabs>
          <w:tab w:leader="none" w:pos="1380" w:val="left"/>
        </w:tabs>
        <w:numPr>
          <w:ilvl w:val="2"/>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February of 2023, we announced an agreement with Astro Digital US, Inc. (“Astro Digital”), a designer, manufacturer and operator of small satellite systems, for the construction of a global S-band MSS network. Under the agreement, Astro Digital will manufacture the satellites for the constellation, which we expect will deliver [global] [check this] Internet of Things, machine-to-machine and other data services beginning in 2025.</w:t>
      </w:r>
    </w:p>
    <w:p>
      <w:pPr>
        <w:ind w:left="1380" w:right="439" w:hanging="331"/>
        <w:spacing w:after="0" w:line="244" w:lineRule="auto"/>
        <w:tabs>
          <w:tab w:leader="none" w:pos="1380" w:val="left"/>
        </w:tabs>
        <w:numPr>
          <w:ilvl w:val="2"/>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Expertise and operational infrastructure in satellite and 5G: We believe we are at the forefront of the industry with deep expertise and capabilities in satellite technologies and services as well as 5G networks and services.</w:t>
      </w:r>
    </w:p>
    <w:p>
      <w:pPr>
        <w:spacing w:after="0" w:line="1" w:lineRule="exact"/>
        <w:rPr>
          <w:rFonts w:ascii="Courier New" w:cs="Courier New" w:eastAsia="Courier New" w:hAnsi="Courier New"/>
          <w:sz w:val="18"/>
          <w:szCs w:val="18"/>
          <w:color w:val="auto"/>
        </w:rPr>
      </w:pPr>
    </w:p>
    <w:p>
      <w:pPr>
        <w:ind w:left="1380" w:right="719" w:hanging="331"/>
        <w:spacing w:after="0" w:line="243" w:lineRule="auto"/>
        <w:tabs>
          <w:tab w:leader="none" w:pos="1380" w:val="left"/>
        </w:tabs>
        <w:numPr>
          <w:ilvl w:val="2"/>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Partnerships and Ecosystem: We have relationships with leading service providers and operators globally, and this ecosystem delivers added value to our customers.</w:t>
      </w:r>
    </w:p>
    <w:p>
      <w:pPr>
        <w:spacing w:after="0" w:line="191" w:lineRule="exact"/>
        <w:rPr>
          <w:rFonts w:ascii="Courier New" w:cs="Courier New" w:eastAsia="Courier New" w:hAnsi="Courier New"/>
          <w:sz w:val="18"/>
          <w:szCs w:val="18"/>
          <w:color w:val="auto"/>
        </w:rPr>
      </w:pPr>
    </w:p>
    <w:p>
      <w:pPr>
        <w:ind w:left="640" w:right="219" w:hanging="291"/>
        <w:spacing w:after="0" w:line="257"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explore attractive new domestic and international strategic initiatives</w:t>
      </w:r>
      <w:r>
        <w:rPr>
          <w:rFonts w:ascii="Times New Roman" w:cs="Times New Roman" w:eastAsia="Times New Roman" w:hAnsi="Times New Roman"/>
          <w:sz w:val="18"/>
          <w:szCs w:val="18"/>
          <w:color w:val="auto"/>
        </w:rPr>
        <w:t>. We intend to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selective exploration of opportunities to pursue investments, commercial alliances, partnerships, joint ventures, acquisitions, dispositions and other strategic initiatives and transactions, domestically and internationally, that we believe may allow us to increase our existing market share, expand into new markets, and acquire new customers through the use of multi-transport technologies, increase our satellite capacity, broaden our portfolio of services, products and intellectual property and strengthen our relationships with our customers.</w:t>
      </w:r>
    </w:p>
    <w:p>
      <w:pPr>
        <w:spacing w:after="0" w:line="182" w:lineRule="exact"/>
        <w:rPr>
          <w:rFonts w:ascii="Times New Roman" w:cs="Times New Roman" w:eastAsia="Times New Roman" w:hAnsi="Times New Roman"/>
          <w:sz w:val="18"/>
          <w:szCs w:val="18"/>
          <w:color w:val="auto"/>
        </w:rPr>
      </w:pPr>
    </w:p>
    <w:p>
      <w:pPr>
        <w:ind w:left="720" w:right="99" w:hanging="319"/>
        <w:spacing w:after="0" w:line="268" w:lineRule="auto"/>
        <w:tabs>
          <w:tab w:leader="none" w:pos="7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new and improved technologies</w:t>
      </w:r>
      <w:r>
        <w:rPr>
          <w:rFonts w:ascii="Times New Roman" w:cs="Times New Roman" w:eastAsia="Times New Roman" w:hAnsi="Times New Roman"/>
          <w:sz w:val="18"/>
          <w:szCs w:val="18"/>
          <w:color w:val="auto"/>
        </w:rPr>
        <w:t>. We believe that our engineering capabilities enable us to develop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 cutting edge technologies, license our technologies to others and maintain a leading technological position in the industries in which we are active.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 – Broadband and Satellite Services</w:t>
      </w:r>
    </w:p>
    <w:p>
      <w:pPr>
        <w:spacing w:after="0" w:line="229"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6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Broadband and Satellite Services segment incorporates technology advancements that reduce costs and increase the functionality and reliability of our products and services. Through, among other things,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 In addition, we are also providing wireline and wireless capacity to utilize in markets that include residential, community WiFi, backhaul, and other enterprise broadband and multi-transport services.</w:t>
      </w:r>
    </w:p>
    <w:p>
      <w:pPr>
        <w:spacing w:after="0" w:line="189"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Our Broadband and Satellite Services segment currently uses capacity from our owned and leased satellites to provide services to our customers. We also use other multi-transport capacity that includes cable, fiber, 5G, and 4G/ Long-Term Evolution (“LTE”). The launch of our EchoStar XXIV satellite service in December 2023, brings to market additional broadband capacity across North and South America and is expected to be an integral part of our satellite service business.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Customers – Broadband and Satellite Services</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Our consumer customers consist of home and small to medium-sized business in the Americas. We provide broadband satellite technologies and broadband internet products and services to these customers. In addition, we are also providing wireline and wireless capacity to utilize in markets that include residential, community WiFi, and backhaul.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enterprise customers include, but are not limited to, retailers, financial institutions, aircraft connectivity providers, lottery agencies, and companies with multi-branch networks that rely on satellite or terrestrial networks for critical communication across wide geographies, as well as the U.S government. Most of our enterprise customers have long-term contracts with us for the services they purchase. Our Broadband and Satellite Services segment also designs, provides and installs gateway and terminal equipment to customers for other satellite systems and provides satellite ground segment systems and terminals for other satellite systems, including mobile system operators. Developments toward the launch of next-generation satellite systems, including LEO, MEO and geostationary systems, as well as other multi-transport technologies, could provide additional opportunities to increase demand for our equipment, hardware, technology and services.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satellite capacity is currently used by our enterprise customers for a variety of applications, including:</w:t>
      </w:r>
    </w:p>
    <w:p>
      <w:pPr>
        <w:spacing w:after="0" w:line="221" w:lineRule="exact"/>
        <w:rPr>
          <w:sz w:val="20"/>
          <w:szCs w:val="20"/>
          <w:color w:val="auto"/>
        </w:rPr>
      </w:pPr>
    </w:p>
    <w:p>
      <w:pPr>
        <w:ind w:left="640" w:right="579" w:hanging="291"/>
        <w:spacing w:after="0" w:line="28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Satellite Services (“FSS”)</w:t>
      </w:r>
      <w:r>
        <w:rPr>
          <w:rFonts w:ascii="Times New Roman" w:cs="Times New Roman" w:eastAsia="Times New Roman" w:hAnsi="Times New Roman"/>
          <w:sz w:val="18"/>
          <w:szCs w:val="18"/>
          <w:color w:val="auto"/>
        </w:rPr>
        <w:t>. We provide satellite services to internet service providers, broadcast news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and content providers who use our satellites to deliver programming and internet.</w:t>
      </w:r>
    </w:p>
    <w:p>
      <w:pPr>
        <w:spacing w:after="0" w:line="154" w:lineRule="exact"/>
        <w:rPr>
          <w:rFonts w:ascii="Times New Roman" w:cs="Times New Roman" w:eastAsia="Times New Roman" w:hAnsi="Times New Roman"/>
          <w:sz w:val="18"/>
          <w:szCs w:val="18"/>
          <w:color w:val="auto"/>
        </w:rPr>
      </w:pPr>
    </w:p>
    <w:p>
      <w:pPr>
        <w:ind w:left="660" w:right="279" w:hanging="286"/>
        <w:spacing w:after="0" w:line="28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 Services and Solutions</w:t>
      </w:r>
      <w:r>
        <w:rPr>
          <w:rFonts w:ascii="Times New Roman" w:cs="Times New Roman" w:eastAsia="Times New Roman" w:hAnsi="Times New Roman"/>
          <w:sz w:val="18"/>
          <w:szCs w:val="18"/>
          <w:color w:val="auto"/>
        </w:rPr>
        <w:t>. We provide satellite and technical services, as well as integrated solutions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enterprise customers.</w:t>
      </w:r>
    </w:p>
    <w:p>
      <w:pPr>
        <w:spacing w:after="0" w:line="154" w:lineRule="exact"/>
        <w:rPr>
          <w:rFonts w:ascii="Times New Roman" w:cs="Times New Roman" w:eastAsia="Times New Roman" w:hAnsi="Times New Roman"/>
          <w:sz w:val="18"/>
          <w:szCs w:val="18"/>
          <w:color w:val="auto"/>
        </w:rPr>
      </w:pPr>
    </w:p>
    <w:p>
      <w:pPr>
        <w:ind w:left="640" w:right="99" w:hanging="291"/>
        <w:spacing w:after="0" w:line="28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Services</w:t>
      </w:r>
      <w:r>
        <w:rPr>
          <w:rFonts w:ascii="Times New Roman" w:cs="Times New Roman" w:eastAsia="Times New Roman" w:hAnsi="Times New Roman"/>
          <w:sz w:val="18"/>
          <w:szCs w:val="18"/>
          <w:color w:val="auto"/>
        </w:rPr>
        <w:t>. We provide satellite services to companies for private networks that allow delivery of video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services for corporate communications.</w:t>
      </w:r>
    </w:p>
    <w:p>
      <w:pPr>
        <w:spacing w:after="0" w:line="154" w:lineRule="exact"/>
        <w:rPr>
          <w:rFonts w:ascii="Times New Roman" w:cs="Times New Roman" w:eastAsia="Times New Roman" w:hAnsi="Times New Roman"/>
          <w:sz w:val="18"/>
          <w:szCs w:val="18"/>
          <w:color w:val="auto"/>
        </w:rPr>
      </w:pPr>
    </w:p>
    <w:p>
      <w:pPr>
        <w:ind w:left="640" w:right="259" w:hanging="291"/>
        <w:spacing w:after="0" w:line="28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NTN and IOT Services. </w:t>
      </w:r>
      <w:r>
        <w:rPr>
          <w:rFonts w:ascii="Times New Roman" w:cs="Times New Roman" w:eastAsia="Times New Roman" w:hAnsi="Times New Roman"/>
          <w:sz w:val="18"/>
          <w:szCs w:val="18"/>
          <w:color w:val="auto"/>
        </w:rPr>
        <w:t>We provide services enabling enterprises and organizations to deploy Internet of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(“IOT”) to remotely collect and transmit sensor data.</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 Broadband and Satellite Services</w:t>
      </w:r>
    </w:p>
    <w:p>
      <w:pPr>
        <w:spacing w:after="0" w:line="229"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Our industry is highly competitive. As a global provider of network technologies, products and services, our Broadband and Satellite Services Segment competes with a large number of telecommunications service providers, which puts pressure on prices and margins. To compete effectively, we emphasize, among other things, our network quality, customization capability, offering of networks as a turnkey managed service, position as a single point of contact for products and services and competitive prices.</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Customers consider cost, speed and accessibility to be key determining factors in the selection of a service provider. In addition, government subsidies, such as the Federal Communication Commission’s (“FCC”) Rural Development Opportunity Fund, can have the effect of subsidizing the growth of our wired, wireless and satellite competitors. Our primary satellite competitors in the North American consumer market are ViaSat Communications, Inc., which is owned by ViaSat, Inc. (“ViaSat”), and Space Exploration Technologies Corp. (“SpaceX”). Both ViaSat and SpaceX have also entered the South and Central American consumer markets. We seek to differentiate ourselves based on the ubiquitous availability of our service, quality, proprietary technology, and distribution channels.</w:t>
      </w:r>
    </w:p>
    <w:p>
      <w:pPr>
        <w:spacing w:after="0" w:line="18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multiprotocol label switching (MPLS) and internet protocol-based virtual private networks (VPN), which vary by region. In the in-flight connectivity market, we compete against direct and indirect providers of passenger WiFi services, such as ViaSat and SpaceX.</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To compete effectively, we emphasize our network quality, customization capability, ability to offer networks as a turnkey managed service, position as a single point of contact for products and services and competitive prices. Our principal competitors for the supply of satellite technology platforms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192"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In the emerging NTN market, we expect to compete with several companies targeting this area, with technology approaches that may be similar to us or in some cases different. We will compete on the basis of our strong spectrum position, expertise in satellite and 5G technologies and our global industry relationships.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 Broadband and Satellite Services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Certain products in our Broadband and Satellite Services segment are assembled at our facilities in Maryland, and we outsource a portion of the manufacturing of other products to third parties. We believe that our manufacturing facilities have sufficient capacity to handle current demand. We adjust our capacity based on, among other things, our production requirements. We also work with certain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BUSINESS OPPORTUNITIES</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From time to time we evaluate opportunities for strategic investments or acquisitions that may complement our current services and products, enhance our technical capabilities, improve or sustain our competitive position, or otherwise offer growth opportunities.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Our operations, particularly our global satellite operations, Pay-TV operations, our Retail Wireless services and 5G Network Deployment and Broadband and Satellite Services businesses and our Wireless spectrum licenses are subject to significant government regulation and oversight, primarily by the FCC and, to a certain extent, by Congress, other federal agencies and international, foreign, state and local authorities. We are subject to telecommunications regulation by a number of regulatory bodies including the FCC, other U.S. federal and state regulators and government agencies, the ITU and regulators and governments in other countries and regions where we hold licenses including the E.U., the U.K., India, Australia and several Latin American countries. In addition, we are also subject to the export control laws and regulations and trade sanctions laws and regulations of the U.S. and other countries with respect to the export of telecommunications equipment and services. In addition, in the U.S. and some other countries we are subject to country specific approvals of our products.</w:t>
      </w:r>
    </w:p>
    <w:p>
      <w:pPr>
        <w:spacing w:after="0" w:line="19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Depending upon the circumstances, non-compliance with applicable legislation or regulations could result in suspension or revocation of our licenses or authorizations, the termination or loss of contracts or the imposition of contractual damages, civil fines or criminal penalties, any of which could have a material adverse effect on our business, financial condition and results of operations. These governmental authorities could also adopt regulations or take other actions that would adversely affect our business prospects.</w:t>
      </w:r>
    </w:p>
    <w:p>
      <w:pPr>
        <w:spacing w:after="0" w:line="183" w:lineRule="exact"/>
        <w:rPr>
          <w:sz w:val="20"/>
          <w:szCs w:val="20"/>
          <w:color w:val="auto"/>
        </w:rPr>
      </w:pPr>
    </w:p>
    <w:p>
      <w:pPr>
        <w:ind w:left="60" w:right="279"/>
        <w:spacing w:after="0" w:line="253" w:lineRule="auto"/>
        <w:rPr>
          <w:sz w:val="20"/>
          <w:szCs w:val="20"/>
          <w:color w:val="auto"/>
        </w:rPr>
      </w:pPr>
      <w:r>
        <w:rPr>
          <w:rFonts w:ascii="Times New Roman" w:cs="Times New Roman" w:eastAsia="Times New Roman" w:hAnsi="Times New Roman"/>
          <w:sz w:val="18"/>
          <w:szCs w:val="18"/>
          <w:color w:val="auto"/>
        </w:rPr>
        <w:t>Furthermore, any government policy changes, which may be substantial, could increase regulatory uncertainty. The adoption or modification of laws or regulations relating to video programming distribution, satellite services, wireless telecommunications, broadband, the Internet or other areas of our business could limit or otherwise adversely affect the manner in which we currently conduct our business. In addition, the manner in which regulations or legislation in these areas may be interpreted and enforced cannot be precisely determined, which in turn could have an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As detailed below, our Pay-TV operations are subject to FCC jurisdiction, including, without limitation, the FCC’s rules for satellite licensing, placement of satellites, interference avoidance, spectrum sharing, and coordination with other satellite systems. We must comply with FCC rules promulgating public interest requirements for DBS providers, security functionality for video providers, technology standards, media ownership, carriage of cable programming, and net neutrality. In addition, the Copyright Act of 1976 (the “Copyright Act”) and the Communications Act of 1934 (the “Communications Act”) govern our carriage of broadcast signals.</w:t>
      </w:r>
    </w:p>
    <w:p>
      <w:pPr>
        <w:spacing w:after="0" w:line="18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Our 5G Network Deployment services and our Wireless spectrum licenses are subject to regulation by the FCC and, depending on the jurisdiction, other federal, state and local, as well as international, governmental authorities and regulatory agencies, including, among other things, regulations governing the licensing, construction, operation, sale and interconnection arrangements of wireless telecommunications systems. In particular, the FCC imposes significant regulation on licensees of wireless spectrum with respect to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 There can be no assurances that our Wireless spectrum licenses will be renewed. Failure to comply with FCC build-out requirements in a given license area may result in acceleration of other build-out requirements or in the modification, cancellation, or non-renewal of licenses. For further information related to our licenses and build-out requirements related to our Wireless spectrum licenses see Note 15 in the Notes to our Consolidated Financial Statements in this Annual Report on Form 10-K.</w:t>
      </w:r>
    </w:p>
    <w:p>
      <w:pPr>
        <w:spacing w:after="0" w:line="19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Pay-TV and 5G Network Deployment operations are subject to federal, state, and international laws relating to the collection, use, retention, security, and transfer of personally identifiable information. The regulatory framework for privacy and security issues worldwide is rapidly evolving and as a result implementation standards and enforcement practices are likely to remain uncertain for the foreseeable future. Any failure by us, our suppliers, or other parties with whom we do business to comply with these standards and practices or with other federal, state,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w:t>
      </w:r>
    </w:p>
    <w:p>
      <w:pPr>
        <w:spacing w:after="0" w:line="1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following summary of regulatory developments and legislation in the United States is not intended to describe all present and proposed government regulation and legislation affecting the video programming distribution, satellite services, wireless telecommunications, broadband, and Internet industries. Government regulations that are currently the subject of judicial or administrative proceedings, legislative hearings or administrative proposals could change these industries to varying degrees. We cannot predict either the outcome of such proceedings or any potential impact they might have on these industries or on our operations.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FCC Regulations Applicable to Our Operations</w:t>
      </w:r>
    </w:p>
    <w:p>
      <w:pPr>
        <w:spacing w:after="0" w:line="22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FCC Jurisdiction over Satellite Operations</w:t>
      </w:r>
      <w:r>
        <w:rPr>
          <w:rFonts w:ascii="Times New Roman" w:cs="Times New Roman" w:eastAsia="Times New Roman" w:hAnsi="Times New Roman"/>
          <w:sz w:val="18"/>
          <w:szCs w:val="18"/>
          <w:color w:val="auto"/>
        </w:rPr>
        <w:t>. Non-governmental bodies, including commercial entities, that use radio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frequencies to provide 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80" w:lineRule="exact"/>
        <w:rPr>
          <w:sz w:val="20"/>
          <w:szCs w:val="20"/>
          <w:color w:val="auto"/>
        </w:rPr>
      </w:pPr>
    </w:p>
    <w:p>
      <w:pPr>
        <w:ind w:left="720" w:right="79" w:hanging="319"/>
        <w:spacing w:after="0" w:line="260" w:lineRule="auto"/>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assignment of satellite radio frequencies and orbital locations to specific services and companies, the licensing of satellites and earth stations and the granting of related authorizations;</w:t>
      </w:r>
    </w:p>
    <w:p>
      <w:pPr>
        <w:spacing w:after="0" w:line="1"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ind w:left="720" w:hanging="319"/>
        <w:spacing w:after="0"/>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ensuring compliance with the terms and conditions of assignments, licenses, authorizations and approvals;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avoiding harmful interference with other radio frequency emitters; and</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ensuring compliance with other applicable provisions of the Communications Act and FCC rules and regulations.</w:t>
      </w:r>
    </w:p>
    <w:p>
      <w:pPr>
        <w:sectPr>
          <w:pgSz w:w="11900" w:h="16838" w:orient="portrait"/>
          <w:cols w:equalWidth="0" w:num="1">
            <w:col w:w="9019"/>
          </w:cols>
          <w:pgMar w:left="1440" w:top="513" w:right="1440"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All satellite licenses issued by the FCC are subject to expiration unless extended by the FCC. Our U.S. FSS licenses generally have 15 year terms. We hold licenses and authorizations for satellite and earth stations as well as other services. To obtain and operate under such FCC licenses and authorizations, we must satisfy legal, technical qualification requirements and other conditions including, among other things, satisfaction of certain technical and ongoing due diligence obligations, maintaining bonds, payment of annual regulatory fees and various reporting requirements.</w:t>
      </w:r>
    </w:p>
    <w:p>
      <w:pPr>
        <w:spacing w:after="0" w:line="150" w:lineRule="exact"/>
        <w:rPr>
          <w:sz w:val="20"/>
          <w:szCs w:val="20"/>
          <w:color w:val="auto"/>
        </w:rPr>
      </w:pPr>
    </w:p>
    <w:p>
      <w:pPr>
        <w:jc w:val="both"/>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FCC Jurisdiction over our DBS Operations</w:t>
      </w:r>
      <w:r>
        <w:rPr>
          <w:rFonts w:ascii="Times New Roman" w:cs="Times New Roman" w:eastAsia="Times New Roman" w:hAnsi="Times New Roman"/>
          <w:sz w:val="18"/>
          <w:szCs w:val="18"/>
          <w:color w:val="auto"/>
        </w:rPr>
        <w:t>. The Communications Act gives the FCC broad authority to regulate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satellite companies. Specifically, the Communications Act gives the FCC regulatory jurisdiction over the following areas relating to communications satellite operations:</w:t>
      </w:r>
    </w:p>
    <w:p>
      <w:pPr>
        <w:spacing w:after="0" w:line="161" w:lineRule="exact"/>
        <w:rPr>
          <w:sz w:val="20"/>
          <w:szCs w:val="20"/>
          <w:color w:val="auto"/>
        </w:rPr>
      </w:pPr>
    </w:p>
    <w:p>
      <w:pPr>
        <w:ind w:left="1040" w:right="33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satellite radio frequencies and orbital locations, the licensing of satellites and earth stations, the granting of related authorizations, and the evaluation of the fitness of a company to be a licensee;</w:t>
      </w:r>
    </w:p>
    <w:p>
      <w:pPr>
        <w:ind w:left="1040" w:right="11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the relocation of satellites to different orbital locations or the replacement of an existing satellite with a new satellite;</w:t>
      </w:r>
    </w:p>
    <w:p>
      <w:pPr>
        <w:ind w:left="1040" w:right="73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compliance with the terms and conditions of such assignments, licenses, authorizations and approvals, including required timetables for construction and operation of satellites;</w:t>
      </w: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interference with other radio frequency emitters; and</w:t>
      </w:r>
    </w:p>
    <w:p>
      <w:pPr>
        <w:spacing w:after="0" w:line="9" w:lineRule="exact"/>
        <w:rPr>
          <w:rFonts w:ascii="Times New Roman" w:cs="Times New Roman" w:eastAsia="Times New Roman" w:hAnsi="Times New Roman"/>
          <w:sz w:val="18"/>
          <w:szCs w:val="18"/>
          <w:color w:val="auto"/>
        </w:rPr>
      </w:pPr>
    </w:p>
    <w:p>
      <w:pPr>
        <w:ind w:left="1040" w:right="679" w:hanging="315"/>
        <w:spacing w:after="0" w:line="26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compliance with other applicable provisions of the Communications Act and FCC rules and regulations.</w:t>
      </w:r>
    </w:p>
    <w:p>
      <w:pPr>
        <w:spacing w:after="0" w:line="15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To obtain FCC satellite licenses and authorizations, satellite operators must satisfy strict legal, technical and financial qualification requirements. Once issued, these licenses and authorizations are subject to a number of conditions including, among other things, satisfaction of ongoing due diligence obligations, construction milestones, and various reporting requirements. Necessary federal approval of these applications may not be granted, may not be granted in a timely manner, or may be granted subject to conditions that may be cumbersome.</w:t>
      </w:r>
    </w:p>
    <w:p>
      <w:pPr>
        <w:spacing w:after="0" w:line="152" w:lineRule="exact"/>
        <w:rPr>
          <w:sz w:val="20"/>
          <w:szCs w:val="20"/>
          <w:color w:val="auto"/>
        </w:rPr>
      </w:pPr>
    </w:p>
    <w:p>
      <w:pPr>
        <w:ind w:left="60" w:right="199"/>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Overview of our DBS Satellites, Authorizations and Contractual Rights for Satellite Capacity</w:t>
      </w:r>
      <w:r>
        <w:rPr>
          <w:rFonts w:ascii="Times New Roman" w:cs="Times New Roman" w:eastAsia="Times New Roman" w:hAnsi="Times New Roman"/>
          <w:sz w:val="18"/>
          <w:szCs w:val="18"/>
          <w:color w:val="auto"/>
        </w:rPr>
        <w:t>. Our satellites are located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orbital positions, or slots, that are designated by their western longitude. An orbital position describes both a physical location and an assignment of spectrum in the applicable frequency band. Each DBS orbital position has 500 MHz of available Ku-band spectrum that is divided into 32 frequency channels. Several of our satellites also include spot-beam technology that enables us to increase the number of markets where we provide local channels, but reduces the number of video channels that could otherwise be offered across the entire United States.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FCC has licensed us to operate a total of 82 DBS frequency channels at the following orbital locations:</w:t>
      </w:r>
    </w:p>
    <w:p>
      <w:pPr>
        <w:spacing w:after="0" w:line="212" w:lineRule="exact"/>
        <w:rPr>
          <w:sz w:val="20"/>
          <w:szCs w:val="20"/>
          <w:color w:val="auto"/>
        </w:rPr>
      </w:pPr>
    </w:p>
    <w:p>
      <w:pPr>
        <w:ind w:left="1040" w:right="11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DBS frequency channels at the 119 degree orbital location, capable of providing service to the continental United States (“CONUS”); and</w:t>
      </w: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DBS frequency channels at the 110 degree orbital location, capable of providing service to CONUS; and</w:t>
      </w:r>
    </w:p>
    <w:p>
      <w:pPr>
        <w:spacing w:after="0" w:line="9" w:lineRule="exact"/>
        <w:rPr>
          <w:rFonts w:ascii="Times New Roman" w:cs="Times New Roman" w:eastAsia="Times New Roman" w:hAnsi="Times New Roman"/>
          <w:sz w:val="18"/>
          <w:szCs w:val="18"/>
          <w:color w:val="auto"/>
        </w:rPr>
      </w:pPr>
    </w:p>
    <w:p>
      <w:pPr>
        <w:jc w:val="both"/>
        <w:ind w:left="1040" w:right="319" w:hanging="315"/>
        <w:spacing w:after="0" w:line="255"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DBS frequency channels at the 61.5 degree orbital location, capable of providing service to most of the United States – of these 32 channels, 30 are licensed to us and we are authorized to use the additional two channels under a grant of Special Temporary Authority.</w:t>
      </w:r>
    </w:p>
    <w:p>
      <w:pPr>
        <w:spacing w:after="0" w:line="172" w:lineRule="exact"/>
        <w:rPr>
          <w:sz w:val="20"/>
          <w:szCs w:val="20"/>
          <w:color w:val="auto"/>
        </w:rPr>
      </w:pPr>
    </w:p>
    <w:p>
      <w:pPr>
        <w:ind w:left="60" w:right="159"/>
        <w:spacing w:after="0" w:line="250" w:lineRule="auto"/>
        <w:rPr>
          <w:sz w:val="20"/>
          <w:szCs w:val="20"/>
          <w:color w:val="auto"/>
        </w:rPr>
      </w:pPr>
      <w:r>
        <w:rPr>
          <w:rFonts w:ascii="Times New Roman" w:cs="Times New Roman" w:eastAsia="Times New Roman" w:hAnsi="Times New Roman"/>
          <w:sz w:val="18"/>
          <w:szCs w:val="18"/>
          <w:color w:val="auto"/>
        </w:rPr>
        <w:t>In addition, we currently lease or have entered into agreements to lease capacity on satellites using the following spectrum at the following orbital locations:</w:t>
      </w:r>
    </w:p>
    <w:p>
      <w:pPr>
        <w:spacing w:after="0" w:line="176" w:lineRule="exact"/>
        <w:rPr>
          <w:sz w:val="20"/>
          <w:szCs w:val="20"/>
          <w:color w:val="auto"/>
        </w:rPr>
      </w:pPr>
    </w:p>
    <w:p>
      <w:pPr>
        <w:ind w:left="1020" w:right="299" w:hanging="323"/>
        <w:spacing w:after="0" w:line="261" w:lineRule="auto"/>
        <w:rPr>
          <w:sz w:val="20"/>
          <w:szCs w:val="20"/>
          <w:color w:val="auto"/>
        </w:rPr>
      </w:pPr>
      <w:r>
        <w:rPr>
          <w:rFonts w:ascii="Times New Roman" w:cs="Times New Roman" w:eastAsia="Times New Roman" w:hAnsi="Times New Roman"/>
          <w:sz w:val="18"/>
          <w:szCs w:val="18"/>
          <w:color w:val="auto"/>
        </w:rPr>
        <w:t>●500 MHz of Ku-band FSS spectrum that is divided into 18 frequency channels at the 118.7 degree orbital location, which is a Canadian FSS slot that is capable of providing service to CONUS, Alaska and Hawaii;</w:t>
      </w:r>
    </w:p>
    <w:p>
      <w:pPr>
        <w:ind w:left="1040" w:right="21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DBS frequency channels at the 129 degree orbital location, which is a Canadian DBS slot that is capable of providing service to most of the United States. As of July 2023, we no longer lease this satellite; and</w:t>
      </w:r>
    </w:p>
    <w:p>
      <w:pPr>
        <w:ind w:left="1040" w:right="179" w:hanging="315"/>
        <w:spacing w:after="0" w:line="26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DBS frequency channels at the 72.7 degree orbital location, which is a Canadian DBS slot that is capable of providing service to CONUS.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Duration of our DBS Licenses</w:t>
      </w:r>
      <w:r>
        <w:rPr>
          <w:rFonts w:ascii="Times New Roman" w:cs="Times New Roman" w:eastAsia="Times New Roman" w:hAnsi="Times New Roman"/>
          <w:sz w:val="17"/>
          <w:szCs w:val="17"/>
          <w:color w:val="auto"/>
        </w:rPr>
        <w:t>. Generally speaking, all of our satellite licenses are subject to expiration unless renewed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the FCC. The term of each of our DBS licenses is ten years. Our licenses are currently set to expire at various times. In addition, at various times we have relied on special temporary authorizations for our operations. A special temporary authorization is granted for a period of only 180 days or less, subject again to possible renewal by the FCC. From time to time, we apply for authorizations to use new satellites at our existing orbital locations. Generally, our FCC licenses and special temporary authorizations have been renewed, and our applications for new satellites at our existing orbital locations have been approved, by the FCC on a routine basis, but there can be no assurance that the FCC will continue to do so.</w:t>
      </w:r>
    </w:p>
    <w:p>
      <w:pPr>
        <w:spacing w:after="0" w:line="148" w:lineRule="exact"/>
        <w:rPr>
          <w:sz w:val="20"/>
          <w:szCs w:val="20"/>
          <w:color w:val="auto"/>
        </w:rPr>
      </w:pPr>
    </w:p>
    <w:p>
      <w:pPr>
        <w:ind w:left="60" w:right="19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Opposition and Other Risks to our Licenses</w:t>
      </w:r>
      <w:r>
        <w:rPr>
          <w:rFonts w:ascii="Times New Roman" w:cs="Times New Roman" w:eastAsia="Times New Roman" w:hAnsi="Times New Roman"/>
          <w:sz w:val="18"/>
          <w:szCs w:val="18"/>
          <w:color w:val="auto"/>
        </w:rPr>
        <w:t>. Several third parties have opposed in the past, and we expect these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parties to oppose in the future, some of our FCC satellite authorizations and pending and future requests to the FCC for extensions, modifications, waivers and approvals of our licenses. In addition, we must comply with numerous FCC reporting, filing and other requirements in connection with our satellite authorizations. Consequently, it is possible the FCC could revoke, terminate, condition or decline to extend or renew certain of our authorizations or licenses.</w:t>
      </w:r>
    </w:p>
    <w:p>
      <w:pPr>
        <w:spacing w:after="0" w:line="157" w:lineRule="exact"/>
        <w:rPr>
          <w:sz w:val="20"/>
          <w:szCs w:val="20"/>
          <w:color w:val="auto"/>
        </w:rPr>
      </w:pPr>
    </w:p>
    <w:p>
      <w:pPr>
        <w:ind w:left="60" w:right="199"/>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4.5 Degree Spacing “Tweener” Satellites</w:t>
      </w:r>
      <w:r>
        <w:rPr>
          <w:rFonts w:ascii="Times New Roman" w:cs="Times New Roman" w:eastAsia="Times New Roman" w:hAnsi="Times New Roman"/>
          <w:sz w:val="18"/>
          <w:szCs w:val="18"/>
          <w:color w:val="auto"/>
        </w:rPr>
        <w:t>. The FCC has proposed to allow so-called “tweener” DBS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DBS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satellites operating at orbital locations 4.5 degrees (half of the usual nine degrees) away from other DBS satellites. The FCC granted authorizations to EchoStar and Spectrum Five for tweener satellites at the 86.5 and 114.5 degree orbital locations, respectively. These authorizations were subsequently cancelled because the FCC determined that the licensees did not meet certain milestone requirements. Tweener operations close to our licensed orbital locations could cause harmful interference to our service and constrain our future operations. In September 2019, the FCC completed its 2006 rulemaking on the operating and service rules for tweener satellites. As a result, among other things, the FCC will now accept new applications for tweener slots, and the applicant must show that either no other U.S. DBS operations would be affected or that it has successfully coordinated with affected parties. We cannot predict whether any parties will file for tweener slots and whether we will face interference or other operational constraints as a result.</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Interference from Other Services Sharing Satellite Spectrum</w:t>
      </w:r>
      <w:r>
        <w:rPr>
          <w:rFonts w:ascii="Times New Roman" w:cs="Times New Roman" w:eastAsia="Times New Roman" w:hAnsi="Times New Roman"/>
          <w:sz w:val="18"/>
          <w:szCs w:val="18"/>
          <w:color w:val="auto"/>
        </w:rPr>
        <w:t>. Non-geostationary orbit (“NGSO”) FSS satellites are</w:t>
      </w:r>
    </w:p>
    <w:p>
      <w:pPr>
        <w:spacing w:after="0" w:line="20" w:lineRule="exact"/>
        <w:rPr>
          <w:sz w:val="20"/>
          <w:szCs w:val="20"/>
          <w:color w:val="auto"/>
        </w:rPr>
      </w:pPr>
    </w:p>
    <w:p>
      <w:pPr>
        <w:ind w:left="60" w:right="99"/>
        <w:spacing w:after="0" w:line="230" w:lineRule="auto"/>
        <w:rPr>
          <w:sz w:val="20"/>
          <w:szCs w:val="20"/>
          <w:color w:val="auto"/>
        </w:rPr>
      </w:pPr>
      <w:r>
        <w:rPr>
          <w:rFonts w:ascii="Times New Roman" w:cs="Times New Roman" w:eastAsia="Times New Roman" w:hAnsi="Times New Roman"/>
          <w:sz w:val="18"/>
          <w:szCs w:val="18"/>
          <w:color w:val="auto"/>
        </w:rPr>
        <w:t>permitted to operate on a co-primary basis in the same frequency band as our DBS and geostationary orbit (“GSO”) FSS satellites. The FCC has also authorized the use of multichannel video distribution and data service (“MVDDS”) licenses in the DBS band. MVDDS licenses were auctioned in 2004. MVDDS systems have been commercially deployed in a few markets. We have MVDDS licenses in 82 out of 214 geographical license areas, including Los Angeles, New York City, Chicago and several other major metropolitan areas. Despite regulatory provisions intended to protect DBS and FSS operations from harmful interference, there can be no assurance that operations by other satellites or terrestrial communication services in the DBS and FSS bands will not interfere with our DBS and FSS operations and adversely affect our business. Space Exploration Corporation (“Spacex”), OneWeb LLC (“OneWeb”) and others have obtained FCC authority to launch and operate, or provide service from, NGSO satellite systems using a variety of spectrum bands, including the 12.2-12.7 GHz band, which we use for our DBS service, and where we also have certain licenses to provide one-way terrestrial MVDDS service. These systems are in the early stages of launch and deployment. If fully deployed by Spacex, OneWeb and others, there will be tens of thousands of NGSO satellites in orbit sharing our spectrum. There can be no assurance that they will not interfere with our DBS operations and adversely affect our business or that they will not hinder our ability to provide MVDDS service.</w:t>
      </w:r>
    </w:p>
    <w:p>
      <w:pPr>
        <w:spacing w:after="0" w:line="155"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Satellite Competition from Additional Slots and Interference</w:t>
      </w:r>
      <w:r>
        <w:rPr>
          <w:rFonts w:ascii="Times New Roman" w:cs="Times New Roman" w:eastAsia="Times New Roman" w:hAnsi="Times New Roman"/>
          <w:sz w:val="17"/>
          <w:szCs w:val="17"/>
          <w:color w:val="auto"/>
        </w:rPr>
        <w:t>. DirecTV has obtained FCC authority to provide service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United States from a Canadian DBS orbital slot, and we have obtained authority to provide service to the United States from a Canadian DBS orbital slot. The possibility that the FCC will allow service to the United States from additional foreign slots may permit additional competition against us from other satellite providers. It may also provide a means by which to increase our available satellite capacity in the United States. In addition, a number of administrations, such as Great Britain and the Netherlands, have requested authority to add orbital locations serving the United States close to our licensed slots. Such operations could cause harmful interference to our satellites and constrain our future operations.</w:t>
      </w:r>
    </w:p>
    <w:p>
      <w:pPr>
        <w:spacing w:after="0" w:line="162" w:lineRule="exact"/>
        <w:rPr>
          <w:sz w:val="20"/>
          <w:szCs w:val="20"/>
          <w:color w:val="auto"/>
        </w:rPr>
      </w:pPr>
    </w:p>
    <w:p>
      <w:pPr>
        <w:ind w:left="60" w:right="119"/>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Public Interest Requirements</w:t>
      </w:r>
      <w:r>
        <w:rPr>
          <w:rFonts w:ascii="Times New Roman" w:cs="Times New Roman" w:eastAsia="Times New Roman" w:hAnsi="Times New Roman"/>
          <w:sz w:val="18"/>
          <w:szCs w:val="18"/>
          <w:color w:val="auto"/>
        </w:rPr>
        <w:t>. The FCC imposes certain public interest obligations on our DBS licenses.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require us to set aside four percent of our channel capacity exclusively for noncommercial programming for which we must charge programmers below-cost rates and for which we may not impose additional charges on subscribers. The Satellite Television Extension and Localism Act of 2010 (“STELA”) required the FCC to decrease this set-aside to 3.5 percent for satellite carriers who provide retransmission of state public affairs networks in 15 states and are otherwise qualified. The FCC, however, has not yet determined whether we qualify for this decrease in set-aside.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179"/>
        <w:spacing w:after="0"/>
        <w:rPr>
          <w:sz w:val="20"/>
          <w:szCs w:val="20"/>
          <w:color w:val="auto"/>
        </w:rPr>
      </w:pPr>
      <w:r>
        <w:rPr>
          <w:rFonts w:ascii="Times New Roman" w:cs="Times New Roman" w:eastAsia="Times New Roman" w:hAnsi="Times New Roman"/>
          <w:sz w:val="18"/>
          <w:szCs w:val="18"/>
          <w:color w:val="auto"/>
        </w:rPr>
        <w:t>The obligation to provide noncommercial programming may displace programming for which we could earn commercial rates and could adversely affect our financial results. We cannot be sure that, if the FCC were to review our methodology for processing public interest carriage requests, computing the channel capacity we must set aside or determining the rates that we charge public interest programmers, it would find them in compliance with the public interest requirements.</w:t>
      </w:r>
    </w:p>
    <w:p>
      <w:pPr>
        <w:spacing w:after="0" w:line="18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Retransmission Consent</w:t>
      </w:r>
      <w:r>
        <w:rPr>
          <w:rFonts w:ascii="Times New Roman" w:cs="Times New Roman" w:eastAsia="Times New Roman" w:hAnsi="Times New Roman"/>
          <w:sz w:val="18"/>
          <w:szCs w:val="18"/>
          <w:color w:val="auto"/>
        </w:rPr>
        <w:t>. The Copyright Act generally gives satellite companies a statutory copyright license to retransmit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local broadcast channels by satellite back into the market from which they originated, subject to obtaining the retransmission consent of local network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been able to reach retransmission consent agreements with most of these local network stations, from time to time, there are stations with which we have not been able to reach an agreement. We cannot be sure that we will secure these agreements or that we will secure new agreements on acceptable terms, or at all, upon the expiration of our current retransmission consent agreements, some of which are short-term.</w:t>
      </w:r>
    </w:p>
    <w:p>
      <w:pPr>
        <w:spacing w:after="0" w:line="19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recent years, the rates we are charged for retransmitting local channels have been increasing substantially and may exceed our ability to increase our prices to our customers, which could have a material adverse effect on our business, financial condition, and results of operations. The broadcast stations’ demands for higher rates have resulted in more frequent negotiating impasses and programming interruptions. During these programming interruptions, our subscribers in the affected markets lack access to popular programming and may switch to another multichannel distributor that may be able to provide them with such programming. In addition, the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w:t>
      </w:r>
    </w:p>
    <w:p>
      <w:pPr>
        <w:spacing w:after="0" w:line="18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STELA Reauthorization Act of 2014 (“STELAR”) prohibits television stations from coordinating or engaging in joint retransmission consent negotiations with any other local television stations, unless the stations are “directly or indirectly under common de jure control,” expanding a previous FCC ruling prohibiting joint negotiations only among the top four stations in a market. In addition, STELAR prohibits a local television station from limiting an MVPD’s ability to carry other television signals that have been deemed by the FCC to be “significantly viewed” or to carry any other television signal the MVPD is otherwise entitled to carry under the Communications Act, unless such stations are “directly or indirectly under common de jure control” pursuant to FCC regulations. We cannot predict if these restrictions on broadcasters will result in more effective retransmission consent negotiations.</w:t>
      </w:r>
    </w:p>
    <w:p>
      <w:pPr>
        <w:spacing w:after="0" w:line="188"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Early Termination Fees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December 2023, the FCC released a Notice of Proposed Rulemaking seeking comment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proposals that would prohibit pay-TV providers from imposing early termination fees on consumers, and from practices that require customers who cancel service mid-billing cycle to pay for a complete cycle. If adopted, such prohibitions could impact our pricing and packages. We cannot predict the timing or outcome of this proceeding.</w:t>
      </w:r>
    </w:p>
    <w:p>
      <w:pPr>
        <w:spacing w:after="0" w:line="176"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Blackout Rebates. </w:t>
      </w:r>
      <w:r>
        <w:rPr>
          <w:rFonts w:ascii="Times New Roman" w:cs="Times New Roman" w:eastAsia="Times New Roman" w:hAnsi="Times New Roman"/>
          <w:sz w:val="18"/>
          <w:szCs w:val="18"/>
          <w:color w:val="auto"/>
        </w:rPr>
        <w:t>In January 2024, the FCC released a Notice of Proposed Rulemaking seeking comment on a proposal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would require MVPDs to issue rebates to subscribers during programming blackouts on both broadcast and non-broadcast networks that result from failed negotiations. If adopted, such requirements could negatively impact our carriage negotiations. We cannot predict the timing or outcome of this proceeding.</w:t>
      </w:r>
    </w:p>
    <w:p>
      <w:pPr>
        <w:spacing w:after="0" w:line="176" w:lineRule="exact"/>
        <w:rPr>
          <w:sz w:val="20"/>
          <w:szCs w:val="20"/>
          <w:color w:val="auto"/>
        </w:rPr>
      </w:pPr>
    </w:p>
    <w:p>
      <w:pPr>
        <w:jc w:val="both"/>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ATSC 3.0. </w:t>
      </w:r>
      <w:r>
        <w:rPr>
          <w:rFonts w:ascii="Times New Roman" w:cs="Times New Roman" w:eastAsia="Times New Roman" w:hAnsi="Times New Roman"/>
          <w:sz w:val="18"/>
          <w:szCs w:val="18"/>
          <w:color w:val="auto"/>
        </w:rPr>
        <w:t>In April 2016, the broadcast industry petitioned the FCC to authorize the use of the “Next Generation 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broadcast television standard, ATSC 3.0. In November 2017, the FCC authorized television broadcasters to deploy the ATSC 3.0 standard on a voluntary basis. We cannot predict the effect that supporting this new standard could have on equipment costs, carriage obligations or the retransmission consent process.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Media Ownership Rules. </w:t>
      </w:r>
      <w:r>
        <w:rPr>
          <w:rFonts w:ascii="Times New Roman" w:cs="Times New Roman" w:eastAsia="Times New Roman" w:hAnsi="Times New Roman"/>
          <w:sz w:val="18"/>
          <w:szCs w:val="18"/>
          <w:color w:val="auto"/>
        </w:rPr>
        <w:t>Also in 2016, the broadcast industry petitioned the FCC to relax its media ownership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among other things, limit the number of commonly owned TV stations per market and restrict newspaper/broadcast cross-ownership and radio/TV cross-ownership. In November 2017, the FCC voted to: (i) eliminate the newspaper/broadcast cross-ownership rule; (ii) eliminate the radio/television cross-ownership rule; (iii) relax the local television ownership rules to eliminate certain restrictions and modify others; and (iv) eliminate the attribution rule for television joint-sales agreements (collectively, the “2017 Order”). Additionally, in December 2017, the FCC initiated a rulemaking proceeding seeking comment on changes to the national television multiple-ownership rule, including changes that could relax or eliminate the current limits that prevent entities from owning or controlling television stations that, in the aggregate, reach more than 39 percent of the television households in the country. If the FCC were to relax or eliminate some or all of the national television multiple-ownership rule, it could increase the negotiating leverage that broadcasters hold in retransmission consent negotiations.</w:t>
      </w:r>
    </w:p>
    <w:p>
      <w:pPr>
        <w:spacing w:after="0" w:line="18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December 2018, the FCC initiated a rulemaking proceeding to commence its periodic review of media ownership rules. In 2019, the U.S. Court of Appeals for the Third Circuit vacated the 2017 Order. Pursuant to this decision in Prometheus Radio Project v. FCC, on December 20, 2019, the FCC amended its rules to reverse the 2017 Order and reinstate the rules as they existed prior to the 2017 Order. The FCC, though, petitioned for a writ of certiorari with the Supreme Court of the United States (the “Supreme Court”) to reverse the Third Circuit’s decision. On April 1, 2021, in FCC v. Prometheus Radio Project, the Supreme Court reversed the Third Circuit, finding that “the FCC’s analysis was reasonable and reasonably explained for purposes of the APA’s deferential arbitrary and capricious standard.” On June 4, 2021, the FCC released an Order reinstating the rule changes from the 2017 Order.</w:t>
      </w:r>
    </w:p>
    <w:p>
      <w:pPr>
        <w:spacing w:after="0" w:line="19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December 2023, the FCC concluded its 2018 quadrennial proceeding and issued an Order that, among other things, retained the FCC’s general prohibition on a broadcaster owning two or more of the top four stations in a market and added language intended to prevent broadcasters from circumventing this rule by acquiring a top four affiliation and placing it on a multicast or low power television signal on a going forward basis. We cannot predict whether there will be additional challenges to this rule or whether the FCC may address media ownership issues going forward, either through the imposition of new rules or the relaxation of remaining ownership restrictions.</w:t>
      </w:r>
    </w:p>
    <w:p>
      <w:pPr>
        <w:spacing w:after="0" w:line="183"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Digital HD Carry-One, Carry-All Requirement</w:t>
      </w:r>
      <w:r>
        <w:rPr>
          <w:rFonts w:ascii="Times New Roman" w:cs="Times New Roman" w:eastAsia="Times New Roman" w:hAnsi="Times New Roman"/>
          <w:sz w:val="18"/>
          <w:szCs w:val="18"/>
          <w:color w:val="auto"/>
        </w:rPr>
        <w:t>. To provide any full-power local broadcast signal in any market,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retransmit all qualifying broadcast signals in that market (“carry-one, carry-all”), including the carriage of full-power broadcasters’ HD signals in markets in which we elect to provide local channels in HD. The carriage of additional HD signals on our DISH TV services could cause us to experience significant capacity constraints and prevent us from carrying additional popular national channels and/or carrying those national channels in HD.</w:t>
      </w:r>
    </w:p>
    <w:p>
      <w:pPr>
        <w:spacing w:after="0" w:line="17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Distant Signals</w:t>
      </w:r>
      <w:r>
        <w:rPr>
          <w:rFonts w:ascii="Times New Roman" w:cs="Times New Roman" w:eastAsia="Times New Roman" w:hAnsi="Times New Roman"/>
          <w:sz w:val="18"/>
          <w:szCs w:val="18"/>
          <w:color w:val="auto"/>
        </w:rPr>
        <w:t>. Pursuant to STELA, we obtained a waiver of a court injunction that previously prevented us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retransmitting certain distant network signals under a statutory copyright license. Because of that waiver, we may provide distant network signals to eligible subscribers. To qualify for that waiver, we are required to provide local service in all 210 local markets in the United States on an ongoing basis. This condition poses a significant strain on our capacity. Moreover, we may lose that waiver if we are found to have failed to provide local service in any of the 210 local markets. If we lose the waiver, the injunction could be reinstated. Furthermore, depending on the severity of the failure, we may also be subject to other sanctions, which may include, among other things, damages.</w:t>
      </w:r>
    </w:p>
    <w:p>
      <w:pPr>
        <w:spacing w:after="0" w:line="18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Cable Act and Program Access</w:t>
      </w:r>
      <w:r>
        <w:rPr>
          <w:rFonts w:ascii="Times New Roman" w:cs="Times New Roman" w:eastAsia="Times New Roman" w:hAnsi="Times New Roman"/>
          <w:sz w:val="18"/>
          <w:szCs w:val="18"/>
          <w:color w:val="auto"/>
        </w:rPr>
        <w:t>. We purchase a large percentage of our programming from cable-affiliated programmers.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Cable Act, cable providers had been prohibited from entering into exclusive contracts with cable-affiliated programmers. On October 5, 2012, the FCC allowed this prohibition to expire. As a result of the expiration of this prohibition on exclusivity, we may be limited in our ability to obtain access on nondiscriminatory terms, or at all, to programming from programmers that are affiliated with cable system operators. In addition, any other changes in the Cable Act, and/or the FCC’s rules that implement the Cable Act, that currently limit the ability of cable-affiliated programmers to discriminate against competing businesses such as ours, could adversely affect our ability to acquire cable-affiliated programming at all or to acquire programming on nondiscriminatory terms. In addition, affiliates of certain cable providers have denied us access to sports programming that they supply to their cable systems terrestrially, rather than by satellite. The FCC has held that new denials of such service are unfair if they have the purpose or effect of significantly hindering us from providing programming to consumers. However, we cannot be sure that we can prevail in a complaint related to such programming and gain access to it. Our continuing failure to access such programming could materially and adversely affect our ability to compete in regions serviced by these cable providers.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9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Open Internet (also known as “Net Neutrality”). </w:t>
      </w:r>
      <w:r>
        <w:rPr>
          <w:rFonts w:ascii="Times New Roman" w:cs="Times New Roman" w:eastAsia="Times New Roman" w:hAnsi="Times New Roman"/>
          <w:sz w:val="17"/>
          <w:szCs w:val="17"/>
          <w:color w:val="auto"/>
        </w:rPr>
        <w:t>In 2015, the FCC adopted Open Internet rules, which applied to both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fixed and mobile broadband access providers and prohibited them, among other things, from blocking or throttling traffic, from paid prioritization, and from unreasonably interfering with, or disadvantaging, consumers’ or content providers’ access to the Internet. In addition, because the FCC reclassified broadband access providers as common carriers, these providers were subject to the general common carrier requirements of reasonableness and nondiscrimination. The rules were affirmed by a panel of the U.S. Court of Appeals for the D.C. Circuit. A number of broadband access providers and their associations have filed a petition for certiorari with the United States Supreme Court. In December 2017, the FCC reversed course and voted to reclassify broadband access providers as information service providers, instead of common carriers. The FCC also voted to eliminate the majority of the Open Internet rules, leaving only certain ISP transparency requirements in place. In October 2019, the U.S. Court of Appeals for the D.C. Circuit upheld the FCC’s authority to eliminate certain Open Internet protections, while vacating the FCC’s attempt to preempt state or local Open Internet protections and remanding on three other issues. In October 2023, the FCC adopted a Notice of Proposed Rulemaking seeking comment on rules to reestablish the FCC’s authority over broadband internet access services. We cannot predict the timing or outcome of this proceeding or the impact of any new rules on DISH’s wireless offerings.</w:t>
      </w:r>
    </w:p>
    <w:p>
      <w:pPr>
        <w:spacing w:after="0" w:line="17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To the extent that network operators implement usage-based pricing, including, but not limited to, meaningful bandwidth caps, or otherwise try to monetize access to their networks by data providers, we could incur greater operating expenses and our Pay TV subscriber count could be negatively impacted. Furthermore, to the extent network operators create tiers of Internet access service and either charge us for or prohibit us from being available through these tiers, our Pay TV business could be negatively impacted. We cannot predict with any certainty the impact to our Pay TV business resulting from changes in how network operators handle and charge for access to data that travels across their networks.</w:t>
      </w:r>
    </w:p>
    <w:p>
      <w:pPr>
        <w:spacing w:after="0" w:line="183"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Definition of MVPD. </w:t>
      </w:r>
      <w:r>
        <w:rPr>
          <w:rFonts w:ascii="Times New Roman" w:cs="Times New Roman" w:eastAsia="Times New Roman" w:hAnsi="Times New Roman"/>
          <w:sz w:val="18"/>
          <w:szCs w:val="18"/>
          <w:color w:val="auto"/>
        </w:rPr>
        <w:t>In December 2014, the FCC issued a Notice of Proposed Rulemaking regarding the definition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MVPD. Among other things, the FCC is considering whether the definition of an MVPD should apply to Internet-based streaming services, thus making such services subject to the same regulations as an MVPD. The FCC is also considering the appropriate treatment of purely Internet-based linear video programming services that cable operators and DBS providers offer in addition to their traditional video services. We cannot predict the timing or outcome of this rulemaking or other related rulemaking proceedings.</w:t>
      </w:r>
    </w:p>
    <w:p>
      <w:pPr>
        <w:spacing w:after="0" w:line="18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Trade Commission. </w:t>
      </w:r>
      <w:r>
        <w:rPr>
          <w:rFonts w:ascii="Times New Roman" w:cs="Times New Roman" w:eastAsia="Times New Roman" w:hAnsi="Times New Roman"/>
          <w:sz w:val="18"/>
          <w:szCs w:val="18"/>
          <w:color w:val="auto"/>
        </w:rPr>
        <w:t>The Federal Trade Commission (“FTC”) and other federal agencies also have jurisdiction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some consumer protection and elimination and prevention of anticompetitive business practices.</w:t>
      </w:r>
    </w:p>
    <w:p>
      <w:pPr>
        <w:spacing w:after="0" w:line="141" w:lineRule="exact"/>
        <w:rPr>
          <w:sz w:val="20"/>
          <w:szCs w:val="20"/>
          <w:color w:val="auto"/>
        </w:rPr>
      </w:pPr>
    </w:p>
    <w:p>
      <w:pPr>
        <w:ind w:left="60" w:right="59"/>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Telecommunications Regulation. </w:t>
      </w:r>
      <w:r>
        <w:rPr>
          <w:rFonts w:ascii="Times New Roman" w:cs="Times New Roman" w:eastAsia="Times New Roman" w:hAnsi="Times New Roman"/>
          <w:sz w:val="18"/>
          <w:szCs w:val="18"/>
          <w:color w:val="auto"/>
        </w:rPr>
        <w:t>Many of the services we provide are also subject to FCC regulation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telecommunications services. For certain services in the U.S., we are required to contribute fees, computed 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which generally requires telecommunications carriers to ensure that law enforcement agencies are able to conduct lawfully-authorized surveillance of users of their services. In addition, as a provider of interconnected voice over internet protocol services, we are required to abide by a number of rules related to telephony service, including rules dealing with the protection of customer information and the processing of emergency calls.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and Local Regulation</w:t>
      </w:r>
    </w:p>
    <w:p>
      <w:pPr>
        <w:spacing w:after="0" w:line="216" w:lineRule="exact"/>
        <w:rPr>
          <w:sz w:val="20"/>
          <w:szCs w:val="20"/>
          <w:color w:val="auto"/>
        </w:rPr>
      </w:pPr>
    </w:p>
    <w:p>
      <w:pPr>
        <w:ind w:left="60" w:right="119"/>
        <w:spacing w:after="0" w:line="239" w:lineRule="auto"/>
        <w:rPr>
          <w:sz w:val="20"/>
          <w:szCs w:val="20"/>
          <w:color w:val="auto"/>
        </w:rPr>
      </w:pPr>
      <w:r>
        <w:rPr>
          <w:rFonts w:ascii="Times New Roman" w:cs="Times New Roman" w:eastAsia="Times New Roman" w:hAnsi="Times New Roman"/>
          <w:sz w:val="18"/>
          <w:szCs w:val="18"/>
          <w:color w:val="auto"/>
        </w:rPr>
        <w:t>We are also regulated by state and local authorities. While the FCC has preempted many state and local regulations that impair the installation and use of towers for wireless operations and VSAT and other consumer satellite dishes, our business nonetheless may be subject to state and local regulation, including, among others, zoning regulations that affect the ability to install consumer satellite antennas or build out wireless telecommunications networks. In addition, in order to obtain universal service funding, we are subject to being an eligible telecommunications carrier in all 50 states.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216" w:lineRule="exact"/>
        <w:rPr>
          <w:sz w:val="20"/>
          <w:szCs w:val="20"/>
          <w:color w:val="auto"/>
        </w:rPr>
      </w:pPr>
    </w:p>
    <w:p>
      <w:pPr>
        <w:ind w:left="60" w:right="159"/>
        <w:spacing w:after="0" w:line="235" w:lineRule="auto"/>
        <w:rPr>
          <w:sz w:val="20"/>
          <w:szCs w:val="20"/>
          <w:color w:val="auto"/>
        </w:rPr>
      </w:pPr>
      <w:r>
        <w:rPr>
          <w:rFonts w:ascii="Times New Roman" w:cs="Times New Roman" w:eastAsia="Times New Roman" w:hAnsi="Times New Roman"/>
          <w:sz w:val="18"/>
          <w:szCs w:val="18"/>
          <w:color w:val="auto"/>
        </w:rPr>
        <w:t>We are subject to regulation by the International Telecommunication Union (“ITU”). The orbital location and frequencies for certain of our satellites are subject to the frequency registration and coordination process of the ITU. The ITU Radio 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 future satellite networks we may build or acquire.</w:t>
      </w:r>
    </w:p>
    <w:p>
      <w:pPr>
        <w:spacing w:after="0" w:line="161" w:lineRule="exact"/>
        <w:rPr>
          <w:sz w:val="20"/>
          <w:szCs w:val="20"/>
          <w:color w:val="auto"/>
        </w:rPr>
      </w:pPr>
    </w:p>
    <w:p>
      <w:pPr>
        <w:ind w:left="60" w:right="99"/>
        <w:spacing w:after="0" w:line="235" w:lineRule="auto"/>
        <w:rPr>
          <w:sz w:val="20"/>
          <w:szCs w:val="20"/>
          <w:color w:val="auto"/>
        </w:rPr>
      </w:pPr>
      <w:r>
        <w:rPr>
          <w:rFonts w:ascii="Times New Roman" w:cs="Times New Roman" w:eastAsia="Times New Roman" w:hAnsi="Times New Roman"/>
          <w:sz w:val="18"/>
          <w:szCs w:val="18"/>
          <w:color w:val="auto"/>
        </w:rPr>
        <w:t>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We cannot be sure of the successful outcome of these ITU coordination processes. We make commercially reasonable efforts to cooperate with the filing nation in the preparation of ITU filings, coordination of our operations in accordance with the relevant ITU Radio Regulations and responses to relevant ITU inquiries.</w:t>
      </w:r>
    </w:p>
    <w:p>
      <w:pPr>
        <w:spacing w:after="0" w:line="161"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18"/>
          <w:szCs w:val="18"/>
          <w:color w:val="auto"/>
        </w:rPr>
        <w:t>Certain of our satellite services also must conform to the ITU service plans for Region 2 (which includes the United States). If any of our operations are not consistent with this plan, the ITU will only provide authorization on a non-interference basis pending successful modification of the plan or the agreement of all affected administrations to the non-conforming operations. Certain of our satellites are not presently entitled to any interference protection from other satellites that are in conformance with the plan. Accordingly, unless and until the ITU modifies its service plans to include the technical parameters of our non-conforming operations, our non-conforming satellites, along with those of other non-conforming satellite operators, must not cause harmful electrical interference with other assignments that are in conformance with the ITU service plans.</w:t>
      </w:r>
    </w:p>
    <w:p>
      <w:pPr>
        <w:spacing w:after="0" w:line="161" w:lineRule="exact"/>
        <w:rPr>
          <w:sz w:val="20"/>
          <w:szCs w:val="20"/>
          <w:color w:val="auto"/>
        </w:rPr>
      </w:pPr>
    </w:p>
    <w:p>
      <w:pPr>
        <w:ind w:left="60" w:right="219"/>
        <w:spacing w:after="0" w:line="242" w:lineRule="auto"/>
        <w:rPr>
          <w:sz w:val="20"/>
          <w:szCs w:val="20"/>
          <w:color w:val="auto"/>
        </w:rPr>
      </w:pPr>
      <w:r>
        <w:rPr>
          <w:rFonts w:ascii="Times New Roman" w:cs="Times New Roman" w:eastAsia="Times New Roman" w:hAnsi="Times New Roman"/>
          <w:sz w:val="18"/>
          <w:szCs w:val="18"/>
          <w:color w:val="auto"/>
        </w:rPr>
        <w:t>The ITU also endeavors to standardize frequency allocations globally, which has led it to work on standards for terrestrial services as well as satellite operations. Combined with the work of international industry-led standards bodies such as 3GPP, these efforts could have a significant effect on the development of our Wireless services.</w:t>
      </w:r>
    </w:p>
    <w:p>
      <w:pPr>
        <w:spacing w:after="0" w:line="166" w:lineRule="exact"/>
        <w:rPr>
          <w:sz w:val="20"/>
          <w:szCs w:val="20"/>
          <w:color w:val="auto"/>
        </w:rPr>
      </w:pPr>
    </w:p>
    <w:p>
      <w:pPr>
        <w:ind w:left="60" w:right="59"/>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Administrations’ Jurisdiction Over Satellite and Terrestrial Operations. </w:t>
      </w:r>
      <w:r>
        <w:rPr>
          <w:rFonts w:ascii="Times New Roman" w:cs="Times New Roman" w:eastAsia="Times New Roman" w:hAnsi="Times New Roman"/>
          <w:sz w:val="18"/>
          <w:szCs w:val="18"/>
          <w:color w:val="auto"/>
        </w:rPr>
        <w:t>Certain of our satellites and earth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stations are licensed in foreign jurisdictions. We also have terrestrial authorizations in foreign jurisdictions. In order to provide service to a foreign location from our U.S. satellites,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systems and earth stations.</w:t>
      </w:r>
    </w:p>
    <w:p>
      <w:pPr>
        <w:spacing w:after="0" w:line="174"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18"/>
          <w:szCs w:val="18"/>
          <w:color w:val="auto"/>
        </w:rPr>
        <w:t>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and we may be subject to penalties or fines for failing to meet such conditions. Additionally, some countries may have restrictions on the services we provide and how we provide them and/or may limit the rates that can be charged for the services we provide or impose other service terms or restrictions. Furthermore, foreign countries in which we currently, or may in the future, operate may not authorize us access to all of the spectrum that we need to provide service in a particular country.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Registration in the UN Registry of Space Objects</w:t>
      </w:r>
    </w:p>
    <w:p>
      <w:pPr>
        <w:spacing w:after="0" w:line="202" w:lineRule="exact"/>
        <w:rPr>
          <w:sz w:val="20"/>
          <w:szCs w:val="20"/>
          <w:color w:val="auto"/>
        </w:rPr>
      </w:pPr>
    </w:p>
    <w:p>
      <w:pPr>
        <w:ind w:left="60" w:right="179"/>
        <w:spacing w:after="0" w:line="233" w:lineRule="auto"/>
        <w:rPr>
          <w:sz w:val="20"/>
          <w:szCs w:val="20"/>
          <w:color w:val="auto"/>
        </w:rPr>
      </w:pPr>
      <w:r>
        <w:rPr>
          <w:rFonts w:ascii="Times New Roman" w:cs="Times New Roman" w:eastAsia="Times New Roman" w:hAnsi="Times New Roman"/>
          <w:sz w:val="18"/>
          <w:szCs w:val="18"/>
          <w:color w:val="auto"/>
        </w:rPr>
        <w:t>The United States and other jurisdictions in which we license satellites are parties to the United Nations (“UN”) Convention on the Registration of Objects Launched into Outer Space (“The UN Convention”). The UN Convention requires a satellite’s launching state to register the satellite as a space object with an UN Registry of Space Objects. The act of registration carries liability for the registering country in the event that the satellite causes third-party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 There is no guarantee that we will be able to procure such authorizations even if we already possess a frequency authorization.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Export Control and Foreign Corrupt Practices Act</w:t>
      </w:r>
    </w:p>
    <w:p>
      <w:pPr>
        <w:spacing w:after="0" w:line="189" w:lineRule="exact"/>
        <w:rPr>
          <w:sz w:val="20"/>
          <w:szCs w:val="20"/>
          <w:color w:val="auto"/>
        </w:rPr>
      </w:pPr>
    </w:p>
    <w:p>
      <w:pPr>
        <w:ind w:left="60" w:right="79"/>
        <w:spacing w:after="0" w:line="239" w:lineRule="auto"/>
        <w:rPr>
          <w:sz w:val="20"/>
          <w:szCs w:val="20"/>
          <w:color w:val="auto"/>
        </w:rPr>
      </w:pPr>
      <w:r>
        <w:rPr>
          <w:rFonts w:ascii="Times New Roman" w:cs="Times New Roman" w:eastAsia="Times New Roman" w:hAnsi="Times New Roman"/>
          <w:sz w:val="18"/>
          <w:szCs w:val="18"/>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157" w:lineRule="exact"/>
        <w:rPr>
          <w:sz w:val="20"/>
          <w:szCs w:val="20"/>
          <w:color w:val="auto"/>
        </w:rPr>
      </w:pPr>
    </w:p>
    <w:p>
      <w:pPr>
        <w:ind w:left="60" w:right="79"/>
        <w:spacing w:after="0" w:line="232" w:lineRule="auto"/>
        <w:rPr>
          <w:sz w:val="20"/>
          <w:szCs w:val="20"/>
          <w:color w:val="auto"/>
        </w:rPr>
      </w:pPr>
      <w:r>
        <w:rPr>
          <w:rFonts w:ascii="Times New Roman" w:cs="Times New Roman" w:eastAsia="Times New Roman" w:hAnsi="Times New Roman"/>
          <w:sz w:val="18"/>
          <w:szCs w:val="18"/>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Among other things, we are required to obtain import and export licenses from the United States government to receive and deliver certain components of direct-to-home satellite television systems. In addition, BIS regulates our export of satellite communications network equipment to non-U.S. persons or to destinations outside of the U.S. The export of other items is regulated by the U.S. Department of State’s Directorate of Defense Trade Controls under the ITAR and are subject to strict export control and prior approval requirements government (including prohibitions on the sharing of certain satellite-related goods and services with China). In addition, we cannot provide certain equipment or services to certain countries subject to U.S. trade sanctions unless we first obtain the necessary authorizations from OFAC. We are also subject to the Foreign Corrupt Practices Act and similar anti-bribery laws in other jurisdictions that generally prohibit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Non-U.S. Telecommunications Regulation</w:t>
      </w:r>
    </w:p>
    <w:p>
      <w:pPr>
        <w:spacing w:after="0" w:line="189" w:lineRule="exact"/>
        <w:rPr>
          <w:sz w:val="20"/>
          <w:szCs w:val="20"/>
          <w:color w:val="auto"/>
        </w:rPr>
      </w:pPr>
    </w:p>
    <w:p>
      <w:pPr>
        <w:ind w:left="60" w:right="99"/>
        <w:spacing w:after="0" w:line="238" w:lineRule="auto"/>
        <w:rPr>
          <w:sz w:val="20"/>
          <w:szCs w:val="20"/>
          <w:color w:val="auto"/>
        </w:rPr>
      </w:pPr>
      <w:r>
        <w:rPr>
          <w:rFonts w:ascii="Times New Roman" w:cs="Times New Roman" w:eastAsia="Times New Roman" w:hAnsi="Times New Roman"/>
          <w:sz w:val="18"/>
          <w:szCs w:val="18"/>
          <w:color w:val="auto"/>
        </w:rPr>
        <w:t>Many of the services we provide are also subject to the regulation of other countries as telecommunications services. For certain services, we may be required to contribute fees to 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Regulations Governing our Wireless Operations</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FCC regulates many aspects of our Retail Wireless and 5G Network Deployment operations. Generally, the FCC has jurisdiction over the construction, operation, acquisition and transfer of wireless communications systems. All wireless services require use of radio frequency spectrum, the assignment and distribution of which is subject to FCC oversight. The FCC can also determine what services can be offered and how they can be offered over certain frequency bands. For more information regarding our FCC Licenses, see discussion above and Note 15 in the Notes to our Consolidated Financial Statements in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Additionally, the FCC and the Federal Aviation Administration regulate the siting, lighting and construction of transmitter towers and antennae. Tower siting and construction are also subject to, among other things, state and local zoning, as well as federal statutes regarding environmental and historic preservation. The future costs to comply with all relevant regulations are to some extent unknown and changes to regulations, or the applicability of regulations, could result in higher operating and capital expenses, or reduced revenues in the future. Furthermore, the FCC has also imposed certain specific mandates on wireless carriers, including, but not limited to, construction and geographic coverage requirements, technical operating standards, provision of enhanced 911 services, roaming obligations and requirements for wireless tower and antenna facilities.</w:t>
      </w:r>
    </w:p>
    <w:p>
      <w:pPr>
        <w:spacing w:after="0" w:line="19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FTC and other federal agencies also have jurisdiction over some consumer protection and elimination and prevention of anticompetitive business practices with respect to the provision of non-common carrier services.</w:t>
      </w:r>
    </w:p>
    <w:p>
      <w:pPr>
        <w:spacing w:after="0" w:line="16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Meanwhile, our 5G Network Deployment will involve significant deployment of certain equipment and therefore increase the need for local permitting processes that allow for the placement of equipment on reasonable timelines and terms. While the Communications Act generally preempts state and local governments from regulating the entry of, or the rates charged by, wireless communications services providers, certain state and local governments regulate other terms and conditions of wireless service, including, but not limited to, billing, termination of service arrangements and the imposition of early termination fees, advertising, network outages, the use of devices while driving, zoning and land use. The Communications Act also does not prohibit states from regulating the other “terms and conditions” of wireless service. For example, some states attempt to regulate wireless customer billing matters and impose reporting requirements. Several states also have laws or regulations that address safety issues (e.g., use of wireless handsets while driving) and taxation matters. In addition, wireless tower and antenna facilities are often subject to state and local zoning and land use regulation, and securing approvals for new or modified facilities is often a lengthy and expensive process.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and the Emergency Planning and Community Right-to-Know Act (“EPCRA”). Under the Resource Conservation and Recovery Act, our Hughes segment is considered a small quantity generator.</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the Superfund Amendments and Reauthorization Act Title III regulatory requirements and annually report quantities of onsite material storage using Tier II, state DEQ (Department of Environmental Quality) reporting systems.</w:t>
      </w:r>
    </w:p>
    <w:p>
      <w:pPr>
        <w:spacing w:after="0" w:line="18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Our environmental compliance costs, capital and other expenditures to date have not been material, and we do not expect them to be material in 2024 or 2025. However, environmental requirements are complex, change frequently and have become more stringent over time. Accordingly, we cannot provide assurance that these requirements will not change or become more stringent in the future in a manner that could have a material adverse effect on our business and/or environmental compliance costs, capital or other expenditures.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PATENTS AND OTHER INTELLECTUAL PROPERTY</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Many entities, including, but not limited to, some of our competitors, have or may in the future obtain patents and other intellectual property rights that cover or affect products or services that we offer or that we may offer in the future. In general, if a court determines that one or more of our products or services infringe intellectual property rights held by others, we may be required to cease developing or marketing those products or services, to obtain licenses from the holders of the intellectual property rights at a material cost, or to redesign those products or services in such a way as to avoid infringing any patent claims. If those intellectual property rights are held by a competitor, we may be unable to obtain the intellectual property rights at any price, which could adversely affect our competitive position.</w:t>
      </w:r>
    </w:p>
    <w:p>
      <w:pPr>
        <w:spacing w:after="0" w:line="189"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may not be aware of all intellectual property rights that our products or services may potentially infringe. In addition, patent applications in the United States are confidential until the Patent and Trademark Office either publishes the application or issues a patent (whichever arises first) and, accordingly, our products may infringe claims contained in pending patent applications of which we are not aware. Further, the process of determining definitively whether a claim of infringement is valid often involves expensive and protracted litigation, even if we are ultimately successful on the merits.</w:t>
      </w:r>
    </w:p>
    <w:p>
      <w:pPr>
        <w:spacing w:after="0" w:line="16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cannot estimate the extent to which we may be required in the future to obtain intellectual property licenses or the availability and cost of any such licenses. Those costs, and their impact on our results of 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are currently defending multiple patent infringement actions. We cannot be certain the courts will conclude these companies do not own the rights they claim, that our products do not infringe on these rights and/or that these rights are not valid. Furthermore, we cannot be certain that we would be able to obtain licenses from these persons on commercially reasonable terms or, if we were unable to obtain such licenses, that we would be able to redesign our products to avoid infringement.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 DATA AND GEOGRAPHIC AREA DATA</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For segment reporting data and principal geographic area data for 2023, 2022 and 2021, see Note 16 in the Notes to our Consolidated Financial Statements in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upon the performance of Charles W. Ergen, our Chairman, and certain other executives. The loss of Mr. Ergen or of certain other key executives could have a material adverse effect on our business, financial condition and results of operations. Although all of our executives have executed agreements with certain non-competition restrictions that apply if they leave us, we generally do not have employment agreements with them.</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believe that our Wireless business, including our ability to complete our 5G Network Deployment, is dependent on our ability to identify, hire, develop, motivate, and retain a team of highly skilled personnel with knowledge of the wireless industry. Our Wireless business will be adversely affected if we fail to effectively identify, hire, develop, motivate, and retain highly skilled personnel with knowledge of the wireless industry.</w:t>
      </w:r>
    </w:p>
    <w:p>
      <w:pPr>
        <w:spacing w:after="0" w:line="180"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We had approximately 15,300 employees at December 31, 2023, majority of whom were located in the United States and approximately 600 internationally. We generally consider relations with our employees to be good. Approximately 35 employees in one of our field offices have voted to have a union represent them in their employment relations with DISH Network. In June of 2022, we signed a collective bargaining agreement with the union. The agreement is effective from February 21, 2022 to February 20, 2024. We began collective bargaining regarding a potential new contract on February 15, 2024. Until any agreement is reached, the terms of the original collective bargaining agreement will remain in force. The current number of union employees at the site is 5. In addition, approximately 400 of our employees located in Italy and Brazil are represented by a union. Our mission is to be a global connectivity provider for people, enterprises and things.</w:t>
      </w:r>
    </w:p>
    <w:p>
      <w:pPr>
        <w:sectPr>
          <w:pgSz w:w="11900" w:h="16838" w:orient="portrait"/>
          <w:cols w:equalWidth="0" w:num="1">
            <w:col w:w="9019"/>
          </w:cols>
          <w:pgMar w:left="1440" w:top="513" w:right="1440" w:bottom="1440" w:gutter="0" w:footer="0" w:header="0"/>
        </w:sectPr>
      </w:pP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accordingly file our annual reports on Form 10-K, quarterly reports on Form 10-Q, current reports on Form 8-K, proxy statements and other information with the SEC.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ACCESS</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also may be accessed free of charge through our website as soon as reasonably practicable after we have electronically filed such material with, or furnished it to, the SEC. The address of that website is https://ir.echostar.com/.</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ethics that applies to all of our directors, officers and employees, including our principal executive officer and senior financial officers, in accordance with Section 406 of the Sarbanes-Oxley Act of 2002 and the rules of the SEC promulgated thereunder. Our code of ethics is available on our corporate website at https://ir.echostar.com/. In the event that we make changes in, or provide waivers of, the provisions of this code of ethics that the SEC requires us to disclose, we intend to disclose these events on our website.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(furnished in accordance with Item 401(b) of Regulation S-K, pursuant to General Instruction G(3) of Form 10-K)</w:t>
      </w:r>
    </w:p>
    <w:p>
      <w:pPr>
        <w:spacing w:after="0" w:line="225"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following table and information below sets forth the name, age and position with EchoStar of each of our executive officers, the period during which each executive officer has served as such, and each executive officer’s business experience during the past five years: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00" w:type="dxa"/>
            <w:vAlign w:val="bottom"/>
            <w:gridSpan w:val="2"/>
          </w:tcPr>
          <w:p>
            <w:pPr>
              <w:ind w:left="30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14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Charles W. Ergen</w:t>
            </w: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70</w:t>
            </w:r>
          </w:p>
        </w:tc>
        <w:tc>
          <w:tcPr>
            <w:tcW w:w="240" w:type="dxa"/>
            <w:vAlign w:val="bottom"/>
            <w:tcBorders>
              <w:top w:val="single" w:sz="8" w:color="CCEEFF"/>
            </w:tcBorders>
            <w:shd w:val="clear" w:color="auto" w:fill="CCEEFF"/>
          </w:tcPr>
          <w:p>
            <w:pPr>
              <w:spacing w:after="0"/>
              <w:rPr>
                <w:sz w:val="12"/>
                <w:szCs w:val="12"/>
                <w:color w:val="auto"/>
              </w:rPr>
            </w:pPr>
          </w:p>
        </w:tc>
        <w:tc>
          <w:tcPr>
            <w:tcW w:w="66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Chairman</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Hamid Akhavan</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62</w:t>
            </w:r>
          </w:p>
        </w:tc>
        <w:tc>
          <w:tcPr>
            <w:tcW w:w="240" w:type="dxa"/>
            <w:vAlign w:val="bottom"/>
          </w:tcPr>
          <w:p>
            <w:pPr>
              <w:spacing w:after="0"/>
              <w:rPr>
                <w:sz w:val="12"/>
                <w:szCs w:val="12"/>
                <w:color w:val="auto"/>
              </w:rPr>
            </w:pPr>
          </w:p>
        </w:tc>
        <w:tc>
          <w:tcPr>
            <w:tcW w:w="6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President, Chief Executive Officer</w:t>
            </w:r>
          </w:p>
        </w:tc>
      </w:tr>
      <w:tr>
        <w:trPr>
          <w:trHeight w:val="148"/>
        </w:trPr>
        <w:tc>
          <w:tcPr>
            <w:tcW w:w="1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Paul Gaske</w:t>
            </w:r>
          </w:p>
        </w:tc>
        <w:tc>
          <w:tcPr>
            <w:tcW w:w="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70</w:t>
            </w:r>
          </w:p>
        </w:tc>
        <w:tc>
          <w:tcPr>
            <w:tcW w:w="240" w:type="dxa"/>
            <w:vAlign w:val="bottom"/>
            <w:shd w:val="clear" w:color="auto" w:fill="CCEEFF"/>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Operating Officer, Hughes</w:t>
            </w:r>
          </w:p>
        </w:tc>
      </w:tr>
      <w:tr>
        <w:trPr>
          <w:trHeight w:val="149"/>
        </w:trPr>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Dean A. Manson</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57</w:t>
            </w:r>
          </w:p>
        </w:tc>
        <w:tc>
          <w:tcPr>
            <w:tcW w:w="240" w:type="dxa"/>
            <w:vAlign w:val="bottom"/>
          </w:tcPr>
          <w:p>
            <w:pPr>
              <w:spacing w:after="0"/>
              <w:rPr>
                <w:sz w:val="12"/>
                <w:szCs w:val="12"/>
                <w:color w:val="auto"/>
              </w:rPr>
            </w:pPr>
          </w:p>
        </w:tc>
        <w:tc>
          <w:tcPr>
            <w:tcW w:w="6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Chief Legal Officer and Secretary</w:t>
            </w:r>
          </w:p>
        </w:tc>
      </w:tr>
      <w:tr>
        <w:trPr>
          <w:trHeight w:val="148"/>
        </w:trPr>
        <w:tc>
          <w:tcPr>
            <w:tcW w:w="1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Paul W. Orban</w:t>
            </w:r>
          </w:p>
        </w:tc>
        <w:tc>
          <w:tcPr>
            <w:tcW w:w="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55</w:t>
            </w:r>
          </w:p>
        </w:tc>
        <w:tc>
          <w:tcPr>
            <w:tcW w:w="240" w:type="dxa"/>
            <w:vAlign w:val="bottom"/>
            <w:shd w:val="clear" w:color="auto" w:fill="CCEEFF"/>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Financial Officer, DISH</w:t>
            </w:r>
          </w:p>
        </w:tc>
      </w:tr>
      <w:tr>
        <w:trPr>
          <w:trHeight w:val="148"/>
        </w:trPr>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Gary Schanman</w:t>
            </w:r>
          </w:p>
        </w:tc>
        <w:tc>
          <w:tcPr>
            <w:tcW w:w="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53</w:t>
            </w:r>
          </w:p>
        </w:tc>
        <w:tc>
          <w:tcPr>
            <w:tcW w:w="240" w:type="dxa"/>
            <w:vAlign w:val="bottom"/>
          </w:tcPr>
          <w:p>
            <w:pPr>
              <w:spacing w:after="0"/>
              <w:rPr>
                <w:sz w:val="12"/>
                <w:szCs w:val="12"/>
                <w:color w:val="auto"/>
              </w:rPr>
            </w:pPr>
          </w:p>
        </w:tc>
        <w:tc>
          <w:tcPr>
            <w:tcW w:w="6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Executive Vice President and Group President, Video Services</w:t>
            </w:r>
          </w:p>
        </w:tc>
      </w:tr>
      <w:tr>
        <w:trPr>
          <w:trHeight w:val="149"/>
        </w:trPr>
        <w:tc>
          <w:tcPr>
            <w:tcW w:w="1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John W. Swieringa</w:t>
            </w:r>
          </w:p>
        </w:tc>
        <w:tc>
          <w:tcPr>
            <w:tcW w:w="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46</w:t>
            </w:r>
          </w:p>
        </w:tc>
        <w:tc>
          <w:tcPr>
            <w:tcW w:w="240" w:type="dxa"/>
            <w:vAlign w:val="bottom"/>
            <w:shd w:val="clear" w:color="auto" w:fill="CCEEFF"/>
          </w:tcPr>
          <w:p>
            <w:pPr>
              <w:spacing w:after="0"/>
              <w:rPr>
                <w:sz w:val="12"/>
                <w:szCs w:val="12"/>
                <w:color w:val="auto"/>
              </w:rPr>
            </w:pPr>
          </w:p>
        </w:tc>
        <w:tc>
          <w:tcPr>
            <w:tcW w:w="6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President, Technology and Chief Operating Officer</w:t>
            </w:r>
          </w:p>
        </w:tc>
      </w:tr>
    </w:tbl>
    <w:p>
      <w:pPr>
        <w:spacing w:after="0" w:line="342"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W. Ergen. </w:t>
      </w:r>
      <w:r>
        <w:rPr>
          <w:rFonts w:ascii="Times New Roman" w:cs="Times New Roman" w:eastAsia="Times New Roman" w:hAnsi="Times New Roman"/>
          <w:sz w:val="18"/>
          <w:szCs w:val="18"/>
          <w:color w:val="auto"/>
        </w:rPr>
        <w:t>Mr. Ergen has served as our executive Chairman since November 2009 and Chairman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our formation in 2007. Mr. Ergen served as our Chief Executive Officer from our formation in 2007 until November 2009. Mr. Ergen serves as executive Chairman and has been Chairman of the Board of Directors of DISH Network Corporation (“DISH”) since its formation and, during the past five years, has held executive officer and director positions with DISH and its subsidiaries (together with DISH, “Dish Network”) most recently serving as the Chief Executive Officer of DISH from March 2015 to December 2017.</w:t>
      </w:r>
    </w:p>
    <w:p>
      <w:pPr>
        <w:spacing w:after="0" w:line="18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Hamid Akhavan. </w:t>
      </w:r>
      <w:r>
        <w:rPr>
          <w:rFonts w:ascii="Times New Roman" w:cs="Times New Roman" w:eastAsia="Times New Roman" w:hAnsi="Times New Roman"/>
          <w:sz w:val="18"/>
          <w:szCs w:val="18"/>
          <w:color w:val="auto"/>
        </w:rPr>
        <w:t>Mr. Akhavan has served as our Chief Executive Officer and President since April 2022.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announcement of the Amended Merger Agreement, Mr. Akhavan served as the DISH Network’s Chief Executive Officer from November 2023 to December 2023. Prior to joining EchoStar, Mr. Akhavan has accumulated extensive leadership experience at major telecommunications and technology companies, including Chief Executive Officer of Unify, Inc, and Chief Executive Officer of T-Mobile International, where he also served as a member of the Board of Management of Deutsche Telekom. In recent years, Akhavan has been active in private equity and serving on the board of directors of several public and private companies.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Gaske. </w:t>
      </w:r>
      <w:r>
        <w:rPr>
          <w:rFonts w:ascii="Times New Roman" w:cs="Times New Roman" w:eastAsia="Times New Roman" w:hAnsi="Times New Roman"/>
          <w:sz w:val="18"/>
          <w:szCs w:val="18"/>
          <w:color w:val="auto"/>
        </w:rPr>
        <w:t>Mr. Gaske became Chief Operating Officer, Hughes effective January 1, 2023, reporting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Prior to becoming the Chief Operating Officer, Mr. Gaske was the Executive President and General Manager of the North American Division of Hughes Network Systems, LLC since 1999. Mr. Gaske also oversees Hughes manufacturing.</w:t>
      </w:r>
    </w:p>
    <w:p>
      <w:pPr>
        <w:spacing w:after="0" w:line="176"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Dean A. Manson</w:t>
      </w:r>
      <w:r>
        <w:rPr>
          <w:rFonts w:ascii="Times New Roman" w:cs="Times New Roman" w:eastAsia="Times New Roman" w:hAnsi="Times New Roman"/>
          <w:sz w:val="18"/>
          <w:szCs w:val="18"/>
          <w:color w:val="auto"/>
        </w:rPr>
        <w:t>. Mr. Manson has served as our Chief Legal Officer and Secretary since November 2011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all our legal, government affairs and corporate information security. Mr. Manson joined our subsidiary Hughes Network Systems, LLC in 2000 and was appointed its General Counsel in 2004. He was previously with the law firm of Milbank, Tweed, Hadley &amp; McCloy LLP, where he focused on international project finance and corporate transactions.</w:t>
      </w:r>
    </w:p>
    <w:p>
      <w:pPr>
        <w:spacing w:after="0" w:line="179"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Paul W. Orban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Orban has served as Executive Vice President and Chief Financial Officer, DISH since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and is responsible for all aspects of DISH Network’s finance, accounting, tax, treasury, internal audit and supply chain departments. Mr. Orban has served as Executive Vice President and Chief Financial Officer of DISH Network since July 2019 and has had responsibility for all aspects of DISH Network’s finance, accounting, tax, treasury, internal audit and supply chain departments. Mr. Orban served as Senior Vice President and Chief Accounting Officer from December 2015 to July 2019, Senior Vice President and Corporate Controller from September 2006 to December 2015 and as Vice President and Corporate Controller from September 2003 to September 2006. He also served as EchoStar’s Senior Vice President and Corporate Controller from 2008 to 2012 pursuant to a management services agreement between DISH Network and EchoStar. Since joining DISH Network in 1996, Mr. Orban has held various other positions of increasing responsibility in our accounting department. Prior to DISH Network, Mr. Orban was an auditor with Arthur Andersen LLP.</w:t>
      </w:r>
    </w:p>
    <w:p>
      <w:pPr>
        <w:spacing w:after="0" w:line="16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Schanman. </w:t>
      </w:r>
      <w:r>
        <w:rPr>
          <w:rFonts w:ascii="Times New Roman" w:cs="Times New Roman" w:eastAsia="Times New Roman" w:hAnsi="Times New Roman"/>
          <w:sz w:val="18"/>
          <w:szCs w:val="18"/>
          <w:color w:val="auto"/>
        </w:rPr>
        <w:t>Mr. Schanman has served as Executive Vice President and Group President, Video Services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2023 and is responsible for the DISH TV and SLING TV businesses, including product, media sales, marketing and programming. Mr. Schanman previously served as Executive Vice President and Group President, Video Services for DISH Network since July 2023. Mr. Schanman previously served as Executive Vice President and Group President, SLING TV since April 2022 and has had responsibility for all aspects of the SLING TV business. Prior to EchoStar, Mr. Schanman was the Founder and President of GB Monday, while also acting as Chief Product and Technology Officer for Common Sense Networks and its kids streaming service, Sensical from July 2020 to April 2022. Prior to that, from March 2014 to March 2020, he served as Senior Vice President of Spectrum Video Products at Charter Communications.</w:t>
      </w:r>
    </w:p>
    <w:p>
      <w:pPr>
        <w:spacing w:after="0" w:line="185" w:lineRule="exact"/>
        <w:rPr>
          <w:sz w:val="20"/>
          <w:szCs w:val="20"/>
          <w:color w:val="auto"/>
        </w:rPr>
      </w:pPr>
    </w:p>
    <w:p>
      <w:pPr>
        <w:ind w:left="60" w:right="19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W. Swieringa. </w:t>
      </w:r>
      <w:r>
        <w:rPr>
          <w:rFonts w:ascii="Times New Roman" w:cs="Times New Roman" w:eastAsia="Times New Roman" w:hAnsi="Times New Roman"/>
          <w:sz w:val="17"/>
          <w:szCs w:val="17"/>
          <w:color w:val="auto"/>
        </w:rPr>
        <w:t>Mr. Swieringa has served as President of Technology and Chief Operating Officer since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and is responsible for all the technology and operational aspects of our business. Mr. Swieringa previously served as the President of Technology and Chief Operating Officer of DISH Network since August 2023. Mr. Swieringa previously served as President and Chief Operating Officer of DISH Network’s Wireless business segment from January 2022 to August 2023 and has had responsibility for all operational aspects of DISH Network’s Wireless business segment.</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Mr. Swieringa previously served as Executive Vice President and Chief Operating Officer of DISH Network since December 2017 and as Group President, Retail Wireless since July 2020 and has had responsibility for all aspects of DISH Network’s Retail Wireless segment. Mr. Swieringa previously served as Executive Vice President, Operations from December 2015 to December 2017, as Senior Vice President and Chief Information Officer from March 2014 to December 2015 and as Vice President of Information Technology Customer Applications from March 2010 to March 2014. Mr. Swieringa joined DISH Network in December 2007 serving in our finance department.</w:t>
      </w:r>
    </w:p>
    <w:p>
      <w:pPr>
        <w:spacing w:after="0" w:line="19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1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risks and uncertainties described below are not the only ones facing us. If any of the following events occur or evolve in a way different than expected, our business, financial condition, results of operation could be materially and adversely affected.</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Integration</w:t>
      </w:r>
    </w:p>
    <w:p>
      <w:pPr>
        <w:spacing w:after="0" w:line="22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expect that the Merger will result in synergies and other benefits, those synergies and benefits may not be realized in the amounts anticipated, or may not be realized within the anticipated timeframe, or at all, and risks associated with the foregoing may also result from any extended delay in the Integration of the companies.</w:t>
      </w:r>
    </w:p>
    <w:p>
      <w:pPr>
        <w:spacing w:after="0" w:line="17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ability to realize the anticipated benefits of the Merger will depend, to a large extent, on our ability to integrate our and DISH Network’s business in a manner that facilitates growth opportunities and achieves the anticipated benefits. In addition, some of the anticipated synergies are not expected to occur for a significant time period following the completion of the Merger and will require substantial capital expenditures to achieve. There can be no guarantee we will achieve any of these benefits on the anticipated timeframe or at all.</w:t>
      </w:r>
    </w:p>
    <w:p>
      <w:pPr>
        <w:spacing w:after="0" w:line="183"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combination of two separate companies is complex, costly and time-consuming and may require significant management attention and resources which may divert attention from our business and operations. The failure to meet the challenges involved in combining the two companies and to realize the anticipated benefits of the Merger could, among other things, cause an interruption of, or a loss of momentum in, our activities and could adversely affect our results of operations. The overall combination of the two companies may also result in, among other things, material unanticipated problems, expenses, liabilities, competitive responses and loss of customer and other business relationships. The difficulties of combining our operations include, among others:</w:t>
      </w:r>
    </w:p>
    <w:p>
      <w:pPr>
        <w:spacing w:after="0" w:line="189"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employee attention to Integration matters;</w:t>
      </w:r>
    </w:p>
    <w:p>
      <w:pPr>
        <w:spacing w:after="0" w:line="27"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but not limited to, communications systems, administrative and information technology infrastructure, financial reporting and internal control systems;</w:t>
      </w:r>
    </w:p>
    <w:p>
      <w:pPr>
        <w:ind w:left="720" w:right="9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standards, controls, procedures and accounting and other policies, business cultures and compensation structures between the two companies;</w:t>
      </w:r>
    </w:p>
    <w:p>
      <w:pPr>
        <w:ind w:left="720" w:right="55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 and teams of the respective businesses and attracting and retaining key personnel;</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and obtaining customers, suppliers and other commercial relationships;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larger and more complex company; and</w:t>
      </w:r>
    </w:p>
    <w:p>
      <w:pPr>
        <w:spacing w:after="0" w:line="9" w:lineRule="exact"/>
        <w:rPr>
          <w:rFonts w:ascii="Times New Roman" w:cs="Times New Roman" w:eastAsia="Times New Roman" w:hAnsi="Times New Roman"/>
          <w:sz w:val="18"/>
          <w:szCs w:val="18"/>
          <w:color w:val="auto"/>
        </w:rPr>
      </w:pPr>
    </w:p>
    <w:p>
      <w:pPr>
        <w:ind w:left="720" w:right="599" w:hanging="319"/>
        <w:spacing w:after="0" w:line="26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and unforeseen increased expenses associated with the Integration.</w:t>
      </w:r>
    </w:p>
    <w:p>
      <w:pPr>
        <w:spacing w:after="0" w:line="18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Many of these factors are outside of our control and any of them could result in lower revenues, higher costs and diversion of management time and energy, which could materially impact our business, financial condition and results of operations. In addition, even if the operations of the companies are integrated successfully, the full benefits of the Merger may not be realized, including, among others, the synergies, cost savings or sales or growth opportunities that are expected. These benefits may not be achieved within the anticipated time frame or at all. As a result, it cannot be assured that the Integration will result in the realization of the full benefits expected from the Merger within the anticipated time frames, or at all.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our common stock may be affected by factors different from, or in addition to, those that historically affected the market prices of shares of DISH Network Class A Common Stock and EchoStar Class A Common Stock.</w:t>
      </w:r>
    </w:p>
    <w:p>
      <w:pPr>
        <w:spacing w:after="0" w:line="17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Upon consummation of the Merger, DISH Network Class A Stockholders became holders of EchoStar Class A Common Stock. The businesses of DISH Network and its subsidiaries are different from those of EchoStar and its subsidiaries. Accordingly, after the consummation of the Merger, our results of operations are affected by some factors that are different from those that historically affected the results of operations of EchoStar and/or DISH Network. The results of operations of each company may also be affected by factors different from those that currently affect or have historically affected either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 and Economic Risks</w:t>
      </w:r>
    </w:p>
    <w:p>
      <w:pPr>
        <w:spacing w:after="0" w:line="22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7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Pay-TV business faces substantial competition from established pay-TV providers and broadband service providers and increasing competition from companies providing/facilitating the delivery of video content via the Internet to computers, televisions, and other streaming and mobile devices, including, but not limited to, wireless service providers. In recent years, the traditional pay-TV industry has matured, and industry consolidation and convergence have created competitors with greater scale and multiple product/service offerings. Some of these services charge nominal or no fees for access to their content, which could adversely affect demand for our Pay-TV services. Moreover, new technologies have been, and will likely continue to be, developed that further increase the number of competitors we face with respect to video services, including, but not limited to, competition from piracy-based video offerings. These developments, among others, have contributed to intense and increasing competition, which we expect to continue.</w:t>
      </w:r>
    </w:p>
    <w:p>
      <w:pPr>
        <w:spacing w:after="0" w:line="188"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color w:val="auto"/>
        </w:rPr>
        <w:t xml:space="preserve">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w:t>
      </w:r>
      <w:r>
        <w:rPr>
          <w:rFonts w:ascii="Times New Roman" w:cs="Times New Roman" w:eastAsia="Times New Roman" w:hAnsi="Times New Roman"/>
          <w:sz w:val="17"/>
          <w:szCs w:val="17"/>
          <w:i w:val="1"/>
          <w:iCs w:val="1"/>
          <w:color w:val="auto"/>
        </w:rPr>
        <w:t>“Item</w:t>
      </w:r>
    </w:p>
    <w:p>
      <w:pPr>
        <w:spacing w:after="0" w:line="2" w:lineRule="exact"/>
        <w:rPr>
          <w:sz w:val="20"/>
          <w:szCs w:val="20"/>
          <w:color w:val="auto"/>
        </w:rPr>
      </w:pPr>
    </w:p>
    <w:p>
      <w:pPr>
        <w:ind w:left="60" w:right="279" w:hanging="10"/>
        <w:spacing w:after="0" w:line="290" w:lineRule="auto"/>
        <w:tabs>
          <w:tab w:leader="none" w:pos="240"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Business – Overview – Competition”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Item 7. Management’s Discussion and Analysis of Financial Condition and Results of Operations – Trends in our Pay-TV Segment</w:t>
      </w:r>
      <w:r>
        <w:rPr>
          <w:rFonts w:ascii="Times New Roman" w:cs="Times New Roman" w:eastAsia="Times New Roman" w:hAnsi="Times New Roman"/>
          <w:sz w:val="17"/>
          <w:szCs w:val="17"/>
          <w:color w:val="auto"/>
        </w:rPr>
        <w:t>” in this Annual Report on Form 10-K for further information.</w:t>
      </w:r>
    </w:p>
    <w:p>
      <w:pPr>
        <w:spacing w:after="0" w:line="15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herein. Such providers may be able to, among other things, utilize their increased leverage over third-party content owners and programmers to withhold online rights from us and reduce the price they pay for programming at the expense of other MVPDs, including us; thwart our ability to compete in the wireless market, by, among other things, refuse to enter into data roaming agreements; underutilize key orbital spectrum resources that could be more efficiently used by us; foreclose or degrade our online video offerings at various points in the broadband pipe; and impose data caps on consumers who access our online video offerings. See “</w:t>
      </w:r>
      <w:r>
        <w:rPr>
          <w:rFonts w:ascii="Times New Roman" w:cs="Times New Roman" w:eastAsia="Times New Roman" w:hAnsi="Times New Roman"/>
          <w:sz w:val="18"/>
          <w:szCs w:val="18"/>
          <w:i w:val="1"/>
          <w:iCs w:val="1"/>
          <w:color w:val="auto"/>
        </w:rPr>
        <w:t>Item 7. 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Trends in our Pay-TV Segment – Programming</w:t>
      </w:r>
      <w:r>
        <w:rPr>
          <w:rFonts w:ascii="Times New Roman" w:cs="Times New Roman" w:eastAsia="Times New Roman" w:hAnsi="Times New Roman"/>
          <w:sz w:val="18"/>
          <w:szCs w:val="18"/>
          <w:color w:val="auto"/>
        </w:rPr>
        <w:t>”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further information.</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believe that the availability and extent of programming, including, but not limited to, unique programming services such as foreign language, sports programming and original content, and other value-added services such as access to video via mobile devices, continue to be significant factors in consumers’ choice among pay-TV providers. Other pay-TV providers may have more successfully marketed and promoted their programming packages and value-added services and may also be better equipped and have greater resources to increase their programming offerings and value-added services to respond to increasing consumer demand. 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72" w:lineRule="auto"/>
        <w:rPr>
          <w:sz w:val="20"/>
          <w:szCs w:val="20"/>
          <w:color w:val="auto"/>
        </w:rPr>
      </w:pPr>
      <w:r>
        <w:rPr>
          <w:rFonts w:ascii="Times New Roman" w:cs="Times New Roman" w:eastAsia="Times New Roman" w:hAnsi="Times New Roman"/>
          <w:sz w:val="17"/>
          <w:szCs w:val="17"/>
          <w:color w:val="auto"/>
        </w:rPr>
        <w:t>Furthermore, this increasingly competitive environment may require us to increase subscriber acquisition and retention spending or accept lower subscriber activations and higher subscriber churn. Increasingly, we must seek to attract a greater proportion of new subscribers from our competitors’ existing subscriber bases rather than from first-time purchasers of pay-TV services. In addition, because other pay-TV providers may be seeking to attract a greater proportion of their new subscribers from our existing subscriber base, we may be required to increase retention spending and/or provide greater discounts or credits to acquire and retain subscribers who may spend less on our services. Our SLING TV subscribers on average purchase lower-priced programming services than do DISH TV subscribers. Accordingly, an increase in SLING TV subscribers has a negative impact on our Pay-TV average monthly revenue per subscriber (“Pay-TV ARPU”).</w:t>
      </w:r>
    </w:p>
    <w:p>
      <w:pPr>
        <w:spacing w:after="0" w:line="17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If our Pay-TV ARPU decreases or does not increase commensurate with increases in programming or other costs, our margins may be reduced and the long-term value of a subscriber would then decrease and could have a material adverse effect on our business, results of operations and financial condition.</w:t>
      </w:r>
    </w:p>
    <w:p>
      <w:pPr>
        <w:spacing w:after="0" w:line="1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In addition, as a result of this increased competitive environment and the maturation of the pay-TV industry, future growth opportunities of our DISH TV business may be limited and our margins may be reduced, which could have a material adverse effect on our business, results of operations and financial condition. Our gross new DISH TV subscriber activations continue to be negatively impacted by stricter subscriber acquisition policies (including, but not limited to, a focus on attaining higher quality subscribers) and increased competitive pressures, including, but not limited to, aggressive marketing, more aggressive retention efforts, bundled discount offers combining broadband, video and/or wireless services and other discounted promotional offers. In addition, we face increased competitive pressures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and direct-to-consumer exclusive and non-exclusive content. There can be no assurance that our gross new DISH TV subscriber activations, net DISH TV subscriber additions, and DISH TV churn rate will not continue to be negatively impacted and that the pace of such negative impact will not accelerate. In the event that our DISH TV subscriber base continues to decline or such decline accelerates, it could have a material adverse effect on our business, results of operations and financial condition.</w:t>
      </w:r>
    </w:p>
    <w:p>
      <w:pPr>
        <w:spacing w:after="0" w:line="193"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175"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New technologies, products and services are driving rapid changes in consumer behavior as consumers seek more control over when, where and how they consume content and access communication services. In particular, through technological advancements and with the large increase in the number of consumers with broadband service, a significant amount of video content has become available through online content providers for users to stream and view on their personal computers, televisions, phones, tablets, video game consoles and other devices, in some cases without a fee required to access the content. While our subscribers can use their traditional video subscription to access mobile programming, an increasing number of subscribers are also using mobile devices as the sole means of viewing video, and an increasing number of non-traditional video providers is developing content and technologies to satisfy that demand. For example, these technological advancements, changes in consumer behavior, and the increasing number of choices available to consumers regarding the means by which consumers obtain video content may cause DISH TV subscribers to disconnect our services (“cord cutting”), downgrade to smaller, less expensive programming packages (“cord shaving”) or elect to purchase through online content providers a certain portion of the services that they would have historically purchased from us.</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These technological advancements and changes in consumer behavior and/or our failure to effectively anticipate or adapt to such changes, could reduce our gross new Pay-TV subscriber activations and increase our subscriber churn rate and could have a material adverse effect on our business, results of operations and financial condition.</w:t>
      </w:r>
    </w:p>
    <w:p>
      <w:pPr>
        <w:spacing w:after="0" w:line="1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 to improve.</w:t>
      </w:r>
    </w:p>
    <w:p>
      <w:pPr>
        <w:sectPr>
          <w:pgSz w:w="11900" w:h="16838" w:orient="portrait"/>
          <w:cols w:equalWidth="0" w:num="1">
            <w:col w:w="9019"/>
          </w:cols>
          <w:pgMar w:left="1440" w:top="513" w:right="1440"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certain risks competing in the wireless services industry and operating a facilities-based wireless services business.</w:t>
      </w:r>
    </w:p>
    <w:p>
      <w:pPr>
        <w:spacing w:after="0" w:line="159" w:lineRule="exact"/>
        <w:rPr>
          <w:sz w:val="20"/>
          <w:szCs w:val="20"/>
          <w:color w:val="auto"/>
        </w:rPr>
      </w:pPr>
    </w:p>
    <w:p>
      <w:pPr>
        <w:ind w:left="80" w:right="259"/>
        <w:spacing w:after="0" w:line="258" w:lineRule="auto"/>
        <w:rPr>
          <w:sz w:val="20"/>
          <w:szCs w:val="20"/>
          <w:color w:val="auto"/>
        </w:rPr>
      </w:pPr>
      <w:r>
        <w:rPr>
          <w:rFonts w:ascii="Times New Roman" w:cs="Times New Roman" w:eastAsia="Times New Roman" w:hAnsi="Times New Roman"/>
          <w:sz w:val="18"/>
          <w:szCs w:val="18"/>
          <w:color w:val="auto"/>
        </w:rPr>
        <w:t>As a result of certain acquisitions we have entered the retail wireless business. We have made substantial investments to acquire certain wireless spectrum licenses. We plan to commercialize our Wireless spectrum licenses through the completion of our 5G Network Deployment. A Wireless services business presents certain risks. Any of the following risks, among others, may have a material adverse effect on our future business, results of operations and financial condition.</w:t>
      </w:r>
    </w:p>
    <w:p>
      <w:pPr>
        <w:spacing w:after="0" w:line="179" w:lineRule="exact"/>
        <w:rPr>
          <w:sz w:val="20"/>
          <w:szCs w:val="20"/>
          <w:color w:val="auto"/>
        </w:rPr>
      </w:pPr>
    </w:p>
    <w:p>
      <w:pPr>
        <w:ind w:left="400" w:right="59" w:hanging="323"/>
        <w:spacing w:after="0" w:line="251" w:lineRule="auto"/>
        <w:tabs>
          <w:tab w:leader="none" w:pos="3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wireless services industry is dominated by incumbents</w:t>
      </w:r>
      <w:r>
        <w:rPr>
          <w:rFonts w:ascii="Times New Roman" w:cs="Times New Roman" w:eastAsia="Times New Roman" w:hAnsi="Times New Roman"/>
          <w:sz w:val="18"/>
          <w:szCs w:val="18"/>
          <w:color w:val="auto"/>
        </w:rPr>
        <w:t>. We have limited experience in the wireless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industry, which is an industry with increasing subscriber demands for data services that require increasing capital resources to maintain a robust network. The wireless services industry has incumbent and established competitors such as Verizon, AT&amp;T and T-Mobile with substantial market share. These companies have, among other things, greater financial, marketing and other resources than us, and have existing cost and operational advantages that we lack. Market saturation is expected to continue to cause subscriber growth rates in the wireless services industry to moderate in comparison to historical growth rates, leading to increased competition for subscribers. As the industry matures, competitors increasingly must seek to attract a greater proportion of new subscribers from each other’s existing subscriber bases rather than from first-time purchasers of wireless services. Furthermore, the cost of attracting a new subscriber is generally higher than the cost associated with retaining an existing subscriber. In addition, we face increasing competition from wireless telecommunications providers who offer mobile video offerings or partner with others to create bundled offerings. Wireless mobile video offerings have become more prevalent in the marketplace as wireless telecommunications providers have expanded the fifth generation of wireless communications. As previously noted, 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Such companies may be able to, among other things, pressure third-party content owners and programmers to withhold online rights from us; utilize their increased leverage over third-party content owners and programmers to reduce the price they pay for programming at the expense of other MVPDs, including us; thwart our ability to compete in the wireless market, by, among other things, refusing to enter into data roaming agreements with us; foreclose or degrade our online video offerings at various points in the broadband pipe; and impose data caps on consumers who access our online video offerings. See </w:t>
      </w:r>
      <w:r>
        <w:rPr>
          <w:rFonts w:ascii="Times New Roman" w:cs="Times New Roman" w:eastAsia="Times New Roman" w:hAnsi="Times New Roman"/>
          <w:sz w:val="18"/>
          <w:szCs w:val="18"/>
          <w:i w:val="1"/>
          <w:iCs w:val="1"/>
          <w:color w:val="auto"/>
        </w:rPr>
        <w:t>“Item 1. Business – Overview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Strategy – Retail Wireless”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7. Management’s Discussion and Analysis of Financial Condition and Results of Operations – Wireless – Retail Wireless” </w:t>
      </w:r>
      <w:r>
        <w:rPr>
          <w:rFonts w:ascii="Times New Roman" w:cs="Times New Roman" w:eastAsia="Times New Roman" w:hAnsi="Times New Roman"/>
          <w:sz w:val="18"/>
          <w:szCs w:val="18"/>
          <w:color w:val="auto"/>
        </w:rPr>
        <w:t>in this Annual Report on Form 10-K for further information.</w:t>
      </w:r>
    </w:p>
    <w:p>
      <w:pPr>
        <w:spacing w:after="0" w:line="11" w:lineRule="exact"/>
        <w:rPr>
          <w:rFonts w:ascii="Times New Roman" w:cs="Times New Roman" w:eastAsia="Times New Roman" w:hAnsi="Times New Roman"/>
          <w:sz w:val="18"/>
          <w:szCs w:val="18"/>
          <w:color w:val="auto"/>
        </w:rPr>
      </w:pPr>
    </w:p>
    <w:p>
      <w:pPr>
        <w:ind w:left="400" w:right="119" w:hanging="323"/>
        <w:spacing w:after="0" w:line="266" w:lineRule="auto"/>
        <w:tabs>
          <w:tab w:leader="none" w:pos="38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Our ability to compete effectively in the wireless services industry is dependent on a number of factors. </w:t>
      </w:r>
      <w:r>
        <w:rPr>
          <w:rFonts w:ascii="Times New Roman" w:cs="Times New Roman" w:eastAsia="Times New Roman" w:hAnsi="Times New Roman"/>
          <w:sz w:val="17"/>
          <w:szCs w:val="17"/>
          <w:color w:val="auto"/>
        </w:rPr>
        <w:t>Our ability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compete effectively in the wireless services industry depends on, among other things, our network quality, capacity and coverage; the pricing of our products and services; the quality of subscriber service; our development of new and enhanced products and services; the reach and quality of our sales and distribution channels; our ability to predict and adapt to future changes in technologies and changes in consumer demands; and our capital resources. It also depends on how successfully we anticipate and respond to various competitive factors affecting the industry, including, among others, new technologies and business models, products and services that may be introduced by competitors, changes in consumer preferences, the demand for and usage of data, video and other voice and non-voice services, demographic trends, economic conditions, and discount pricing and other strategies that may be implemented by competitors. It may be difficult for us to differentiate our products and services from other competitors in the industry, which may limit our ability to attract and retain subscribers. Our success also may depend on our ability to access and deploy adequate spectrum, deploy new technologies and offer attractive products and services to subscribers. For example, we may not be able to obtain and offer certain technologies, features or services that are subject to competitor patents or other exclusive arrangements. Our success and financial results also depend on, among other factors, our ability to achieve a lower cost structure in our 5G Network Deployment and commercialization of our network. As we complete our 5G Network Deployment and transition a portion of our business to a MNO from an MVNO, our results of operations and financial performance will depend in part on our ability to offer wireless services more cost effectively than we are able to do so through the use of our current MVNO agreements.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right="99" w:hanging="323"/>
        <w:spacing w:after="0" w:line="251" w:lineRule="auto"/>
        <w:tabs>
          <w:tab w:leader="none" w:pos="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depend on certain third parties to provide us with infrastructure and products and services</w:t>
      </w:r>
      <w:r>
        <w:rPr>
          <w:rFonts w:ascii="Times New Roman" w:cs="Times New Roman" w:eastAsia="Times New Roman" w:hAnsi="Times New Roman"/>
          <w:sz w:val="18"/>
          <w:szCs w:val="18"/>
          <w:color w:val="auto"/>
        </w:rPr>
        <w:t>. We depend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key suppliers and vendors to provide us, directly or through other suppliers, with infrastructure, equipment and services, such as switch and network equipment, handsets and other devices and equipment that we would need in order to operate a wireless services business and provide products and services to our subscribers. For example, handset and other device suppliers often rely on one vendor for the manufacture and supply of critical components, such as chipsets, used in their devices. If these suppliers or vendors fail to provide equipment or services on a timely basis, or at all, or fail to meet performance expectations, we may be unable to provide products and services as and when expected by our subscribers. Any difficulties experienced with these suppliers and vendors could result in additional expense and/or delays in operating our Wireless services. Our efforts involve significant expense and require strategic management decisions on, and timely implementation of, among other things, equipment choices, network deployment and management, and service offerings. In addition, these suppliers and vendors may also be subject to litigation with respect to technology on which we depend, including, but not limited to, litigation involving claims of patent infringement.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Failure of these products to, among other things, effectively interoperate with one another could adversely affect our financial performance, including, but not limited to, our ability to complete our 5G Network Deployment on a cost-effective or timely basis or at all.</w:t>
      </w:r>
    </w:p>
    <w:p>
      <w:pPr>
        <w:spacing w:after="0" w:line="13" w:lineRule="exact"/>
        <w:rPr>
          <w:rFonts w:ascii="Times New Roman" w:cs="Times New Roman" w:eastAsia="Times New Roman" w:hAnsi="Times New Roman"/>
          <w:sz w:val="18"/>
          <w:szCs w:val="18"/>
          <w:color w:val="auto"/>
        </w:rPr>
      </w:pPr>
    </w:p>
    <w:p>
      <w:pPr>
        <w:ind w:left="400" w:right="79" w:hanging="323"/>
        <w:spacing w:after="0" w:line="250" w:lineRule="auto"/>
        <w:tabs>
          <w:tab w:leader="none" w:pos="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Wireless services and our Wireless spectrum licenses are subject to government regulation. </w:t>
      </w:r>
      <w:r>
        <w:rPr>
          <w:rFonts w:ascii="Times New Roman" w:cs="Times New Roman" w:eastAsia="Times New Roman" w:hAnsi="Times New Roman"/>
          <w:sz w:val="18"/>
          <w:szCs w:val="18"/>
          <w:color w:val="auto"/>
        </w:rPr>
        <w:t>Wireless services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Wireless spectrum licenses are subject to regulation by the FCC and other federal, state and local, as well as international, governmental authorities. These governmental authorities could adopt regulations or take other actions that would adversely affect our business prospects, making it more difficult and/or expensive to complete our 5G Network Deployment and to further commercialize our Wireless spectrum licenses or acquire additional licenses. The licensing, construction, operation, sale and interconnection arrangements of wireless telecommunications systems are regulated by the FCC and, depending on the jurisdiction, other federal and international, state and local regulatory agencies. In particular, the FCC imposes significant regulation on licensees of wireless spectrum with respect to, among other things,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 based on certain factors depending on the license including, among others, public interest considerations, level and quality of services and/or operations provided by the licensee, frequency and duration of any interruptions or outages of services and/or operations provided by the licensee, and the extent to which service is provided to, and/or operation is provided in, rural areas and tribal lands. There can be no assurances that our Wireless spectrum licenses will be renewed or that we will be able to obtain additional licenses. Failure to comply with FCC requirements in a given license area could result in revocation of the license for that license area. In addition, the FCC uses its transactional “spectrum screen” to identify prospective wireless transactions that may require additional competitive scrutiny. If a proposed transaction would exceed the spectrum screen threshold, the FCC undertakes a more detailed analysis of relevant market conditions in the impacted geographic areas to determine whether the transaction would reduce competition without offsetting public benefits. If a proposed spectrum acquisition exceeds the spectrum screen trigger, such additional review could extend the duration of the regulatory review process and there can be no assurance that such proposed spectrum acquisition would ultimately be completed, in whole or in part.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pay-TV competitors may be able to leverage their relationships with programmers to reduce their programming costs and/or offer exclusive content that will place them at a competitive advantage to us.</w:t>
      </w:r>
    </w:p>
    <w:p>
      <w:pPr>
        <w:spacing w:after="0" w:line="159" w:lineRule="exact"/>
        <w:rPr>
          <w:sz w:val="20"/>
          <w:szCs w:val="20"/>
          <w:color w:val="auto"/>
        </w:rPr>
      </w:pPr>
    </w:p>
    <w:p>
      <w:pPr>
        <w:ind w:left="60" w:right="239"/>
        <w:spacing w:after="0" w:line="271" w:lineRule="auto"/>
        <w:rPr>
          <w:sz w:val="20"/>
          <w:szCs w:val="20"/>
          <w:color w:val="auto"/>
        </w:rPr>
      </w:pPr>
      <w:r>
        <w:rPr>
          <w:rFonts w:ascii="Times New Roman" w:cs="Times New Roman" w:eastAsia="Times New Roman" w:hAnsi="Times New Roman"/>
          <w:sz w:val="17"/>
          <w:szCs w:val="17"/>
          <w:color w:val="auto"/>
        </w:rPr>
        <w:t>The cost of programming represents the largest percentage of our overall Pay-TV costs. Certain of our competitors own directly, partner with, and/or are affiliated with companies that own programming content that may enable them to obtain lower programming costs or offer exclusive programming that may be attractive to prospective subscribers. Unlike our larger cable and satellite competitors, some of which also provide internet or broadband based pay-TV services, we have not made significant investments in programming providers. In addition, certain programmers have begun offering a greater amount of their content on a direct-to-consumer basis, including, but not limited to, exclusive and non-exclusive content. As a result, it may be more difficult for us to obtain access to such programming networks on nondiscriminatory and fair terms, or at all. See “</w:t>
      </w:r>
      <w:r>
        <w:rPr>
          <w:rFonts w:ascii="Times New Roman" w:cs="Times New Roman" w:eastAsia="Times New Roman" w:hAnsi="Times New Roman"/>
          <w:sz w:val="17"/>
          <w:szCs w:val="17"/>
          <w:i w:val="1"/>
          <w:iCs w:val="1"/>
          <w:color w:val="auto"/>
        </w:rPr>
        <w:t>Item 1. Business – Government Regulations – FCC Regulations Governing our Pay-TV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 – Cable Act and Program Access</w:t>
      </w:r>
      <w:r>
        <w:rPr>
          <w:rFonts w:ascii="Times New Roman" w:cs="Times New Roman" w:eastAsia="Times New Roman" w:hAnsi="Times New Roman"/>
          <w:sz w:val="17"/>
          <w:szCs w:val="17"/>
          <w:color w:val="auto"/>
        </w:rPr>
        <w:t>” in this Annual Report on Form 10-K for further information.</w:t>
      </w:r>
    </w:p>
    <w:p>
      <w:pPr>
        <w:spacing w:after="0" w:line="169" w:lineRule="exact"/>
        <w:rPr>
          <w:sz w:val="20"/>
          <w:szCs w:val="20"/>
          <w:color w:val="auto"/>
        </w:rPr>
      </w:pPr>
    </w:p>
    <w:p>
      <w:pPr>
        <w:ind w:left="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8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July 2021, we entered into the NSA with AT&amp;T to provide us with wireless network services. Under the NSA, we expect AT&amp;T will become our primary network services provider. In addition, under the NSA, we have committed to activate on AT&amp;T a minimum percentage of certain of our Wireless subscribers and to utilize AT&amp;T’s network for a minimum specified percentage of our domestic roaming data usage. We have agreed to pay AT&amp;T at least $5 billion over the course of the 10-year term of the NSA, subject to certain terms and conditions. In 2020 in connection with the Asset Purchase Agreement, we entered into a master network services agreement with T-Mobile to provide us with wireless network services for a period of seven years (the “Prior MNSA”). In June 2022, we and T-Mobile entered into the MNSA, which amended the Prior MNSA. Under the MNSA, we agreed to a minimum purchase commitment to T-Mobile of $3.3 billion over the course of the MNSA, subject to certain terms and conditions.</w:t>
      </w:r>
    </w:p>
    <w:p>
      <w:pPr>
        <w:spacing w:after="0" w:line="188"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As a result, failure to meet the minimum commitments to AT&amp;T or T-Mobile could have a material adverse effect on our business, financial condition and results of operations. For example, failure to meet our minimum commitments would result in, among other things, the acceleration of financial commitments and potential termination of the NSA or the MNSA, respectively.</w:t>
      </w:r>
    </w:p>
    <w:p>
      <w:pPr>
        <w:spacing w:after="0" w:line="18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As we continue our 5G Network Deployment, we currently depend on T-Mobile and AT&amp;T to provide us with network services pursuant to the MNSA and the NSA, respectively, to offer Retail Wireless services. We rely on T-Mobile and AT&amp;T to, among other things, maintain their wireless facilities and government authorizations and to comply with government policies and regulations. If T-Mobile or AT&amp;T fails to do so, our subscriber activations and churn rate could be negatively impacted, which in turn could have a material adverse effect on our business, financial condition and results of operations. As a result, failure to manage these relationships, including, but not limited to, effectively activating subscribers on the optimal network, transitioning subscribers to a different network, managing the existing subscriber base and vendor relationships and meeting certain minimum commitments could have a material adverse effect on our business, financial condition and results of operations.</w:t>
      </w:r>
    </w:p>
    <w:p>
      <w:pPr>
        <w:spacing w:after="0" w:line="18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the event that a termination under the NSA or the MNSA were to occur, our Wireless subscribers may need to obtain a new device, a new SIM card or receive a software update to continue receiving Wireless services from us. These required measures would cause significant disruption to our Wireless subscriber base which could result in, among other things, a significant increase in our churn rate. A termination of either the NSA or the MNSA, respectively, could result in significant financial and operational challenges to mitigate such termination, and there can be no assurances that any attempts to mitigate a termination event would be successful on an acceptable timeframe or at 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with the MNOs whose networks we rely on to provide wireless services to our customers, and they may seek to limit, reduce or terminate our network access to the extent that it becomes competitively advantageous to do so.</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are able to offer wireless services to our customers through the 5G Network, and through our existing agreements with AT&amp;T and T-Mobile, both of whom are competitors of ours. While our agreements with AT&amp;T and T-Mobile currently have ten and seven-year terms from the date of signing, respectively, to the extent that either network service provider experiences, among other things, network capacity challenges, it is possible that our subscribers could be de-prioritized for access to those networks. Further, AT&amp;T and/or T-Mobile may decide not to renew their agreements with us at acceptable rates, or at all. Any reduction in, or loss of, access to those networks in the future could significantly impact our ability to provide services to our subscribers and in turn have a material adverse effect on our business, financial condition and results of operations.</w:t>
      </w:r>
    </w:p>
    <w:p>
      <w:pPr>
        <w:spacing w:after="0" w:line="188"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how network operators handle and charge for access to data that travels across their networks could adversely impact our Pay-TV business.</w:t>
      </w:r>
    </w:p>
    <w:p>
      <w:pPr>
        <w:spacing w:after="0" w:line="159" w:lineRule="exact"/>
        <w:rPr>
          <w:sz w:val="20"/>
          <w:szCs w:val="20"/>
          <w:color w:val="auto"/>
        </w:rPr>
      </w:pPr>
    </w:p>
    <w:p>
      <w:pPr>
        <w:ind w:left="60" w:right="59"/>
        <w:spacing w:after="0" w:line="273" w:lineRule="auto"/>
        <w:rPr>
          <w:sz w:val="20"/>
          <w:szCs w:val="20"/>
          <w:color w:val="auto"/>
        </w:rPr>
      </w:pPr>
      <w:r>
        <w:rPr>
          <w:rFonts w:ascii="Times New Roman" w:cs="Times New Roman" w:eastAsia="Times New Roman" w:hAnsi="Times New Roman"/>
          <w:sz w:val="17"/>
          <w:szCs w:val="17"/>
          <w:color w:val="auto"/>
        </w:rPr>
        <w:t>With respect to our Pay-TV business, we rely upon the ability of consumers to access our SLING TV services and certain DISH TV functionality through the Internet. If network operators block, restrict, slow-down or throttle or otherwise impair access to our services over their networks, our business could be negatively affected. To the extent that network operators implement usage-based pricing including, but not limited to, meaningful bandwidth caps, or otherwise try to monetize access to their networks by data providers, we could incur greater operating expenses and our SLING TV subscriber count could be negatively impacted. Furthermore, to the extent network operators create tiers of Internet access service and either charge us for or prohibit us from being available through these tiers, our SLING TV business could be negatively impacted.</w:t>
      </w:r>
    </w:p>
    <w:p>
      <w:pPr>
        <w:spacing w:after="0" w:line="17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video content over the Internet without counting against a subscriber’s monthly data caps, which may give an unfair advantage to the network operator’s own video content.</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cannot predict with any certainty the impact to our business that may result from changes in how network operators handle and charge for access to data that travels across their networks.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Economic weakness and uncertainty may adversely affect our ability to grow or maintain our business.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Our ability to grow or maintain our business may be adversely affected by economic weakness and uncertainty, which could result in the following:</w:t>
      </w:r>
    </w:p>
    <w:p>
      <w:pPr>
        <w:spacing w:after="0" w:line="158" w:lineRule="exact"/>
        <w:rPr>
          <w:sz w:val="20"/>
          <w:szCs w:val="20"/>
          <w:color w:val="auto"/>
        </w:rPr>
      </w:pPr>
    </w:p>
    <w:p>
      <w:pPr>
        <w:ind w:left="740" w:right="139" w:hanging="325"/>
        <w:spacing w:after="0" w:line="25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Fewer subscriber activations and increased subscriber churn rate. </w:t>
      </w:r>
      <w:r>
        <w:rPr>
          <w:rFonts w:ascii="Times New Roman" w:cs="Times New Roman" w:eastAsia="Times New Roman" w:hAnsi="Times New Roman"/>
          <w:sz w:val="18"/>
          <w:szCs w:val="18"/>
          <w:color w:val="auto"/>
        </w:rPr>
        <w:t>We could face fewer subscriber activations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and Wireless subscriber activations, because many of them are small businesses that are more susceptible to the negative effects of economic weakness. In particular, our DISH TV churn rate and Wireless churn rate may increase with respect to subscribers who purchase our lower tier programming packages and Retail Wireless services, and who may be more sensitive to economic weakness, including, among others, our pay-in-advance subscribers.</w:t>
      </w:r>
    </w:p>
    <w:p>
      <w:pPr>
        <w:spacing w:after="0" w:line="7" w:lineRule="exact"/>
        <w:rPr>
          <w:rFonts w:ascii="Times New Roman" w:cs="Times New Roman" w:eastAsia="Times New Roman" w:hAnsi="Times New Roman"/>
          <w:sz w:val="18"/>
          <w:szCs w:val="18"/>
          <w:color w:val="auto"/>
        </w:rPr>
      </w:pPr>
    </w:p>
    <w:p>
      <w:pPr>
        <w:ind w:left="740" w:right="79" w:hanging="325"/>
        <w:spacing w:after="0" w:line="255"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Higher subscriber acquisition and retention costs</w:t>
      </w:r>
      <w:r>
        <w:rPr>
          <w:rFonts w:ascii="Times New Roman" w:cs="Times New Roman" w:eastAsia="Times New Roman" w:hAnsi="Times New Roman"/>
          <w:sz w:val="18"/>
          <w:szCs w:val="18"/>
          <w:color w:val="auto"/>
        </w:rPr>
        <w:t>. Our profits may be adversely affected by increased subscriber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and retention costs necessary to attract and retain high-quality subscribers during a period of economic weakness.</w:t>
      </w:r>
    </w:p>
    <w:p>
      <w:pPr>
        <w:sectPr>
          <w:pgSz w:w="11900" w:h="16838" w:orient="portrait"/>
          <w:cols w:equalWidth="0" w:num="1">
            <w:col w:w="9019"/>
          </w:cols>
          <w:pgMar w:left="1440" w:top="513" w:right="1440"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18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facing increasing competition which could impact demand for, and result in increasing pricing pressures with respect to, our products and services.</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Broadband and Satellite Services segment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among other factors, their significant resources and operating history. Material competitive risks to our business include, but are not limited to, the following:</w:t>
      </w:r>
    </w:p>
    <w:p>
      <w:pPr>
        <w:spacing w:after="0" w:line="183"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new or different technology compared to our offerings;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competitors entering the same markets we serve;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funding for competing products and services, reducing demand for our products and services; and</w:t>
      </w:r>
    </w:p>
    <w:p>
      <w:pPr>
        <w:spacing w:after="0" w:line="9" w:lineRule="exact"/>
        <w:rPr>
          <w:rFonts w:ascii="Times New Roman" w:cs="Times New Roman" w:eastAsia="Times New Roman" w:hAnsi="Times New Roman"/>
          <w:sz w:val="18"/>
          <w:szCs w:val="18"/>
          <w:color w:val="auto"/>
        </w:rPr>
      </w:pPr>
    </w:p>
    <w:p>
      <w:pPr>
        <w:ind w:left="720" w:right="159" w:hanging="319"/>
        <w:spacing w:after="0" w:line="26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provide enhanced functionality for the same or lower price with each new generation of technology.</w:t>
      </w:r>
    </w:p>
    <w:p>
      <w:pPr>
        <w:spacing w:after="0" w:line="177"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5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grow and remain competitive, we will need to adapt to changes in available technology, including, but not limited to, artificial intelligence and machine learning, continually invest in our 5G Network Deployment, increase 5G Network capacity, enhance our existing service offerings and introduce new offerings to meet our current and potential subscribers’ changing service demands. Enhancing our 5G Network, including, but not limited to, our ongoing 5G Network Deployment, is subject to risks related to, among other things, equipment choices, network deployment and management, and service offerings.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Therefore, we generally serve as the overall system integrator.</w:t>
      </w:r>
    </w:p>
    <w:p>
      <w:pPr>
        <w:spacing w:after="0" w:line="18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As a result,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Operational and Service Delivery Risks</w:t>
      </w:r>
    </w:p>
    <w:p>
      <w:pPr>
        <w:spacing w:after="0" w:line="22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deterioration in our operational performance and subscriber satisfaction could adversely affect our business, financial condition and results of operations.</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If our operational performance and subscriber satisfaction with respect to our Pay-TV, Wireless, and/or Broadband and Satellite Services businesses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and our Broadband and Satellite Service and Retail Wireless business operations.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pacing w:after="0" w:line="18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subscriber activations decrease, or if our subscriber churn rate, subscriber acquisition costs or retention costs increase, our financial performance will be adversely affected.</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may incur increased costs to acquire new subscribers and retain existing subscribers to same or all of our Pay-TV, Wireless or Broadband and Satellite Services businesses. For example, with respect to our Pay-TV business, our gross new DISH TV subscriber activations, net DISH TV subscriber additions, and DISH TV churn rate continue to be negatively impacted by stricter subscriber acquisition and retention policies for our DISH TV subscribers. Retention costs with respect to our DISH TV services may be driven higher by, among other things, increased upgrades of existing subscribers’ equipment.</w:t>
      </w:r>
    </w:p>
    <w:p>
      <w:pPr>
        <w:spacing w:after="0" w:line="187"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Although we expect to continue to incur expenses, such as providing retention credits and other subscriber acquisition and retention expenses, to attract and retain subscribers there can be no assurance that our efforts will generate new subscribers or result in a lower churn rate.</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For our Retail Wireless business, we are currently in the process of integrating our Retail Wireless operations and making certain operational changes to enhance profitability. We are working to ensure that certain subscribers we acquire and retain are profitable under our MVNO economics. As an example, certain subscribers that use high amounts of data may be profitable for a MNO but are not profitable under a MVNO. This has caused our net Wireless subscriber additions to be negatively impacted. In addition, as we transition from a MVNO to a MNO, our subscriber acquisition costs may increase due to, among other factors, certain differences between prepaid and postpaid subscribers.</w:t>
      </w:r>
    </w:p>
    <w:p>
      <w:pPr>
        <w:spacing w:after="0" w:line="187" w:lineRule="exact"/>
        <w:rPr>
          <w:sz w:val="20"/>
          <w:szCs w:val="20"/>
          <w:color w:val="auto"/>
        </w:rPr>
      </w:pPr>
    </w:p>
    <w:p>
      <w:pPr>
        <w:ind w:left="60" w:right="159"/>
        <w:spacing w:after="0" w:line="274" w:lineRule="auto"/>
        <w:rPr>
          <w:sz w:val="20"/>
          <w:szCs w:val="20"/>
          <w:color w:val="auto"/>
        </w:rPr>
      </w:pPr>
      <w:r>
        <w:rPr>
          <w:rFonts w:ascii="Times New Roman" w:cs="Times New Roman" w:eastAsia="Times New Roman" w:hAnsi="Times New Roman"/>
          <w:sz w:val="17"/>
          <w:szCs w:val="17"/>
          <w:color w:val="auto"/>
        </w:rPr>
        <w:t>Although we expect to continue to incur expenses, such as providing retention credits and other subscriber acquisition and retention expenses, including, but not limited to, devices subsidy and upgrade discounts, to attract and retain subscribers, there can be no assurance that our efforts will generate new subscribers or result in a lower churn rate. Our subscriber acquisition costs and our subscriber retention costs can vary significantly from period to period and can cause material variability to our net income (loss) and free cash flow. Any material increase in subscriber acquisition or retention costs from current levels could have a material adverse effect on our business, financial condition and results of operations.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respect to our Pay-TV business, programming expenses are increasing, which may adversely affect our future financial condition and results of operations.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among other factors, the increasing trend of consolidation in the media industry, partnerships between companies that offer pay-TV services and programmers and increased direct-to-consumer offerings of both exclusive and non-exclusive content, which may further increase our programming expenses. Our ability to compete successfully will depend, among other things, on our ability to continue to obtain desirable programming and deliver it to our subscribers at competitive prices.</w:t>
      </w:r>
    </w:p>
    <w:p>
      <w:pPr>
        <w:spacing w:after="0" w:line="19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addition, increases in programming costs cause us to increase the rates that we charge our Pay-TV subscribers, which could in turn cause our existing Pay-TV subscribers to disconnect service. Therefore, we may be unable to pass increased programming costs on to our subscribers, which could have a material adverse effect on our business, financial condition and results of operations.</w:t>
      </w:r>
    </w:p>
    <w:p>
      <w:pPr>
        <w:spacing w:after="0" w:line="1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7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depend on certain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terms. In addition, our ability to provide services under these agreements and negotiate acceptable terms depends on, among other things, the number of Pay-TV subscribers we have, our actual, perceived or anticipated financial condition and our negotiating power against each programmer, which can vary depending on the size and scale of such programmer.</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Negotiations over programming carriage contracts are generally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In addition, certain content providers have begun making a greater percentage of their content available as a stand-alone product available direct-to-consumer and acceleration of this trend may result in lower net Pay-TV subscriber additions, higher net Pay-TV subscriber losses and increased DISH TV churn rate.</w:t>
      </w:r>
    </w:p>
    <w:p>
      <w:pPr>
        <w:spacing w:after="0" w:line="192"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typically have a few programming contracts with major content providers up for renewal each year and if we are unable to renew any of these agreements on acceptable terms or at all,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w:t>
      </w:r>
    </w:p>
    <w:p>
      <w:pPr>
        <w:spacing w:after="0" w:line="18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necessary retransmission consent agreements at acceptable rates, or at all, from local network stations.</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Copyright Act generally gives satellite companies a statutory copyright license to retransmit local broadcast channels by satellite back into the market from which they originated, subject to obtaining the retransmission consent of local broadcast television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generally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w:t>
      </w:r>
    </w:p>
    <w:p>
      <w:pPr>
        <w:spacing w:after="0" w:line="19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spacing w:after="0" w:line="179"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satellite capacity and failures or reduced capacity could adversely affect our business, financial condition and results of operations.</w:t>
      </w:r>
    </w:p>
    <w:p>
      <w:pPr>
        <w:spacing w:after="0" w:line="15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Operation of our Pay-TV and Broadband and Satellite Services businesses requires that we have adequate satellite transmission capacity for the programming and services we offer. While we generally have had in-orbit satellite capacity sufficient to transmit our existing channels and provide satellite internet coverage and some backup capacity to recover the transmission of certain critical programming and coverage, our backup capacity is limited.</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ability to earn revenue from our Pay-TV and Broadband and Satellite Services businesses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1A. Risk Factors – Risks Related to our Satellites”</w:t>
      </w:r>
      <w:r>
        <w:rPr>
          <w:rFonts w:ascii="Times New Roman" w:cs="Times New Roman" w:eastAsia="Times New Roman" w:hAnsi="Times New Roman"/>
          <w:sz w:val="18"/>
          <w:szCs w:val="18"/>
          <w:color w:val="auto"/>
        </w:rPr>
        <w:t xml:space="preserve"> in this Annual Report on Form 10-K for further information.</w:t>
      </w:r>
    </w:p>
    <w:p>
      <w:pPr>
        <w:spacing w:after="0" w:line="223" w:lineRule="exact"/>
        <w:rPr>
          <w:sz w:val="20"/>
          <w:szCs w:val="20"/>
          <w:color w:val="auto"/>
        </w:rPr>
      </w:pPr>
    </w:p>
    <w:p>
      <w:pPr>
        <w:jc w:val="both"/>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75"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Extreme weather has the potential to directly damage our network facilities and other infrastructure and/or disrupt our ability to build and maintain portions of our network, and could potentially disrupt suppliers’ ability to, among other things, provide the products and services we require to support our operations. Any such disruption could delay our 5G Network Deployment plans, interrupt service for our customers, increase our costs and have a negative effect on our operating results.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such as, among other things, damage to our network infrastructure,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Technology in the pay-TV, wireless and broadband and satellite services industries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w:t>
      </w:r>
    </w:p>
    <w:p>
      <w:pPr>
        <w:spacing w:after="0" w:line="18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176" w:lineRule="exact"/>
        <w:rPr>
          <w:sz w:val="20"/>
          <w:szCs w:val="20"/>
          <w:color w:val="auto"/>
        </w:rPr>
      </w:pPr>
    </w:p>
    <w:p>
      <w:pPr>
        <w:ind w:left="740" w:right="219" w:hanging="325"/>
        <w:spacing w:after="0" w:line="261"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delays in the development, production, timely completion, testing and marketing of products and services;</w:t>
      </w:r>
    </w:p>
    <w:p>
      <w:pPr>
        <w:ind w:left="740" w:hanging="325"/>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products and services;</w:t>
      </w:r>
    </w:p>
    <w:p>
      <w:pPr>
        <w:spacing w:after="0" w:line="9"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 identification of subscriber need and subscriber acceptance of products and services;</w:t>
      </w:r>
    </w:p>
    <w:p>
      <w:pPr>
        <w:spacing w:after="0" w:line="9"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approval of and compliance with industry standards;</w:t>
      </w:r>
    </w:p>
    <w:p>
      <w:pPr>
        <w:spacing w:after="0" w:line="9"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resources we must devote to the development of new technologies; and</w:t>
      </w:r>
    </w:p>
    <w:p>
      <w:pPr>
        <w:spacing w:after="0" w:line="9"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differentiate our products and services and compete with other companies in the same markets.</w:t>
      </w:r>
    </w:p>
    <w:p>
      <w:pPr>
        <w:spacing w:after="0" w:line="207" w:lineRule="exact"/>
        <w:rPr>
          <w:sz w:val="20"/>
          <w:szCs w:val="20"/>
          <w:color w:val="auto"/>
        </w:rPr>
      </w:pPr>
    </w:p>
    <w:p>
      <w:pPr>
        <w:ind w:left="60" w:right="59"/>
        <w:spacing w:after="0" w:line="273" w:lineRule="auto"/>
        <w:rPr>
          <w:sz w:val="20"/>
          <w:szCs w:val="20"/>
          <w:color w:val="auto"/>
        </w:rPr>
      </w:pPr>
      <w:r>
        <w:rPr>
          <w:rFonts w:ascii="Times New Roman" w:cs="Times New Roman" w:eastAsia="Times New Roman" w:hAnsi="Times New Roman"/>
          <w:sz w:val="17"/>
          <w:szCs w:val="17"/>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pacing w:after="0" w:line="171" w:lineRule="exact"/>
        <w:rPr>
          <w:sz w:val="20"/>
          <w:szCs w:val="20"/>
          <w:color w:val="auto"/>
        </w:rPr>
      </w:pPr>
    </w:p>
    <w:p>
      <w:pPr>
        <w:ind w:left="60" w:right="619"/>
        <w:spacing w:after="0" w:line="261" w:lineRule="auto"/>
        <w:rPr>
          <w:sz w:val="20"/>
          <w:szCs w:val="20"/>
          <w:color w:val="auto"/>
        </w:rPr>
      </w:pPr>
      <w:r>
        <w:rPr>
          <w:rFonts w:ascii="Times New Roman" w:cs="Times New Roman" w:eastAsia="Times New Roman" w:hAnsi="Times New Roman"/>
          <w:sz w:val="18"/>
          <w:szCs w:val="18"/>
          <w:color w:val="auto"/>
        </w:rPr>
        <w:t>If our products and services are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spacing w:after="0" w:line="176"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59" w:lineRule="exact"/>
        <w:rPr>
          <w:sz w:val="20"/>
          <w:szCs w:val="20"/>
          <w:color w:val="auto"/>
        </w:rPr>
      </w:pPr>
    </w:p>
    <w:p>
      <w:pPr>
        <w:ind w:left="60" w:right="319"/>
        <w:spacing w:after="0" w:line="254" w:lineRule="auto"/>
        <w:rPr>
          <w:sz w:val="20"/>
          <w:szCs w:val="20"/>
          <w:color w:val="auto"/>
        </w:rPr>
      </w:pPr>
      <w:r>
        <w:rPr>
          <w:rFonts w:ascii="Times New Roman" w:cs="Times New Roman" w:eastAsia="Times New Roman" w:hAnsi="Times New Roman"/>
          <w:sz w:val="18"/>
          <w:szCs w:val="18"/>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Pay-TV, Wireless and Broadband or Satellite Services businesses. We also rely on a limited number of vendors to supply our wireless devices and wireless network equipment used in connection with our 5G Network Deployment.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w:t>
      </w:r>
    </w:p>
    <w:p>
      <w:pPr>
        <w:spacing w:after="0" w:line="19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experienced in the past and may continue to experience shortages driven by raw material availability (which may be negatively impacted by, among other things, COVID-19 policies,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w:t>
      </w:r>
    </w:p>
    <w:p>
      <w:pPr>
        <w:spacing w:after="0" w:line="17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independent third parties to solicit orders for our services that represent a meaningful percentage of our total gross new subscriber activations.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From time to time, we may adjust the economic terms of agreements with our independent third-party retailers to, among other things, further align our interests with theirs. It may be difficult to better align our interests with our independent third-party retailers because of their capital and liquidity constraints. In addition, any changes we may make may not result in the intended benefits and as a result, negatively affect our operating results. Loss of these relationships could have an adverse effect on our subscriber base and certain of our other key operating metrics because we may not be able to develop comparable alternative distribution channels.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Human Capital</w:t>
      </w:r>
    </w:p>
    <w:p>
      <w:pPr>
        <w:spacing w:after="0" w:line="225"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businesses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pacing w:after="0" w:line="17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addition, the success of the Integration will depend in part on the retention of personnel critical to our business and operations due to, for example, their technical skills or management expertise. Competition for qualified personnel can be intense and qualified personnel can be in high demand. Current and prospective employees may experience uncertainty about their future role until strategies regarding these employees are announced or executed, which may impair our ability to attract, retain and motivate key management, technical and other personnel following the Merger. If we are unable to attract and retain personnel, including key management, who are critical to the successful Integration and future operations of the companies, we could face, among other risks, disruptions in their operations, loss of existing customers, loss of key information, expertise or know-how and unanticipated additional recruitment and training costs. In addition, the loss of key personnel could diminish the anticipated benefits of the Merger.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growth and customer retention strategies rely in part on the work of technically skilled employees.</w:t>
      </w:r>
    </w:p>
    <w:p>
      <w:pPr>
        <w:spacing w:after="0" w:line="229"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w:t>
      </w:r>
    </w:p>
    <w:p>
      <w:pPr>
        <w:spacing w:after="0" w:line="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 Furthermore, we believe that our Wireless business, including, but not limited to, our ability to complete our 5G Network Deployment, is dependent on our ability to identify, hire, develop, motivate and retain a team of highly skilled personnel with knowledge of the wireless industry. Our Wireless business will be adversely affected if we fail to effectively hire, develop, motivate and retain highly skilled personnel with knowledge of the wireless industry.</w:t>
      </w:r>
    </w:p>
    <w:p>
      <w:pPr>
        <w:spacing w:after="0" w:line="19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Satellites</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leased satellites in orbit are subject to significant operational and environmental risks that could limit our ability to utilize these satellites.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189"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5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7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use of certain satellites is often dependent on satellite coordination agreements, which may be difficult to obtain.</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interference from other services sharing satellite spectrum</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Products and Technology</w:t>
      </w:r>
    </w:p>
    <w:p>
      <w:pPr>
        <w:spacing w:after="0" w:line="22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certain intellectual property rights and on not infringing the intellectual property rights of others.</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83"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w:t>
      </w:r>
    </w:p>
    <w:p>
      <w:pPr>
        <w:spacing w:after="0" w:line="18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18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We are, and may become, subject to various legal proceedings and claims which arise in the ordinary course of business, including, among other things, intellectual property disputes.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See “</w:t>
      </w:r>
      <w:r>
        <w:rPr>
          <w:rFonts w:ascii="Times New Roman" w:cs="Times New Roman" w:eastAsia="Times New Roman" w:hAnsi="Times New Roman"/>
          <w:sz w:val="18"/>
          <w:szCs w:val="18"/>
          <w:i w:val="1"/>
          <w:iCs w:val="1"/>
          <w:color w:val="auto"/>
        </w:rPr>
        <w:t>Item 1. 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Patents and Other Intellectual Property” </w:t>
      </w:r>
      <w:r>
        <w:rPr>
          <w:rFonts w:ascii="Times New Roman" w:cs="Times New Roman" w:eastAsia="Times New Roman" w:hAnsi="Times New Roman"/>
          <w:sz w:val="18"/>
          <w:szCs w:val="18"/>
          <w:color w:val="auto"/>
        </w:rPr>
        <w:t>in this Annual Report on Form 10-K for further information. We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spacing w:after="0" w:line="19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w:t>
      </w:r>
    </w:p>
    <w:p>
      <w:pPr>
        <w:sectPr>
          <w:pgSz w:w="11900" w:h="16838" w:orient="portrait"/>
          <w:cols w:equalWidth="0" w:num="1">
            <w:col w:w="9019"/>
          </w:cols>
          <w:pgMar w:left="1440" w:top="513" w:right="1440" w:bottom="1440" w:gutter="0" w:footer="0" w:header="0"/>
        </w:sectPr>
      </w:pP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Cybersecurity</w:t>
      </w:r>
    </w:p>
    <w:p>
      <w:pPr>
        <w:spacing w:after="0" w:line="22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19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rely on certain third parties for developing key components of our information technology and communications systems and ongoing service, all of which affect our Pay-TV, Wireless, and Broadband and Satellite Services businesses.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Pay-TV, Wireless, and Broadband and Satellite Services subscribers and complete our 5G Network Deployment.</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9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We may be required to expend significant additional resources to modify our protective measures or to investigate and remediate vulnerabilities or other exposures, and we may be subject to financial losses. In addition, this may divert management’s attention and resources away from our business, and therefore adversely affect our business. Furthermore, the amount and scope of insurance we maintain may not cover all expenses related to such activities or all types of claims that may arise.</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pacing w:after="0" w:line="18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experience in the future cyber-attacks and other attempts to gain unauthorized access to our systems on a consistent basis.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 In February 2023, we disclosed that our systems were subject to a cyber-security incident that compromised certain data. During the first quarter of 2023, we incurred certain cyber-security- related expenses, including, but not limited to, costs to remediate the incident and provide additional customer support. Subsequent to the first quarter of 2023, we have not incurred material expenses resulting from the cyber-security incident and do not expect to incur material expenses in future periods.</w:t>
      </w:r>
    </w:p>
    <w:p>
      <w:pPr>
        <w:spacing w:after="0" w:line="19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subject to persistent cyber-security incidents and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188"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confidentiality, integrity, and availability of our services and products depends on the continuing operation of our information technology and other enabling systems.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businesses expose us to additional risks that could harm our business.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international operations in our Broadband and Satellite Services businesses continue to grow. In addition to risks described elsewhere herein, the different regions and countries in which we operate our businesses outside of the U.S. expose us to increased risks due to different privacy and cyber-related laws in each of these locations. The same cyber-related issue could have different consequences depending on, among other factors, the region or country of occurrence, the laws applicable in each case and the different levels of enforcement by regulatory and governmental authorities in each jurisdiction. These risks include, but are not limited to, the following:</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7"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concerns relating to our technology and practices could, among other things, damage our reputation, cause us to incur significant liability, and deter current and potential users or customers from using our products and services;</w:t>
      </w:r>
    </w:p>
    <w:p>
      <w:pPr>
        <w:spacing w:after="0" w:line="1" w:lineRule="exact"/>
        <w:rPr>
          <w:rFonts w:ascii="Times New Roman" w:cs="Times New Roman" w:eastAsia="Times New Roman" w:hAnsi="Times New Roman"/>
          <w:sz w:val="18"/>
          <w:szCs w:val="18"/>
          <w:color w:val="auto"/>
        </w:rPr>
      </w:pPr>
    </w:p>
    <w:p>
      <w:pPr>
        <w:ind w:left="720" w:right="139" w:hanging="319"/>
        <w:spacing w:after="0" w:line="250"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bugs or defects, security breaches, and attacks on our systems could result in the improper disclosure of our user data which could harm, among other things, our business reputation and result in legal and/or government action;</w:t>
      </w:r>
    </w:p>
    <w:p>
      <w:pPr>
        <w:spacing w:after="0" w:line="1" w:lineRule="exact"/>
        <w:rPr>
          <w:rFonts w:ascii="Times New Roman" w:cs="Times New Roman" w:eastAsia="Times New Roman" w:hAnsi="Times New Roman"/>
          <w:sz w:val="18"/>
          <w:szCs w:val="18"/>
          <w:color w:val="auto"/>
        </w:rPr>
      </w:pPr>
    </w:p>
    <w:p>
      <w:pPr>
        <w:ind w:left="720" w:right="379" w:hanging="319"/>
        <w:spacing w:after="0" w:line="255"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our practices about the collection, use, disclosure, or security of personal information or other data-privacy-related matters, even if unsubstantiated, could harm our reputation and financial condition. Our policies and practices may change over time as expectations regarding privacy and data change.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Our ongoing investments in security will likely continue to identify new vulnerabilities within our services and products.</w:t>
      </w:r>
    </w:p>
    <w:p>
      <w:pPr>
        <w:spacing w:after="0" w:line="24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addition to our efforts to, among other things, mitigate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pandemics like COVID-19 and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8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Any such developments may also subject us to litigation and regulatory inquiries, which could result in monetary penalties and damages, distract management’s time and attention, and lead to enhanced regulatory oversight.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and Capital Structure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debt outstanding and may incur additional debt.</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of December 31, 2023, our total long-term debt and finance lease obligations (including current portion) outstanding, including the debt of our subsidiaries, was $22.764 billion. Our debt levels could have significant consequences, including, but not limited to;</w:t>
      </w:r>
    </w:p>
    <w:p>
      <w:pPr>
        <w:spacing w:after="0" w:line="176" w:lineRule="exact"/>
        <w:rPr>
          <w:sz w:val="20"/>
          <w:szCs w:val="20"/>
          <w:color w:val="auto"/>
        </w:rPr>
      </w:pPr>
    </w:p>
    <w:p>
      <w:pPr>
        <w:ind w:left="740" w:hanging="32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our obligations;</w:t>
      </w:r>
    </w:p>
    <w:p>
      <w:pPr>
        <w:spacing w:after="0" w:line="27"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dilutive effect on our outstanding equity capital or future earnings;</w:t>
      </w:r>
    </w:p>
    <w:p>
      <w:pPr>
        <w:spacing w:after="0" w:line="9" w:lineRule="exact"/>
        <w:rPr>
          <w:rFonts w:ascii="Times New Roman" w:cs="Times New Roman" w:eastAsia="Times New Roman" w:hAnsi="Times New Roman"/>
          <w:sz w:val="18"/>
          <w:szCs w:val="18"/>
          <w:color w:val="auto"/>
        </w:rPr>
      </w:pPr>
    </w:p>
    <w:p>
      <w:pPr>
        <w:ind w:left="740" w:right="439" w:hanging="325"/>
        <w:spacing w:after="0" w:line="250"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conditions, including, but not limited to, changes in interest rates;</w:t>
      </w:r>
    </w:p>
    <w:p>
      <w:pPr>
        <w:ind w:left="740" w:right="339" w:hanging="325"/>
        <w:spacing w:after="0" w:line="250"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8"/>
          <w:szCs w:val="18"/>
          <w:color w:val="auto"/>
        </w:rPr>
      </w:pPr>
    </w:p>
    <w:p>
      <w:pPr>
        <w:ind w:left="740" w:right="419" w:hanging="325"/>
        <w:spacing w:after="0" w:line="250"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raise additional debt because it may be more difficult for us to obtain debt financing on attractive terms or at all; and</w:t>
      </w:r>
    </w:p>
    <w:p>
      <w:pPr>
        <w:ind w:left="740" w:hanging="32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our competitors that are less leveraged.</w:t>
      </w:r>
    </w:p>
    <w:p>
      <w:pPr>
        <w:spacing w:after="0" w:line="20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addition, we will incur additional debt in the future. The terms of the indentures relating to our senior notes, senior secured notes and our Convertible Notes permit us to incur additional debt. If new debt is added to our current debt levels, the risks we now face could intensify.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substantial investments to acquire certain wireless spectrum licenses and other related assets, and may be unable to realize a return on these assets.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have invested a total of over $30 billion to acquire certain Wireless spectrum licenses. we may need to make significant additional investments or partner with others to, among other things, complete the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complete our 5G Network Deployment, we have and will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to complete our 5G Network Deployment and to compete effectively with other wireless service providers.</w:t>
      </w:r>
    </w:p>
    <w:p>
      <w:pPr>
        <w:spacing w:after="0" w:line="194"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We may need to make significant additional investments or partner with others to, among other things, complete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There is no assurance that the FCC will find our 5G Network Deployment sufficient to meet the build-out requirements to which our Wireless spectrum licenses are subject. Failure to comply with FCC build-out requirements and/or renewal requirements in a given license area could result in, among other things, revocation of the license for that license area. The revocation of a material portion of our Wireless spectrum licenses would have a significant material adverse effect on our 5G Network Deployment and our future business, results of operations and financial condition.</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will need to raise additional capital in the future, which may not be available on favorable terms, to fund the efforts described above,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w:t>
      </w:r>
    </w:p>
    <w:p>
      <w:pPr>
        <w:spacing w:after="0" w:line="183"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Furthermore, the fair values of wireless spectrum licenses may vary significantly in the future. In particular, valuation swings could occur if:</w:t>
      </w:r>
    </w:p>
    <w:p>
      <w:pPr>
        <w:spacing w:after="0" w:line="162" w:lineRule="exact"/>
        <w:rPr>
          <w:sz w:val="20"/>
          <w:szCs w:val="20"/>
          <w:color w:val="auto"/>
        </w:rPr>
      </w:pPr>
    </w:p>
    <w:p>
      <w:pPr>
        <w:ind w:left="740" w:right="279" w:hanging="325"/>
        <w:spacing w:after="0" w:line="261" w:lineRule="auto"/>
        <w:tabs>
          <w:tab w:leader="none" w:pos="7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in the wireless industry allows or requires wireless carriers to sell significant portions of their wireless spectrum holdings, which could in turn reduce the value of our spectrum holdings;</w:t>
      </w:r>
    </w:p>
    <w:p>
      <w:pPr>
        <w:ind w:left="740" w:hanging="325"/>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spectrum by one or more wireless providers occurs;</w:t>
      </w:r>
    </w:p>
    <w:p>
      <w:pPr>
        <w:spacing w:after="0" w:line="9" w:lineRule="exact"/>
        <w:rPr>
          <w:rFonts w:ascii="Times New Roman" w:cs="Times New Roman" w:eastAsia="Times New Roman" w:hAnsi="Times New Roman"/>
          <w:sz w:val="18"/>
          <w:szCs w:val="18"/>
          <w:color w:val="auto"/>
        </w:rPr>
      </w:pPr>
    </w:p>
    <w:p>
      <w:pPr>
        <w:ind w:left="740" w:right="179" w:hanging="325"/>
        <w:spacing w:after="0" w:line="250" w:lineRule="auto"/>
        <w:tabs>
          <w:tab w:leader="none" w:pos="7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 pursues certain policies designed to increase the number of wireless spectrum licenses available in each of our markets; or</w:t>
      </w:r>
    </w:p>
    <w:p>
      <w:pPr>
        <w:ind w:left="740" w:hanging="325"/>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 conducts additional wireless spectrum auctions.</w:t>
      </w:r>
    </w:p>
    <w:p>
      <w:pPr>
        <w:spacing w:after="0" w:line="207"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If the fair value of our Wireless spectrum licenses were to decline significantly, the value of these licenses could be subject to impairment charges. We assess potential impairments to our indefinite-lived intangible assets annually or more often if indicators of impairment arise to determine whether there is evidence that indicates an impairment condition may exist.</w:t>
      </w:r>
    </w:p>
    <w:p>
      <w:pPr>
        <w:spacing w:after="0" w:line="15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capitalize our interest expense associated with the acquisition or construction of certain assets including, among others, our Wireless spectrum licenses. As the carrying amount of these licenses exceeds the carrying value of our long-term debt, substantially all of our interest expense is being capitalized. This capitalized interest increases the carrying amount of these licenses for purposes of impairment testing, under which we consider whether it is more likely than not that the fair value of these licenses exceeds the carrying amount of these licenses. An increase in the carrying amount of these licenses combined with other changes in circumstances and/or market conditions could result in an increased risk of an impairment of these licenses in the future, and an impairment of these assets may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-228600</wp:posOffset>
            </wp:positionV>
            <wp:extent cx="28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w:t>
      </w:r>
    </w:p>
    <w:p>
      <w:pPr>
        <w:spacing w:after="0" w:line="187"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developing and constructing new satellites;</w:t>
      </w:r>
    </w:p>
    <w:p>
      <w:pPr>
        <w:spacing w:after="0" w:line="27"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existing business onto a strategic initiative;</w:t>
      </w:r>
    </w:p>
    <w:p>
      <w:pPr>
        <w:spacing w:after="0" w:line="9" w:lineRule="exact"/>
        <w:rPr>
          <w:rFonts w:ascii="Times New Roman" w:cs="Times New Roman" w:eastAsia="Times New Roman" w:hAnsi="Times New Roman"/>
          <w:sz w:val="18"/>
          <w:szCs w:val="18"/>
          <w:color w:val="auto"/>
        </w:rPr>
      </w:pPr>
    </w:p>
    <w:p>
      <w:pPr>
        <w:ind w:left="740" w:right="99" w:hanging="325"/>
        <w:spacing w:after="0" w:line="250" w:lineRule="auto"/>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adverse effects on our and our targets’ and partners’ business, financial condition or operating results during the Integration process;</w:t>
      </w:r>
    </w:p>
    <w:p>
      <w:pPr>
        <w:ind w:left="740" w:right="199" w:hanging="325"/>
        <w:spacing w:after="0" w:line="250" w:lineRule="auto"/>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inherent in these transactions, which could become substantial over time, and higher exposure to significant financial losses if the underlying ventures are not successful on an acceptable timeline or at all;</w:t>
      </w:r>
    </w:p>
    <w:p>
      <w:pPr>
        <w:spacing w:after="0" w:line="1"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to achieve the intended objectives of the transaction; and</w:t>
      </w:r>
    </w:p>
    <w:p>
      <w:pPr>
        <w:spacing w:after="0" w:line="9" w:lineRule="exact"/>
        <w:rPr>
          <w:rFonts w:ascii="Times New Roman" w:cs="Times New Roman" w:eastAsia="Times New Roman" w:hAnsi="Times New Roman"/>
          <w:sz w:val="18"/>
          <w:szCs w:val="18"/>
          <w:color w:val="auto"/>
        </w:rPr>
      </w:pPr>
    </w:p>
    <w:p>
      <w:pPr>
        <w:ind w:left="740" w:right="659" w:hanging="325"/>
        <w:spacing w:after="0" w:line="250" w:lineRule="auto"/>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complying with contractual provisions and regulations applicable to the acquired business, which may cause us to incur substantial expenses;</w:t>
      </w:r>
    </w:p>
    <w:p>
      <w:pPr>
        <w:ind w:left="740" w:hanging="325"/>
        <w:spacing w:after="0"/>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relationships with employees, vendors or customers; and</w:t>
      </w:r>
    </w:p>
    <w:p>
      <w:pPr>
        <w:spacing w:after="0" w:line="9"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foreign and international operations and/or investments or dispositions.</w:t>
      </w:r>
    </w:p>
    <w:p>
      <w:pPr>
        <w:spacing w:after="0" w:line="207" w:lineRule="exact"/>
        <w:rPr>
          <w:sz w:val="20"/>
          <w:szCs w:val="20"/>
          <w:color w:val="auto"/>
        </w:rPr>
      </w:pPr>
    </w:p>
    <w:p>
      <w:pPr>
        <w:jc w:val="both"/>
        <w:ind w:left="60" w:right="279"/>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80"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that we have acquired have experienced significant operating and financial challenges in their recent history, which in some cases resulted in these businesses commencing bankruptcy proceedings prior to our acquisition. We may acquire similar businesses in the future.</w:t>
      </w:r>
    </w:p>
    <w:p>
      <w:pPr>
        <w:spacing w:after="0" w:line="18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able to successfully address the challenges and risks encountered by these businesses following their acquisition. If we are unable to successfully address these challenges and risks, our business, financial condition and/or results of operations may suffer.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which may not be available on favorable terms, to fund current obligations, continue investing in our business and to finance acquisitions and other strategic transactions.</w:t>
      </w:r>
    </w:p>
    <w:p>
      <w:pPr>
        <w:spacing w:after="0" w:line="15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do not currently have the necessary cash on hand and/or projected future cash flows to fund the November 2024 debt maturity and subsequent interest on our outstanding debt. To address our capital needs, we are in active discussions with funding sources to raise additional capital and refinance our outstanding debt. We cannot provide assurances that we will be successful in obtaining such new financing and/or refinancing the existing debt obligations necessary for us to have sufficient liquidity. If we are not successful in these endeavors, then capital expenditures to meet future FCC build out requirements and wireless customer growth initiatives will be adversely affected.</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Weakness in the equity markets could make it difficult for us to raise equity financing without incurring substantial dilution to our existing shareholders. 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180"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Continued rising interest rates could increase our cost of capital and require us to devote a higher percentage of our cash flow to interest payments, which could have a material adverse effect on our financial results.</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 In addition, the going concern qualification issued by our auditors could adversely impact investors as well as our relationships with employees and suppliers.</w:t>
      </w:r>
    </w:p>
    <w:p>
      <w:pPr>
        <w:spacing w:after="0" w:line="187"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18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features of our Convertible Notes, if triggered, may adversely affect our financial condition.</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features of the Convertible Notes are triggered, holders of the Convertible Notes will be entitled to convert the Convertible Notes at any time during specified periods at their option. If one or more holders elect to convert their Convertible Notes, unless we elect to satisfy our conversion obligation by delivering solely shares of our Class A common stock, we would be required to make cash payments to satisfy all or a portion of our conversion obligation based on the conversion rate, which could adversely affect our liquidity.</w:t>
      </w:r>
    </w:p>
    <w:p>
      <w:pPr>
        <w:spacing w:after="0" w:line="183"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In addition, even if holders do not elect to convert their Convertible Notes, we could be required under applicable accounting rules to reclassify all or a portion of the outstanding principal of the Convertible Notes as a current rather than long-term liability, which could result in a material reduction of our net working capital.</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convertible note hedge and warrant transactions that we entered into in connection with the offering of the Convertible Notes due 2026 may affect the value of the Convertible Notes due 2026 and our Class A common stock.</w:t>
      </w:r>
    </w:p>
    <w:p>
      <w:pPr>
        <w:spacing w:after="0" w:line="6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due 2026, we entered into convertible note hedge transactions with certain option counterparties (each an “option counterparty”). The convertible note hedge transactions are expected generally to reduce the potential dilution upon conversion of the Convertible Notes due 2026 and/or offset any cash payments we are required to make in excess of the principal amount of converted Convertible Notes due 2026, as the case may be. We also entered into warrant transactions with each option counterparty. The warrant transactions could separately have a dilutive effect on our Class A common stock to the extent that the market price per share of our Class A common stock exceeds the strike price of the warrants, unless we elect to settle the warrants in cash. In connection with establishing its initial hedge of the convertible note hedge and warrant transactions, each option counterparty or an affiliate thereof may have entered into various derivative transactions with respect to our Class A common stock concurrently with or shortly after the pricing of the Convertible Notes due 2026.</w:t>
      </w:r>
    </w:p>
    <w:p>
      <w:pPr>
        <w:spacing w:after="0" w:line="1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This activity could increase (or reduce the size of any decrease in) the market price of our Class A common stock or the Convertible Notes due 2026 at that time. In addition, each option counterparty or an affiliate thereof may modify its hedge position by entering into or unwinding various derivatives with respect to our Class A common stock and/or purchasing or selling our Class A common stock or other securities of ours in secondary market transactions prior to the maturity of the Convertible Notes due 2026 (and is likely to do so during any observation period related to a conversion of the Convertible Notes due 2026). This activity could also cause or avoid an increase or a decrease in the market price of our Class A common stock or the Convertible Notes due 2026.</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In addition, if any such convertible note hedge and warrant transactions fail to become effective, each option counterparty may unwind its hedge position with respect to our Class A common stock, which could adversely affect the value of our Class A common stock and the value of the Convertible Notes due 2026.</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convertible note hedge transactions.</w:t>
      </w:r>
    </w:p>
    <w:p>
      <w:pPr>
        <w:spacing w:after="0" w:line="16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Each option counterparty to the convertible note hedge transactions is a financial institution, and we will be subject to the risk that it might default under the convertible note hedge transaction. Our exposure to the credit risk of an option counterparty will not be secured by any collateral. Global economic conditions have from time to time resulted in the actual or perceived failure or financial difficulties of many financial institutions, including, but not limited to, the bankruptcy filing by Lehman Brothers Holdings Inc. and its various affiliates. If an option counterparty becomes subject to insolvency proceedings, we will become an unsecured creditor in those proceedings with a claim equal to our exposure at that time under our transactions with the option counterparty. Our exposure will depend on many factors but, generally, the increase in our exposure will be correlated to the increase in the market price and in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any option counterparty.</w:t>
      </w:r>
    </w:p>
    <w:p>
      <w:pPr>
        <w:spacing w:after="0" w:line="120"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a portion of our investment portfolio may be invested in securities that have limited liquidity and may not be immediately accessible to support our financing needs.</w:t>
      </w:r>
    </w:p>
    <w:p>
      <w:pPr>
        <w:spacing w:after="0" w:line="9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From time to time a portion of our investment portfolio may be invested in strategic investments, and as a result, a portion of our portfolio may have restricted liquidity. If the credit ratings of these securities deteriorate or there is a lack of liquidity in the marketplace, we may be required to record impairment charges. Moreover, the uncertainty of domestic and global financial markets can greatly affect the volatility and value of our marketable investment securities. In addition, a portion of our investment portfolio may include strategic and financial investments in debt and equity securities of public companies that are highly speculative and that may experience volatility. Typically, these investments are concentrated in a small number of companies.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The concentration of these investments as a percentage of our overall investment portfolio fluctuates from time to time based on, among other things, the size of our investment portfolio and our ability to liquidate these investments.</w:t>
      </w:r>
    </w:p>
    <w:p>
      <w:pPr>
        <w:sectPr>
          <w:pgSz w:w="11900" w:h="16838" w:orient="portrait"/>
          <w:cols w:equalWidth="0" w:num="1">
            <w:col w:w="9019"/>
          </w:cols>
          <w:pgMar w:left="1440" w:top="513" w:right="1440" w:bottom="1440" w:gutter="0" w:footer="0" w:header="0"/>
        </w:sectPr>
      </w:pP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because our portfolio may be concentrated in a limited number of companies, we may experience a significant loss if any of these companies, among other things, defaults on its obligations, performs poorly, does not generate adequate cash flow to fund its operations, is unable to obtain necessary financing on acceptable terms, or at all, or files for bankruptcy, or if the sectors in which these companies operate experience a market downturn. To the extent we require access to funds, we may need to sell these securities under unfavorable market conditions, record impairment charges and fall short of our financing needs.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and our subsidiaries’ Indentures restrict our business in many ways.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There are restrictive covenants in our and our subsidiaries’ Indentures that restrict us and our subsidiaries (as applicable), under certain circumstances, from taking certain actions such as, among other things:</w:t>
      </w:r>
    </w:p>
    <w:p>
      <w:pPr>
        <w:spacing w:after="0" w:line="162"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right="179" w:hanging="319"/>
        <w:spacing w:after="0" w:line="25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certain subsidiaries’ ability to pay dividends, make distributions, make other payments or transfer assets;</w:t>
      </w:r>
    </w:p>
    <w:p>
      <w:pPr>
        <w:ind w:left="720" w:right="359" w:hanging="319"/>
        <w:spacing w:after="0" w:line="25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make other payments in respect of our equity securities or our other indebtedness;</w:t>
      </w:r>
    </w:p>
    <w:p>
      <w:pPr>
        <w:ind w:left="720" w:right="199" w:hanging="319"/>
        <w:spacing w:after="0" w:line="25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senior to, equal or subordinate to certain Indebtedness, or to engage in certain sale/leaseback transactions;</w:t>
      </w: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w:t>
      </w:r>
    </w:p>
    <w:p>
      <w:pPr>
        <w:spacing w:after="0" w:line="20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ability to, among other things, recapitalize, incur additional debt, secure existing or future debt or take a number of other actions may be limited by the terms of the our Indentures, business and tax considerations and legal restrictions, including, but not limited to, repurchasing indebtedness or capital stock or paying dividends, and could have the effect of diminishing our ability to make payments on our outstanding Indebtedness when due.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Business</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depend on FCC licenses that can expire or be revoked or modified and applications for FCC licenses that may not be granted.</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Wireless, and/or Broadband and Satellite Services offerings available to our DISH TV, Wireless, and/or Broadband and Satellite Services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19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Wireless services and our Wireless spectrum licenses are subject to regulation by the FCC and, depending on the jurisdiction, other federal, state and local, as well as international, governmental authorities and regulatory agencies, including, among other things, regulations governing the licensing, construction, operation, sale and interconnection arrangements of wireless telecommunications systems. In particular, the FCC imposes significant regulation on licensees of wireless spectrum with respect to, among others,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There can be no assurances that our Wireless spectrum licenses will be renewed. Failure to comply with FCC build-out requirements in a given license area may result in acceleration of other build-out requirements or in the modification, cancellation, or non-renewal of licenses. See Note 15 in the Notes to our Consolidated Financial Statements in this Annual Report on Form 10-K for further information.</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levels of U.S. government spending or overall spending priorities could impact, among other things, our business, financial condition and results of operations.</w:t>
      </w:r>
    </w:p>
    <w:p>
      <w:pPr>
        <w:spacing w:after="0" w:line="15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derive a portion of our revenue from subscribers who receive benefits under the Affordable Connectivity Program (“ACP”), an FCC benefit program that helps ensure that households can afford access to broadband. Levels of U.S. government spending are very difficult to predict and may be impacted by numerous factors such as, among others, the political environment, macroeconomic conditions and the ability of the U.S. government to enact relevant legislation such as authorization and appropriations bills.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Discontinuation, amendment or repeal of ACP, or replacement of ACP with one having different eligibility requirements and/or funding levels could negatively impact, among other things, our net Wireless subscriber activations, which may impact our decision to continue to participate in the program. We cannot predict whether or when any future changes to the ACP may occur, or whether or to what extent those changes may affect our operations or impose additional costs on our business. In addition, the timing of any changes or modifications to ACP could affect our operations and results of operations. For example, a temporary lapse in funding for ACP, as a result of, among other things, temporary government shutdown, could, among other things, result in lower net Wireless subscriber activations, even if ACP is ultimately fully funded and approved.</w:t>
      </w:r>
    </w:p>
    <w:p>
      <w:pPr>
        <w:spacing w:after="0" w:line="192"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 particular, reduced government funding for benefits programs such as ACP would result in a reduction in reimbursements to us. Amendments to or repeal of ACP in whole or in part and/or decisions by the FCC could affect us and the manner in which we are reimbursed by such programs, all of which could materially and adversely affect our business, results of operations and financial condition. Following the FCC’s announcement, ACP stopped accepting new applications and enrolments on February 7, 2024. Barring congressional action to fund ACP, funding may run out as soon as April 2024.</w:t>
      </w:r>
    </w:p>
    <w:p>
      <w:pPr>
        <w:spacing w:after="0" w:line="183"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non-compliance with laws and regulations, including, but not limited to, the risk of changes to laws and regulations, could adversely affect our business.</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business is regulated by numerous governmental agencies and other regulatory bodies, both domestically and internationally. Also,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8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spacing w:after="0" w:line="1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are not effective, our business, our stock price and investor confidence in our financial results may be adversely affected.</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periodically evaluate and test our internal control over financial reporting to satisfy the requirements of Section 404 of the Sarbanes-Oxley Act. Our management has concluded that our internal control over financial reporting was effective as of December 31, 2023. We depend on our third-party vendors’ internal controls and rely on these controls when evaluating the effectiveness of our internal controls. If in the future we are unable to report that our internal control over financial reporting is effective (or if our auditors do not agree with our assessment of the effectiveness of, or are unable to express an opinion on, our internal control over financial reporting), investors, subscribers and business partners could lose confidence in the accuracy of our financial reports, which could in turn have a material adverse effect on our business.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one principal stockholder who is our Chairman.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Charles W. Ergen, our Chairman, beneficially owns approximately 54% of our total equity securities (assuming conversion of the Class B common stock beneficially owned by Mr. Ergen into Class A common stock and giving effect to the exercise of options held by Mr. Ergen that are either currently exercisable as of, or may become exercisable within 60 days after, February 27, 2023) and beneficially owns approximately 91.4% of the total voting power of all classes of shares (assuming no conversion of any Class B common stock and giving effect to the exercise of options held by Mr. Ergen that are either currently exercisable as of, or may become exercisable within 60 days after, February 27, 2023).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 of Directors selection, either by a majority of the independent directors or a nominating committee composed solely of independent directors.</w:t>
      </w:r>
    </w:p>
    <w:p>
      <w:pPr>
        <w:spacing w:after="0" w:line="196"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Pursuant to the Amended Support Agreement (which was signed as part of the Merger), Mr. Ergen and the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of the Merger, such that the Ergen Stockholders’ voting power of EchoStar will be approximately 90.4% for such three-year period.</w:t>
      </w:r>
    </w:p>
    <w:p>
      <w:pPr>
        <w:spacing w:after="0" w:line="16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addition, pursuant to the Amended Support Agreement, EchoStar and the Ergen Stockholders entered into the Registration Rights Agreement reasonably providing for the registration of the Ergen Stockholders’ shares of EchoStar Class A Common Stock or EchoStar Class B Common Stock received as part of the merger consideration and/or EchoStar Class B Common Stock held by such stockholders immediately prior to the closing of the Merger, at EchoStar’s sole cost and expense.</w:t>
      </w:r>
    </w:p>
    <w:p>
      <w:pPr>
        <w:spacing w:after="0" w:line="17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for a third party to acquire us, even if doing so may be beneficial to our shareholders, because of our capital structure.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provisions of our articles of incorporation and bylaws may discourage, delay or prevent a change in control of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that a shareholder may consider favorable. These provisions include the following:</w:t>
      </w:r>
    </w:p>
    <w:p>
      <w:pPr>
        <w:spacing w:after="0" w:line="207" w:lineRule="exact"/>
        <w:rPr>
          <w:sz w:val="20"/>
          <w:szCs w:val="20"/>
          <w:color w:val="auto"/>
        </w:rPr>
      </w:pPr>
    </w:p>
    <w:p>
      <w:pPr>
        <w:ind w:left="720" w:right="79" w:hanging="319"/>
        <w:spacing w:after="0" w:line="25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2"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authorizes the issuance of “blank check” preferred stock, which could be issued by our Board of Directors to increase the number of outstanding shares and thwart a takeover attempt;</w:t>
      </w: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limiting who may call special meetings of shareholders; and</w:t>
      </w:r>
    </w:p>
    <w:p>
      <w:pPr>
        <w:spacing w:after="0" w:line="9" w:lineRule="exact"/>
        <w:rPr>
          <w:rFonts w:ascii="Times New Roman" w:cs="Times New Roman" w:eastAsia="Times New Roman" w:hAnsi="Times New Roman"/>
          <w:sz w:val="18"/>
          <w:szCs w:val="18"/>
          <w:color w:val="auto"/>
        </w:rPr>
      </w:pPr>
    </w:p>
    <w:p>
      <w:pPr>
        <w:ind w:left="720" w:right="279" w:hanging="319"/>
        <w:spacing w:after="0" w:line="26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establishing advance notice requirements for nominations of candidates for election to our Board of Directors or for proposing matters that can be acted upon by shareholders at shareholder meetings.</w:t>
      </w:r>
    </w:p>
    <w:p>
      <w:pPr>
        <w:spacing w:after="0" w:line="18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As discussed above, Mr. Ergen beneficially owns approximately 54% of our total equity securities and approximately 91.4% of the total voting power of all classes of shares and such ownership may make it impractical for any third party to obtain control of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but not limited to, claims against our directors, officers or employees, in a judicial forum that the stockholder finds favorable and therefore the choice of forum provision may discourage lawsuits or increase costs with respect to such claims.</w:t>
      </w:r>
    </w:p>
    <w:p>
      <w:pPr>
        <w:spacing w:after="0" w:line="179" w:lineRule="exact"/>
        <w:rPr>
          <w:sz w:val="20"/>
          <w:szCs w:val="20"/>
          <w:color w:val="auto"/>
        </w:rPr>
      </w:pPr>
    </w:p>
    <w:p>
      <w:pPr>
        <w:ind w:left="60" w:right="1219"/>
        <w:spacing w:after="0" w:line="50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face other risks described from time to time in periodic and current reports we file with the SEC. </w:t>
      </w:r>
      <w:r>
        <w:rPr>
          <w:rFonts w:ascii="Times New Roman" w:cs="Times New Roman" w:eastAsia="Times New Roman" w:hAnsi="Times New Roman"/>
          <w:sz w:val="18"/>
          <w:szCs w:val="18"/>
          <w:b w:val="1"/>
          <w:bCs w:val="1"/>
          <w:color w:val="auto"/>
        </w:rPr>
        <w:t>Item 1B. UNRESOLVED STAFF COMMENTS</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 Cybersecurity Framework, although this does not imply that we meet all technical standards, specifications or requirements under NIST.</w:t>
      </w:r>
    </w:p>
    <w:p>
      <w:pPr>
        <w:spacing w:after="0" w:line="187" w:lineRule="exact"/>
        <w:rPr>
          <w:sz w:val="20"/>
          <w:szCs w:val="20"/>
          <w:color w:val="auto"/>
        </w:rPr>
      </w:pPr>
    </w:p>
    <w:p>
      <w:pPr>
        <w:ind w:left="60" w:right="379"/>
        <w:spacing w:after="0" w:line="256" w:lineRule="auto"/>
        <w:rPr>
          <w:sz w:val="20"/>
          <w:szCs w:val="20"/>
          <w:color w:val="auto"/>
        </w:rPr>
      </w:pPr>
      <w:r>
        <w:rPr>
          <w:rFonts w:ascii="Times New Roman" w:cs="Times New Roman" w:eastAsia="Times New Roman" w:hAnsi="Times New Roman"/>
          <w:sz w:val="18"/>
          <w:szCs w:val="18"/>
          <w:color w:val="auto"/>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the Board of Directors as a whole to ensure accountability.</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red team exercises,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have experienced cyber-attacks or other malicious activities that disrupted our business in the past. Any future failure or disruption of our information technology infrastructure and communications systems or those of third parties that we use in our operations could harm our business in the future. On February 23, 2023, DISH Network experienced a network outage that affected its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 In addition, on February 28, 2023, we further disclosed that certain data had been extracted from the DISH Network IT systems.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1" w:lineRule="auto"/>
        <w:rPr>
          <w:sz w:val="20"/>
          <w:szCs w:val="20"/>
          <w:color w:val="auto"/>
        </w:rPr>
      </w:pPr>
      <w:r>
        <w:rPr>
          <w:rFonts w:ascii="Times New Roman" w:cs="Times New Roman" w:eastAsia="Times New Roman" w:hAnsi="Times New Roman"/>
          <w:sz w:val="17"/>
          <w:szCs w:val="17"/>
          <w:color w:val="auto"/>
        </w:rPr>
        <w:t>After investigation and discussions with certain third parties,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spacing w:after="0" w:line="16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DISH TV, SLING TV and Retail Wireless services, along with our wireless and data networks remained operational at all times during the incident. As of March 31, 2023, all significant systems had been restored. We have no reason to believe that this cybersecurity incident has not been concluded.</w:t>
      </w:r>
    </w:p>
    <w:p>
      <w:pPr>
        <w:spacing w:after="0" w:line="176"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Chief Information Security Officer (“CISO”) leads our information security organization responsible for overseeing our information security program. Our CISO has over 25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the Board of Directors is regularly briefed, no less frequently than quarterly, on cybersecurity risks as part of its oversight functions and to ensure that cybersecurity practices align with the company’s overall risk management framework and business objectives.</w:t>
      </w:r>
    </w:p>
    <w:p>
      <w:pPr>
        <w:spacing w:after="0" w:line="188"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In connection with the Integration, we anticipate that we will continue to evaluate and address as needed our cyber security risk management, policies, structure, strategies and governance to meet our needs.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principal properties related to our business segments.</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238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vMerge w:val="restart"/>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Using Property</w:t>
            </w:r>
          </w:p>
        </w:tc>
        <w:tc>
          <w:tcPr>
            <w:tcW w:w="1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headquarters, Englewood, Colorado</w:t>
            </w:r>
          </w:p>
        </w:tc>
        <w:tc>
          <w:tcPr>
            <w:tcW w:w="2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All</w:t>
            </w: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General offices, Littleton, Colorado</w:t>
            </w:r>
          </w:p>
        </w:tc>
        <w:tc>
          <w:tcPr>
            <w:tcW w:w="238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Retail Wireless/5G Network</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Deployment</w:t>
            </w: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General offices, engineering offices, network operations and shared hubs, Germantown,</w:t>
            </w:r>
          </w:p>
        </w:tc>
        <w:tc>
          <w:tcPr>
            <w:tcW w:w="2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Broadband and Satellite Services</w:t>
            </w:r>
          </w:p>
        </w:tc>
        <w:tc>
          <w:tcPr>
            <w:tcW w:w="6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23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offices and warehouse, Griesheim, Germany</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Broadband and Satellite Services</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call center, warehouse, service, and remanufacturing center, El Paso, Texas</w:t>
            </w:r>
          </w:p>
        </w:tc>
        <w:tc>
          <w:tcPr>
            <w:tcW w:w="2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Pay-TV</w:t>
            </w: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Pay-TV/5G Network</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Data center, gateways, equipment and operations, Cheyenne, Wyoming</w:t>
            </w:r>
          </w:p>
        </w:tc>
        <w:tc>
          <w:tcPr>
            <w:tcW w:w="2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Deployment/Broadband and Satellite</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Services</w:t>
            </w: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Digital broadcast operations center, Cheyenne, Wyoming</w:t>
            </w:r>
          </w:p>
        </w:tc>
        <w:tc>
          <w:tcPr>
            <w:tcW w:w="2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Pay-TV</w:t>
            </w: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Digital broadcast operations center and gateways, Gilbert, Arizona</w:t>
            </w:r>
          </w:p>
        </w:tc>
        <w:tc>
          <w:tcPr>
            <w:tcW w:w="238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Pay-TV/Broadband and Satellite</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Services</w:t>
            </w: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Engineering offices and service center, Englewood, Colorado</w:t>
            </w:r>
          </w:p>
        </w:tc>
        <w:tc>
          <w:tcPr>
            <w:tcW w:w="2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Pay-TV</w:t>
            </w: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 Denver, Colorado</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Pay-TV</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Warehouse and distribution center, Spartanburg, South Carolina</w:t>
            </w:r>
          </w:p>
        </w:tc>
        <w:tc>
          <w:tcPr>
            <w:tcW w:w="2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Pay-TV/5G Network Deployment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 and distribution center, Denver, Colorado</w:t>
            </w: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Pay-TV/5G Network Deployment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Warehouse and distribution center, Atlanta, Georgia</w:t>
            </w:r>
          </w:p>
        </w:tc>
        <w:tc>
          <w:tcPr>
            <w:tcW w:w="2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Pay-TV/5G Network Deployment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to the principal properties listed above, we operate numerous facilities for, among other things, our in-home service operations, customer call centers, digital broadcast operations centers strategically located in regions throughout the United States, manufacturing and testing facilities, shared hubs, regional network management centers and backup network operation and control centers. We also have several general offices in foreign countries. Furthermore, our Pay-TV segment owns or leases capacity on nine satellites, which are a major component of our DISH TV services and our Broadband and Satellite Services segment currently owns or leases capacity on nine satellites, which are a major component of the Broadband and Satellite Services segment. See Note 8 in the Notes to our Consolidated Financial Statements in this Annual Report on Form 10-K for further information.</w:t>
      </w:r>
    </w:p>
    <w:p>
      <w:pPr>
        <w:spacing w:after="0" w:line="18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See Note 15 in the Notes to our Consolidated Financial Statements in this Annual Report on Form 10-K for information regarding certain legal proceedings in which we are involved.</w:t>
      </w:r>
    </w:p>
    <w:p>
      <w:pPr>
        <w:spacing w:after="0" w:line="15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60" w:right="459" w:hanging="904"/>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symbol “SATS.” As of February 27, 2024, there were approximately 8,660 holders of record of our Class A common stock, not including stockholders who beneficially own Class A common stock held in nominee or street name. As of February 27, 2024, all of the</w:t>
      </w:r>
    </w:p>
    <w:p>
      <w:pPr>
        <w:spacing w:after="0" w:line="1" w:lineRule="exact"/>
        <w:rPr>
          <w:sz w:val="20"/>
          <w:szCs w:val="20"/>
          <w:color w:val="auto"/>
        </w:rPr>
      </w:pPr>
    </w:p>
    <w:p>
      <w:pPr>
        <w:jc w:val="both"/>
        <w:ind w:left="60" w:right="199"/>
        <w:spacing w:after="0" w:line="250" w:lineRule="auto"/>
        <w:rPr>
          <w:sz w:val="20"/>
          <w:szCs w:val="20"/>
          <w:color w:val="auto"/>
        </w:rPr>
      </w:pPr>
      <w:r>
        <w:rPr>
          <w:rFonts w:ascii="Times New Roman" w:cs="Times New Roman" w:eastAsia="Times New Roman" w:hAnsi="Times New Roman"/>
          <w:sz w:val="18"/>
          <w:szCs w:val="18"/>
          <w:color w:val="auto"/>
        </w:rPr>
        <w:t>131,348,468 outstanding shares of our Class B common stock were beneficially held by Charles W. Ergen, our Chairman, and by certain entities established by Mr. Ergen for the benefit of his family. There is currently no trading market for our Class B common stock.</w:t>
      </w:r>
    </w:p>
    <w:p>
      <w:pPr>
        <w:sectPr>
          <w:pgSz w:w="11900" w:h="16838" w:orient="portrait"/>
          <w:cols w:equalWidth="0" w:num="1">
            <w:col w:w="9019"/>
          </w:cols>
          <w:pgMar w:left="1440" w:top="513" w:right="1440"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in the past two years. We currently do not intend to declare dividends on our common stock. Payment of any future dividends will depend upon our earnings, capital requirements, contractual restrictions and other factors the Board of Directors considers appropriate. Our ability to declare dividends is affected by the covenants in our subsidiary’s indentures. See Note 10 to the Notes to our Consolidated Financial Statements in this Annual Report on Form 10-K for further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12. Security Ownership of Certain Beneficial Owners and Management and Related Stockholder Matters</w:t>
      </w:r>
      <w:r>
        <w:rPr>
          <w:rFonts w:ascii="Times New Roman" w:cs="Times New Roman" w:eastAsia="Times New Roman" w:hAnsi="Times New Roman"/>
          <w:sz w:val="18"/>
          <w:szCs w:val="18"/>
          <w:color w:val="auto"/>
        </w:rPr>
        <w:t>” in this Annual Report on Form 10-K.</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purchases of our Class A common stock made by us for the period from October 1, 2023 through December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2"/>
                <w:szCs w:val="12"/>
                <w:color w:val="auto"/>
              </w:rPr>
            </w:pPr>
          </w:p>
        </w:tc>
        <w:tc>
          <w:tcPr>
            <w:tcW w:w="14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4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3160" w:type="dxa"/>
            <w:vAlign w:val="bottom"/>
            <w:gridSpan w:val="3"/>
            <w:vMerge w:val="continue"/>
          </w:tcPr>
          <w:p>
            <w:pPr>
              <w:spacing w:after="0"/>
              <w:rPr>
                <w:sz w:val="15"/>
                <w:szCs w:val="15"/>
                <w:color w:val="auto"/>
              </w:rPr>
            </w:pPr>
          </w:p>
        </w:tc>
        <w:tc>
          <w:tcPr>
            <w:tcW w:w="9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14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140" w:type="dxa"/>
            <w:vAlign w:val="bottom"/>
          </w:tcPr>
          <w:p>
            <w:pPr>
              <w:spacing w:after="0"/>
              <w:rPr>
                <w:sz w:val="12"/>
                <w:szCs w:val="12"/>
                <w:color w:val="auto"/>
              </w:rPr>
            </w:pPr>
          </w:p>
        </w:tc>
        <w:tc>
          <w:tcPr>
            <w:tcW w:w="126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color w:val="auto"/>
                <w:w w:val="96"/>
              </w:rPr>
              <w:t>except share data)</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9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0"/>
        </w:trPr>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119" w:hanging="330"/>
        <w:spacing w:after="0" w:line="255"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previously authorized stock repurchases of up to $500 million of our outstanding Class A common stock through and including December 31, 2023. On October 20, 2022, our Board of Directors extended this authorization to repurchase up to $500 million of our outstanding Class A common stock through and including December 31, 2023.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 This program expired December 31, 2023.</w:t>
      </w:r>
    </w:p>
    <w:p>
      <w:pPr>
        <w:spacing w:after="0" w:line="18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60" w:right="279" w:hanging="904"/>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our financial condition and results of operations together with the audited consolidated financial statements and notes to our financial statements included elsewhere in this Annual Report on Form 10-K.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forward-looking statements speak only as of the date of this Annual Report on Form 10-K and we expressly disclaim any obligation to update any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Merger with DISH Network</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December 31, 2023, we completed the Merger with DISH Network. On the terms and subject to the conditions set forth in the Amended Merger Agreement, on December 31, 2023 at the Effective Time each share of DISH Network Common Stock outstanding immediately prior to the Effective Time, was converted into the right to receive a number of validly issued, fully paid and non-assessable shares of EchoStar Common Stock equal to the Exchange Ratio. Any shares of DISH Network Common Stock that were held in DISH Network’s treasury or held directly by us or Merger Sub immediately prior to the Effective Time were cancelled and cease to exist and no consideration was paid in respect thereof. All shares of the DISH Network Class A Common Stock were delisted from NASDAQ and deregistered under the Securities Exchange Act of 1934, as amended.</w:t>
      </w:r>
    </w:p>
    <w:p>
      <w:pPr>
        <w:spacing w:after="0" w:line="19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EchoStar Common Stock issued to the Ergen DISH Stockholders (as defined in the Amended Merger Agreement) as Merger consideration was issued through a private placement exemption from registration under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spacing w:after="0" w:line="18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Concurrently with the entry into the Amended Merger Agreement, the Ergen Stockholders, we and DISH Network entered into the Amended Support Agreement.</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Merger, on December 31, 2023, we and the Ergen Stockholders entered into the Registration Rights Agreement. See Note 1 in the Notes to our Consolidated Financial Statements in this Annual Report on Form 10-K for further information.</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For more information and a copy of the Amended Merger Agreement, the Amended Support Agreement and the Registration Rights Agreement, see the Form 8-K of EchoStar Corporation filed on October 3, 2023 and the Form 8-K of EchoStar Corporation filed on January 2,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the Merger complete, we are currently focused on the Integration.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currently operate four primary business segments: (1) Pay-TV; (2) Retail Wireless; (3) 5G Network Deployment; and (4) Broadband and Satellite Services.</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 brand and the SLING® brand.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Retail Wireless segment offers Retail Wireless services as well as a competitive portfolio of wireless devices. We offer customers value by providing choice and flexibility in our Retail Wireless services. We offer competitive consumer plans with no annual service contracts. 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We are currently operating our Retail Wireless segment primarily as a MVNO as we continue our 5G Network Deployment and commercialize our 5G Network. We are transitioning our Retail Wireless segment to a MNO as our 5G Network becomes commercially available and we are currently activating subscribers onto our 5G Network in markets where we have reached </w:t>
      </w:r>
      <w:r>
        <w:rPr>
          <w:rFonts w:ascii="Times New Roman" w:cs="Times New Roman" w:eastAsia="Times New Roman" w:hAnsi="Times New Roman"/>
          <w:sz w:val="18"/>
          <w:szCs w:val="18"/>
          <w:color w:val="0A0A0A"/>
        </w:rPr>
        <w:t>VoNR</w:t>
      </w:r>
      <w:r>
        <w:rPr>
          <w:rFonts w:ascii="Times New Roman" w:cs="Times New Roman" w:eastAsia="Times New Roman" w:hAnsi="Times New Roman"/>
          <w:sz w:val="18"/>
          <w:szCs w:val="18"/>
          <w:color w:val="auto"/>
        </w:rPr>
        <w:t>. As an MVNO, today we depend on T-Mobile and AT&amp;T to provide us with network services under the MNSA and the NSA, respectively. Under the NSA, we expect AT&amp;T will become our primary network services provider.</w:t>
      </w:r>
    </w:p>
    <w:p>
      <w:pPr>
        <w:spacing w:after="0" w:line="187" w:lineRule="exact"/>
        <w:rPr>
          <w:sz w:val="20"/>
          <w:szCs w:val="20"/>
          <w:color w:val="auto"/>
        </w:rPr>
      </w:pPr>
    </w:p>
    <w:p>
      <w:pPr>
        <w:ind w:left="60" w:right="299"/>
        <w:spacing w:after="0" w:line="257" w:lineRule="auto"/>
        <w:rPr>
          <w:sz w:val="20"/>
          <w:szCs w:val="20"/>
          <w:color w:val="auto"/>
        </w:rPr>
      </w:pPr>
      <w:r>
        <w:rPr>
          <w:rFonts w:ascii="Times New Roman" w:cs="Times New Roman" w:eastAsia="Times New Roman" w:hAnsi="Times New Roman"/>
          <w:sz w:val="18"/>
          <w:szCs w:val="18"/>
          <w:color w:val="auto"/>
        </w:rPr>
        <w:t>Our 5G Network Deployment segment business strategy is to commercialize our Wireless spectrum licenses through the completion of our 5G Network Deployment. We have committed to deploy our 5G Network capable of serving increasingly larger portions of the U.S. population at different deadlines, including 20% of the U.S. population by</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 xml:space="preserve">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 </w:t>
      </w:r>
      <w:r>
        <w:rPr>
          <w:rFonts w:ascii="Times New Roman" w:cs="Times New Roman" w:eastAsia="Times New Roman" w:hAnsi="Times New Roman"/>
          <w:sz w:val="18"/>
          <w:szCs w:val="18"/>
          <w:color w:val="0A0A0A"/>
        </w:rPr>
        <w:t>We now have the largest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deployment of 5G VoNR in the world reaching approximately 200 million Americans and </w:t>
      </w:r>
      <w:r>
        <w:rPr>
          <w:rFonts w:ascii="Times New Roman" w:cs="Times New Roman" w:eastAsia="Times New Roman" w:hAnsi="Times New Roman"/>
          <w:sz w:val="18"/>
          <w:szCs w:val="18"/>
          <w:color w:val="000000"/>
        </w:rPr>
        <w:t>5G broadband service</w:t>
      </w:r>
      <w:r>
        <w:rPr>
          <w:rFonts w:ascii="Times New Roman" w:cs="Times New Roman" w:eastAsia="Times New Roman" w:hAnsi="Times New Roman"/>
          <w:sz w:val="18"/>
          <w:szCs w:val="18"/>
          <w:color w:val="0A0A0A"/>
        </w:rPr>
        <w:t xml:space="preserve"> reaching approximately 250 million Americans.</w:t>
      </w:r>
    </w:p>
    <w:p>
      <w:pPr>
        <w:spacing w:after="0" w:line="19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Within our Broadband and Satellite Services segment 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aeronautical service providers and government entities, including civilian and defense. Our EchoStar XXIV satellite began service in December 2023, bringing additional broadband capacity across North and South America and is expected to be an integral part of our satellite service business. We will leverage EchoStar XXIV to deliver satellite services to unserved and underserved consumer markets in the Americas as well as enterprise and government markets.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Cybersecurity Incident</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23, 2023, DISH Network experienced a network outage that affected its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w:t>
      </w:r>
    </w:p>
    <w:p>
      <w:pPr>
        <w:spacing w:after="0" w:line="183"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On February 28, 2023, we further disclosed that certain data had been extracted from the DISH Network IT systems. Our investigation into the extent of the incident is now completed.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spacing w:after="0" w:line="18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DISH TV, SLING TV and Retail Wireless services, along with our wireless and data networks remained operational at all times during the incident. As of March 31, 2023, all significant systems had been restored.</w:t>
      </w:r>
    </w:p>
    <w:p>
      <w:pPr>
        <w:spacing w:after="0" w:line="16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we incurred substantially all of our cyber-security-related expenses for this matter, including, but not limited to, costs to remediate the incident and provide additional customer support. During the second, third and fourth quarters of 2023, we did not incur additional material expenses resulting from the cyber-security incident and do not expect to incur material expenses in future periods. During the year ended December 31, 2023, we incurred approximately $30 million in cyber-security-related expenses, which are recorded in “Cost of services” on our Consolidated Statements of Operations and Comprehensive Income (Loss).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Economic Environment</w:t>
      </w:r>
    </w:p>
    <w:p>
      <w:pPr>
        <w:spacing w:after="0" w:line="229"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During 2022 and 2023, we experienced significant inflationary pressures in our commodity and labor costs resulting from the macroeconomic environment in the United States, which has significantly impacted our overall operating results.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EXPLANATION OF KEY METRICS AND OTHER ITEMS</w:t>
      </w:r>
    </w:p>
    <w:p>
      <w:pPr>
        <w:spacing w:after="0" w:line="22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Service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revenue” consists principally of Pay-TV and Wireless subscriber revenue, broadband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and other contracted revenue and satellite and transponder leases and services revenue. Certain of the amounts included in “Service revenue” are not recurring on a monthly basis.</w:t>
      </w:r>
    </w:p>
    <w:p>
      <w:pPr>
        <w:spacing w:after="0" w:line="171"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Equipment sales and other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sales and other revenue” principally includes the sale of wireless devices,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non-subsidized sales of Pay-TV equipment, the licensing of certain intellectual property and sales of broadband equipment and networks sold both in our consumer and enterprise markets.</w:t>
      </w:r>
    </w:p>
    <w:p>
      <w:pPr>
        <w:sectPr>
          <w:pgSz w:w="11900" w:h="16838" w:orient="portrait"/>
          <w:cols w:equalWidth="0" w:num="1">
            <w:col w:w="9019"/>
          </w:cols>
          <w:pgMar w:left="1440" w:top="513" w:right="1440" w:bottom="1440" w:gutter="0" w:footer="0" w:header="0"/>
        </w:sectPr>
      </w:pP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services” principally includes Pay-TV programming expenses and other operating costs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Pay-TV segment, costs of Wireless services (including costs incurred under the MNSA and NSA), and costs of broadband services, maintenance and other contracted services and costs associated with satellite and transponder leases and services.</w:t>
      </w:r>
    </w:p>
    <w:p>
      <w:pPr>
        <w:spacing w:after="0" w:line="1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sales - equipment and other. </w:t>
      </w:r>
      <w:r>
        <w:rPr>
          <w:rFonts w:ascii="Times New Roman" w:cs="Times New Roman" w:eastAsia="Times New Roman" w:hAnsi="Times New Roman"/>
          <w:sz w:val="17"/>
          <w:szCs w:val="17"/>
          <w:color w:val="auto"/>
        </w:rPr>
        <w:t>“Cost of sales – equipment and other” principally includes the cost of wireless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devices and other related items, certain direct costs of wireless mobile network operations to deliver wireless voice and data services, the cost of broadband equipment and networks, as well as costs related to the non-subsidized sales of Pay-TV equipment. Costs are generally recognized as products are delivered to customers and the related revenue is recognized.</w:t>
      </w:r>
    </w:p>
    <w:p>
      <w:pPr>
        <w:spacing w:after="0" w:line="161"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expenses” consists primarily of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210" w:lineRule="exact"/>
        <w:rPr>
          <w:sz w:val="20"/>
          <w:szCs w:val="20"/>
          <w:color w:val="auto"/>
        </w:rPr>
      </w:pPr>
    </w:p>
    <w:p>
      <w:pPr>
        <w:ind w:left="60" w:right="79"/>
        <w:spacing w:after="0" w:line="344" w:lineRule="auto"/>
        <w:rPr>
          <w:sz w:val="20"/>
          <w:szCs w:val="20"/>
          <w:color w:val="auto"/>
        </w:rPr>
      </w:pPr>
      <w:r>
        <w:rPr>
          <w:rFonts w:ascii="Times New Roman" w:cs="Times New Roman" w:eastAsia="Times New Roman" w:hAnsi="Times New Roman"/>
          <w:sz w:val="18"/>
          <w:szCs w:val="18"/>
          <w:color w:val="auto"/>
        </w:rPr>
        <w:t>Impairment of long-lived assets and goodwill. “Impairment of long-lived assets and goodwill” includes our impairment losses related to our property and equipment, regulatory authorizations, goodwill and other intangible assets.</w:t>
      </w:r>
    </w:p>
    <w:p>
      <w:pPr>
        <w:spacing w:after="0" w:line="11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of amounts capitalized. </w:t>
      </w:r>
      <w:r>
        <w:rPr>
          <w:rFonts w:ascii="Times New Roman" w:cs="Times New Roman" w:eastAsia="Times New Roman" w:hAnsi="Times New Roman"/>
          <w:sz w:val="18"/>
          <w:szCs w:val="18"/>
          <w:color w:val="auto"/>
        </w:rPr>
        <w:t>“Interest expense, net of amounts capitalized” primarily includes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76"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The main components of “Other, net” are gains and losses realized on the sale and/or conversion of marketable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and equity in earnings and losses of our affiliates.</w:t>
      </w:r>
    </w:p>
    <w:p>
      <w:pPr>
        <w:spacing w:after="0" w:line="179"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before interest, taxes, depreciation and amortization (“EBITDA”). </w:t>
      </w:r>
      <w:r>
        <w:rPr>
          <w:rFonts w:ascii="Times New Roman" w:cs="Times New Roman" w:eastAsia="Times New Roman" w:hAnsi="Times New Roman"/>
          <w:sz w:val="18"/>
          <w:szCs w:val="18"/>
          <w:color w:val="auto"/>
        </w:rPr>
        <w:t>EBITDA is defined as “Net income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attributable to EchoStar” plus “Interest expense, net of amounts capitalized” and net of “Interest income,” “Income tax (provision) benefit, net” and “Depreciation and amortization.” This “non-GAAP measure” is reconciled to “Net income (loss) attributable to EchoStar” in our discussion of “Results of Operations” below.</w:t>
      </w:r>
    </w:p>
    <w:p>
      <w:pPr>
        <w:spacing w:after="0" w:line="176"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before depreciation and amortization (“OIBDA”). </w:t>
      </w:r>
      <w:r>
        <w:rPr>
          <w:rFonts w:ascii="Times New Roman" w:cs="Times New Roman" w:eastAsia="Times New Roman" w:hAnsi="Times New Roman"/>
          <w:sz w:val="18"/>
          <w:szCs w:val="18"/>
          <w:color w:val="auto"/>
        </w:rPr>
        <w:t>OIBDA is defined as “Operating income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plus “Depreciation and amortization.” This “non-GAAP measure” is reconciled to “Operating income (loss)” in our discussion of “Results of Operations” below.</w:t>
      </w:r>
    </w:p>
    <w:p>
      <w:pPr>
        <w:spacing w:after="0" w:line="17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subscribers. </w:t>
      </w:r>
      <w:r>
        <w:rPr>
          <w:rFonts w:ascii="Times New Roman" w:cs="Times New Roman" w:eastAsia="Times New Roman" w:hAnsi="Times New Roman"/>
          <w:sz w:val="18"/>
          <w:szCs w:val="18"/>
          <w:color w:val="auto"/>
        </w:rPr>
        <w:t>We include customers obtained through direct sales, independent third-party retailers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79" w:lineRule="exact"/>
        <w:rPr>
          <w:sz w:val="20"/>
          <w:szCs w:val="20"/>
          <w:color w:val="auto"/>
        </w:rPr>
      </w:pPr>
    </w:p>
    <w:p>
      <w:pPr>
        <w:ind w:left="60" w:right="2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SLING TV subscribers. </w:t>
      </w:r>
      <w:r>
        <w:rPr>
          <w:rFonts w:ascii="Times New Roman" w:cs="Times New Roman" w:eastAsia="Times New Roman" w:hAnsi="Times New Roman"/>
          <w:sz w:val="18"/>
          <w:szCs w:val="18"/>
          <w:color w:val="auto"/>
        </w:rPr>
        <w:t>We include customers obtained through direct sales and third-party marketing agreements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SLING TV subscriber count. SLING TV subscriber additions are recorded net of disconnects. SLING TV customers receiving service for no charge, under certain new subscriber promotions, are excluded from our SLING TV subscriber count. For customers who subscribe to multiple SLING TV packages, each customer is only counted as one SLING TV subscriber.</w:t>
      </w:r>
    </w:p>
    <w:p>
      <w:pPr>
        <w:spacing w:after="0" w:line="17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subscribers. </w:t>
      </w:r>
      <w:r>
        <w:rPr>
          <w:rFonts w:ascii="Times New Roman" w:cs="Times New Roman" w:eastAsia="Times New Roman" w:hAnsi="Times New Roman"/>
          <w:sz w:val="18"/>
          <w:szCs w:val="18"/>
          <w:color w:val="auto"/>
        </w:rPr>
        <w:t>Our Pay-TV subscriber count includes all DISH TV and SLING TV subscribers discussed above.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who subscribe to both our DISH TV services and our SLING TV services, each subscription is counted as a separate Pay-TV subscriber.</w:t>
      </w:r>
    </w:p>
    <w:p>
      <w:pPr>
        <w:sectPr>
          <w:pgSz w:w="11900" w:h="16838" w:orient="portrait"/>
          <w:cols w:equalWidth="0" w:num="1">
            <w:col w:w="9019"/>
          </w:cols>
          <w:pgMar w:left="1440" w:top="513" w:right="1440" w:bottom="1440" w:gutter="0" w:footer="0" w:header="0"/>
        </w:sectPr>
      </w:pP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average monthly revenue per subscriber (“Pay-TV ARPU”). </w:t>
      </w:r>
      <w:r>
        <w:rPr>
          <w:rFonts w:ascii="Times New Roman" w:cs="Times New Roman" w:eastAsia="Times New Roman" w:hAnsi="Times New Roman"/>
          <w:sz w:val="18"/>
          <w:szCs w:val="18"/>
          <w:color w:val="auto"/>
        </w:rPr>
        <w:t>We are not aware of any uniform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8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average monthly subscriber churn rate (“DISH TV churn rate”). </w:t>
      </w:r>
      <w:r>
        <w:rPr>
          <w:rFonts w:ascii="Times New Roman" w:cs="Times New Roman" w:eastAsia="Times New Roman" w:hAnsi="Times New Roman"/>
          <w:sz w:val="18"/>
          <w:szCs w:val="18"/>
          <w:color w:val="auto"/>
        </w:rPr>
        <w:t>We are not aware of any uniform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SAC. </w:t>
      </w:r>
      <w:r>
        <w:rPr>
          <w:rFonts w:ascii="Times New Roman" w:cs="Times New Roman" w:eastAsia="Times New Roman" w:hAnsi="Times New Roman"/>
          <w:sz w:val="18"/>
          <w:szCs w:val="18"/>
          <w:color w:val="auto"/>
        </w:rPr>
        <w:t>Subscriber acquisition cost measures are commonly used by those evaluating traditional companies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8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Wireless subscribers. </w:t>
      </w:r>
      <w:r>
        <w:rPr>
          <w:rFonts w:ascii="Times New Roman" w:cs="Times New Roman" w:eastAsia="Times New Roman" w:hAnsi="Times New Roman"/>
          <w:sz w:val="17"/>
          <w:szCs w:val="17"/>
          <w:color w:val="auto"/>
        </w:rPr>
        <w:t>We include prepaid and postpaid customers obtained through direct sales, independent third-party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retailers and other independent third-party distribution relationships in our Wireless subscriber count. Our Wireless subscriber count includes all ACP/Gen Mobile subscribers discussed below. Our gross new Wireless subscriber activations exclude all ACP/Gen Mobile subscribers as we record these subscribers net of disconnects, as discussed below.</w:t>
      </w:r>
    </w:p>
    <w:p>
      <w:pPr>
        <w:spacing w:after="0" w:line="161"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Affordable Connectivity Program/Gen Mobile subscribers (“ACP/Gen Mobile subscribers”). </w:t>
      </w:r>
      <w:r>
        <w:rPr>
          <w:rFonts w:ascii="Times New Roman" w:cs="Times New Roman" w:eastAsia="Times New Roman" w:hAnsi="Times New Roman"/>
          <w:sz w:val="18"/>
          <w:szCs w:val="18"/>
          <w:color w:val="auto"/>
        </w:rPr>
        <w:t>The Emergency Broadband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Program (“EBBP”) was launched by the FCC in February of 2021 to support broadband services and devices to help low-income individuals that meet certain eligibility criteria. The Affordable Connectivity Program (“ACP”) replaced the EBBP on December 31, 2021. Our ACP/Gen Mobile subscribers have a significantly higher churn rate compared to our other Wireless subscribers and we incur lower costs to acquire these subscribers. Therefore, our ACP/Gen Mobile subscriber additions are recorded net of disconnects.</w:t>
      </w:r>
    </w:p>
    <w:p>
      <w:pPr>
        <w:spacing w:after="0" w:line="18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average monthly revenue per subscriber (“Wireless ARPU”). </w:t>
      </w:r>
      <w:r>
        <w:rPr>
          <w:rFonts w:ascii="Times New Roman" w:cs="Times New Roman" w:eastAsia="Times New Roman" w:hAnsi="Times New Roman"/>
          <w:sz w:val="18"/>
          <w:szCs w:val="18"/>
          <w:color w:val="auto"/>
        </w:rPr>
        <w:t>We are not aware of any uniform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ARPU and believe presentations of ARPU may not be calculated consistently by other companies in the same or similar businesses. We calculate average monthly revenue per Wireless subscriber, or Wireless ARPU, by dividing average monthly Retail Wireless segment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average monthly subscriber churn rate (“Wireless churn rate”). </w:t>
      </w:r>
      <w:r>
        <w:rPr>
          <w:rFonts w:ascii="Times New Roman" w:cs="Times New Roman" w:eastAsia="Times New Roman" w:hAnsi="Times New Roman"/>
          <w:sz w:val="18"/>
          <w:szCs w:val="18"/>
          <w:color w:val="auto"/>
        </w:rPr>
        <w:t>We are not aware of any uniform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ACP/Gen Mobile subscribers are excluded from our calculation of our Wireless churn rate.</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Broadband subscribers. </w:t>
      </w:r>
      <w:r>
        <w:rPr>
          <w:rFonts w:ascii="Times New Roman" w:cs="Times New Roman" w:eastAsia="Times New Roman" w:hAnsi="Times New Roman"/>
          <w:sz w:val="18"/>
          <w:szCs w:val="18"/>
          <w:color w:val="auto"/>
        </w:rPr>
        <w:t>Subscribers include customers that subscribe to our HughesNet service, through retail, wholesale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small/medium enterprise service channels.</w:t>
      </w:r>
    </w:p>
    <w:p>
      <w:pPr>
        <w:spacing w:after="0" w:line="15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Free cash flow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define free cash flow as “Net cash flows from operating activities” less: (i) “Purchases of property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net of “Refunds and other receipts of purchases of property and equipment,” and (ii) “Capitalized interest related to Regulatory authorizations,” as shown on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Segments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currently operate four primary business segments: (1) Pay-TV; (2) Retail Wireless; (3) 5G Network Deployment; and (4) Broadband and Satellite Services.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and operating income (loss) by segment are shown in the table below:</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00" w:type="dxa"/>
            <w:vAlign w:val="bottom"/>
          </w:tcPr>
          <w:p>
            <w:pPr>
              <w:spacing w:after="0"/>
              <w:rPr>
                <w:sz w:val="19"/>
                <w:szCs w:val="19"/>
                <w:color w:val="auto"/>
              </w:rPr>
            </w:pPr>
          </w:p>
        </w:tc>
      </w:tr>
      <w:tr>
        <w:trPr>
          <w:trHeight w:val="203"/>
        </w:trPr>
        <w:tc>
          <w:tcPr>
            <w:tcW w:w="3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3"/>
        </w:trPr>
        <w:tc>
          <w:tcPr>
            <w:tcW w:w="3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Pay-TV</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11,571,159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12,505,392</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(934,233)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wireless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3,692,372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4,135,129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(442,757)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5G network deployment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26,160</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1,755,559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1,998,093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(242,534)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(95,420)</w:t>
            </w:r>
          </w:p>
        </w:tc>
        <w:tc>
          <w:tcPr>
            <w:tcW w:w="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(70,136)</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(25,284)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19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17,015,598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18,634,246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(1,618,648)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Pay-TV</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2,699,810</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2,933,898</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(234,088)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wireless</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(643,184)</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(77,264)</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(565,920)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5G network deployment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(1,881,369)</w:t>
            </w:r>
          </w:p>
        </w:tc>
        <w:tc>
          <w:tcPr>
            <w:tcW w:w="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(810,968)</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(1,070,401)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(458,609)</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(640,224)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income (loss)</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(277,909)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(2,510,747)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jc w:val="both"/>
        <w:ind w:left="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 </w:t>
      </w:r>
      <w:r>
        <w:rPr>
          <w:rFonts w:ascii="Times New Roman" w:cs="Times New Roman" w:eastAsia="Times New Roman" w:hAnsi="Times New Roman"/>
          <w:sz w:val="18"/>
          <w:szCs w:val="18"/>
          <w:color w:val="auto"/>
        </w:rPr>
        <w:t>Our consolidated revenue totaled $17.016 billion for the year ended December 31, 2023,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$1.619 billion or 8.7% compared to the same period in 2022. The net decrease primarily resulted from the decrease in revenue from our Pay-TV, Retail Wireless and Broadband and Satellite Service segments.</w:t>
      </w:r>
    </w:p>
    <w:p>
      <w:pPr>
        <w:spacing w:after="0" w:line="171"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operating income (loss). </w:t>
      </w:r>
      <w:r>
        <w:rPr>
          <w:rFonts w:ascii="Times New Roman" w:cs="Times New Roman" w:eastAsia="Times New Roman" w:hAnsi="Times New Roman"/>
          <w:sz w:val="18"/>
          <w:szCs w:val="18"/>
          <w:color w:val="auto"/>
        </w:rPr>
        <w:t>Our consolidated operating loss totaled $278 million for the year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income of $2.233 billion during the same period in 2022. The net decrease primarily resulted from an increase in operating loss from our 5G Network Deployment and Retail Wireless segments and to a lesser extent decreases in operating income (loss) from our Broadband and Satellite Service and Pay-TV segments. The year ended December 31, 2023 was adversely impacted by impairments of goodwill of: (1) $533 million from our Broadband and Satellite Service segment; (2) $120 million from our 5G Network Deployment segment; (3) $99 million from our Retail Wireless segment; and (4) $6 million from our Pay-TV segment. See Note 2 to the Notes to our Consolidated Financial Statements in this Annual Report on Form 10-K for further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9"/>
                <w:szCs w:val="19"/>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20" w:type="dxa"/>
            <w:vAlign w:val="bottom"/>
          </w:tcPr>
          <w:p>
            <w:pPr>
              <w:spacing w:after="0"/>
              <w:rPr>
                <w:sz w:val="19"/>
                <w:szCs w:val="19"/>
                <w:color w:val="auto"/>
              </w:rPr>
            </w:pPr>
          </w:p>
        </w:tc>
      </w:tr>
      <w:tr>
        <w:trPr>
          <w:trHeight w:val="203"/>
        </w:trPr>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3"/>
        </w:trPr>
        <w:tc>
          <w:tcPr>
            <w:tcW w:w="2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(In thousands)</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Pay-TV</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12,505,392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12,928,707</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(423,315)</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wireless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4,135,129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4,897,205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(762,076)</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5G network deployment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(8,121)</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1,998,093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1,985,720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8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(70,136)</w:t>
            </w:r>
          </w:p>
        </w:tc>
        <w:tc>
          <w:tcPr>
            <w:tcW w:w="10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(66,843)</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(3,293)</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96"/>
        </w:trPr>
        <w:tc>
          <w:tcPr>
            <w:tcW w:w="3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18,634,246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19,818,678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(1,184,432)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Pay-TV</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2,933,898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3,075,579</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(141,681)</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wireless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(77,264)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(421,049)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5G network deployment</w:t>
            </w:r>
          </w:p>
        </w:tc>
        <w:tc>
          <w:tcPr>
            <w:tcW w:w="18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(810,968)</w:t>
            </w:r>
          </w:p>
        </w:tc>
        <w:tc>
          <w:tcPr>
            <w:tcW w:w="10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(216,330)</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(594,638)</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(27,427)</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(4,771)</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196"/>
        </w:trPr>
        <w:tc>
          <w:tcPr>
            <w:tcW w:w="3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income (loss)</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3,422,404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(1,189,566)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380" w:hanging="330"/>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jc w:val="both"/>
        <w:ind w:left="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 </w:t>
      </w:r>
      <w:r>
        <w:rPr>
          <w:rFonts w:ascii="Times New Roman" w:cs="Times New Roman" w:eastAsia="Times New Roman" w:hAnsi="Times New Roman"/>
          <w:sz w:val="18"/>
          <w:szCs w:val="18"/>
          <w:color w:val="auto"/>
        </w:rPr>
        <w:t>Our consolidated revenue totaled $18.634 billion for the year ended December 31, 2022,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$1.184 billion or 6.0% compared to the same period in 2021. The net decrease primarily resulted from the decrease in revenue from our Retail Wireless and Pay-TV segments.</w:t>
      </w:r>
    </w:p>
    <w:p>
      <w:pPr>
        <w:spacing w:after="0" w:line="171"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operating income (loss). </w:t>
      </w:r>
      <w:r>
        <w:rPr>
          <w:rFonts w:ascii="Times New Roman" w:cs="Times New Roman" w:eastAsia="Times New Roman" w:hAnsi="Times New Roman"/>
          <w:sz w:val="18"/>
          <w:szCs w:val="18"/>
          <w:color w:val="auto"/>
        </w:rPr>
        <w:t>Our consolidated operating income totaled $2.233 billion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 decrease of $1.190 billion or 34.8% compared to the same period in 2021. The net decrease primarily resulted from an increase in operating loss from our 5G Network Deployment and decreases in operating income (loss) from our Retail Wireless and Pay-TV segments and to a lesser extent our Broadband and Satellite Services segment.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Pay-TV Segment</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We offer Pay-TV services under the DISH brand and the SLING brand. As of December 31, 2023, we had 8.526 million Pay-TV subscribers in the United States, including 6.471 million DISH TV subscribers and 2.055 million SLING TV subscribers.</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in our Pay-TV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8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188" w:lineRule="exact"/>
        <w:rPr>
          <w:sz w:val="20"/>
          <w:szCs w:val="20"/>
          <w:color w:val="auto"/>
        </w:rPr>
      </w:pPr>
    </w:p>
    <w:p>
      <w:pPr>
        <w:jc w:val="both"/>
        <w:ind w:left="60" w:right="619"/>
        <w:spacing w:after="0" w:line="266" w:lineRule="auto"/>
        <w:rPr>
          <w:sz w:val="20"/>
          <w:szCs w:val="20"/>
          <w:color w:val="auto"/>
        </w:rPr>
      </w:pPr>
      <w:r>
        <w:rPr>
          <w:rFonts w:ascii="Times New Roman" w:cs="Times New Roman" w:eastAsia="Times New Roman" w:hAnsi="Times New Roman"/>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and elsewhere in our public filings. These transactions may affect us adversely by, among other things, making it more difficult for us to obtain access to certain programming networks on nondiscriminatory and fair terms, or at all.</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Programming</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9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Adaptive Bitrate Streaming Patents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year ended December 31, 2023, we recorded the $75 million license agreement in “Equipment sales and other revenue” on our Consolidated Statements of Operations and Comprehensive Income (Loss). We have not reached a settlement with respect to the NordicTrack infringing products and we intend to enforce this litigation and to pursue our related patent infringement claims against them.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Pay-TV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Operations Data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Service revenue</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11,385,961</w:t>
            </w:r>
          </w:p>
        </w:tc>
        <w:tc>
          <w:tcPr>
            <w:tcW w:w="160" w:type="dxa"/>
            <w:vAlign w:val="bottom"/>
          </w:tcPr>
          <w:p>
            <w:pPr>
              <w:spacing w:after="0"/>
              <w:rPr>
                <w:sz w:val="18"/>
                <w:szCs w:val="18"/>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12,360,601</w:t>
            </w:r>
          </w:p>
        </w:tc>
        <w:tc>
          <w:tcPr>
            <w:tcW w:w="1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sales and other revenue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185,198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09"/>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11,571,159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12,505,392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(934,233)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6,977,628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7,423,427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 Service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61.3 %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60.1 %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 equipment and other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91,164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1,414,808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1,622,281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12.2 %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long-lived assets and goodwill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8,871,349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9,571,494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(700,145)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2,699,810</w:t>
            </w:r>
          </w:p>
        </w:tc>
        <w:tc>
          <w:tcPr>
            <w:tcW w:w="160" w:type="dxa"/>
            <w:vAlign w:val="bottom"/>
          </w:tcPr>
          <w:p>
            <w:pPr>
              <w:spacing w:after="0"/>
              <w:rPr>
                <w:sz w:val="22"/>
                <w:szCs w:val="22"/>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2,933,898</w:t>
            </w:r>
          </w:p>
        </w:tc>
        <w:tc>
          <w:tcPr>
            <w:tcW w:w="18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(234,088)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Pay-TV subscribers, as of period end (in millions)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DISH TV subscribers, as of period end (in millions)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SLING TV subscribers, as of period end (in millions)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Pay-TV subscriber additions (losses), net (in millions)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DISH TV subscriber additions (losses), net (in millions)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SLING TV subscriber additions (losses), net (in millions)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Pay-TV ARPU</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DISH TV subscriber additions, gross (in millions)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DISH TV churn rate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1.69 </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1.54 </w:t>
            </w: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0.15 </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6"/>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DISH TV SAC</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60" w:type="dxa"/>
            <w:vAlign w:val="bottom"/>
          </w:tcPr>
          <w:p>
            <w:pPr>
              <w:spacing w:after="0"/>
              <w:rPr>
                <w:sz w:val="18"/>
                <w:szCs w:val="18"/>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property and equipment, net of refunds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242,736</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34"/>
        </w:trPr>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OIBDA</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3,081,102</w:t>
            </w:r>
          </w:p>
        </w:tc>
        <w:tc>
          <w:tcPr>
            <w:tcW w:w="160" w:type="dxa"/>
            <w:vAlign w:val="bottom"/>
          </w:tcPr>
          <w:p>
            <w:pPr>
              <w:spacing w:after="0"/>
              <w:rPr>
                <w:sz w:val="20"/>
                <w:szCs w:val="20"/>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3,362,370</w:t>
            </w:r>
          </w:p>
        </w:tc>
        <w:tc>
          <w:tcPr>
            <w:tcW w:w="1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97"/>
        </w:trPr>
        <w:tc>
          <w:tcPr>
            <w:tcW w:w="120" w:type="dxa"/>
            <w:vAlign w:val="bottom"/>
            <w:tcBorders>
              <w:bottom w:val="single" w:sz="8" w:color="auto"/>
            </w:tcBorders>
            <w:gridSpan w:val="2"/>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Percentage is not meaningful.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Pay-TV Subscribers</w:t>
      </w:r>
    </w:p>
    <w:p>
      <w:pPr>
        <w:spacing w:after="0" w:line="22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DISH TV subscribers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lost approximately 945,000 net DISH TV subscribers during the year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805,000 net DISH TV subscribers during the same period in 2022. This increase in net DISH TV subscriber losses primarily resulted from lower gross new DISH TV subscriber activations and a higher DISH TV churn rate.</w:t>
      </w:r>
    </w:p>
    <w:p>
      <w:pPr>
        <w:spacing w:after="0" w:line="176" w:lineRule="exact"/>
        <w:rPr>
          <w:sz w:val="20"/>
          <w:szCs w:val="20"/>
          <w:color w:val="auto"/>
        </w:rPr>
      </w:pPr>
    </w:p>
    <w:p>
      <w:pPr>
        <w:ind w:left="60" w:right="1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SLING TV subscribers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lost approximately 279,000 net SLING TV subscribers during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compared to the loss of approximately 152,000 net SLING TV subscribers during the same period in 2022. The increase in net SLING TV subscriber losses were primarily related to lower SLING TV subscriber activations, partially offset by lower SLING TV subscriber disconnects in 2023.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ectPr>
          <w:pgSz w:w="11900" w:h="16838" w:orient="portrait"/>
          <w:cols w:equalWidth="0" w:num="1">
            <w:col w:w="9019"/>
          </w:cols>
          <w:pgMar w:left="1440" w:top="513" w:right="1440" w:bottom="1440"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DISH TV subscribers, gross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 ended December 31, 2023, we activated approximately 464,000 gross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TV subscribers compared to approximately 634,000 gross new DISH TV subscribers during the same period in 2022, a decrease of 26.8%.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DISH TV churn rate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DISH TV churn rate for the year ended December 31, 2023 was 1.69% compared to 1.54%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2022. Our DISH TV churn rate for the year ended December 31, 2023 was briefly elevated due to the cyber-security incident.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continues to be positively impacted by our emphasis on acquiring and retaining higher quality subscribers.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8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 revenue. </w:t>
      </w:r>
      <w:r>
        <w:rPr>
          <w:rFonts w:ascii="Times New Roman" w:cs="Times New Roman" w:eastAsia="Times New Roman" w:hAnsi="Times New Roman"/>
          <w:sz w:val="18"/>
          <w:szCs w:val="18"/>
          <w:color w:val="auto"/>
        </w:rPr>
        <w:t>“Service revenue” totaled $11.386 billion for the year ended December 31, 2023, a decrease of $975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7.9% compared to the same period in 2022. The decrease in “Service revenue” compared to the same period in 2022 was primarily related to lower average Pay-TV subscriber base, partially offset by an increase in Pay-TV ARPU, discussed below.</w:t>
      </w:r>
    </w:p>
    <w:p>
      <w:pPr>
        <w:spacing w:after="0" w:line="176"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sales and other revenue. </w:t>
      </w:r>
      <w:r>
        <w:rPr>
          <w:rFonts w:ascii="Times New Roman" w:cs="Times New Roman" w:eastAsia="Times New Roman" w:hAnsi="Times New Roman"/>
          <w:sz w:val="18"/>
          <w:szCs w:val="18"/>
          <w:color w:val="auto"/>
        </w:rPr>
        <w:t>“Equipment sales and other revenue” totaled $185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 increase of $40 million or 27.9% compared to the same period in 2022. The increase in “Equipment sales and other revenue” compared to the same period in 2022 was primarily related to a non-recurring $75 million license of our Adaptive Bitrate Streaming patents to Peloton covering certain Peloton products that resolves our litigation involving those products, partially offset by a decrease in equipment sales revenue.</w:t>
      </w:r>
    </w:p>
    <w:p>
      <w:pPr>
        <w:spacing w:after="0" w:line="179" w:lineRule="exact"/>
        <w:rPr>
          <w:sz w:val="20"/>
          <w:szCs w:val="20"/>
          <w:color w:val="auto"/>
        </w:rPr>
      </w:pPr>
    </w:p>
    <w:p>
      <w:pPr>
        <w:jc w:val="both"/>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ARPU. </w:t>
      </w:r>
      <w:r>
        <w:rPr>
          <w:rFonts w:ascii="Times New Roman" w:cs="Times New Roman" w:eastAsia="Times New Roman" w:hAnsi="Times New Roman"/>
          <w:sz w:val="18"/>
          <w:szCs w:val="18"/>
          <w:color w:val="auto"/>
        </w:rPr>
        <w:t>Pay-TV ARPU was $104.56 during the year ended December 31, 2023 versus $101.20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2022. The $3.36 or 3.3% increase in Pay-TV ARPU was primarily attributable to the DISH TV and SLING TV programming price increases. The DISH TV and SLING TV programming package price increases were effective in the fourth quarter of 2022 and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totaled $6.978 billion during the year ended December 31, 2023, a decrease of $446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6.0% compared to the same period in 2022. The decrease in “Cost of services” was primarily attributable to a lower average Pay-TV subscriber base, partially offset by higher programming costs per subscriber and higher variable and retention costs per subscriber. Programming costs per subscriber increased during the year ended December 31, 2023 due to rate increases in certain of our programming contracts, including the renewal of certain contracts at higher rates, particularly for local broadcast channels. In addition, variable and retention costs per subscriber increased during the year ended December 31, 2023 due to, among other things, approximately $30 million in cyber-security-related expenses to remediate the incident and provide additional customer support. “Cost of services” represented 61.3% and 60.1% of “Service revenue” during the year ended December 31, 2023 and 2022, respectively.</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7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expenses” totaled $1.415 billion during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year ended December 31, 2023, a $207 million or 12.8% decrease compared to the same period in 2022. This change was primarily driven by a decrease in subscriber acquisition costs resulting from lower marketing expenditures and lower gross new DISH TV subscriber activations, and a decrease in personnel costs, partially offset by Merger related costs.</w:t>
      </w:r>
    </w:p>
    <w:p>
      <w:pPr>
        <w:spacing w:after="0" w:line="161"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totaled $381 million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 $47 million or 11.0% decrease compared to the same period in 2022. This change was primarily driven by a decrease in depreciation expense from equipment leased to new and existing DISH TV subscribers and the EchoStar XI satellite which became fully depreciated during the second quarter of 2023.</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goodwill.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Impairment of long-lived assets and goodwill” totaled $6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171"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SAC. </w:t>
      </w:r>
      <w:r>
        <w:rPr>
          <w:rFonts w:ascii="Times New Roman" w:cs="Times New Roman" w:eastAsia="Times New Roman" w:hAnsi="Times New Roman"/>
          <w:sz w:val="18"/>
          <w:szCs w:val="18"/>
          <w:color w:val="auto"/>
        </w:rPr>
        <w:t>DISH TV SAC was $1,118 during the year ended December 31, 2023 compared to $1,044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2022, an increase of $74 or 7.1%. This change was primarily attributable to an increase in advertising costs per subscriber, higher installation costs due to an increase in labor and other installation costs, and a lower percentage of remanufactured receivers being activated on new subscriber accounts.</w:t>
      </w:r>
    </w:p>
    <w:p>
      <w:pPr>
        <w:spacing w:after="0" w:line="18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2022, the amount of equipment capitalized under our lease program for new DISH TV subscribers totaled $54 million and $55 million, respectively.</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Our “DISH TV SAC” may materially increase in the future to the extent that we, among other things, transition to newer technologies, introduce more aggressive promotions, or provide greater equipment subsidies. See further information under </w:t>
      </w:r>
      <w:r>
        <w:rPr>
          <w:rFonts w:ascii="Times New Roman" w:cs="Times New Roman" w:eastAsia="Times New Roman" w:hAnsi="Times New Roman"/>
          <w:sz w:val="18"/>
          <w:szCs w:val="18"/>
          <w:i w:val="1"/>
          <w:iCs w:val="1"/>
          <w:color w:val="auto"/>
        </w:rPr>
        <w:t>“Liquidity and Capital Resources – Subscriber Acquisition and Retention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Operations Data</w:t>
            </w:r>
          </w:p>
        </w:tc>
        <w:tc>
          <w:tcPr>
            <w:tcW w:w="60" w:type="dxa"/>
            <w:vAlign w:val="bottom"/>
          </w:tcPr>
          <w:p>
            <w:pPr>
              <w:spacing w:after="0"/>
              <w:rPr>
                <w:sz w:val="15"/>
                <w:szCs w:val="15"/>
                <w:color w:val="auto"/>
              </w:rPr>
            </w:pPr>
          </w:p>
        </w:tc>
        <w:tc>
          <w:tcPr>
            <w:tcW w:w="24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5"/>
                <w:szCs w:val="15"/>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60" w:type="dxa"/>
            <w:vAlign w:val="bottom"/>
            <w:gridSpan w:val="3"/>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12,360,601</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12,787,485</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(426,884)</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Equipment sales and other revenue</w:t>
            </w: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144,791</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141,222</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12,505,392</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12,928,707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(423,315)</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Costs and expenses:</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7,423,427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7,735,410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(311,983)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of Service revenue</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60.1 %</w:t>
            </w: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60.5 %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 - equipment and other</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97,315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104,941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(7,626)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1,622,281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1,473,941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of Total revenue</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13.0 %</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11.4 %</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428,471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538,836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(110,365)</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costs and expenses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9,571,494</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9,853,128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(281,634)</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2,933,898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3,075,579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(141,681)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data:</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Pay-TV subscribers, as of period end (in millions)</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(0.957)</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DISH TV subscribers, as of period end (in millions)</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(0.805)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SLING TV subscribers, as of period end (in millions)</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(0.152)</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Pay-TV subscriber additions (losses), net (in millions)</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(0.957)</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(0.583)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(0.374)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DISH TV subscriber additions (losses), net (in millions)</w:t>
            </w:r>
          </w:p>
        </w:tc>
        <w:tc>
          <w:tcPr>
            <w:tcW w:w="6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(0.805)</w:t>
            </w:r>
          </w:p>
        </w:tc>
        <w:tc>
          <w:tcPr>
            <w:tcW w:w="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(0.595)</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(0.210)</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SLING TV subscriber additions (losses), net (in millions)</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(0.152)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(0.164)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Pay-TV ARPU</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95.94</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DISH TV subscriber additions, gross (in millions)</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0.634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(0.201)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DISH TV churn rate</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xml:space="preserve">1.54 </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xml:space="preserve">1.40 </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xml:space="preserve">0.14 </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DISH TV SAC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net of refunds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131,093</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173,485</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(42,392)</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OIBDA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3,362,370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3,614,415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(252,045)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Pay-TV Subscribers</w:t>
      </w:r>
    </w:p>
    <w:p>
      <w:pPr>
        <w:spacing w:after="0" w:line="22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DISH TV subscribers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lost approximately 805,000 net DISH TV subscribers during the year ended December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595,000 net DISH TV subscribers during the same period in 2021. This increase in net DISH TV subscriber losses primarily resulted from lower gross new DISH TV subscriber activations and a higher DISH TV churn rate.</w:t>
      </w:r>
    </w:p>
    <w:p>
      <w:pPr>
        <w:spacing w:after="0" w:line="176" w:lineRule="exact"/>
        <w:rPr>
          <w:sz w:val="20"/>
          <w:szCs w:val="20"/>
          <w:color w:val="auto"/>
        </w:rPr>
      </w:pPr>
    </w:p>
    <w:p>
      <w:pPr>
        <w:jc w:val="both"/>
        <w:ind w:left="60" w:right="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SLING TV subscribers. </w:t>
      </w:r>
      <w:r>
        <w:rPr>
          <w:rFonts w:ascii="Times New Roman" w:cs="Times New Roman" w:eastAsia="Times New Roman" w:hAnsi="Times New Roman"/>
          <w:sz w:val="18"/>
          <w:szCs w:val="18"/>
          <w:color w:val="auto"/>
        </w:rPr>
        <w:t>We lost approximately 152,000 net SLING TV subscribers during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compared to the addition of approximately 12,000 net SLING TV subscribers during the same period in 2021. The decrease in net SLING TV subscribers was primarily related to higher subscriber disconnects in 2022 following seasonal sports activity and lower SLING TV subscriber activations. We continue to experience increased competition, including competition from other subscription video on-demand and live-linear OTT service providers.</w:t>
      </w:r>
    </w:p>
    <w:p>
      <w:pPr>
        <w:spacing w:after="0" w:line="179"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subscribers, gross. </w:t>
      </w:r>
      <w:r>
        <w:rPr>
          <w:rFonts w:ascii="Times New Roman" w:cs="Times New Roman" w:eastAsia="Times New Roman" w:hAnsi="Times New Roman"/>
          <w:sz w:val="18"/>
          <w:szCs w:val="18"/>
          <w:color w:val="auto"/>
        </w:rPr>
        <w:t>During the year ended December 31, 2022, we activated approximately 634,000 gross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TV subscribers compared to approximately 835,000 gross new DISH TV subscribers during the same period in 2021, a decrease of 24.1%. This decrease in our gross new DISH TV subscriber activations was primarily related to the lack of demand, shifting consumer behavior and channel removals, including Tegna, as well as increased competitive pressures, including aggressive short term introductory pricing and bundled offers combining broadband, video and/or wireless services and other discounted promotional offers, live-linear OTT service providers, and direct-to-consumer offerings by certain of our programmers. Our gross new DISH TV subscriber activations continue to be negatively impacted by an emphasis on acquiring higher quality subscribers.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DISH TV churn rate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DISH TV churn rate for the year ended December 31, 2022 was 1.54% compared to 1.40%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2021. Our DISH TV churn rate for the year ended December 31, 2022 was negatively impacted by programming interruptions in connection with the scheduled expiration of certain programming carriage contracts, including Tegna. Our DISH TV churn rate continues to be adversely impacted by external factors, such as, among other things, cord cutting, shifting consumer behavior and increased competitive pressures, including aggressive marketing, bundled discount offers combining broadband, video and/or wireless services and other discounted promotional offers. In addition, our DISH TV churn rate was positively impacted by COVID-19 beginning in the second quarter of 2020, including, among other things, the recommendations and/or mandates from federal, state, and/or local authorities that customers refrain from non-essential movements outside of their homes and the resulting increased consumption of our Pay-TV services. Our DISH TV churn rate continues to be positively impacted by our emphasis on acquiring and retaining higher quality subscribers.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9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On October 6, 2021, Tegna removed its channels from our DISH TV programming lineup in 53 markets. On February 4, 2022, we and Tegna signed a new programming carriage contract which restored these channels to our DISH TV programming lineup. Although subscriber demand for local network stations has decreased in recent years as a result of, among other things, programming being available to subscribers through alternative methods, including over the air antennas, there can be no assurance that the removal of these or other channels will not have a material adverse effect on our business, results of operations and financial condition or otherwise disrupt our business. In addition, Disney removed its channels, including locals in eight markets, from our DISH TV and SLING TV programming lineup, from October 1, 2022 to October 3, 2022, after we were unable to reach a contract extension agreement prior to the expiration of the programming carriage contract. The channels were restored when we reached a tentative contract extension agreement with Disney and subsequently, we and Disney signed a new long-term programming carriage contract.</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6"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 revenue. </w:t>
      </w:r>
      <w:r>
        <w:rPr>
          <w:rFonts w:ascii="Times New Roman" w:cs="Times New Roman" w:eastAsia="Times New Roman" w:hAnsi="Times New Roman"/>
          <w:sz w:val="18"/>
          <w:szCs w:val="18"/>
          <w:color w:val="auto"/>
        </w:rPr>
        <w:t>“Service revenue” totaled $12.361 billion for the year ended December 31, 2022, a decrease of $427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3.3% compared to the same period in 2021. The decrease in “Service revenue” compared to the same period in 2021 was primarily related to lower average Pay-TV subscriber base, partially offset by an increase in Pay-TV ARPU, discussed below.</w:t>
      </w:r>
    </w:p>
    <w:p>
      <w:pPr>
        <w:spacing w:after="0" w:line="176" w:lineRule="exact"/>
        <w:rPr>
          <w:sz w:val="20"/>
          <w:szCs w:val="20"/>
          <w:color w:val="auto"/>
        </w:rPr>
      </w:pPr>
    </w:p>
    <w:p>
      <w:pPr>
        <w:ind w:left="60" w:right="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ARPU. </w:t>
      </w:r>
      <w:r>
        <w:rPr>
          <w:rFonts w:ascii="Times New Roman" w:cs="Times New Roman" w:eastAsia="Times New Roman" w:hAnsi="Times New Roman"/>
          <w:sz w:val="18"/>
          <w:szCs w:val="18"/>
          <w:color w:val="auto"/>
        </w:rPr>
        <w:t>Pay-TV ARPU was $101.20 during the year ended December 31, 2022 versus $95.94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2021. The $5.26 or 5.5% increase in Pay-TV ARPU was primarily attributable to the DISH TV and SLING TV programming price increases and higher Pay-TV ad sales revenue. The DISH TV programming package price increases were effective in the first and fourth quarters of 2021 and the fourth quarter of 2022, and the SLING TV programming package price increases were effective during 2021 and the fourth quarter of 2022.</w:t>
      </w:r>
    </w:p>
    <w:p>
      <w:pPr>
        <w:spacing w:after="0" w:line="17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totaled $7.423 billion during the year ended December 31, 2022, a decrease of $312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4.0% compared to the same period in 2021. The decrease in “Cost of services” was primarily attributable to a lower average Pay-TV subscriber base, partially offset by higher programming costs per subscriber and higher variable and retention costs per subscriber. Programming costs per subscriber increased during the year ended December 31, 2022 due to rate increases in certain of our programming contracts, including the renewal of certain contracts at higher rates, particularly for local broadcast channels. Variable and retention costs per subscriber increased during the year ended December 31, 2022 due to, among other things, higher labor and in-home service costs, and higher credit losses. “Cost of services” represented 60.1% and 60.5% of “Service revenue” during the years ended December 31, 2022 and 2021, respectively.</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totaled $1.622 billion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a $148 million or 10.1% increase compared to the same period in 2021. This change was primarily driven by an increase in costs to support the Pay-TV segment and an increase in subscriber acquisition costs resulting from higher marketing expenditures.</w:t>
      </w:r>
    </w:p>
    <w:p>
      <w:pPr>
        <w:spacing w:after="0" w:line="176"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totaled $428 million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 $110 million or 20.5% decrease compared to the same period in 2021. This change was primarily driven by a decrease in depreciation expense from equipment leased to new and existing DISH TV subscribers and from the expiration of our QuetzSat-1 finance lease during the fourth quarter of 2021.</w:t>
      </w:r>
    </w:p>
    <w:p>
      <w:pPr>
        <w:spacing w:after="0" w:line="17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SAC. </w:t>
      </w:r>
      <w:r>
        <w:rPr>
          <w:rFonts w:ascii="Times New Roman" w:cs="Times New Roman" w:eastAsia="Times New Roman" w:hAnsi="Times New Roman"/>
          <w:sz w:val="18"/>
          <w:szCs w:val="18"/>
          <w:color w:val="auto"/>
        </w:rPr>
        <w:t>DISH TV SAC was $1,044 during the year ended December 31, 2022 compared to $823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2021, an increase of $221 or 26.9%. This change was primarily attributable to an increase in advertising costs per subscriber, higher installation costs due to an increase in labor and other installation costs.</w:t>
      </w:r>
    </w:p>
    <w:p>
      <w:pPr>
        <w:spacing w:after="0" w:line="175"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 amount of equipment capitalized under our lease program for new DISH TV subscribers totaled $55 million and $72 million, respectively. This decrease in capital expenditures primarily resulted from a decrease in gross new DISH TV subscriber activations and a higher percentage of remanufactured receivers being activated on new subscriber accounts.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Retail Wireless Segment</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offer nationwide prepaid and postpaid Retail Wireless services to subscribers primarily under our Boost Mobile, Boost postpaid and Gen Mobile brands,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financing arrangements for wireless devices.</w:t>
      </w:r>
    </w:p>
    <w:p>
      <w:pPr>
        <w:spacing w:after="0" w:line="1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Boost postpaid</w:t>
      </w:r>
      <w:r>
        <w:rPr>
          <w:rFonts w:ascii="Times New Roman" w:cs="Times New Roman" w:eastAsia="Times New Roman" w:hAnsi="Times New Roman"/>
          <w:sz w:val="18"/>
          <w:szCs w:val="18"/>
          <w:color w:val="auto"/>
        </w:rPr>
        <w:t>. In the fourth quarter of 2022, we launched our Boost postpaid wireless service, to a limited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who had signed up for early registration. During 2023, we launched our nationwide expansion of our Boost postpaid wireless service, and at the end of the third quarter of 2023, we began offering the iPhone 15 on our 5G Network and expanded our Boost postpaid offering through a distribution partnership with Amazon.</w:t>
      </w:r>
    </w:p>
    <w:p>
      <w:pPr>
        <w:spacing w:after="0" w:line="182"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We are currently operating our Retail Wireless segment primarily as an MVNO as we continue our 5G Network Deployment and commercialize and grow customer traffic on our 5G Network. We are transitioning our Retail Wireless segment to an MNO as our 5G Network becomes commercially available. We are currently activating Boost Mobile and Boost postpaid subscribers with compatible devices onto our 5G Network in markets where we have launched 5G voice services. Within our MVNO operations, today we depend on T-Mobile and AT&amp;T to provide us with network services under MNSA and NSA, respectively. Under the NSA, we expect AT&amp;T will become our primary network services provider.</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Historically, a portion of our Wireless subscribers received services through T-Mobile’s CDMA Network. However, T-Mobile previously provided notice that it intended to shutdown the CDMA Network on March 31, 2022. The shutdown began on March 31, 2022 and was completed during the second quarter of 2022. While we worked to mitigate the harms of this shutdown, we incurred significant costs to migrate subscribers on this timeline. We implemented targeted efforts and promotions directed at impacted customers, which resulted in the successful migration of the vast majority of our CDMA subscribers. The CDMA shutdown negatively impacted our gross new Wireless subscriber activations, our Wireless churn rate, and our results of operations during the first and second quarters of 2022. During the second quarter of 2022, we removed approximately 126,000 subscribers from our ending Wireless subscriber count representing Wireless subscribers who did not migrate off the CDMA network prior to the shutdown. The effect of the removal of the 126,000 subscribers was excluded from the calculation of our net Wireless subscriber additions/losses and Wireless churn rate.</w:t>
      </w:r>
    </w:p>
    <w:p>
      <w:pPr>
        <w:spacing w:after="0" w:line="194"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On June 21, 2022, we and T-Mobile signed an amendment to the MNSA. In connection with this amendment, T-Mobile agreed to transfer to us (subject to required regulatory approvals) all Boost branded customers of former Sprint affiliates, Shentel and Swiftel, as well as Boost branded customers who were previously part of the California Public Utilities Commission CARE program (the “Boost Affiliate Subscribers”). We received regulatory approvals and on September 1, 2022 closed the transfer, upon which we received approximately 139,000 Boost Affiliate Subscribers. In addition, this amendment, among other things, settled all open disputes, including CDMA matters, with terms providing improved pricing and enhanced roaming solutions for our consumers. Prior to the signing of this agreement, the first and second quarters of 2022 were adversely impacted by, among other things, our CDMA migration costs and our ability to launch more competitive service plans in the marketplace. As a result, during the first and second quarters of 2022, we experienced lower gross new Wireless subscriber activations and higher Wireless churn.</w:t>
      </w:r>
    </w:p>
    <w:p>
      <w:pPr>
        <w:spacing w:after="0" w:line="194"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 As of December 31, 2023, we had 7.378 million Wireless subscribers. Currently, we offer Wireless subscribers competitive consumer plans with no annual service contracts and monthly service plans including high-speed data and unlimited talk and text, and financing arrangements for wireless devices for certain qualified subscribers.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ACP Subscribers. </w:t>
      </w:r>
      <w:r>
        <w:rPr>
          <w:rFonts w:ascii="Times New Roman" w:cs="Times New Roman" w:eastAsia="Times New Roman" w:hAnsi="Times New Roman"/>
          <w:sz w:val="18"/>
          <w:szCs w:val="18"/>
          <w:color w:val="auto"/>
        </w:rPr>
        <w:t>A portion of our subscriber base and revenue is comprised of subscribers who receive benefits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ACP. The ACP program is expected to end unless Congress appropriates additional funding. As a result, the FCC has begun taking steps to wind down the ACP and has announced that ACP stopped accepting new applications and enrollments on February 7, 2024. The FCC projects that households enrolled in the ACP will continue to receive the benefit on their service through April 2024. This date is an estimate and may change. Without additional funding from Congress, the FCC anticipates that the current ACP funding is projected to run out in April 2024. Discontinuation, amendment or repeal of ACP, or replacement of ACP with one having different eligibility requirements and/or funding levels could negatively impact, among other things, our net Wireless subscriber activations and results of operations or impose additional costs on our business. If ACP funding is ultimately restored or replaced, there can be no assurance that the timing of the restoration or replacement will not lead to service interruptions and negatively impact, among other things, our net Wireless subscriber activations and results of operations. Generally, ACP subscribers have lower Wireless ARPU than other Wireless subscribers.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22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We regularly evaluate ways to enhance our business. As part of this process, we are in regular dialogue with interested parties who may assist us in accomplishing our goals, including ongoing conversations with CONX Corp. (an entity partially owned by Charles W. Ergen, our Chairman) regarding a transaction involving our Retail Wireless segment. There can be no assurance that these discussions will lead to a transaction nor as to the structure or terms of any such transaction.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Retail wireless is a mature market with moderate year over year organic growth. Competitors include, among others, providers who offer similar communication services, such as talk, text and data. Competitive factors within the wireless communications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89" w:lineRule="exact"/>
        <w:rPr>
          <w:sz w:val="20"/>
          <w:szCs w:val="20"/>
          <w:color w:val="auto"/>
        </w:rPr>
      </w:pPr>
    </w:p>
    <w:p>
      <w:pPr>
        <w:ind w:left="60" w:right="399"/>
        <w:spacing w:after="0" w:line="289" w:lineRule="auto"/>
        <w:rPr>
          <w:sz w:val="20"/>
          <w:szCs w:val="20"/>
          <w:color w:val="auto"/>
        </w:rPr>
      </w:pPr>
      <w:r>
        <w:rPr>
          <w:rFonts w:ascii="Times New Roman" w:cs="Times New Roman" w:eastAsia="Times New Roman" w:hAnsi="Times New Roman"/>
          <w:sz w:val="17"/>
          <w:szCs w:val="17"/>
          <w:color w:val="auto"/>
        </w:rPr>
        <w:t>Primary competitors to our Retail Wireless segment include, but are not limited to, Metro PCS (owned by T-Mobile), Cricket Wireless (owned by AT&amp;T), Visible (owned by Verizon), Tracfone Wireless (owned by Verizon), and other MVNOs such as Consumer Cellular, Mint Mobile (T-Mobile has reached an agreement to acquire) and Xfinity Mobile.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Retail Wireless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5"/>
        </w:trPr>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00" w:type="dxa"/>
            <w:vAlign w:val="bottom"/>
            <w:tcBorders>
              <w:bottom w:val="single" w:sz="8" w:color="auto"/>
            </w:tcBorders>
          </w:tcPr>
          <w:p>
            <w:pPr>
              <w:spacing w:after="0"/>
              <w:rPr>
                <w:sz w:val="19"/>
                <w:szCs w:val="19"/>
                <w:color w:val="auto"/>
              </w:rPr>
            </w:pP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22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4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3,337,240</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3,653,909</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(316,669)</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355,132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(126,088)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196"/>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3,692,372</w:t>
            </w:r>
          </w:p>
        </w:tc>
        <w:tc>
          <w:tcPr>
            <w:tcW w:w="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4,135,129</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(442,757)</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196"/>
        </w:trPr>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2,022,443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2,135,074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(112,631)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3"/>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of Service revenue</w:t>
            </w: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60.6 %</w:t>
            </w:r>
          </w:p>
        </w:tc>
        <w:tc>
          <w:tcPr>
            <w:tcW w:w="3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58.4 %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1,133,377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1,193,645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(60,268)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859,111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705,760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3"/>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 of Total revenue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23.3 %</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221,968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 and goodwill</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98,657</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4,335,556</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4,212,393</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123,163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6"/>
        </w:trPr>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(643,184)</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(565,920)</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Wireless subscribers, as of period end (in millions)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(0.605)</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2"/>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Wireless subscriber additions, gross (in millions)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(0.675)</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Wireless subscriber additions (losses), net (in millions)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(0.041)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Wireless ARPU</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Wireless churn rate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(0.29)</w:t>
            </w: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OIBDA</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(421,216)</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100,650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(521,866)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7" w:lineRule="exact"/>
        <w:rPr>
          <w:sz w:val="20"/>
          <w:szCs w:val="20"/>
          <w:color w:val="auto"/>
        </w:rPr>
      </w:pPr>
    </w:p>
    <w:p>
      <w:pPr>
        <w:ind w:left="380" w:right="139" w:hanging="330"/>
        <w:spacing w:after="0" w:line="265" w:lineRule="auto"/>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second quarter of 2022, we removed approximately 126,000 subscribers from our ending Wireless subscriber count representing Wireless subscribers who did not migrate off the CDMA network prior to the shutdown. The effect of the removal of the 126,000 Wireless subscribers was excluded from the calculation of our net Wireless subscriber additions/losses and Wireless churn rate. See “Wireless – Retail Wireless” for further information on the CDMA shutdown. In addition, during the third quarter of 2022, approximately 139,000 Boost Affiliate Subscribers were transferred to us and are included in our ending Wireless subscriber count and excluded from our gross new Wireless subscriber activations. See “Wireless – Retail Wireless” for further information on the amended MNSA.</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ACP/Gen Mobile subscribers.</w:t>
      </w:r>
    </w:p>
    <w:p>
      <w:pPr>
        <w:spacing w:after="0" w:line="203" w:lineRule="exact"/>
        <w:rPr>
          <w:sz w:val="20"/>
          <w:szCs w:val="20"/>
          <w:color w:val="auto"/>
        </w:rPr>
      </w:pPr>
    </w:p>
    <w:p>
      <w:pPr>
        <w:jc w:val="both"/>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Wireless subscribers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lost approximately 617,000 net Wireless subscribers during the year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576,000 net Wireless subscribers during the same period in 2022. This increase in net Wireless subscriber losses primarily resulted from lower gross new Wireless subscriber activations, partially offset by an increase in net ACP/Gen Mobile subscriber additions and a lower Wireless churn rate.</w:t>
      </w:r>
    </w:p>
    <w:p>
      <w:pPr>
        <w:spacing w:after="0" w:line="17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Wireless subscribers, gross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 ended December 31, 2023, we activated approximately 2.743 million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Wireless subscribers compared to approximately 3.418 million gross new Wireless subscribers during the same period in 2022, a decrease of 19.7%. This decrease in our gross new Wireless subscriber activations was primarily related to increased competitive pressures, including aggressive competitor marketing, discounted service plans and deeper wireless device subsidies. In addition, our gross new Wireless subscribers for the year ended December 31, 2023 was negatively impacted by our emphasis on acquiring and retaining higher quality subscribers.</w:t>
      </w:r>
    </w:p>
    <w:p>
      <w:pPr>
        <w:sectPr>
          <w:pgSz w:w="11900" w:h="16838" w:orient="portrait"/>
          <w:cols w:equalWidth="0" w:num="1">
            <w:col w:w="9019"/>
          </w:cols>
          <w:pgMar w:left="1440" w:top="513" w:right="1440"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Wireless churn rate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Wireless churn rate for the year ended December 31, 2023 was 4.17% compared to 4.46%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2022. Our Wireless churn rate for the year ended December 31, 2023 was positively impacted by our emphasis on acquiring and retaining higher quality subscribers, partially offset by competitive pressures, including deeper wireless device subsidies. In addition, our Wireless churn rate for the year ended December 31, 2023 was negatively impacted by migrating subscribers off the TSA with T-Mobile and onto our new billing and operational support systems. Furthermore, our Wireless churn rate for the year ended December 31, 2022 was negatively impacted by the shutdown of the CDMA Network.</w:t>
      </w:r>
    </w:p>
    <w:p>
      <w:pPr>
        <w:spacing w:after="0" w:line="183" w:lineRule="exact"/>
        <w:rPr>
          <w:sz w:val="20"/>
          <w:szCs w:val="20"/>
          <w:color w:val="auto"/>
        </w:rPr>
      </w:pPr>
    </w:p>
    <w:p>
      <w:pPr>
        <w:ind w:left="60" w:right="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Service revenue. </w:t>
      </w:r>
      <w:r>
        <w:rPr>
          <w:rFonts w:ascii="Times New Roman" w:cs="Times New Roman" w:eastAsia="Times New Roman" w:hAnsi="Times New Roman"/>
          <w:sz w:val="17"/>
          <w:szCs w:val="17"/>
          <w:color w:val="auto"/>
        </w:rPr>
        <w:t>“Service revenue” totaled $3.337 billion for the year ended December 31, 2023, a decrease of $317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or 8.7% compared to the same period in 2022. The decrease in “Service revenue” compared to the same period in 2022 was primarily related to a lower average Wireless subscriber base and a decrease in Wireless ARPU, discussed below.</w:t>
      </w:r>
    </w:p>
    <w:p>
      <w:pPr>
        <w:spacing w:after="0" w:line="153"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ARPU. </w:t>
      </w:r>
      <w:r>
        <w:rPr>
          <w:rFonts w:ascii="Times New Roman" w:cs="Times New Roman" w:eastAsia="Times New Roman" w:hAnsi="Times New Roman"/>
          <w:sz w:val="18"/>
          <w:szCs w:val="18"/>
          <w:color w:val="auto"/>
        </w:rPr>
        <w:t>Wireless ARPU was $36.15 during the year ended December 31, 2023 versus $37.72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2022. The $1.57 or 4.2% decrease in Wireless ARPU was primarily attributable to, among other things, a shift in subscriber plan mix to lower priced service plans.</w:t>
      </w:r>
    </w:p>
    <w:p>
      <w:pPr>
        <w:spacing w:after="0" w:line="171"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sales and other revenue. </w:t>
      </w:r>
      <w:r>
        <w:rPr>
          <w:rFonts w:ascii="Times New Roman" w:cs="Times New Roman" w:eastAsia="Times New Roman" w:hAnsi="Times New Roman"/>
          <w:sz w:val="18"/>
          <w:szCs w:val="18"/>
          <w:color w:val="auto"/>
        </w:rPr>
        <w:t>“Equipment sales and other revenue” totaled $355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2023, a decrease of $126 million or 26.2% compared to the same period in 2022. The decrease in “Equipment sales and other revenue” compared to the same period in 2022 was primarily related to a decrease in units shipped and higher promotional subsidies, partially offset </w:t>
      </w:r>
      <w:r>
        <w:rPr>
          <w:rFonts w:ascii="Times New Roman" w:cs="Times New Roman" w:eastAsia="Times New Roman" w:hAnsi="Times New Roman"/>
          <w:sz w:val="18"/>
          <w:szCs w:val="18"/>
          <w:color w:val="222222"/>
        </w:rPr>
        <w:t>by h</w:t>
      </w:r>
      <w:r>
        <w:rPr>
          <w:rFonts w:ascii="Times New Roman" w:cs="Times New Roman" w:eastAsia="Times New Roman" w:hAnsi="Times New Roman"/>
          <w:sz w:val="18"/>
          <w:szCs w:val="18"/>
          <w:color w:val="auto"/>
        </w:rPr>
        <w:t>igher revenue per unit shipped due to unit mix. During the year ended December 31, 2023, we shipped a higher percentage of devices that are compatible with our 5G Network and other devices that have a higher revenue per unit.</w:t>
      </w:r>
    </w:p>
    <w:p>
      <w:pPr>
        <w:spacing w:after="0" w:line="182" w:lineRule="exact"/>
        <w:rPr>
          <w:sz w:val="20"/>
          <w:szCs w:val="20"/>
          <w:color w:val="auto"/>
        </w:rPr>
      </w:pPr>
    </w:p>
    <w:p>
      <w:pPr>
        <w:ind w:left="60" w:right="3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totaled $2.022 billion for the year ended December 31, 2023, a decrease of $113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5.3% compared to the same period in 2022. The decrease in “Cost of services” was primarily attributable to a lower average Wireless subscriber base, partially offset by higher monthly dealer incentive costs. During the year ended December 31, 2023, we realigned our commission structure with current business objectives to acquire higher quality, long-term subscribers, which resulted in elevated costs during the transition period.</w:t>
      </w:r>
    </w:p>
    <w:p>
      <w:pPr>
        <w:spacing w:after="0" w:line="179" w:lineRule="exact"/>
        <w:rPr>
          <w:sz w:val="20"/>
          <w:szCs w:val="20"/>
          <w:color w:val="auto"/>
        </w:rPr>
      </w:pPr>
    </w:p>
    <w:p>
      <w:pPr>
        <w:ind w:left="60" w:right="2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sales – equipment and other. </w:t>
      </w:r>
      <w:r>
        <w:rPr>
          <w:rFonts w:ascii="Times New Roman" w:cs="Times New Roman" w:eastAsia="Times New Roman" w:hAnsi="Times New Roman"/>
          <w:sz w:val="17"/>
          <w:szCs w:val="17"/>
          <w:color w:val="auto"/>
        </w:rPr>
        <w:t>“Cost of sales – equipment and other” totaled $1.133 billion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2023, a decrease of $60 million or 5.0% compared to the same period in 2022. The decrease in “Cost of sales – equipment and other” compared to the same period in 2022 was primarily related to a decrease in units shipped</w:t>
      </w:r>
      <w:r>
        <w:rPr>
          <w:rFonts w:ascii="Times New Roman" w:cs="Times New Roman" w:eastAsia="Times New Roman" w:hAnsi="Times New Roman"/>
          <w:sz w:val="17"/>
          <w:szCs w:val="17"/>
          <w:color w:val="222222"/>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partially offset by h</w:t>
      </w:r>
      <w:r>
        <w:rPr>
          <w:rFonts w:ascii="Times New Roman" w:cs="Times New Roman" w:eastAsia="Times New Roman" w:hAnsi="Times New Roman"/>
          <w:sz w:val="17"/>
          <w:szCs w:val="17"/>
          <w:color w:val="000000"/>
        </w:rPr>
        <w:t>igher costs per unit shipped due to unit mix. During the year ended December 31, 2023, we shipped a</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higher percentage of devices that are compatible with our 5G Network and other devices that have a higher cost per unit.</w:t>
      </w:r>
    </w:p>
    <w:p>
      <w:pPr>
        <w:spacing w:after="0" w:line="164"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totaled $859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a $153 million or 21.7% increase compared to the same period in 2022. This change was primarily driven by higher marketing expenditures mainly related to the third quarter of 2023 nationwide expansion of our Boost postpaid wireless service and offering of the iPhone 15 on our 5G Network, partially offset by a decrease in costs to support the Retail Wireless segment. The year ended December 31, 2022 was negatively impacted by costs related to the development of our own billing and operational support systems as we prepared to migrate subscribers off the TSA with T-Mobile.</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goodwill.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Impairment of long-lived assets and goodwill” totaled $99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20" w:type="dxa"/>
            <w:vAlign w:val="bottom"/>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3,653,909</w:t>
            </w:r>
          </w:p>
        </w:tc>
        <w:tc>
          <w:tcPr>
            <w:tcW w:w="200" w:type="dxa"/>
            <w:vAlign w:val="bottom"/>
          </w:tcPr>
          <w:p>
            <w:pPr>
              <w:spacing w:after="0"/>
              <w:rPr>
                <w:sz w:val="17"/>
                <w:szCs w:val="17"/>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4,142,883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481,220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754,322</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(273,102)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4,135,129</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4,897,205</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(762,076)</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2,135,074</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2,450,516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(315,442)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of Service revenue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58.4 %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59.2 %</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1,347,396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(153,751)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705,760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 of Total revenue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177,914</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176,833</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4,212,393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4,553,420</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(77,264)</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(421,049)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Wireless subscribers, as of period end (in millions)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Wireless subscriber additions, gross (in millions)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Wireless subscriber additions (losses), net (in millions)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Wireless ARPU</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Wireless churn rate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(0.12)</w:t>
            </w: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OIBDA</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100,650</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520,618</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7" w:lineRule="exact"/>
        <w:rPr>
          <w:sz w:val="20"/>
          <w:szCs w:val="20"/>
          <w:color w:val="auto"/>
        </w:rPr>
      </w:pPr>
    </w:p>
    <w:p>
      <w:pPr>
        <w:ind w:left="380" w:right="139" w:hanging="330"/>
        <w:spacing w:after="0" w:line="265" w:lineRule="auto"/>
        <w:tabs>
          <w:tab w:leader="none" w:pos="3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second quarter of 2022, we removed approximately 126,000 subscribers from our ending Wireless subscriber count representing Wireless subscribers who did not migrate off the CDMA network prior to the shutdown. The effect of the removal of the 126,000 Wireless subscribers was excluded from the calculation of our net Wireless subscriber additions/losses and Wireless churn rate. See “Wireless – Retail Wireless” for further information on the CDMA shutdown. In addition, during the third quarter of 2022, approximately 139,000 Boost Affiliate Subscribers were transferred to us and are included in our ending Wireless subscriber count and excluded from our gross new Wireless subscriber activations. See “Wireless – Retail Wireless” for further information on the amended MNSA.</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ACP/Gen Mobile subscribers.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entered the retail wireless business in 2020 as a result of the Boost Mobile Acquisition and the Ting Mobile Acquisition and we expanded the business in 2021 through the Republic Wireless Acquisition. During the second quarter of 2021, we acquired over 200,000 subscribers as a result of the Republic Wireless Acquisition. We are currently in the process of integrating our Retail Wireless operations and have made and continue to make targeted changes to our marketing, sales, and operations to further enhance our profitability.</w:t>
      </w:r>
    </w:p>
    <w:p>
      <w:pPr>
        <w:spacing w:after="0" w:line="17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subscribers. </w:t>
      </w:r>
      <w:r>
        <w:rPr>
          <w:rFonts w:ascii="Times New Roman" w:cs="Times New Roman" w:eastAsia="Times New Roman" w:hAnsi="Times New Roman"/>
          <w:sz w:val="18"/>
          <w:szCs w:val="18"/>
          <w:color w:val="auto"/>
        </w:rPr>
        <w:t>We lost approximately 576,000 net Wireless subscribers during the year ended December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728,000 net Wireless subscribers during the same period in 2021. This decrease in net Wireless subscriber losses primarily resulted from a lower Wireless churn rate on a lower average Wireless subscriber base, partially offset by the shutdown of the CDMA Network, the effectiveness of our promotions and competitive pressures. During the years ended December 31, 2022 and 2021, our CDMA migration efforts required significant focus and resources from management and our sales personnel, which adversely impacted our gross new Wireless subscriber activations. Furthermore, we have and continue to face increased competitive pressures, including aggressive competitor marketing, discounted service plans and deeper wireless device subsidies.</w:t>
      </w:r>
    </w:p>
    <w:p>
      <w:pPr>
        <w:sectPr>
          <w:pgSz w:w="11900" w:h="16838" w:orient="portrait"/>
          <w:cols w:equalWidth="0" w:num="1">
            <w:col w:w="9019"/>
          </w:cols>
          <w:pgMar w:left="1440" w:top="513" w:right="1440"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churn rate. </w:t>
      </w:r>
      <w:r>
        <w:rPr>
          <w:rFonts w:ascii="Times New Roman" w:cs="Times New Roman" w:eastAsia="Times New Roman" w:hAnsi="Times New Roman"/>
          <w:sz w:val="18"/>
          <w:szCs w:val="18"/>
          <w:color w:val="auto"/>
        </w:rPr>
        <w:t>Our Wireless churn rate for the year ended December 31, 2022 was 4.46% compared to 4.58%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2021. Our Wireless churn rate for the year ended December 31, 2022 was positively impacted by subscriber retention efforts. In addition, our Wireless churn rate was negatively impacted by the shutdown of the CDMA Network and competitive pressures, including deeper wireless device subsidies.</w:t>
      </w:r>
    </w:p>
    <w:p>
      <w:pPr>
        <w:spacing w:after="0" w:line="176" w:lineRule="exact"/>
        <w:rPr>
          <w:sz w:val="20"/>
          <w:szCs w:val="20"/>
          <w:color w:val="auto"/>
        </w:rPr>
      </w:pPr>
    </w:p>
    <w:p>
      <w:pPr>
        <w:ind w:left="60" w:right="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Service revenue. </w:t>
      </w:r>
      <w:r>
        <w:rPr>
          <w:rFonts w:ascii="Times New Roman" w:cs="Times New Roman" w:eastAsia="Times New Roman" w:hAnsi="Times New Roman"/>
          <w:sz w:val="17"/>
          <w:szCs w:val="17"/>
          <w:color w:val="auto"/>
        </w:rPr>
        <w:t>“Service revenue” totaled $3.654 billion for the year ended December 31, 2022, a decrease of $489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or 11.8% compared to the same period in 2021. The decrease in “Service revenue” compared to the same period in 2021 was primarily related to a lower average Wireless subscriber base and a decrease in Wireless ARPU, discussed below.</w:t>
      </w:r>
    </w:p>
    <w:p>
      <w:pPr>
        <w:spacing w:after="0" w:line="15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ARPU. </w:t>
      </w:r>
      <w:r>
        <w:rPr>
          <w:rFonts w:ascii="Times New Roman" w:cs="Times New Roman" w:eastAsia="Times New Roman" w:hAnsi="Times New Roman"/>
          <w:sz w:val="18"/>
          <w:szCs w:val="18"/>
          <w:color w:val="auto"/>
        </w:rPr>
        <w:t>Wireless ARPU was $37.72 during the year ended December 31, 2022 versus $39.00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2021. The $1.28 or 3.3% decrease in Wireless ARPU was primarily attributable to, among other things, CDMA migration credits and subscriber plan mix to lower priced service plans.</w:t>
      </w:r>
    </w:p>
    <w:p>
      <w:pPr>
        <w:spacing w:after="0" w:line="171" w:lineRule="exact"/>
        <w:rPr>
          <w:sz w:val="20"/>
          <w:szCs w:val="20"/>
          <w:color w:val="auto"/>
        </w:rPr>
      </w:pPr>
    </w:p>
    <w:p>
      <w:pPr>
        <w:ind w:left="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sales and other revenue. </w:t>
      </w:r>
      <w:r>
        <w:rPr>
          <w:rFonts w:ascii="Times New Roman" w:cs="Times New Roman" w:eastAsia="Times New Roman" w:hAnsi="Times New Roman"/>
          <w:sz w:val="18"/>
          <w:szCs w:val="18"/>
          <w:color w:val="auto"/>
        </w:rPr>
        <w:t>“Equipment sales and other revenue” totaled $481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 decrease of $273 million or 36.2% compared to the same period in 2021. The decrease in “Equipment sales and other revenue” compared to the same period in 2021 was primarily related to a decrease in units shipped.</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totaled $2.135 billion for the year ended December 31, 2022, a decrease of $315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million or 12.9% compared to the same period in 2021. The decrease in “Cost of services” was primarily attributable to a lower average Wireless subscriber base and lower network services costs per subscriber, partially offset by higher customer data usage. In addition, the fourth quarter of 2022 was negatively impacted by the revaluation of certain non-cash contingent liabilities relating to a lower than anticipated wireless churn rate on Ting subscribers. Our lower network services costs per subscriber during the year ended December 31, 2022 resulted from the new MVNO rates, as a result of our amendment </w:t>
      </w:r>
      <w:r>
        <w:rPr>
          <w:rFonts w:ascii="Times New Roman" w:cs="Times New Roman" w:eastAsia="Times New Roman" w:hAnsi="Times New Roman"/>
          <w:sz w:val="18"/>
          <w:szCs w:val="18"/>
          <w:color w:val="222222"/>
        </w:rPr>
        <w:t>to the MNSA with T-Mobile and our NSA w</w:t>
      </w:r>
      <w:r>
        <w:rPr>
          <w:rFonts w:ascii="Times New Roman" w:cs="Times New Roman" w:eastAsia="Times New Roman" w:hAnsi="Times New Roman"/>
          <w:sz w:val="18"/>
          <w:szCs w:val="18"/>
          <w:color w:val="auto"/>
        </w:rPr>
        <w:t>ith AT&amp;T. In addition, the fourth quarter of 2022 was negatively impacted by migrating subscribers off the TSA with T-Mobile and onto our new billing and operational support systems. We are incurring duplicative costs related to our TSA with T-Mobile and our own billing and operational support systems as we work to migrate subscribers off the TSA with T-Mobile.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and other. </w:t>
      </w:r>
      <w:r>
        <w:rPr>
          <w:rFonts w:ascii="Times New Roman" w:cs="Times New Roman" w:eastAsia="Times New Roman" w:hAnsi="Times New Roman"/>
          <w:sz w:val="18"/>
          <w:szCs w:val="18"/>
          <w:color w:val="auto"/>
        </w:rPr>
        <w:t>“Cost of sales – equipment and other” totaled $1.194 billion for the year ended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 decrease of $154 million or 11.4% compared to the same period in 2021. The decrease in “Cost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 equipment and other” compared to the same period in 2021 was primarily related to a decrease in units shipped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 one-time reimbursement from T-Mobile as a result of our amendment </w:t>
      </w:r>
      <w:r>
        <w:rPr>
          <w:rFonts w:ascii="Times New Roman" w:cs="Times New Roman" w:eastAsia="Times New Roman" w:hAnsi="Times New Roman"/>
          <w:sz w:val="18"/>
          <w:szCs w:val="18"/>
          <w:color w:val="222222"/>
        </w:rPr>
        <w:t>to the MNSA with T-Mobile, partially offset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22222"/>
        </w:rPr>
        <w:t>h</w:t>
      </w:r>
      <w:r>
        <w:rPr>
          <w:rFonts w:ascii="Times New Roman" w:cs="Times New Roman" w:eastAsia="Times New Roman" w:hAnsi="Times New Roman"/>
          <w:sz w:val="18"/>
          <w:szCs w:val="18"/>
          <w:color w:val="000000"/>
        </w:rPr>
        <w:t>igher costs per unit shipped due to unit mix. During the fourth quarter of 2022, we shipped a higher percentage of devices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that are compatible with our 5G Network. These devices have a higher cost per unit which contributed to the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per unit shipped.</w:t>
      </w:r>
    </w:p>
    <w:p>
      <w:pPr>
        <w:spacing w:after="0" w:line="203"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totaled $706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a $127 million or 22.0% increase compared to the same period in 2021. This change was primarily driven by higher marketing expenditures, an increase in costs to support the Retail Wireless segment, including costs of migrating subscribers off the TSA with T-Mobile and onto our new billing and operational support systems, and higher amortization of capitalized sales commissions.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5G Network Deployment Segment</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15 in the Notes to our Consolidated Financial Statements in this Annual Report on Form 10-K for further information.</w:t>
      </w:r>
    </w:p>
    <w:p>
      <w:pPr>
        <w:spacing w:after="0" w:line="18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 See Note 15 in the Notes to our Consolidated Financial Statements in this Annual Report on Form 10-K for further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DISH Network Spectrum</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We have invested a total of over $30 billion to acquire certain Wireless spectrum licenses. These Wireless spectrum licenses are subject to certain interim and final build-out requirements, as well as certain renewal requirements. We plan to commercialize our Wireless spectrum licenses through our 5G Network Deployment. We have committed to deploy our 5G Network capable of serving increasingly larger portions of the U.S. population at different deadlines, including 20% of the U.S. population by 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 </w:t>
      </w:r>
      <w:r>
        <w:rPr>
          <w:rFonts w:ascii="Times New Roman" w:cs="Times New Roman" w:eastAsia="Times New Roman" w:hAnsi="Times New Roman"/>
          <w:sz w:val="18"/>
          <w:szCs w:val="18"/>
          <w:color w:val="0A0A0A"/>
        </w:rPr>
        <w:t>We now have the largest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commercial deployment of 5G VoNR in the world reaching approximately 200 million Americans and </w:t>
      </w:r>
      <w:r>
        <w:rPr>
          <w:rFonts w:ascii="Times New Roman" w:cs="Times New Roman" w:eastAsia="Times New Roman" w:hAnsi="Times New Roman"/>
          <w:sz w:val="18"/>
          <w:szCs w:val="18"/>
          <w:color w:val="000000"/>
        </w:rPr>
        <w:t>5G broadband</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 xml:space="preserve">service </w:t>
      </w:r>
      <w:r>
        <w:rPr>
          <w:rFonts w:ascii="Times New Roman" w:cs="Times New Roman" w:eastAsia="Times New Roman" w:hAnsi="Times New Roman"/>
          <w:sz w:val="18"/>
          <w:szCs w:val="18"/>
          <w:color w:val="0A0A0A"/>
        </w:rPr>
        <w:t>reaching approximately 250 million Americans.</w:t>
      </w:r>
    </w:p>
    <w:p>
      <w:pPr>
        <w:spacing w:after="0" w:line="19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15 in the Notes to our Consolidated Financial Statements in this Annual Report on Form 10-K for further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579"/>
        <w:spacing w:after="0" w:line="284" w:lineRule="auto"/>
        <w:rPr>
          <w:sz w:val="20"/>
          <w:szCs w:val="20"/>
          <w:color w:val="auto"/>
        </w:rPr>
      </w:pPr>
      <w:r>
        <w:rPr>
          <w:rFonts w:ascii="Times New Roman" w:cs="Times New Roman" w:eastAsia="Times New Roman" w:hAnsi="Times New Roman"/>
          <w:sz w:val="18"/>
          <w:szCs w:val="18"/>
          <w:i w:val="1"/>
          <w:iCs w:val="1"/>
          <w:color w:val="auto"/>
        </w:rPr>
        <w:t>DISH Network Noncontrolling Investments in the Northstar Entities and the SNR Entities Related to AWS-3 Wireless Spectrum Licenses</w:t>
      </w:r>
    </w:p>
    <w:p>
      <w:pPr>
        <w:spacing w:after="0" w:line="160"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During 2015, through our wholly-owned subsidiaries American AWS-3 Wireless II L.L.C. (“American II”) and American AWS-3 Wireless III L.L.C. (“American III”), we initially made over $10 billion in certain noncontrolling investments</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 xml:space="preserve">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and to SNR Wireless, respectively, which are recorded in “Regulatory authorizations, net” on our Consolidated Balance Sheets. Under the applicable accounting guidance in Accounting Standards Codification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Northstar Spectrum and SNR HoldCo are considered variable interest entities (“VIEs”) and, based on the characteristics of the structure of these entities and in accordance with the applicable accounting guidance, we consolidate these entities into our financial statements.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Management’s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 See Note 2 in the Notes to our Consolidated Financial Statements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5G Network Deployment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80" w:type="dxa"/>
            <w:vAlign w:val="bottom"/>
          </w:tcPr>
          <w:p>
            <w:pPr>
              <w:spacing w:after="0"/>
              <w:rPr>
                <w:sz w:val="19"/>
                <w:szCs w:val="19"/>
                <w:color w:val="auto"/>
              </w:rPr>
            </w:pPr>
          </w:p>
        </w:tc>
      </w:tr>
      <w:tr>
        <w:trPr>
          <w:trHeight w:val="2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3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(In thousands)</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0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91,928</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26,160</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19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91,928</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26,160</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977,329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455,698</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20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255,380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31,841</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620,685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489,119</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 and goodwill</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119,903</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1,973,297</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876,736</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1,096,561</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4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(1,881,369)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(810,968)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(1,070,401)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36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r>
      <w:tr>
        <w:trPr>
          <w:trHeight w:val="2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net of refunds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2,586,151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2,596,209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OIBDA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(1,260,684)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(679,402)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(581,282)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380" w:hanging="330"/>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jc w:val="both"/>
        <w:ind w:left="6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and other. </w:t>
      </w:r>
      <w:r>
        <w:rPr>
          <w:rFonts w:ascii="Times New Roman" w:cs="Times New Roman" w:eastAsia="Times New Roman" w:hAnsi="Times New Roman"/>
          <w:sz w:val="18"/>
          <w:szCs w:val="18"/>
          <w:color w:val="auto"/>
        </w:rPr>
        <w:t>“Cost of sales – equipment and other” totaled $977 million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 increase of $456 million compared to the same period in 2022. The increase primarily resulted from an increase in lease expense on communication towers, transport, cloud services, and other costs related to our 5G Network.</w:t>
      </w:r>
    </w:p>
    <w:p>
      <w:pPr>
        <w:spacing w:after="0" w:line="17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totaled $255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a $32 million increase compared to the same period in 2022. This change was primarily driven by an increase in costs to support our 5G Network Deployment.</w:t>
      </w:r>
    </w:p>
    <w:p>
      <w:pPr>
        <w:spacing w:after="0" w:line="17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totaled $621 million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 $489 million increase compared to the same period in 2022.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179"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goodwill.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Impairment of long-lived assets and goodwill” totaled $120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9"/>
                <w:szCs w:val="19"/>
                <w:color w:val="auto"/>
              </w:rPr>
            </w:pP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700" w:type="dxa"/>
            <w:vAlign w:val="bottom"/>
          </w:tcPr>
          <w:p>
            <w:pPr>
              <w:spacing w:after="0"/>
              <w:rPr>
                <w:sz w:val="19"/>
                <w:szCs w:val="19"/>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73,889</w:t>
            </w:r>
          </w:p>
        </w:tc>
        <w:tc>
          <w:tcPr>
            <w:tcW w:w="2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(8,121)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96"/>
        </w:trPr>
        <w:tc>
          <w:tcPr>
            <w:tcW w:w="3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96"/>
        </w:trPr>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421,591</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223,539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167,174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03"/>
        </w:trPr>
        <w:tc>
          <w:tcPr>
            <w:tcW w:w="3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131,566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108,561</w:t>
            </w: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876,736</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290,219</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586,517</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(810,968)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(216,330)</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(594,638)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net of refunds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2,596,209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1,584,052</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OIBDA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(679,402)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(193,325)</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(486,077)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15"/>
        </w:trPr>
        <w:tc>
          <w:tcPr>
            <w:tcW w:w="2240" w:type="dxa"/>
            <w:vAlign w:val="bottom"/>
            <w:tcBorders>
              <w:bottom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ind w:left="6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and other. </w:t>
      </w:r>
      <w:r>
        <w:rPr>
          <w:rFonts w:ascii="Times New Roman" w:cs="Times New Roman" w:eastAsia="Times New Roman" w:hAnsi="Times New Roman"/>
          <w:sz w:val="18"/>
          <w:szCs w:val="18"/>
          <w:color w:val="auto"/>
        </w:rPr>
        <w:t>“Cost of sales – equipment and other” totaled $522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an increase of $422 million compared to the same period in 2021. The increase primarily resulted from an increase in lease expense on communication towers, transport, cloud services, and other costs related to our 5G network.</w:t>
      </w:r>
    </w:p>
    <w:p>
      <w:pPr>
        <w:spacing w:after="0" w:line="176" w:lineRule="exact"/>
        <w:rPr>
          <w:sz w:val="20"/>
          <w:szCs w:val="20"/>
          <w:color w:val="auto"/>
        </w:rPr>
      </w:pPr>
    </w:p>
    <w:p>
      <w:pPr>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totaled $224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a $56 million increase compared to the same period in 2021. This change was primarily driven by an increase in costs to support our 5G Network Deployment.</w:t>
      </w:r>
    </w:p>
    <w:p>
      <w:pPr>
        <w:spacing w:after="0" w:line="17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totaled $132 million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 $109 million increase compared to the same period in 2021. This change was primarily driven by an increase in amortization expense related to certain software licenses and an increase in depreciation expense resulting from 5G Network Deployment assets being placed in service. We expect our depreciation expense to increase as we continue to place 5G Network Deployment assets into service.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Broadband and Satellite Services Segment</w:t>
      </w:r>
    </w:p>
    <w:p>
      <w:pPr>
        <w:spacing w:after="0" w:line="229" w:lineRule="exact"/>
        <w:rPr>
          <w:sz w:val="20"/>
          <w:szCs w:val="20"/>
          <w:color w:val="auto"/>
        </w:rPr>
      </w:pPr>
    </w:p>
    <w:p>
      <w:pPr>
        <w:jc w:val="both"/>
        <w:ind w:left="60" w:right="479"/>
        <w:spacing w:after="0" w:line="258" w:lineRule="auto"/>
        <w:rPr>
          <w:sz w:val="20"/>
          <w:szCs w:val="20"/>
          <w:color w:val="auto"/>
        </w:rPr>
      </w:pPr>
      <w:r>
        <w:rPr>
          <w:rFonts w:ascii="Times New Roman" w:cs="Times New Roman" w:eastAsia="Times New Roman" w:hAnsi="Times New Roman"/>
          <w:sz w:val="18"/>
          <w:szCs w:val="18"/>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aeronautical service providers and government entities, including civilian and defense.</w:t>
      </w:r>
    </w:p>
    <w:p>
      <w:pPr>
        <w:spacing w:after="0" w:line="18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Our EchoStar XXIV satellite began service in December 2023, bringing additional broadband capacity across North and South America and is expected to be an integral part of our satellite service business. We will leverage EchoStar XXIV to deliver satellite services to unserved and underserved consumer markets in the Americas as well as enterprise and government markets.</w:t>
      </w:r>
    </w:p>
    <w:p>
      <w:pPr>
        <w:spacing w:after="0" w:line="18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also offer a robust suite of integrated, multi-transport solutions to enable airline and airline service providers to deliver reliable in-flight network connectivity serving both commercial and business aviation.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Backlog</w:t>
      </w:r>
    </w:p>
    <w:p>
      <w:pPr>
        <w:spacing w:after="0" w:line="22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of December 31, 2023, our Broadband and Satellite services segment had approximately $1.980 billion of contracted revenue backlog, an increase of 30 percent compared to December 31, 2022 primarily due to an increase in contracts with domestic enterprise customers. We define the Broadband and Satellite services segment contracted revenue backlog as our expected future revenue under enterprise customer contracts that are non-cancelable, including lease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Our industry is highly competitive. As a global provider of network technologies, products and services, our Broadband and Satellite Services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Customers consider cost, speed and accessibility to be key determining factors in the selection of a service provider. In addition, government subsidies, such as the Federal Communication Commission’s (“FCC”) Rural Development Opportunity Fund, can have the effect of subsidizing the growth of our wired, wireless and satellite competitors. Our primary satellite competitors in the North American consumer market are ViaSat Communications, Inc., which is owned by ViaSat, Inc. (“ViaSat”), and Space Exploration Technologies Corp. (“SpaceX”). Both ViaSat and SpaceX have also entered the South and Central American consumer markets. We seek to differentiate ourselves based on the ubiquitous availability of our service, quality, proprietary technology, and distribution channels.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multiprotocol label switching (MPLS) and internet protocol-based virtual private networks (VPN), which vary by region. In the in-flight connectivity market, we compete against direct and indirect providers of passenger WiFi services, such as ViaSat and SpaceX. To compete effectively, we emphasize our network quality, customization capability, ability to offer networks as a turnkey managed service, position as a single point of contact for products and services and competitive prices. Our principal competitors for the supply of satellite technology platforms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190"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In the emerging NTN market, we expect to compete with several companies targeting this area, with technology approaches that may be similar to us or in some cases different. We will compete on the basis of our strong spectrum position, expertise in satellite and 5G technologies and our global industry relationships.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Broadband and Satellite Services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5"/>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9"/>
                <w:szCs w:val="19"/>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40" w:type="dxa"/>
            <w:vAlign w:val="bottom"/>
          </w:tcPr>
          <w:p>
            <w:pPr>
              <w:spacing w:after="0"/>
              <w:rPr>
                <w:sz w:val="19"/>
                <w:szCs w:val="19"/>
                <w:color w:val="auto"/>
              </w:rPr>
            </w:pPr>
          </w:p>
        </w:tc>
      </w:tr>
      <w:tr>
        <w:trPr>
          <w:trHeight w:val="20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(In thousands)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1,443,616</w:t>
            </w:r>
          </w:p>
        </w:tc>
        <w:tc>
          <w:tcPr>
            <w:tcW w:w="18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1,611,069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(167,453)</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387,024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(75,081)</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196"/>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1,755,559</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1,998,093</w:t>
            </w:r>
          </w:p>
        </w:tc>
        <w:tc>
          <w:tcPr>
            <w:tcW w:w="2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(242,534)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196"/>
        </w:trPr>
        <w:tc>
          <w:tcPr>
            <w:tcW w:w="4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530,875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567,311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(36,436)</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3"/>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of Service revenue</w:t>
            </w: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36.8 %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35.2 %</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241,570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294,683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(53,113)</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486,379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(4,646)</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3"/>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 of Total revenue</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27.7 %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24.6 %</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419,262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462,748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(43,486)</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 and goodwill</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536,082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2,214,168</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1,816,478</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397,690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196"/>
        </w:trPr>
        <w:tc>
          <w:tcPr>
            <w:tcW w:w="4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(458,609)</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181,615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(640,224)</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subscribers, as of period end (in millions)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(0.224)</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Broadband subscriber additions (losses), net (in millions)</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(0.234)</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OIBDA</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(39,347)</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644,363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(683,710)</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Broadband subscribers. </w:t>
      </w:r>
      <w:r>
        <w:rPr>
          <w:rFonts w:ascii="Times New Roman" w:cs="Times New Roman" w:eastAsia="Times New Roman" w:hAnsi="Times New Roman"/>
          <w:sz w:val="18"/>
          <w:szCs w:val="18"/>
          <w:color w:val="auto"/>
        </w:rPr>
        <w:t>We lost approximately 224,000 net Broadband subscribers for the year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234,000 net Broadband subscribers during the same period in 2022. The net Broadband subscriber losses for the year ended December 31, 2023 primarily resulted from our past capacity limitations, competitive pressure from satellite-based competitors and other technologies, and our emphasis on acquiring and retaining higher quality subscribers.</w:t>
      </w:r>
    </w:p>
    <w:p>
      <w:pPr>
        <w:spacing w:after="0" w:line="179"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 revenue. </w:t>
      </w:r>
      <w:r>
        <w:rPr>
          <w:rFonts w:ascii="Times New Roman" w:cs="Times New Roman" w:eastAsia="Times New Roman" w:hAnsi="Times New Roman"/>
          <w:sz w:val="18"/>
          <w:szCs w:val="18"/>
          <w:color w:val="auto"/>
        </w:rPr>
        <w:t>“Service revenue” totaled $1.444 billion for the year ended December 31, 2023, a decrease of $167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10.4%, as compared to 2022. The decrease was primarily attributable to lower sales of broadband services and lower sales to our North American Enterprise customers, partially offset by a net increase in broadband services sales to our international enterprise customers.</w:t>
      </w:r>
    </w:p>
    <w:p>
      <w:pPr>
        <w:spacing w:after="0" w:line="176"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sales and other revenue. </w:t>
      </w:r>
      <w:r>
        <w:rPr>
          <w:rFonts w:ascii="Times New Roman" w:cs="Times New Roman" w:eastAsia="Times New Roman" w:hAnsi="Times New Roman"/>
          <w:sz w:val="18"/>
          <w:szCs w:val="18"/>
          <w:color w:val="auto"/>
        </w:rPr>
        <w:t>“Equipment sales and other revenue” totaled $312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 decrease of $75 million, or 19.4%, as compared to 2022. The change was primarily attributable to a decrease related to our North American enterprise customers due to lower hardware sales and positive adjustments on certain long-term contracts, and a decrease in hardware sales to our international enterprise customers, partially offset by an increase in sales to our mobile satellite system customers.</w:t>
      </w:r>
    </w:p>
    <w:p>
      <w:pPr>
        <w:spacing w:after="0" w:line="179"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totaled $531 million for the year ended December 31, 2023, a decrease of $36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6.4%, as compared to 2022. The decrease was primarily attributable to the corresponding decrease in services and revenue.</w:t>
      </w:r>
    </w:p>
    <w:p>
      <w:pPr>
        <w:spacing w:after="0" w:line="171"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and other. </w:t>
      </w:r>
      <w:r>
        <w:rPr>
          <w:rFonts w:ascii="Times New Roman" w:cs="Times New Roman" w:eastAsia="Times New Roman" w:hAnsi="Times New Roman"/>
          <w:sz w:val="18"/>
          <w:szCs w:val="18"/>
          <w:color w:val="auto"/>
        </w:rPr>
        <w:t>“Cost of sales – equipment and other” totaled $242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 decrease of $53 million, or 18.0%, as compared to 2022. The decrease was primarily attributable to the corresponding decrease in equipment revenue.</w:t>
      </w:r>
    </w:p>
    <w:p>
      <w:pPr>
        <w:sectPr>
          <w:pgSz w:w="11900" w:h="16838" w:orient="portrait"/>
          <w:cols w:equalWidth="0" w:num="1">
            <w:col w:w="9019"/>
          </w:cols>
          <w:pgMar w:left="1440" w:top="513" w:right="1440"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0" w:right="59"/>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totaled $486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a decrease of $5 million, or 0.9%, as compared to 2022. The decrease was primarily attributable to decreases in sales and marketing expenses, partially offset by Merger related costs.</w:t>
      </w:r>
    </w:p>
    <w:p>
      <w:pPr>
        <w:spacing w:after="0" w:line="153"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Depreciation and amortization” expense totaled $419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 decrease of $43 million, or 9.4%, as compared to 2022. The decrease was primarily attributable to decreases in other non-satellite depreciation expense, partially offset by increase in satellite depreciation driven by our Al Yah 3 and EchoStar XXIV satellites.</w:t>
      </w:r>
    </w:p>
    <w:p>
      <w:pPr>
        <w:spacing w:after="0" w:line="17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goodwill. “</w:t>
      </w:r>
      <w:r>
        <w:rPr>
          <w:rFonts w:ascii="Times New Roman" w:cs="Times New Roman" w:eastAsia="Times New Roman" w:hAnsi="Times New Roman"/>
          <w:sz w:val="18"/>
          <w:szCs w:val="18"/>
          <w:color w:val="auto"/>
        </w:rPr>
        <w:t>Impairment of long-lived assets and goodwill” totaled $536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This impairment represents a $533 million noncash impairment charge to goodwill and a $3 million noncash impairment for long-lived assets. See Note 2 to the Notes to our Consolidated Financial Statements in this Annual Report on Form 10-K for further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1,611,069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1,702,288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(91,219)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387,024</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283,432</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103,592</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1,998,093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1,985,720</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567,311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 of Service revenue</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35.2 %</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32.3 %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294,683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491,025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(5,313)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 of Total revenue</w:t>
            </w: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24.6 %</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25.0 %</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462,748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496,361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(33,613)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1,816,478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1,776,678</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181,615</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(27,427)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Broadband subscribers, as of period end (in millions)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(0.234)</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subscriber additions (losses), net (in millions)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(0.234)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(0.102)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(0.132)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OIBDA</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644,363</w:t>
            </w:r>
          </w:p>
        </w:tc>
        <w:tc>
          <w:tcPr>
            <w:tcW w:w="180" w:type="dxa"/>
            <w:vAlign w:val="bottom"/>
          </w:tcPr>
          <w:p>
            <w:pPr>
              <w:spacing w:after="0"/>
              <w:rPr>
                <w:sz w:val="17"/>
                <w:szCs w:val="17"/>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(61,040)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Broadband subscribers. </w:t>
      </w:r>
      <w:r>
        <w:rPr>
          <w:rFonts w:ascii="Times New Roman" w:cs="Times New Roman" w:eastAsia="Times New Roman" w:hAnsi="Times New Roman"/>
          <w:sz w:val="18"/>
          <w:szCs w:val="18"/>
          <w:color w:val="auto"/>
        </w:rPr>
        <w:t>We lost approximately 234,000 net Broadband subscribers for the year ended December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102,000 net Broadband subscribers during the same period in 2021. This increase in net Broadband subscriber losses primarily resulted from our capacity limitations, increasing bandwidth usage by our existing subscribers, and competitive pressures are impacting our consumer subscriber levels.</w:t>
      </w:r>
    </w:p>
    <w:p>
      <w:pPr>
        <w:spacing w:after="0" w:line="176"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Services revenue</w:t>
      </w:r>
      <w:r>
        <w:rPr>
          <w:rFonts w:ascii="Times New Roman" w:cs="Times New Roman" w:eastAsia="Times New Roman" w:hAnsi="Times New Roman"/>
          <w:sz w:val="18"/>
          <w:szCs w:val="18"/>
          <w:color w:val="auto"/>
        </w:rPr>
        <w:t>. “Services revenue” totaled $1.611 billion for the year ended December 31, 2022, a decrease of $91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5.4%, as compared to 2021. The decrease was primarily attributable to lower sales of broadband services to our consumer customers, partially offset by higher sales of broadband services to our enterprise customers and to our mobile satellite system and other customers. These variances reflect an estimated negative impact of exchange rate fluctuations primarily attributable to our enterprise customers.</w:t>
      </w:r>
    </w:p>
    <w:p>
      <w:pPr>
        <w:spacing w:after="0" w:line="179"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sales and other revenue. </w:t>
      </w:r>
      <w:r>
        <w:rPr>
          <w:rFonts w:ascii="Times New Roman" w:cs="Times New Roman" w:eastAsia="Times New Roman" w:hAnsi="Times New Roman"/>
          <w:sz w:val="18"/>
          <w:szCs w:val="18"/>
          <w:color w:val="auto"/>
        </w:rPr>
        <w:t>“Equipment sales and other revenue” totaled $387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an increase of $104 million, or 36.5%, as compared to 2021. The increase was primarily attributable to increases in hardware sales to our enterprise customers mainly associated with a certain customer in North America and to international customers, and increases on our hardware sales to our mobile satellite system customers, partially offset by decreases in hardware sales to our consumer customers.</w:t>
      </w:r>
    </w:p>
    <w:p>
      <w:pPr>
        <w:spacing w:after="0" w:line="179"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services. “</w:t>
      </w:r>
      <w:r>
        <w:rPr>
          <w:rFonts w:ascii="Times New Roman" w:cs="Times New Roman" w:eastAsia="Times New Roman" w:hAnsi="Times New Roman"/>
          <w:sz w:val="18"/>
          <w:szCs w:val="18"/>
          <w:color w:val="auto"/>
        </w:rPr>
        <w:t>Cost of services” totaled $567 million for the year ended December 31, 2022, an increase of $18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3.3%, as compared to 2021. The increase was attributable to a non-recurring decrease in a certain international regulatory fee in 2021 and increases in cost of services provided to our consumer and enterprise customers, mainly related to service delivery expenses, such as field services and customer care.</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and other. </w:t>
      </w:r>
      <w:r>
        <w:rPr>
          <w:rFonts w:ascii="Times New Roman" w:cs="Times New Roman" w:eastAsia="Times New Roman" w:hAnsi="Times New Roman"/>
          <w:sz w:val="18"/>
          <w:szCs w:val="18"/>
          <w:color w:val="auto"/>
        </w:rPr>
        <w:t>“Cost of sales – equipment and other” totaled $295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an increase of $60 million, or 25.5%, as compared to 2021. The increase was primarily attributable to the corresponding increase in equipment revenue and change in product mix.</w:t>
      </w:r>
    </w:p>
    <w:p>
      <w:pPr>
        <w:spacing w:after="0" w:line="171"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totaled $491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a decrease of $5 million, or 1.1%, as compared to 2021. The decrease was primarily attributable to decreases in sales and marketing expenses.</w:t>
      </w:r>
    </w:p>
    <w:p>
      <w:pPr>
        <w:spacing w:after="0" w:line="171" w:lineRule="exact"/>
        <w:rPr>
          <w:sz w:val="20"/>
          <w:szCs w:val="20"/>
          <w:color w:val="auto"/>
        </w:rPr>
      </w:pPr>
    </w:p>
    <w:p>
      <w:pPr>
        <w:ind w:left="60" w:right="19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Depreciation and amortization. “</w:t>
      </w:r>
      <w:r>
        <w:rPr>
          <w:rFonts w:ascii="Times New Roman" w:cs="Times New Roman" w:eastAsia="Times New Roman" w:hAnsi="Times New Roman"/>
          <w:sz w:val="17"/>
          <w:szCs w:val="17"/>
          <w:color w:val="auto"/>
        </w:rPr>
        <w:t>Depreciation and amortization” expenses totaled $463 million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2022, a decrease of $34 million, or 6.8%, as compared to 2021. The decrease was primarily attributable to decreases in other property and equipment depreciation expense, decreases in our satellite depreciation, mainly related to our SPACEWAY 3 satellite which was fully depreciated at the end of the first quarter of 2021, and decreases in amortization of intangibles. These decreases were partially offset by increases in amortization of our capitalized software.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CONSOLIDATED RESULTS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9"/>
                <w:szCs w:val="19"/>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60" w:type="dxa"/>
            <w:vAlign w:val="bottom"/>
          </w:tcPr>
          <w:p>
            <w:pPr>
              <w:spacing w:after="0"/>
              <w:rPr>
                <w:sz w:val="19"/>
                <w:szCs w:val="19"/>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(277,909)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(2,510,747)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amounts capitalized</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(90,357)</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(79,217)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(11,140)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(1,770,792)</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1,088,441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(2,859,233)</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(1,653,775)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1,102,464</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(2,756,239)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(1,931,684)</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3,335,302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(5,266,986)</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 (provision) benefit, net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(798,410)</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1,095,270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15.4 %</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23.9 %</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(1,634,824)</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2,536,892</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(4,171,716)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6"/>
        </w:trPr>
        <w:tc>
          <w:tcPr>
            <w:tcW w:w="3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interests, net of tax</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59,172</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9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EchoStar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(1,702,057)</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2,477,720</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(4,179,777)</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3" w:lineRule="exact"/>
        <w:rPr>
          <w:sz w:val="20"/>
          <w:szCs w:val="20"/>
          <w:color w:val="auto"/>
        </w:rPr>
      </w:pPr>
    </w:p>
    <w:p>
      <w:pPr>
        <w:ind w:left="380" w:hanging="330"/>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totaled $207 million during the year ended December 31, 2023, an increase of $114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compared to the same period in 2022. This increase primarily resulted from higher percentage returns earned on our cash and marketable investment securities, partially offset by lower average cash and marketable investment securities balances during the year ended December 31, 2023.</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expense totaled $1.771 billion during the year ended December 31, 2023, compared to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$1.088 billion during the same period in 2022. This change primarily resulted from </w:t>
      </w:r>
      <w:r>
        <w:rPr>
          <w:rFonts w:ascii="Times New Roman" w:cs="Times New Roman" w:eastAsia="Times New Roman" w:hAnsi="Times New Roman"/>
          <w:sz w:val="18"/>
          <w:szCs w:val="18"/>
          <w:color w:val="222222"/>
        </w:rPr>
        <w:t>a</w:t>
      </w:r>
      <w:r>
        <w:rPr>
          <w:rFonts w:ascii="Times New Roman" w:cs="Times New Roman" w:eastAsia="Times New Roman" w:hAnsi="Times New Roman"/>
          <w:sz w:val="18"/>
          <w:szCs w:val="18"/>
          <w:color w:val="auto"/>
        </w:rPr>
        <w:t xml:space="preserve"> loss of approximately $1.793 billion (including the $100 million prepayment previously made to T-Mobile) as the probability weighted fair value of our option to purchase certain of T-Mobile’s 800 MHz spectrum licenses was reduced to zero compared to a $1.015 billion increase during the year ended December 31, 2022. In addition, the year ended December 31, 2023 was negatively impacted by a $103 million net decrease in gains on marketable and non-marketable investment securities and impairments of “Other investment securities, net.” Furthermore, the year ended December 31, 2023 was positively impacted by $73 million in gains from the repurchases of our 3 3/8% Convertible Notes due 2026 (the “Convertible Notes due 2026”), our 2 3/8% Convertible Notes due 2024 (the “Convertible Notes due 2024”) and 0% Convertible Notes due 2025 (the “Convertible Notes due 2025,” and collectively with the Convertible Notes due 2026 and the Convertible Notes due 2024, the “Convertible Notes”) and our 5 7/8% Senior Notes due 2024. See Note 6 and 10 in the Notes to our Consolidated Financial Statements for further information.</w:t>
      </w:r>
    </w:p>
    <w:p>
      <w:pPr>
        <w:spacing w:after="0" w:line="190"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net. </w:t>
      </w:r>
      <w:r>
        <w:rPr>
          <w:rFonts w:ascii="Times New Roman" w:cs="Times New Roman" w:eastAsia="Times New Roman" w:hAnsi="Times New Roman"/>
          <w:sz w:val="18"/>
          <w:szCs w:val="18"/>
          <w:color w:val="auto"/>
        </w:rPr>
        <w:t>Our income tax benefit was $297 million during the year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a provision of $798 million during the same period in 2022. The change was primarily related to a decrease in “Income (loss) before income taxes” and the change in our effective tax rate. Our effective tax rate during the year ended December 31, 2023 was impacted by noncash impairment charges to goodwill, and federal, state and foreign valuation allowances.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9"/>
                <w:szCs w:val="19"/>
                <w:color w:val="auto"/>
              </w:rPr>
            </w:pPr>
          </w:p>
        </w:tc>
        <w:tc>
          <w:tcPr>
            <w:tcW w:w="112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2,232,838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3,422,404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(1,189,566)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amounts capitalized</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(79,217)</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(111,151)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1,088,441</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1,083,725</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1,102,464</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(72,532)</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1,174,996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3,335,302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3,349,872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(14,570)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 (provision) benefit, net</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(798,410)</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(828,437)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23.9 %</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24.7 %</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2,536,892</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2,521,435</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interests, net of tax</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59,172</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EchoStar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2,477,720</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2,486,285</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(8,565)</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not meaningful.</w:t>
      </w:r>
    </w:p>
    <w:p>
      <w:pPr>
        <w:spacing w:after="0" w:line="221"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income totaled $1.088 billion during the year ended December 31, 2022, an increase of $1.084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compared to the same period in 2021. This change primarily resulted from a $1.015 billion increase in the fair value of our option to purchase certain of T-Mobile’s 800 MHz spectrum licenses during the year ended December 31, 2022 compared to a $13 million decrease during the year ended December 31, 2021. See Note 6 in the Notes to our Consolidated Financial Statements in this Annual Report on Form 10-K for further information.</w:t>
      </w:r>
    </w:p>
    <w:p>
      <w:pPr>
        <w:spacing w:after="0" w:line="179"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net. </w:t>
      </w:r>
      <w:r>
        <w:rPr>
          <w:rFonts w:ascii="Times New Roman" w:cs="Times New Roman" w:eastAsia="Times New Roman" w:hAnsi="Times New Roman"/>
          <w:sz w:val="18"/>
          <w:szCs w:val="18"/>
          <w:color w:val="auto"/>
        </w:rPr>
        <w:t>Our income tax provision was $798 million during the year ended December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decrease of $30 million compared to the same period in 2021. The decrease in the provision was primarily related to a decrease in “Income (loss) before income taxes.”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Performance Measures and Reconciliation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EBITDA</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Consolidated EBITDA is not a measure determined in accordance with GAAP and should not be considered a substitute for operating income, net income or any other measure determined in accordance with GAAP. Consolidated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20" w:type="dxa"/>
            <w:vAlign w:val="bottom"/>
            <w:tcBorders>
              <w:bottom w:val="single" w:sz="8" w:color="auto"/>
            </w:tcBorders>
          </w:tcPr>
          <w:p>
            <w:pPr>
              <w:spacing w:after="0"/>
              <w:rPr>
                <w:sz w:val="19"/>
                <w:szCs w:val="19"/>
                <w:color w:val="auto"/>
              </w:rPr>
            </w:pPr>
          </w:p>
        </w:tc>
      </w:tr>
      <w:tr>
        <w:trPr>
          <w:trHeight w:val="203"/>
        </w:trPr>
        <w:tc>
          <w:tcPr>
            <w:tcW w:w="3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3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9"/>
              <w:spacing w:after="0" w:line="183" w:lineRule="exact"/>
              <w:rPr>
                <w:sz w:val="20"/>
                <w:szCs w:val="20"/>
                <w:color w:val="auto"/>
              </w:rPr>
            </w:pPr>
            <w:r>
              <w:rPr>
                <w:rFonts w:ascii="Times New Roman" w:cs="Times New Roman" w:eastAsia="Times New Roman" w:hAnsi="Times New Roman"/>
                <w:sz w:val="16"/>
                <w:szCs w:val="16"/>
                <w:color w:val="auto"/>
                <w:w w:val="99"/>
              </w:rPr>
              <w:t>(In thousands)</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EchoStar</w:t>
            </w:r>
          </w:p>
        </w:tc>
        <w:tc>
          <w:tcPr>
            <w:tcW w:w="10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(1,702,057)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2,477,720</w:t>
            </w:r>
          </w:p>
        </w:tc>
        <w:tc>
          <w:tcPr>
            <w:tcW w:w="6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2,486,285</w:t>
            </w: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Interest, net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77,248</w:t>
            </w:r>
          </w:p>
        </w:tc>
      </w:tr>
      <w:tr>
        <w:trPr>
          <w:trHeight w:val="20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 net</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(296,860)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798,410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828,437</w:t>
            </w:r>
          </w:p>
        </w:tc>
      </w:tr>
      <w:tr>
        <w:trPr>
          <w:trHeight w:val="20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1,597,923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1,174,895</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1,213,946</w:t>
            </w:r>
          </w:p>
        </w:tc>
      </w:tr>
      <w:tr>
        <w:trPr>
          <w:trHeight w:val="196"/>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EBITDA</w:t>
            </w: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(518,011)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4,437,002</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4,605,916</w:t>
            </w:r>
          </w:p>
        </w:tc>
      </w:tr>
      <w:tr>
        <w:trPr>
          <w:trHeight w:val="20"/>
        </w:trPr>
        <w:tc>
          <w:tcPr>
            <w:tcW w:w="3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The changes in Consolidated EBITDA during the years ended December 31, 2023, 2022, and 2021, were primarily a result of the factors described in connection with operating revenues and operating expenses, including the impact from changes in the probability weighted fair value of our option to purchase certain of T-Mobile’s 800 MHz spectrum licenses resulting in </w:t>
      </w:r>
      <w:r>
        <w:rPr>
          <w:rFonts w:ascii="Times New Roman" w:cs="Times New Roman" w:eastAsia="Times New Roman" w:hAnsi="Times New Roman"/>
          <w:sz w:val="18"/>
          <w:szCs w:val="18"/>
          <w:color w:val="222222"/>
        </w:rPr>
        <w:t>a</w:t>
      </w:r>
      <w:r>
        <w:rPr>
          <w:rFonts w:ascii="Times New Roman" w:cs="Times New Roman" w:eastAsia="Times New Roman" w:hAnsi="Times New Roman"/>
          <w:sz w:val="18"/>
          <w:szCs w:val="18"/>
          <w:color w:val="auto"/>
        </w:rPr>
        <w:t xml:space="preserve"> loss of approximately $1.793 billion (including the $100 million prepayment previously made to T-Mobile) and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Impairment of long-lived assets and goodwill” of $761 million.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OIBDA</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16 to the Notes to our Consolidated Financial Statements in this Annual Report on Form 10-K for further information.</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Broadband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5G Network</w:t>
            </w:r>
          </w:p>
        </w:tc>
        <w:tc>
          <w:tcPr>
            <w:tcW w:w="16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and Satellite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Pay-TV</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16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Deployment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$ 2,699,810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(1,881,369)</w:t>
            </w:r>
          </w:p>
        </w:tc>
        <w:tc>
          <w:tcPr>
            <w:tcW w:w="24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(458,609)</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(277,909)</w:t>
            </w:r>
          </w:p>
        </w:tc>
      </w:tr>
      <w:tr>
        <w:trPr>
          <w:trHeight w:val="203"/>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381,292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419,262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1,597,923</w:t>
            </w:r>
          </w:p>
        </w:tc>
      </w:tr>
      <w:tr>
        <w:trPr>
          <w:trHeight w:val="196"/>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OIBDA</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$ 3,081,102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(1,260,684)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1,320,014</w:t>
            </w: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Broadband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5G Network</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and Satellite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Pay-TV</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16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Deployment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8"/>
                <w:szCs w:val="18"/>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$ 2,933,898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(77,264)</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(810,968)</w:t>
            </w:r>
          </w:p>
        </w:tc>
        <w:tc>
          <w:tcPr>
            <w:tcW w:w="24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181,615</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2,232,838</w:t>
            </w:r>
          </w:p>
        </w:tc>
      </w:tr>
      <w:tr>
        <w:trPr>
          <w:trHeight w:val="203"/>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428,471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462,748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1,174,895</w:t>
            </w:r>
          </w:p>
        </w:tc>
      </w:tr>
      <w:tr>
        <w:trPr>
          <w:trHeight w:val="196"/>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OIBDA</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$ 3,362,369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3,407,733</w:t>
            </w: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Broadband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5G Network</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and Satellite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Pay-TV</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Deployment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$ 3,075,579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343,785</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209,042</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10,328</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538,836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496,361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OIBDA</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$ 3,614,415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81" w:lineRule="auto"/>
        <w:rPr>
          <w:sz w:val="20"/>
          <w:szCs w:val="20"/>
          <w:color w:val="auto"/>
        </w:rPr>
      </w:pPr>
      <w:r>
        <w:rPr>
          <w:rFonts w:ascii="Times New Roman" w:cs="Times New Roman" w:eastAsia="Times New Roman" w:hAnsi="Times New Roman"/>
          <w:sz w:val="17"/>
          <w:szCs w:val="17"/>
          <w:color w:val="auto"/>
        </w:rPr>
        <w:t xml:space="preserve">The changes in OIBDA during the years ended December 31, 2023, 2022, and 2021, were primarily a result of the factors described in connection with operating revenues and operating expenses, and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Impairment of long-lived assets and goodwill” of: (1) $536 million from our Broadband and Satellite Service segment; (2) $120 million from our 5G Network Deployment segment; (3) $99 million from our Retail Wireless segment; and (4) $6 million from our Pay-TV segment.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Current Marketable Investment Securities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consider all liquid investments purchased with a remaining maturity of 90 days or less at the date of acquisition to be cash equivalents. See Note 6 in the Notes to our Consolidated Financial Statements in this Annual Report on Form 10-K for further information regarding our marketable investment securities. As of December 31, 2023, our cash, cash equivalents and current marketable investment securities totaled $2.444 billion compared to $4.307 billion as of December 31, 2022, a decrease of $1.863 billion. This decrease in cash, cash equivalents and current marketable investment securities primarily resulted from capital expenditures, net of refunds, of $4.225 billion (including capitalized interest related to Regulatory authorizations), the repurchases and redemption of our senior notes of $1.461 billion, net repurchases of our Convertible Notes of $110 million, repayments of long-term debt and finance lease obligations of $122 million, the purchase of Northstar Manager’s ownership interests in Northstar Spectrum of $109 million, partially offset by cash generated from operating activities of $2.433 billion and $1.522 billion in net proceeds from the issuance of our 11 3/4% Senior Notes due 2027.</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Issuances and Maturity</w:t>
      </w:r>
    </w:p>
    <w:p>
      <w:pPr>
        <w:spacing w:after="0" w:line="229"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On May 24, 2021, we issued $1.5 billion aggregate principal amount of our 5 1/8% Senior Notes due June 1, 2029. Interest accrues at an annual rate of 5 1/8% and is payable semi-annually in cash, in arrears on June 1 and December 1 of each year.</w:t>
      </w:r>
    </w:p>
    <w:p>
      <w:pPr>
        <w:spacing w:after="0" w:line="140"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 commencing on June 1, 2022.</w:t>
      </w:r>
    </w:p>
    <w:p>
      <w:pPr>
        <w:spacing w:after="0" w:line="1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 commencing on June 1, 2022.</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On November 15, 2022 and January 26, 2023, we issued $2.0 billion and $1.5 billion, respectively, aggregate principal amount of our 11 3/4% Senior Secured Notes due November 15, 2027. Interest accrues at an annual rate of 11 3/4% and is payable semi-annually in cash, in arrears on May 15 and November 15 of each year, commencing on May 15, 2023.</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6 3/4% Senior Notes due 2021 with an aggregate principal balance of $2.0 billion were repurchased or redeemed as of June 1, 2021.</w:t>
      </w:r>
    </w:p>
    <w:p>
      <w:pPr>
        <w:spacing w:after="0" w:line="16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5 7/8% Senior Notes due 2022 with an aggregate principal balance of $2.0 billion were repurchased or redeemed as of July 15, 2022.</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Our 5% Senior Notes due 2023 with an aggregate principal balance of $1.5 billion were repurchased or redeemed as of March 15,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2023, we repurchased approximately $49 million of our 2 3/8% Convertible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due 2024 in open market trades. The remaining balance of approximately $951 million matures on March 15, 2024.</w:t>
      </w:r>
    </w:p>
    <w:p>
      <w:pPr>
        <w:spacing w:after="0" w:line="234"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we repurchased approximately $17 million of our 5 7/8% Senior Notes due 2024 in open market trades. The remaining balance of approximately $1.983 billion matures on November 15,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discussion highlights our cash flow activities during the years ended December 31, 2023, 2022 and 2021.</w:t>
      </w:r>
    </w:p>
    <w:p>
      <w:pPr>
        <w:spacing w:after="0" w:line="221" w:lineRule="exact"/>
        <w:rPr>
          <w:sz w:val="20"/>
          <w:szCs w:val="20"/>
          <w:color w:val="auto"/>
        </w:rPr>
      </w:pPr>
    </w:p>
    <w:p>
      <w:pPr>
        <w:ind w:left="60" w:right="3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operating activities. </w:t>
      </w:r>
      <w:r>
        <w:rPr>
          <w:rFonts w:ascii="Times New Roman" w:cs="Times New Roman" w:eastAsia="Times New Roman" w:hAnsi="Times New Roman"/>
          <w:sz w:val="18"/>
          <w:szCs w:val="18"/>
          <w:color w:val="auto"/>
        </w:rPr>
        <w:t>We typically reinvest the cash flow from operating activities in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to grow our subscriber base, expand our infrastructure, make strategic investments, such as significant investments in our Wireless business, including our 5G Network Deployment, and repay debt obligations. For the years ended December 31, 2023, 2022 and 2021, we reported “Net cash flows from operating activities” of $2.433 billion, $3.621 billion and $4.655 billion, respectively.</w:t>
      </w:r>
    </w:p>
    <w:p>
      <w:pPr>
        <w:spacing w:after="0" w:line="183"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Net cash flows from operating activities from 2022 to 2023 decreased $1.189 billion, primarily attributable to a $1.352 billion decrease in income adjusted to exclude non-cash charges for “Depreciation and amortization” expense, “Realized and unrealized losses (gains) on investments, impairments and other,” “Realized and unrealized losses (gains) on derivatives,” “Non-cash, stock-based compensation” expense, “Deferred tax expense (benefit) and “Impairment of long-lived assets and goodwill.” In addition, this change also includes decreases in cash flows resulting from changes in operating assets and liabilities principally attributable to timing differences between book expense and cash payments, including taxes.</w:t>
      </w:r>
    </w:p>
    <w:p>
      <w:pPr>
        <w:spacing w:after="0" w:line="189"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Net cash flows from operating activities from 2021 to 2022 decreased $1.034 billion, primarily attributable to a $1.003 billion decrease in income adjusted to exclude non-cash charges for “Depreciation and amortization” expense, “Realized and unrealized losses (gains) on investments, impairments and other,” “Realized and unrealized losses (gains) on derivatives,” “Non-cash, stock-based compensation” expense, “Impairment of long-lived assets and goodwill,” and “Deferred tax expense (benefit).” In addition, this change also includes decreases in cash flows resulting from changes in operating assets and liabilities principally attributable to timing differences between book expense and cash payments, including taxes.</w:t>
      </w:r>
    </w:p>
    <w:p>
      <w:pPr>
        <w:spacing w:after="0" w:line="185"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investing activities. </w:t>
      </w:r>
      <w:r>
        <w:rPr>
          <w:rFonts w:ascii="Times New Roman" w:cs="Times New Roman" w:eastAsia="Times New Roman" w:hAnsi="Times New Roman"/>
          <w:sz w:val="18"/>
          <w:szCs w:val="18"/>
          <w:color w:val="auto"/>
        </w:rPr>
        <w:t>Our investing activities generally include purchases and sales of marketable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securities, acquisitions, strategic investments, including purchases and settlements of derivative financial instruments, and purchases of wireless spectrum licenses, capital expenditures and capitalized interest. For the years ended December 31, 2023, 2022 and 2021, we reported outflows from “Net cash flows from investing activities” of $2.809 billion, $9.060 billion and $4.247 billion, respectively.</w:t>
      </w:r>
    </w:p>
    <w:p>
      <w:pPr>
        <w:spacing w:after="0" w:line="183"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The year ended December 31, 2023 was impacted by cash outflows primarily related to capital expenditures, net of refunds, of $4.225 billion (including capitalized interest related to Regulatory authorizations), partially offset by $1.303 billion in net sales of marketable investment securities and $148 million in proceeds from other debt investments.</w:t>
      </w:r>
    </w:p>
    <w:p>
      <w:pPr>
        <w:spacing w:after="0" w:line="15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year ended December 31, 2022 was impacted by cash outflows primarily related to a $7.207 billion payment to the FCC for the 3.45–3.55 GHz band licenses and capital expenditures, net of refunds, of $4.035 billion (including capitalized interest related to Regulatory authorizations), partially offset by $2.194 billion in net sales of marketable investment securities.</w:t>
      </w:r>
    </w:p>
    <w:p>
      <w:pPr>
        <w:spacing w:after="0" w:line="18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year ended December 31, 2021 was impacted by cash outflows primarily related to capital expenditures, net of refunds, of $2.397 billion (including capitalized interest primarily related to Regulatory authorizations) and $1.948 billion in net purchases of marketable investment securities, partially offset by a $337 million deposit refund from our participation in the auction for the Flexible-Use Service Licenses in the 3.7-3.98 GHz Band.</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2023, 2022 and 2021, capital expenditures for wireless equipment totaled $2.586 billion, $2.596 billion and $1.012 billion, respectively. The increase in 2022 for wireless equipment primarily resulted from our 5G Network Deployment. In addition, capital expenditures during the years ended December 31, 2023, 2022 and 2021 for new and existing DISH TV customer equipment totaled $75 million, $78 million and $104 million, respectively. The decrease in 2023 for new and existing DISH TV customer equipment primarily resulted from lower gross new DISH TV subscriber activations. The decrease in 2022 for new and existing DISH TV customer equipment primarily resulted from lower gross new DISH TV subscriber activations and a higher percentage of remanufactured receivers being activated on new subscriber accounts.</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capital expenditures for satellites related to our Pay-TV segment totaled $105 million. During the years ended December 31, 2023, 2022 and 2021, other corporate capital expenditures totaled $63 million, $50 million and $65 million, respectively. During the years ended December 31, 2023, 2022 and 2021 capital expenditures for our Broadband and Satellite services segment, net of refunds, totaled $233 million, $326 million and $438 million, respectively.</w:t>
      </w:r>
    </w:p>
    <w:p>
      <w:pPr>
        <w:spacing w:after="0" w:line="179" w:lineRule="exact"/>
        <w:rPr>
          <w:sz w:val="20"/>
          <w:szCs w:val="20"/>
          <w:color w:val="auto"/>
        </w:rPr>
      </w:pPr>
    </w:p>
    <w:p>
      <w:pPr>
        <w:jc w:val="both"/>
        <w:ind w:left="60" w:right="3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Our financing activities generally include net proceeds related to the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and long-term and convertible debt, cash used for the repurchase, redemption or payment of long-term debt and finance lease obligations, and repurchases of our Class A common stock. For the years ended December 31, 2023, 2022 and 2021, we reported “Net cash flows from financing activities” outflows of $277 million, $274 million and inflows of $3.515 billion, respectively.</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net cash outflows in 2023 primarily related to the repurchases and redemption of our senior notes of $1.461 billion, net repurchases of our Convertible Notes of $110 million and repayments of long-term debt and finance lease obligations of $122 million, partially offset by $1.522 billion in net proceeds from the issuance of our 11 3/4% Senior Notes due 2027.</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net cash outflows in 2022 primarily related to the repurchases and redemption of our 5 7/8% Senior Notes due 2022 with an aggregate principal balance of $2.0 billion, $89 million of repurchases of our treasury shares and $57 million of repurchases of our 5% Senior Notes due 2023 in open market trades, partially offset by $1.949 billion in net proceeds from the issuance of our 11 3/4% Senior Notes due 2027.</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net cash inflows in 2021 primarily related to $2.737 billion in net proceeds from the issuance of our 5 1/4% Senior Secured Notes due 2026, $2.488 billion in net proceeds from the issuance of our 5 3/4% Senior Secured Notes due 2028, $1.490 billion in net proceeds from the issuance of our 5 1/8% Senior Notes due 2029, partially offset by the repurchases and redemption of our 6 3/4% Senior Notes due 2021 with an aggregate principal balance of $2.0 billion, the redemption of our 7 5/8% Senior Unsecured Notes due 2021 with an aggregate principal balance of $900 million and $261 million of repurchases of our treasury shares.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define free cash flow as “Net cash flows from operating activities” less: (i) “Purchases of property and equipment” net of “Refunds and other receipts of purchases of property and equipment,” and (ii) “Capitalized interest related to Regulatory authorizations,” as shown on our Consolidated Statements of Cash Flows. We believe free cash flow is an important liquidity metric because it measures, during a given period, the amount of cash generated that is available to repay debt obligations, make investments (including strategic wireless investments), fund acquisitions and for certain other activities. Free cash flow is not a measure determined in accordance with GAAP and should not be considered a substitute for “Operating income,” “Net income,”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spacing w:after="0" w:line="18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Free cash flow can be significantly impacted from period to period by changes in “Net income (loss)” adjusted to exclude certain non-cash charges, operating assets and liabilities, “Purchases of property and equipment,” net of “Refunds and other receipts of purchases of property and equipment,” and “Capitalized interest related to Regulatory authorizations.” These items are shown in the “Net cash flows from operating activities” and “Net cash flows from investing activities” sections on our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5G Network Deployment and other factors.</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free cash flow to “Net cash flows from operating activities.”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5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from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2,432,647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3,621,190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4,655,373</w:t>
            </w:r>
          </w:p>
        </w:tc>
      </w:tr>
      <w:tr>
        <w:trPr>
          <w:trHeight w:val="189"/>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net of refunds (including capitalized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related to Regulatory authorizations)</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(4,224,783)</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(4,034,781)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(2,397,197)</w:t>
            </w: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(1,792,136)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(413,591)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2,258,176</w:t>
            </w: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Operational Liquidity</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make general investments in property such as, among others, satellites, wireless devices, set-top boxes, information technology and facilities that support our Pay-TV, Retail Wireless and Broadband and Satellite Services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8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Retail Wireless service margins are impacted by, among other things, our MNSA agreement with T-Mobile and our NSA agreement with AT&amp;T and the speed with which we are able to convert Wireless subscribers onto our 5G Network.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Finally, our future cash flow is impacted by, among other things, the rate at which we complete our 5G Network Deployment, incur litigation expense, and any cash flow from financing activities. We anticipate operating expenditures for our 5G Network Deployment to increase during 2024 as we continue to, among other things, deploy cell sites and communication towers to commercialize our 5G Network. Since we reached our 5G Network Deployment milestone of 70% of the U.S. population, we expect our capital expenditures will decline in the near term. However, as we prepare for our next build-out requirements in 2025, we expect our capital expenditures to increase as we approach this deadline. As a result, our historical cash flow is not necessarily indicative of our future cash flows. As of December 31, 2023, as a result of, among other things, capital expenditures for our 5G Network Deployment, we experienced negative free cash flow. We expect that this trend will continue in 2024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Subscriber Base – Pay TV, Retail Wireless and Broadband and Satellite Services 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“Results of Operations” above for further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Subscriber Acquisition and Retention Costs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With respect to our DISH TV services and Boost postpaid, we employ business rules such as minimum credit requirements for prospective customers and contractual commitments. We strive to provide outstanding customer service to increase the likelihood of customers keeping their Pay-TV services and Boost postpaid over longer periods of time. Subscriber acquisition costs for SLING TV subscribers are significantly lower than those for DISH TV subscribers. Our subscriber acquisition costs may vary significantly from period to period.</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Our DISH TV and Wireless subscriber retention costs may vary significantly from period to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Satellites</w:t>
      </w:r>
    </w:p>
    <w:p>
      <w:pPr>
        <w:spacing w:after="0" w:line="212" w:lineRule="exact"/>
        <w:rPr>
          <w:sz w:val="20"/>
          <w:szCs w:val="20"/>
          <w:color w:val="auto"/>
        </w:rPr>
      </w:pPr>
    </w:p>
    <w:p>
      <w:pPr>
        <w:ind w:left="60" w:right="59"/>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Segment. </w:t>
      </w:r>
      <w:r>
        <w:rPr>
          <w:rFonts w:ascii="Times New Roman" w:cs="Times New Roman" w:eastAsia="Times New Roman" w:hAnsi="Times New Roman"/>
          <w:sz w:val="18"/>
          <w:szCs w:val="18"/>
          <w:color w:val="auto"/>
        </w:rPr>
        <w:t>Operation of our DISH TV services requires that we have adequate satellite transmission capacity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programming that we offer. Moreover, competitive conditions may require that we expand our offering of new programming.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critical programming or a significant delay in our plans to expand programming as necessary to remain competitive and cause us to expend a significant portion of our cash to acquire or lease additional satellite capacity.</w:t>
      </w:r>
    </w:p>
    <w:p>
      <w:pPr>
        <w:spacing w:after="0" w:line="194"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Broadband and Satellite Services Segment. </w:t>
      </w:r>
      <w:r>
        <w:rPr>
          <w:rFonts w:ascii="Times New Roman" w:cs="Times New Roman" w:eastAsia="Times New Roman" w:hAnsi="Times New Roman"/>
          <w:sz w:val="18"/>
          <w:szCs w:val="18"/>
          <w:color w:val="auto"/>
        </w:rPr>
        <w:t>Operation of our Broadband and Satellite Services also requires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satellite transmission capacity for the services that we offer. Prior to the launch of EchoStar XXIV, we were nearing or had reached capacity in most areas of the U.S., which constrained growth within our consumer subscriber base. These constraints have been addressed by the EchoStar XXIV satellite.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ectPr>
          <w:pgSz w:w="11900" w:h="16838" w:orient="portrait"/>
          <w:cols w:equalWidth="0" w:num="1">
            <w:col w:w="9019"/>
          </w:cols>
          <w:pgMar w:left="1440" w:top="513" w:right="1440"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Satellite Insurance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w:t>
      </w:r>
    </w:p>
    <w:p>
      <w:pPr>
        <w:spacing w:after="0" w:line="20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have obtained certain insurance for our EchoStar XXIV satellite covering launch plus the first year of operations.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will continue to assess circumstances going forward and make insurance-related decisions on a case-by-case basis.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Our Board of Directors previously authorized stock repurchases of up to $500 million of our outstanding Class A common stock. On October 20, 2022, our Board of Directors extended this authorization to repurchase up to $500 million of our outstanding Class A common stock through and including December 31, 2023. This program expired December 31, 2023. During the year ended December 31, 2023, there were no repurchases of our Class A common stock. During the years ended December 31, 2022 and 2021, we repurchased 3,980,612 shares and 10,941,872 shares of our Class A common stock,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 and Restrictions Related to our Long-Term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subject to the covenants and restrictions set forth in the indentures related to our long-term debt.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DISH Network and DISH DBS Corporation</w:t>
      </w:r>
    </w:p>
    <w:p>
      <w:pPr>
        <w:spacing w:after="0" w:line="229" w:lineRule="exact"/>
        <w:rPr>
          <w:sz w:val="20"/>
          <w:szCs w:val="20"/>
          <w:color w:val="auto"/>
        </w:rPr>
      </w:pPr>
    </w:p>
    <w:p>
      <w:pPr>
        <w:ind w:left="60" w:right="119"/>
        <w:spacing w:after="0" w:line="276" w:lineRule="auto"/>
        <w:rPr>
          <w:sz w:val="20"/>
          <w:szCs w:val="20"/>
          <w:color w:val="auto"/>
        </w:rPr>
      </w:pPr>
      <w:r>
        <w:rPr>
          <w:rFonts w:ascii="Times New Roman" w:cs="Times New Roman" w:eastAsia="Times New Roman" w:hAnsi="Times New Roman"/>
          <w:sz w:val="17"/>
          <w:szCs w:val="17"/>
          <w:color w:val="auto"/>
        </w:rPr>
        <w:t>The indentures related to our outstanding senior notes issued by DISH DBS Corporation (“DISH DBS”) contain restrictive covenants that, among other things, impose limitations on the ability of DISH DBS and its restricted subsidiaries to:</w:t>
      </w:r>
    </w:p>
    <w:p>
      <w:pPr>
        <w:spacing w:after="0" w:line="1" w:lineRule="exact"/>
        <w:rPr>
          <w:sz w:val="20"/>
          <w:szCs w:val="20"/>
          <w:color w:val="auto"/>
        </w:rPr>
      </w:pPr>
    </w:p>
    <w:p>
      <w:pPr>
        <w:jc w:val="both"/>
        <w:ind w:left="60" w:right="99" w:hanging="10"/>
        <w:spacing w:after="0" w:line="265" w:lineRule="auto"/>
        <w:tabs>
          <w:tab w:leader="none" w:pos="27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w:t>
      </w:r>
    </w:p>
    <w:p>
      <w:pPr>
        <w:ind w:left="60" w:right="7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indentures related to our outstanding DISH Network and DISH DBS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Annual Report on Form 10-K, we, DISH Network and DISH DBS were in compliance with the covenants and restrictions related to our respective long-term debt.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Hughes Satellite Systems Corporation</w:t>
      </w:r>
    </w:p>
    <w:p>
      <w:pPr>
        <w:spacing w:after="0" w:line="229" w:lineRule="exact"/>
        <w:rPr>
          <w:sz w:val="20"/>
          <w:szCs w:val="20"/>
          <w:color w:val="auto"/>
        </w:rPr>
      </w:pPr>
    </w:p>
    <w:p>
      <w:pPr>
        <w:jc w:val="both"/>
        <w:ind w:left="60" w:right="219"/>
        <w:spacing w:after="0" w:line="276" w:lineRule="auto"/>
        <w:rPr>
          <w:sz w:val="20"/>
          <w:szCs w:val="20"/>
          <w:color w:val="auto"/>
        </w:rPr>
      </w:pPr>
      <w:r>
        <w:rPr>
          <w:rFonts w:ascii="Times New Roman" w:cs="Times New Roman" w:eastAsia="Times New Roman" w:hAnsi="Times New Roman"/>
          <w:sz w:val="17"/>
          <w:szCs w:val="17"/>
          <w:color w:val="auto"/>
        </w:rPr>
        <w:t>The indentures related to our outstanding senior notes issued by Hughes Satellite Systems Corporation (“HSSC”) contain restrictive covenants that, among other things, impose limitations on the ability of HSSC and its restricted subsidiaries to:</w:t>
      </w:r>
    </w:p>
    <w:p>
      <w:pPr>
        <w:spacing w:after="0" w:line="1" w:lineRule="exact"/>
        <w:rPr>
          <w:sz w:val="20"/>
          <w:szCs w:val="20"/>
          <w:color w:val="auto"/>
        </w:rPr>
      </w:pPr>
    </w:p>
    <w:p>
      <w:pPr>
        <w:ind w:left="60" w:right="99" w:hanging="10"/>
        <w:spacing w:after="0" w:line="252" w:lineRule="auto"/>
        <w:tabs>
          <w:tab w:leader="none" w:pos="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Annual Report on Form 10-K, we and HSSC were in compliance with the covenants and restrictions related to our respective long-term debt.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We are also vulnerable to fraud, particularly in the acquisition of new subscribers. While we are addressing the impact of subscriber fraud through a number of actions, there can be no assurance that we will not continue to experience fraud, which could impact our subscriber growth and churn. Economic weakness may create greater incentive for signal theft, piracy and subscriber fraud, which could lead to higher subscriber churn and reduced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Obligations and Future Capital Requirements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See Note 15 in the Notes to our Consolidated Financial Statements in this Annual Report on Form 10-K for further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depending on, among other things, the rate at which we complete our 5G Network Deployment, the purchase of additional wireless spectrum licenses and the rate at which we acquire new subscribers, and the cost of subscriber acquisition and retention. Certain of our capital expenditures for 2024 are expected to be driven by the rate of our 5G Network Deployment as well as costs associated with subscriber premises equipment. These expenditures are necessary for our 5G Network Deployment as well as to operate and maintain our DISH TV services. Consequently, we consider them to be non-discretionary.</w:t>
      </w:r>
    </w:p>
    <w:p>
      <w:pPr>
        <w:spacing w:after="0" w:line="19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222222"/>
        </w:rPr>
        <w:t>We currently intend to use our cash, cash equivalents and marketable investment securities, and cash flow from operations to pay the March 2024 debt maturity. However, we do not currently have the necessary cash, cash equivalents and marketable investment securities and/or projected future cash flows to fund the November 2024 debt maturity and subsequent interest on our outstanding debt. To address our capital needs, we are in active discussions with funding sources to raise additional capital and restructure our outstanding debt.</w:t>
      </w:r>
    </w:p>
    <w:p>
      <w:pPr>
        <w:spacing w:after="0" w:line="156" w:lineRule="exact"/>
        <w:rPr>
          <w:sz w:val="20"/>
          <w:szCs w:val="20"/>
          <w:color w:val="auto"/>
        </w:rPr>
      </w:pPr>
    </w:p>
    <w:p>
      <w:pPr>
        <w:ind w:left="60" w:right="79"/>
        <w:spacing w:after="0" w:line="239" w:lineRule="auto"/>
        <w:rPr>
          <w:sz w:val="20"/>
          <w:szCs w:val="20"/>
          <w:color w:val="auto"/>
        </w:rPr>
      </w:pPr>
      <w:r>
        <w:rPr>
          <w:rFonts w:ascii="Times New Roman" w:cs="Times New Roman" w:eastAsia="Times New Roman" w:hAnsi="Times New Roman"/>
          <w:sz w:val="18"/>
          <w:szCs w:val="18"/>
          <w:color w:val="auto"/>
        </w:rPr>
        <w:t>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w:t>
      </w:r>
    </w:p>
    <w:p>
      <w:pPr>
        <w:spacing w:after="0" w:line="171"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15, 2021 the SNR Put Right was exercised. As of December 31, 2023, the aggregate value of SNR Management’s ownership interest in SNR HoldCo was $438 million, recorded as “Redeemable noncontrolling interests” on our Consolidated Balance Sheets.</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Subsequent to December 31, 2023, the FCC consented to the sale of SNR Wireless Management, LLC’s (“SNR Management”) ownership interests in SNR HoldCo, which was purchased by our direct wholly-owned subsidiary EchoStar SNR HoldCo LLC for a total of approximately $442 million on February 16, 2024.</w:t>
      </w:r>
    </w:p>
    <w:p>
      <w:pPr>
        <w:spacing w:after="0" w:line="149" w:lineRule="exact"/>
        <w:rPr>
          <w:sz w:val="20"/>
          <w:szCs w:val="20"/>
          <w:color w:val="auto"/>
        </w:rPr>
      </w:pPr>
    </w:p>
    <w:p>
      <w:pPr>
        <w:ind w:left="60" w:right="99"/>
        <w:spacing w:after="0" w:line="235" w:lineRule="auto"/>
        <w:rPr>
          <w:sz w:val="20"/>
          <w:szCs w:val="20"/>
          <w:color w:val="auto"/>
        </w:rPr>
      </w:pPr>
      <w:r>
        <w:rPr>
          <w:rFonts w:ascii="Times New Roman" w:cs="Times New Roman" w:eastAsia="Times New Roman" w:hAnsi="Times New Roman"/>
          <w:sz w:val="18"/>
          <w:szCs w:val="18"/>
          <w:color w:val="auto"/>
        </w:rPr>
        <w:t>We have and expect to continue to incur expenditures in 2024 related to our 5G Network Deployment, including, but not limited to, capital expenditures associated with our 5G Network Deployment and the potential purchase of additional wireless spectrum licenses. The amount of capital required will also depend on, among other things, our available liquidity, the growth of our Retail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w:t>
      </w:r>
    </w:p>
    <w:p>
      <w:pPr>
        <w:spacing w:after="0" w:line="147" w:lineRule="exact"/>
        <w:rPr>
          <w:sz w:val="20"/>
          <w:szCs w:val="20"/>
          <w:color w:val="auto"/>
        </w:rPr>
      </w:pPr>
    </w:p>
    <w:p>
      <w:pPr>
        <w:jc w:val="both"/>
        <w:ind w:left="60" w:right="219"/>
        <w:spacing w:after="0" w:line="242" w:lineRule="auto"/>
        <w:rPr>
          <w:sz w:val="20"/>
          <w:szCs w:val="20"/>
          <w:color w:val="auto"/>
        </w:rPr>
      </w:pPr>
      <w:r>
        <w:rPr>
          <w:rFonts w:ascii="Times New Roman" w:cs="Times New Roman" w:eastAsia="Times New Roman" w:hAnsi="Times New Roman"/>
          <w:sz w:val="18"/>
          <w:szCs w:val="18"/>
          <w:color w:val="auto"/>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5G Network Deployment Segment</w:t>
      </w:r>
    </w:p>
    <w:p>
      <w:pPr>
        <w:spacing w:after="0" w:line="229"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See Note 15 in the Notes to our Consolidated Financial Statements in this Annual Report on Form 10-K for further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Credit and Effect on Liquidity</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judgments and assumptions that affect amounts reported therein. Management bases its estimates, judgments and assumptions on historical experience and on various other factors that are believed to be reasonable under the circumstances. Actual results may differ from previously estimated amounts, and such differences may be material to our consolidated financial statements. Estimates and assumptions are reviewed periodically, and the effects of revisions are reflected prospectively in the period they occur. The following represent what we believe are the critical accounting policies that may involve a high degree of estimation, judgment and complexity. For a summary of our significant accounting policies, including those discussed below, see Note 2 in the Notes to our Consolidated Financial Statements in this Annual Report on Form 10-K.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 and Goodwill</w:t>
      </w:r>
    </w:p>
    <w:p>
      <w:pPr>
        <w:spacing w:after="0" w:line="227"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Valuation of intangible assets with indefinite lives</w:t>
      </w:r>
      <w:r>
        <w:rPr>
          <w:rFonts w:ascii="Times New Roman" w:cs="Times New Roman" w:eastAsia="Times New Roman" w:hAnsi="Times New Roman"/>
          <w:sz w:val="18"/>
          <w:szCs w:val="18"/>
          <w:color w:val="auto"/>
        </w:rPr>
        <w:t>. We evaluate the carrying amount of intangible assets with indefinite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annually, and also when events and circumstances warrant.</w:t>
      </w:r>
    </w:p>
    <w:p>
      <w:pPr>
        <w:spacing w:after="0" w:line="156"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Wireless Spectrum Licenses. </w:t>
      </w:r>
      <w:r>
        <w:rPr>
          <w:rFonts w:ascii="Times New Roman" w:cs="Times New Roman" w:eastAsia="Times New Roman" w:hAnsi="Times New Roman"/>
          <w:sz w:val="18"/>
          <w:szCs w:val="18"/>
          <w:color w:val="auto"/>
        </w:rPr>
        <w:t>During 2022, we acquired the 3.45-3.55 GHz wireless licenses (the “3.45–3.55 GHz</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Licenses”). During 2021, we acquired the 3550-3650 MHz (CBRS) and 3.7-3.98 GHz wireless licenses, together (the “C-Band Licenses”). During 2020, we acquired the 37 GHz, 39 GHz, and 47 GHz wireless licenses and during 2019, we acquired the 24 GHz and 28 GHz wireless licenses, together (the “High-Band Licenses”).</w:t>
      </w:r>
    </w:p>
    <w:p>
      <w:pPr>
        <w:spacing w:after="0" w:line="18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2023 and 2022, we combined our 600 MHz, 700 MHz, AWS-4, H Block, High-Band Licenses, C-Band Licenses, 3.45– 3.55 GHz Licenses and the Northstar Licenses and SNR Licenses into a single unit of accounting. In 2021, we combined our 600 MHz, 700 MHz, AWS-4, H Block, High-Band Licenses, C-Band Licenses, 3.45–3.55 GHz Licenses and the Northstar Licenses and SNR Licenses into a single unit of accounting.</w:t>
      </w:r>
    </w:p>
    <w:p>
      <w:pPr>
        <w:spacing w:after="0" w:line="180"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In 2023, we quantitatively assessed these licenses for impairment. Our quantitative assessment consisted of a market approach performed by a third party and reviewed by management.</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5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Market Approach. </w:t>
      </w:r>
      <w:r>
        <w:rPr>
          <w:rFonts w:ascii="Times New Roman" w:cs="Times New Roman" w:eastAsia="Times New Roman" w:hAnsi="Times New Roman"/>
          <w:sz w:val="17"/>
          <w:szCs w:val="17"/>
          <w:color w:val="auto"/>
        </w:rPr>
        <w:t>Currently frequencies in the 500 kHz to 30 GHz make up the bulk of commercial use in the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States. Spectrum bands can be grouped into four categories: low-band (less than 1 GHz), lower mid-band (1-2 GHz), upper mid-band (primarily 2-4 GHz) and high-band (generally above 24 GHz). Radio frequencies have different characteristics with regard to the distance they will travel and their ability to penetrate structures. Lower band frequency bands require less power to travel large distances and propagate well providing geographic coverage, whereas higher bandwidth spectrum is favored in urban settings where the goal is increased data capacity and cell sites are dense, with limited coverage areas.</w:t>
      </w:r>
    </w:p>
    <w:p>
      <w:pPr>
        <w:spacing w:after="0" w:line="170"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Spectrum is licensed by geographic areas that can vary from the size of a county to significantly larger expanses. Licenses can cover densely populated urban areas to sparsely populated rural regions. Pricing for spectrum licenses will vary, sometimes significantly based on the frequency, population area or restrictions associated with the authorization for use obtained from the FCC. Population or “Pop” is a key input to valuing each geographic license. The amount of spectrum included in a license is measured in terms of megahertz, referred to as “MHz.” The wider the band the greater the MHz.</w:t>
      </w:r>
    </w:p>
    <w:p>
      <w:pPr>
        <w:spacing w:after="0" w:line="168"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The market approach assessed the value of our spectrum using benchmarks, based on market transactions, which may include spectrum auctions and secondary market transactions, either acquisitions of spectrum or of businesses for which spectrum values can reliably be inferred. The market approach looked at the value of each band of our spectrum by block and geographic area based on pairing the spectrum in a manner that yielded its highest and best use. Prices were then calculated on an amount per MHz-Pop basis (where the numerator is the total value of the licenses and the denominator is the product of the population and MHz) based upon the most relevant data points. Finally, a discount was applied to the analysis for lack of marketability on certain of our holdings based on sale restrictions associated with those specific bands.</w:t>
      </w:r>
    </w:p>
    <w:p>
      <w:pPr>
        <w:spacing w:after="0" w:line="171"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Our spectrum holdings include low-band, lower mid-band, upper mid-band (collectively referred to as “Low-Mid Band Licenses”) and high-band licenses.</w:t>
      </w:r>
    </w:p>
    <w:p>
      <w:pPr>
        <w:spacing w:after="0" w:line="16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 part of our impairment assessment we performed the market approach during the fourth quarter of 2023 and concluded that the fair value of these licenses are substantially in excess of their carrying value.</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Changes in circumstances or market conditions could result in a write-down of any of the above Wireless spectrum licenses in the future.</w:t>
      </w:r>
    </w:p>
    <w:p>
      <w:pPr>
        <w:spacing w:after="0" w:line="158" w:lineRule="exact"/>
        <w:rPr>
          <w:sz w:val="20"/>
          <w:szCs w:val="20"/>
          <w:color w:val="auto"/>
        </w:rPr>
      </w:pPr>
    </w:p>
    <w:p>
      <w:pPr>
        <w:jc w:val="both"/>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We test goodwill for impairment at the reporting unit level, which includes, among others, the SLING TV, DISH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TV, Retail Wireless, 5G Network Deployment and Hughes reporting units. Historically the majority of our goodwill relates to the Hughes reporting unit within our Broadband and Satellite Services segment and the Retail Wireless and 5G Network Deployment segments. Our impairment assessment is detailed by segment below.</w:t>
      </w:r>
    </w:p>
    <w:p>
      <w:pPr>
        <w:spacing w:after="0" w:line="180"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We perform our annual impairment assessment for goodwill and other indefinite-lived intangible assets each year during the fourth quarter or more frequently if events or changes in circumstances indicate an impairment may be possible. We previously performed our annual impairment assessment for goodwill during the second quarter and changed the testing date due to the Merger in order to align the testing date between all reporting units. The change in testing date does not result in a material change in the method of our goodwill impairment assessment. We may consider qualitative factors to assess if it is more likely than not that the fair value for goodwill is below the carrying amount. If we determine in the qualitative assessment that it is more likely than not that the fair value is less than its carrying value, then we perform a quantitative assessment to determine the estimated fair value of the reporting unit. We may also elect to bypass the qualitative assessment and perform a quantitative assessment.</w:t>
      </w:r>
    </w:p>
    <w:p>
      <w:pPr>
        <w:spacing w:after="0" w:line="188" w:lineRule="exact"/>
        <w:rPr>
          <w:sz w:val="20"/>
          <w:szCs w:val="20"/>
          <w:color w:val="auto"/>
        </w:rPr>
      </w:pPr>
    </w:p>
    <w:p>
      <w:pPr>
        <w:ind w:left="60" w:right="479"/>
        <w:spacing w:after="0" w:line="256" w:lineRule="auto"/>
        <w:rPr>
          <w:sz w:val="20"/>
          <w:szCs w:val="20"/>
          <w:color w:val="auto"/>
        </w:rPr>
      </w:pPr>
      <w:r>
        <w:rPr>
          <w:rFonts w:ascii="Times New Roman" w:cs="Times New Roman" w:eastAsia="Times New Roman" w:hAnsi="Times New Roman"/>
          <w:sz w:val="18"/>
          <w:szCs w:val="18"/>
          <w:color w:val="auto"/>
        </w:rPr>
        <w:t>Our assessment process included, among other things, discounted cash flow analyses, consideration of fair values of tangible and indefinite-lived intangible assets held by the reporting units and our recent market capitalization. Our assessment indicated the goodwill attributed to certain acquisitions was no longer supported based on the sustained decrease in our market capitalization. As such, we recorded a total noncash impairment charge of approximately $758 million in “Impairment of long-lived assets and goodwill” on our Consolidated Statements of Operations and Comprehensive Income (Loss).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Our income tax policy is to record the estimated future tax effects of temporary differences between the tax bases of assets and liabilities and amounts reported in the accompanying consolidated balance sheets, as well as operating loss and tax credit carryforwards. Determining necessary valuation allowances requires us to make assessments about the timing of future events, including the probability of expected future taxable income and available tax planning opportunities. We periodically evaluate our need for a valuation allowance based on both historical evidence, including trends, and future expectations in each reporting period. Any such valuation allowance is recorded in either “Income tax (provision) benefit, net” on our Consolidated Statements of Operations and Comprehensive Income (Loss) or “Accumulated other comprehensive income (loss)” within “Stockholders’ Equity (Deficit)” on our Consolidated Balance Sheets. Future performance could have a significant effect on the realization of tax benefits, or reversals of valuation allowances, as reported in our consolidated results of operations.</w:t>
      </w:r>
    </w:p>
    <w:p>
      <w:pPr>
        <w:spacing w:after="0" w:line="194"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Management evaluates the recognition and measurement of uncertain tax positions based on applicable tax law, regulations, case law, administrative rulings and pronouncements and the facts and circumstances surrounding the tax position. Changes in our estimates related to the recognition and measurement of the amount recorded for uncertain tax positions could result in significant changes in our “Income tax provision (benefit), net,” which could be material to our consolidated results of operations.</w:t>
      </w:r>
    </w:p>
    <w:p>
      <w:pPr>
        <w:spacing w:after="0" w:line="18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 significant amount of management judgment is required in determining when, or if, an accrual should be recorded for a contingency and the amount of such accrual. Estimates generally are developed in consultation with counsel and are based on an analysis of potential outcomes. Due to the uncertainty of determining the likelihood of a future event occurring and the potential financial statement impact of such an event, it is possible that upon further development or resolution of a contingent matter, a charge could be recorded in a future period to “Selling, general and administrative expenses” or “Litigation expense” on our Consolidated Statements of Operations and Comprehensive Income (Loss) that would be material to our consolidated results of operations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“Broadband and Satellite Services Segment” above for further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See Note 2 in the Notes to our Consolidated Financial Statements in this Annual Report on Form 10-K for further information.</w:t>
      </w:r>
    </w:p>
    <w:p>
      <w:pPr>
        <w:spacing w:after="0" w:line="15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Risks Associated with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investments and debt are exposed to market risks, discussed below.</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Current Marketable Investment Securities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2023, our cash, cash equivalents and current marketable investment securities had a fair value of $2.444 billion. Of that amount, a total of $2.277 billion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 change in interest rates would affect the fair value of our cash, cash equivalents and current marketable investment securities portfolio; however, we normally hold these investments to maturity. Based on our December 31, 2023 current non-strategic investment portfolio of $2.277 billion, a hypothetical 10% change in average interest rates would not have a material impact on the fair value due to the limited duration of our investments.</w:t>
      </w:r>
    </w:p>
    <w:p>
      <w:pPr>
        <w:spacing w:after="0" w:line="180"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Our cash, cash equivalents and current marketable investment securities had an average annual rate of return for the year ended December 31, 2023 of 5.1%. A change in interest rates would affect our future annual interest income from this portfolio, since funds would be re-invested at different rates as the instruments mature. A hypothetical 10% decrease in average interest rates during 2023 would result in a decrease of approximately $18 million in annual interest income.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Marketable Investment Securities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2023, we held investments in the publicly traded securities of several companies with a fair value of $167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2023 would have resulted in a decrease of $17 million in the fair value of these investments.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Cash Equivalents and Marketable Investment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we had $118 million of restricted cash and marketable investment securities invested in:</w:t>
      </w:r>
    </w:p>
    <w:p>
      <w:pPr>
        <w:spacing w:after="0" w:line="27" w:lineRule="exact"/>
        <w:rPr>
          <w:sz w:val="20"/>
          <w:szCs w:val="20"/>
          <w:color w:val="auto"/>
        </w:rPr>
      </w:pPr>
    </w:p>
    <w:p>
      <w:pPr>
        <w:ind w:left="300" w:hanging="250"/>
        <w:spacing w:after="0"/>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 money market funds; (c) debt instruments of the United States Government and its agencies; and/or</w:t>
      </w:r>
    </w:p>
    <w:p>
      <w:pPr>
        <w:spacing w:after="0" w:line="9" w:lineRule="exact"/>
        <w:rPr>
          <w:rFonts w:ascii="Times New Roman" w:cs="Times New Roman" w:eastAsia="Times New Roman" w:hAnsi="Times New Roman"/>
          <w:sz w:val="18"/>
          <w:szCs w:val="18"/>
          <w:color w:val="auto"/>
        </w:rPr>
      </w:pPr>
    </w:p>
    <w:p>
      <w:pPr>
        <w:ind w:left="60" w:right="279" w:hanging="10"/>
        <w:spacing w:after="0" w:line="255" w:lineRule="auto"/>
        <w:tabs>
          <w:tab w:leader="none" w:pos="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with similar risk, duration and credit quality characteristics to commercial paper. Based on our December 31, 2023 investment portfolio, a hypothetical 10% increase in average interest rates would not have a material impact on the fair value of our restricted cash and marketable investment securities.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2023, we had foreign currency forward contracts with a notional amount of less than $1 million in place to partially mitigate foreign currency exchange risk. The estimated fair values of the foreign currency contracts were not material as of December 31, 2023. The impact of a hypothetical 10% adverse change in exchange rates on the carrying amount of the net assets and liabilities of our foreign subsidiaries during 2023 would have resulted in an estimated loss to the cumulative translation adjustment of $43 million as of December 31, 2023.</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As of December 31, 2023, we had long-term debt of $22.710 billion, excluding finance lease obligations and unamortized deferred financing costs and debt discounts, on our Consolidated Balance Sheets. We estimated the fair value of this debt to be approximately $17.844 billion using quoted market prices. The fair value of our debt is affected by fluctuations in interest rates. A hypothetical 10% decrease in assumed interest rates would increase the fair value of our debt by approximately $688 million. To the extent interest rates increase, our future costs of financing would increase at the time of any future financings. As of December 31, 2023, all of our long-term debt consisted of fixed rate indebtedness.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From time to time, we invest in speculative financial instruments, including derivatives. As of December 31, 2023, we did not hold any material derivative financial instruments other than the option to purchase certain T-Mobile’s 800 MHz spectrum licenses under the Spectrum Purchase Agreement. See Note 6 in the Notes to our Consolidated Financial Statements in this Annual Report on Form 10-K for further information.</w:t>
      </w:r>
    </w:p>
    <w:p>
      <w:pPr>
        <w:spacing w:after="0" w:line="176"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consolidated financial statements are included in this Annual Report on Form 10-K beginning on page F-1.</w:t>
      </w:r>
    </w:p>
    <w:p>
      <w:pPr>
        <w:spacing w:after="0" w:line="221"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As a result of the Merger, our internal control over financial reporting (as defined by Rule 13a-15(f) under the Securities and Exchange Act of 1934) changed during our most recent fiscal quarter. We determined that the Merger involved the transfer of a business, which for entities under common control required the retrospective combination of DISH Network into the Company for all periods presented using the historical cost basis of the acquired assets. For the consolidated entity, we implemented new internal controls to record the retrospective combination and associated financial reporting. Further, as DISH Network was material to EchoStar, we adopted many aspects of DISH Network’s control environment for our internal control over financial reporting.</w:t>
      </w:r>
    </w:p>
    <w:p>
      <w:pPr>
        <w:sectPr>
          <w:pgSz w:w="11900" w:h="16838" w:orient="portrait"/>
          <w:cols w:equalWidth="0" w:num="1">
            <w:col w:w="9019"/>
          </w:cols>
          <w:pgMar w:left="1440" w:top="513" w:right="1440"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25" w:lineRule="exact"/>
        <w:rPr>
          <w:sz w:val="20"/>
          <w:szCs w:val="20"/>
          <w:color w:val="auto"/>
        </w:rPr>
      </w:pPr>
    </w:p>
    <w:p>
      <w:pPr>
        <w:ind w:left="1040" w:right="239" w:hanging="639"/>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61" w:lineRule="exact"/>
        <w:rPr>
          <w:rFonts w:ascii="Times New Roman" w:cs="Times New Roman" w:eastAsia="Times New Roman" w:hAnsi="Times New Roman"/>
          <w:sz w:val="18"/>
          <w:szCs w:val="18"/>
          <w:color w:val="auto"/>
        </w:rPr>
      </w:pPr>
    </w:p>
    <w:p>
      <w:pPr>
        <w:ind w:left="1040" w:right="299" w:hanging="639"/>
        <w:spacing w:after="0" w:line="261"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spacing w:after="0" w:line="179" w:lineRule="exact"/>
        <w:rPr>
          <w:rFonts w:ascii="Times New Roman" w:cs="Times New Roman" w:eastAsia="Times New Roman" w:hAnsi="Times New Roman"/>
          <w:sz w:val="18"/>
          <w:szCs w:val="18"/>
          <w:color w:val="auto"/>
        </w:rPr>
      </w:pPr>
    </w:p>
    <w:p>
      <w:pPr>
        <w:ind w:left="1040" w:right="319" w:hanging="639"/>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5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(COSO). Based on this evaluation, our management concluded that our internal control over financial reporting was effective as of December 31, 2023.</w:t>
      </w:r>
    </w:p>
    <w:p>
      <w:pPr>
        <w:spacing w:after="0" w:line="180"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an independent registered public accounting firm, as stated in their report which appears in Item 15(a) of this Annual Report on Form 10-K.</w:t>
      </w:r>
    </w:p>
    <w:p>
      <w:pPr>
        <w:spacing w:after="0" w:line="1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Section 16 officers adopted, modified or terminated a Rule 10b5-1 trading arrangement or a non-Rule 10b5-1 trading arrangement during the Company’s fiscal quarter ended December 31, 2023, as such terms are defined under Item 408(a) of Regulation S-K.</w:t>
      </w:r>
    </w:p>
    <w:p>
      <w:pPr>
        <w:spacing w:after="0" w:line="1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2023 Annual Meeting of Shareholders, which information is hereby incorporated herein by reference.</w:t>
      </w:r>
    </w:p>
    <w:p>
      <w:pPr>
        <w:spacing w:after="0" w:line="16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the identity and business experience of our executive officers is set forth under the caption “Information About Our Executive Officers” in this Annual Report on Form 10-K.</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2023 Annual Meeting of Shareholders, which information is hereby incorporated herein by reference.</w:t>
      </w:r>
    </w:p>
    <w:p>
      <w:pPr>
        <w:spacing w:after="0" w:line="158" w:lineRule="exact"/>
        <w:rPr>
          <w:sz w:val="20"/>
          <w:szCs w:val="20"/>
          <w:color w:val="auto"/>
        </w:rPr>
      </w:pPr>
    </w:p>
    <w:p>
      <w:pPr>
        <w:ind w:left="960" w:right="539" w:hanging="904"/>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2023 Annual Meeting of Shareholders, which information is hereby incorporated herein by reference.</w:t>
      </w:r>
    </w:p>
    <w:p>
      <w:pPr>
        <w:spacing w:after="0" w:line="158" w:lineRule="exact"/>
        <w:rPr>
          <w:sz w:val="20"/>
          <w:szCs w:val="20"/>
          <w:color w:val="auto"/>
        </w:rPr>
      </w:pPr>
    </w:p>
    <w:p>
      <w:pPr>
        <w:ind w:left="960" w:right="1439" w:hanging="904"/>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tab/>
        <w:t>CERTAIN RELATIONSHIPS AND RELATED TRANSACTIONS, AND DIRECTOR INDEPENDENCE</w:t>
      </w:r>
    </w:p>
    <w:p>
      <w:pPr>
        <w:spacing w:after="0" w:line="159"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2023 Annual Meeting of Shareholders, which information is hereby incorporated herein by reference.</w:t>
      </w:r>
    </w:p>
    <w:p>
      <w:pPr>
        <w:spacing w:after="0" w:line="15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2023 Annual Meeting of Shareholders, which information is hereby incorporated herein by reference.</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20" w:type="dxa"/>
            <w:vAlign w:val="bottom"/>
          </w:tcPr>
          <w:p>
            <w:pPr>
              <w:spacing w:after="0"/>
              <w:rPr>
                <w:sz w:val="20"/>
                <w:szCs w:val="20"/>
                <w:color w:val="auto"/>
              </w:rPr>
            </w:pPr>
          </w:p>
        </w:tc>
      </w:tr>
      <w:tr>
        <w:trPr>
          <w:trHeight w:val="432"/>
        </w:trPr>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5"/>
              </w:rPr>
              <w:t>Item 15.</w:t>
            </w:r>
          </w:p>
        </w:tc>
        <w:tc>
          <w:tcPr>
            <w:tcW w:w="66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FINANCIAL STATEMENT SCHEDULES</w:t>
            </w:r>
          </w:p>
        </w:tc>
        <w:tc>
          <w:tcPr>
            <w:tcW w:w="520" w:type="dxa"/>
            <w:vAlign w:val="bottom"/>
          </w:tcPr>
          <w:p>
            <w:pPr>
              <w:spacing w:after="0"/>
              <w:rPr>
                <w:sz w:val="24"/>
                <w:szCs w:val="24"/>
                <w:color w:val="auto"/>
              </w:rPr>
            </w:pPr>
          </w:p>
        </w:tc>
      </w:tr>
      <w:tr>
        <w:trPr>
          <w:trHeight w:val="432"/>
        </w:trPr>
        <w:tc>
          <w:tcPr>
            <w:tcW w:w="75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520" w:type="dxa"/>
            <w:vAlign w:val="bottom"/>
          </w:tcPr>
          <w:p>
            <w:pPr>
              <w:spacing w:after="0"/>
              <w:rPr>
                <w:sz w:val="24"/>
                <w:szCs w:val="24"/>
                <w:color w:val="auto"/>
              </w:rPr>
            </w:pPr>
          </w:p>
        </w:tc>
      </w:tr>
      <w:tr>
        <w:trPr>
          <w:trHeight w:val="432"/>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654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c>
          <w:tcPr>
            <w:tcW w:w="520" w:type="dxa"/>
            <w:vAlign w:val="bottom"/>
          </w:tcPr>
          <w:p>
            <w:pPr>
              <w:spacing w:after="0"/>
              <w:rPr>
                <w:sz w:val="24"/>
                <w:szCs w:val="24"/>
                <w:color w:val="auto"/>
              </w:rPr>
            </w:pPr>
          </w:p>
        </w:tc>
      </w:tr>
      <w:tr>
        <w:trPr>
          <w:trHeight w:val="378"/>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KPMG LLP, Independent Registered Public Accounting Firm</w:t>
            </w:r>
          </w:p>
        </w:tc>
        <w:tc>
          <w:tcPr>
            <w:tcW w:w="1360" w:type="dxa"/>
            <w:vAlign w:val="bottom"/>
            <w:gridSpan w:val="2"/>
          </w:tcPr>
          <w:p>
            <w:pPr>
              <w:spacing w:after="0"/>
              <w:rPr>
                <w:sz w:val="24"/>
                <w:szCs w:val="24"/>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7"/>
              </w:rPr>
              <w:t>F-2</w:t>
            </w: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4440" w:type="dxa"/>
            <w:vAlign w:val="bottom"/>
            <w:gridSpan w:val="6"/>
          </w:tcPr>
          <w:p>
            <w:pPr>
              <w:spacing w:after="0"/>
              <w:rPr>
                <w:sz w:val="17"/>
                <w:szCs w:val="17"/>
                <w:color w:val="auto"/>
              </w:rPr>
            </w:pPr>
          </w:p>
        </w:tc>
        <w:tc>
          <w:tcPr>
            <w:tcW w:w="5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p>
        </w:tc>
        <w:tc>
          <w:tcPr>
            <w:tcW w:w="5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w:t>
            </w:r>
          </w:p>
        </w:tc>
        <w:tc>
          <w:tcPr>
            <w:tcW w:w="1160" w:type="dxa"/>
            <w:vAlign w:val="bottom"/>
          </w:tcPr>
          <w:p>
            <w:pPr>
              <w:spacing w:after="0"/>
              <w:rPr>
                <w:sz w:val="17"/>
                <w:szCs w:val="17"/>
                <w:color w:val="auto"/>
              </w:rPr>
            </w:pPr>
          </w:p>
        </w:tc>
        <w:tc>
          <w:tcPr>
            <w:tcW w:w="5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2180" w:type="dxa"/>
            <w:vAlign w:val="bottom"/>
            <w:tcBorders>
              <w:top w:val="single" w:sz="8" w:color="0000EE"/>
            </w:tcBorders>
            <w:gridSpan w:val="2"/>
          </w:tcPr>
          <w:p>
            <w:pPr>
              <w:spacing w:after="0"/>
              <w:rPr>
                <w:sz w:val="17"/>
                <w:szCs w:val="17"/>
                <w:color w:val="auto"/>
              </w:rPr>
            </w:pPr>
          </w:p>
        </w:tc>
        <w:tc>
          <w:tcPr>
            <w:tcW w:w="1480" w:type="dxa"/>
            <w:vAlign w:val="bottom"/>
            <w:gridSpan w:val="3"/>
          </w:tcPr>
          <w:p>
            <w:pPr>
              <w:spacing w:after="0"/>
              <w:rPr>
                <w:sz w:val="17"/>
                <w:szCs w:val="17"/>
                <w:color w:val="auto"/>
              </w:rPr>
            </w:pPr>
          </w:p>
        </w:tc>
        <w:tc>
          <w:tcPr>
            <w:tcW w:w="5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87"/>
              </w:rPr>
              <w:t>F-8</w:t>
            </w: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80" w:type="dxa"/>
            <w:vAlign w:val="bottom"/>
            <w:gridSpan w:val="4"/>
          </w:tcPr>
          <w:p>
            <w:pPr>
              <w:spacing w:after="0"/>
              <w:rPr>
                <w:sz w:val="17"/>
                <w:szCs w:val="17"/>
                <w:color w:val="auto"/>
              </w:rPr>
            </w:pPr>
          </w:p>
        </w:tc>
        <w:tc>
          <w:tcPr>
            <w:tcW w:w="5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87"/>
              </w:rPr>
              <w:t>F-9</w:t>
            </w:r>
          </w:p>
        </w:tc>
      </w:tr>
      <w:tr>
        <w:trPr>
          <w:trHeight w:val="453"/>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80" w:type="dxa"/>
            <w:vAlign w:val="bottom"/>
          </w:tcPr>
          <w:p>
            <w:pPr>
              <w:spacing w:after="0"/>
              <w:rPr>
                <w:sz w:val="24"/>
                <w:szCs w:val="24"/>
                <w:color w:val="auto"/>
              </w:rPr>
            </w:pPr>
          </w:p>
        </w:tc>
        <w:tc>
          <w:tcPr>
            <w:tcW w:w="654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tc>
        <w:tc>
          <w:tcPr>
            <w:tcW w:w="520" w:type="dxa"/>
            <w:vAlign w:val="bottom"/>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 All schedules have been included in the consolidated financial statements or notes thereto.</w:t>
      </w:r>
    </w:p>
    <w:p>
      <w:pPr>
        <w:spacing w:after="0" w:line="223" w:lineRule="exact"/>
        <w:rPr>
          <w:sz w:val="20"/>
          <w:szCs w:val="20"/>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1" w:lineRule="exact"/>
        <w:rPr>
          <w:sz w:val="20"/>
          <w:szCs w:val="20"/>
          <w:color w:val="auto"/>
        </w:rPr>
      </w:pPr>
    </w:p>
    <w:p>
      <w:pPr>
        <w:ind w:left="1060" w:right="219" w:hanging="78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26">
        <w:r>
          <w:rPr>
            <w:rFonts w:ascii="Times New Roman" w:cs="Times New Roman" w:eastAsia="Times New Roman" w:hAnsi="Times New Roman"/>
            <w:sz w:val="18"/>
            <w:szCs w:val="18"/>
            <w:u w:val="single" w:color="auto"/>
            <w:color w:val="0000EE"/>
          </w:rPr>
          <w:t>Asset Purchase Agreement, dated as of July 26, 2019, by and among T-Mobile US, Inc., Sprint Corporation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and DISH Network Corporation (incorporated by reference from Exhibit 2.2 to the Quarterly Report 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Form 10-Q of DISH Network Corporation filed July 29, 2019).</w:t>
        </w:r>
      </w:hyperlink>
    </w:p>
    <w:p>
      <w:pPr>
        <w:spacing w:after="0" w:line="191" w:lineRule="exact"/>
        <w:rPr>
          <w:rFonts w:ascii="Times New Roman" w:cs="Times New Roman" w:eastAsia="Times New Roman" w:hAnsi="Times New Roman"/>
          <w:sz w:val="18"/>
          <w:szCs w:val="18"/>
          <w:u w:val="single" w:color="auto"/>
          <w:color w:val="0000EE"/>
        </w:rPr>
      </w:pPr>
    </w:p>
    <w:p>
      <w:pPr>
        <w:ind w:left="1060" w:right="79" w:hanging="78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27">
        <w:r>
          <w:rPr>
            <w:rFonts w:ascii="Times New Roman" w:cs="Times New Roman" w:eastAsia="Times New Roman" w:hAnsi="Times New Roman"/>
            <w:sz w:val="18"/>
            <w:szCs w:val="18"/>
            <w:u w:val="single" w:color="auto"/>
            <w:color w:val="0000EE"/>
          </w:rPr>
          <w:t>First Amendment to the Asset Purchase Agreement, dated June 17, 2020, by and between DISH Network and</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NTM (incorporated by reference from Exhibit 99.1 of the Current Report on Form 8-K of DISH Network</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Corporation filed June 17, 2020).</w:t>
        </w:r>
      </w:hyperlink>
    </w:p>
    <w:p>
      <w:pPr>
        <w:sectPr>
          <w:pgSz w:w="11900" w:h="16838" w:orient="portrait"/>
          <w:cols w:equalWidth="0" w:num="1">
            <w:col w:w="9019"/>
          </w:cols>
          <w:pgMar w:left="1440" w:top="513" w:right="1440" w:bottom="1440" w:gutter="0" w:footer="0" w:header="0"/>
        </w:sectPr>
      </w:pPr>
    </w:p>
    <w:p>
      <w:pPr>
        <w:spacing w:after="0" w:line="191"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726"/>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129">
        <w:r>
          <w:rPr>
            <w:rFonts w:ascii="Times New Roman" w:cs="Times New Roman" w:eastAsia="Times New Roman" w:hAnsi="Times New Roman"/>
            <w:sz w:val="18"/>
            <w:szCs w:val="18"/>
            <w:u w:val="single" w:color="auto"/>
            <w:color w:val="0000EE"/>
          </w:rPr>
          <w:t>Amended and Restated Agreement and Plan of Merger, dated as of October 2, 2023, by and among EchoStar</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Corporation, DISH Network Corporation and EAV Corp. (incorporated by reference from Exhibit 2.1 to</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EchoStar’s Current Report on Form 8-K filed on October 3, 2023).*</w:t>
        </w:r>
      </w:hyperlink>
    </w:p>
    <w:p>
      <w:pPr>
        <w:spacing w:after="0" w:line="150" w:lineRule="exact"/>
        <w:rPr>
          <w:rFonts w:ascii="Times New Roman" w:cs="Times New Roman" w:eastAsia="Times New Roman" w:hAnsi="Times New Roman"/>
          <w:sz w:val="18"/>
          <w:szCs w:val="18"/>
          <w:u w:val="single" w:color="auto"/>
          <w:color w:val="0000EE"/>
        </w:rPr>
      </w:pPr>
    </w:p>
    <w:p>
      <w:pPr>
        <w:ind w:left="240"/>
        <w:spacing w:after="0" w:line="207" w:lineRule="exact"/>
        <w:tabs>
          <w:tab w:leader="none" w:pos="1020" w:val="left"/>
        </w:tabs>
        <w:rPr>
          <w:sz w:val="20"/>
          <w:szCs w:val="20"/>
          <w:color w:val="auto"/>
        </w:rPr>
      </w:pPr>
      <w:r>
        <w:rPr>
          <w:rFonts w:ascii="Times New Roman" w:cs="Times New Roman" w:eastAsia="Times New Roman" w:hAnsi="Times New Roman"/>
          <w:sz w:val="18"/>
          <w:szCs w:val="18"/>
          <w:color w:val="auto"/>
        </w:rPr>
        <w:t>3.1</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Amended and Restated Articles of Incorporation of EchoStar Corporation.</w:t>
      </w:r>
    </w:p>
    <w:p>
      <w:pPr>
        <w:spacing w:after="0" w:line="252" w:lineRule="exact"/>
        <w:rPr>
          <w:rFonts w:ascii="Times New Roman" w:cs="Times New Roman" w:eastAsia="Times New Roman" w:hAnsi="Times New Roman"/>
          <w:sz w:val="18"/>
          <w:szCs w:val="18"/>
          <w:u w:val="single" w:color="auto"/>
          <w:color w:val="0000EE"/>
        </w:rPr>
      </w:pPr>
    </w:p>
    <w:p>
      <w:pPr>
        <w:ind w:left="240"/>
        <w:spacing w:after="0" w:line="207" w:lineRule="exact"/>
        <w:tabs>
          <w:tab w:leader="none" w:pos="1020" w:val="left"/>
        </w:tabs>
        <w:rPr>
          <w:sz w:val="20"/>
          <w:szCs w:val="20"/>
          <w:color w:val="auto"/>
        </w:rPr>
      </w:pPr>
      <w:r>
        <w:rPr>
          <w:rFonts w:ascii="Times New Roman" w:cs="Times New Roman" w:eastAsia="Times New Roman" w:hAnsi="Times New Roman"/>
          <w:sz w:val="18"/>
          <w:szCs w:val="18"/>
          <w:color w:val="auto"/>
        </w:rPr>
        <w:t>3.2</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EE"/>
        </w:rPr>
        <w:t>Amended and Restated Bylaws of EchoStar Corporation.</w:t>
      </w:r>
    </w:p>
    <w:p>
      <w:pPr>
        <w:spacing w:after="0" w:line="293" w:lineRule="exact"/>
        <w:rPr>
          <w:rFonts w:ascii="Times New Roman" w:cs="Times New Roman" w:eastAsia="Times New Roman" w:hAnsi="Times New Roman"/>
          <w:sz w:val="18"/>
          <w:szCs w:val="18"/>
          <w:u w:val="single" w:color="auto"/>
          <w:color w:val="0000EE"/>
        </w:rPr>
      </w:pPr>
    </w:p>
    <w:p>
      <w:pPr>
        <w:ind w:left="260"/>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30">
        <w:r>
          <w:rPr>
            <w:rFonts w:ascii="Times New Roman" w:cs="Times New Roman" w:eastAsia="Times New Roman" w:hAnsi="Times New Roman"/>
            <w:sz w:val="17"/>
            <w:szCs w:val="17"/>
            <w:u w:val="single" w:color="auto"/>
            <w:color w:val="0000EE"/>
          </w:rPr>
          <w:t>Specimen Class A Common Stock Certificate of EchoStar Corporation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1040"/>
        <w:spacing w:after="0"/>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4.1 to Amendment No. 1 of EchoStar Corporation’s Form 10 filed December 12, 2007, Commission File No.</w:t>
        </w:r>
      </w:hyperlink>
    </w:p>
    <w:p>
      <w:pPr>
        <w:spacing w:after="0" w:line="23" w:lineRule="exact"/>
        <w:rPr>
          <w:rFonts w:ascii="Times New Roman" w:cs="Times New Roman" w:eastAsia="Times New Roman" w:hAnsi="Times New Roman"/>
          <w:sz w:val="18"/>
          <w:szCs w:val="18"/>
          <w:u w:val="single" w:color="auto"/>
          <w:color w:val="0000EE"/>
        </w:rPr>
      </w:pPr>
    </w:p>
    <w:p>
      <w:pPr>
        <w:ind w:left="1040"/>
        <w:spacing w:after="0"/>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001-33807).</w:t>
        </w:r>
      </w:hyperlink>
    </w:p>
    <w:p>
      <w:pPr>
        <w:spacing w:after="0" w:line="247" w:lineRule="exact"/>
        <w:rPr>
          <w:rFonts w:ascii="Times New Roman" w:cs="Times New Roman" w:eastAsia="Times New Roman" w:hAnsi="Times New Roman"/>
          <w:sz w:val="18"/>
          <w:szCs w:val="18"/>
          <w:u w:val="single" w:color="auto"/>
          <w:color w:val="0000EE"/>
        </w:rPr>
      </w:pPr>
    </w:p>
    <w:p>
      <w:pPr>
        <w:ind w:left="1040" w:right="99" w:hanging="77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31">
        <w:r>
          <w:rPr>
            <w:rFonts w:ascii="Times New Roman" w:cs="Times New Roman" w:eastAsia="Times New Roman" w:hAnsi="Times New Roman"/>
            <w:sz w:val="18"/>
            <w:szCs w:val="18"/>
            <w:u w:val="single" w:color="auto"/>
            <w:color w:val="0000EE"/>
          </w:rPr>
          <w:t>Security Agreement, dated as of June 8, 2011, among EH Holding Corporation (currently known as Hughes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Satellite Systems Corporation), the guarantors listed on the signature pages thereto, and U.S. Bank National</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Association, as successor collateral agent (incorporated by reference to Exhibit 4.1 to EchoStar Corporation’s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Current Report on Form 8-K filed June 9, 2011, 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40" w:right="199" w:hanging="77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32">
        <w:r>
          <w:rPr>
            <w:rFonts w:ascii="Times New Roman" w:cs="Times New Roman" w:eastAsia="Times New Roman" w:hAnsi="Times New Roman"/>
            <w:sz w:val="18"/>
            <w:szCs w:val="18"/>
            <w:u w:val="single" w:color="auto"/>
            <w:color w:val="0000EE"/>
          </w:rPr>
          <w:t>Indenture, relating to the 5 7/8% Senior Notes due 2024, dated as of November 20, 2014 among DISH DBS</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Corporation, the guarantors named on the signature pages thereto and U.S. Bank National Association, as</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Trustee (incorporated by reference from Exhibit 4.1 to the Current Report on Form 8-K of DISH Network</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Corporation filed November 21, 2014).</w:t>
        </w:r>
      </w:hyperlink>
    </w:p>
    <w:p>
      <w:pPr>
        <w:spacing w:after="0" w:line="195" w:lineRule="exact"/>
        <w:rPr>
          <w:rFonts w:ascii="Times New Roman" w:cs="Times New Roman" w:eastAsia="Times New Roman" w:hAnsi="Times New Roman"/>
          <w:sz w:val="18"/>
          <w:szCs w:val="18"/>
          <w:u w:val="single" w:color="auto"/>
          <w:color w:val="0000EE"/>
        </w:rPr>
      </w:pPr>
    </w:p>
    <w:p>
      <w:pPr>
        <w:ind w:left="1040" w:right="359" w:hanging="77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33">
        <w:r>
          <w:rPr>
            <w:rFonts w:ascii="Times New Roman" w:cs="Times New Roman" w:eastAsia="Times New Roman" w:hAnsi="Times New Roman"/>
            <w:sz w:val="18"/>
            <w:szCs w:val="18"/>
            <w:u w:val="single" w:color="auto"/>
            <w:color w:val="0000EE"/>
          </w:rPr>
          <w:t>Indenture, relating to the 7 3/4% Senior Notes due 2026, dated as of June 13, 2016, among DISH DBS</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Corporation, the guarantors named on the signature pages thereto and U.S. Bank National Association, as</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Trustee (incorporated by reference from Exhibit 4.1 to the Current Report on Form 8-K of DISH Network</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Corporation filed June 13, 2016).</w:t>
        </w:r>
      </w:hyperlink>
    </w:p>
    <w:p>
      <w:pPr>
        <w:spacing w:after="0" w:line="195" w:lineRule="exact"/>
        <w:rPr>
          <w:rFonts w:ascii="Times New Roman" w:cs="Times New Roman" w:eastAsia="Times New Roman" w:hAnsi="Times New Roman"/>
          <w:sz w:val="18"/>
          <w:szCs w:val="18"/>
          <w:u w:val="single" w:color="auto"/>
          <w:color w:val="0000EE"/>
        </w:rPr>
      </w:pPr>
    </w:p>
    <w:p>
      <w:pPr>
        <w:ind w:left="1040" w:right="179" w:hanging="77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34">
        <w:r>
          <w:rPr>
            <w:rFonts w:ascii="Times New Roman" w:cs="Times New Roman" w:eastAsia="Times New Roman" w:hAnsi="Times New Roman"/>
            <w:sz w:val="18"/>
            <w:szCs w:val="18"/>
            <w:u w:val="single" w:color="auto"/>
            <w:color w:val="0000EE"/>
          </w:rPr>
          <w:t>Indenture, relating to the 5.250% Senior Secured Notes, dated as of July 27, 2016, among Hughes Satellite</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Systems Corporation, the guarantors party thereto, U.S. Bank National Association, as trustee and successor</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collateral agent (incorporated by reference to Exhibit 4.1 to EchoStar Corporation’s Current Report on Form</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8-K filed on July 27, 2016, 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40" w:right="99" w:hanging="77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35">
        <w:r>
          <w:rPr>
            <w:rFonts w:ascii="Times New Roman" w:cs="Times New Roman" w:eastAsia="Times New Roman" w:hAnsi="Times New Roman"/>
            <w:sz w:val="18"/>
            <w:szCs w:val="18"/>
            <w:u w:val="single" w:color="auto"/>
            <w:color w:val="0000EE"/>
          </w:rPr>
          <w:t>Indenture, relating to the 6.625% Senior Unsecured Notes, dated as of July 27, 2016, among Hughes Satellite</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Systems Corporation, the guarantors party thereto and U.S. Bank National Association, as trustee</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(incorporated by reference to Exhibit 4.2 to EchoStar Corporation’s Current Report on Form 8-K filed on</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July 27, 2016, 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40" w:right="219" w:hanging="77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36">
        <w:r>
          <w:rPr>
            <w:rFonts w:ascii="Times New Roman" w:cs="Times New Roman" w:eastAsia="Times New Roman" w:hAnsi="Times New Roman"/>
            <w:sz w:val="18"/>
            <w:szCs w:val="18"/>
            <w:u w:val="single" w:color="auto"/>
            <w:color w:val="0000EE"/>
          </w:rPr>
          <w:t>Additional Secured Party Joinder, dated as of July 27, 2016, among U.S. Bank National Association, as</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trustee and successor collateral agent, and Hughes Satellite Systems Corporation (incorporated by reference</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to Exhibit 4.4 to EchoStar Corporation’s Current Report on Form 8-K filed on July 27, 2016, Commission</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40" w:right="159" w:hanging="77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37">
        <w:r>
          <w:rPr>
            <w:rFonts w:ascii="Times New Roman" w:cs="Times New Roman" w:eastAsia="Times New Roman" w:hAnsi="Times New Roman"/>
            <w:sz w:val="18"/>
            <w:szCs w:val="18"/>
            <w:u w:val="single" w:color="auto"/>
            <w:color w:val="0000EE"/>
          </w:rPr>
          <w:t>Indenture, relating to the 3 3/8% Convertible Notes due 2026, dated as of August 8, 2016, by and between</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DISH Network Corporation and U.S. Bank National Association, as Trustee (incorporated by reference from</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Exhibit 4.1 to the Current Report on Form 8-K of DISH Network Corporation filed August 8, 2016).</w:t>
        </w:r>
      </w:hyperlink>
    </w:p>
    <w:p>
      <w:pPr>
        <w:spacing w:after="0" w:line="191" w:lineRule="exact"/>
        <w:rPr>
          <w:rFonts w:ascii="Times New Roman" w:cs="Times New Roman" w:eastAsia="Times New Roman" w:hAnsi="Times New Roman"/>
          <w:sz w:val="18"/>
          <w:szCs w:val="18"/>
          <w:u w:val="single" w:color="auto"/>
          <w:color w:val="0000EE"/>
        </w:rPr>
      </w:pPr>
    </w:p>
    <w:p>
      <w:pPr>
        <w:ind w:left="1040" w:right="159" w:hanging="77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38">
        <w:r>
          <w:rPr>
            <w:rFonts w:ascii="Times New Roman" w:cs="Times New Roman" w:eastAsia="Times New Roman" w:hAnsi="Times New Roman"/>
            <w:sz w:val="18"/>
            <w:szCs w:val="18"/>
            <w:u w:val="single" w:color="auto"/>
            <w:color w:val="0000EE"/>
          </w:rPr>
          <w:t>Indenture, relating to the 2 3/8% Convertible Notes due 2024, dated as of March 17, 2017, by and between</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DISH Network Corporation and U.S. Bank National Association, as Trustee (incorporated by reference from</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Exhibit 4.1 to the Current Report on Form 8 K of DISH Network Corporation filed March 20, 2017).</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0"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right="219" w:hanging="829"/>
        <w:spacing w:after="0" w:line="293"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40">
        <w:r>
          <w:rPr>
            <w:rFonts w:ascii="Times New Roman" w:cs="Times New Roman" w:eastAsia="Times New Roman" w:hAnsi="Times New Roman"/>
            <w:sz w:val="17"/>
            <w:szCs w:val="17"/>
            <w:u w:val="single" w:color="auto"/>
            <w:color w:val="0000EE"/>
          </w:rPr>
          <w:t>Supplemental Indenture relating to Hughes Satellite Systems Corporation’s 5.250% Senior Secured Notes</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due 2026, dated March 23, 2017, by and among Hughes Satellite Systems Corporation, the guarantors and</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the supplemental guarantor listed on the signature pages thereto, U.S. Bank National Association, as trustee</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and successor collateral agent (incorporated by reference to Exhibit 4.19 to Hughes Satellite Systems</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Corporation’s Registration Statement on Form S-4, filed April 6, 2017, Commission File No. 333-179121).</w:t>
        </w:r>
      </w:hyperlink>
    </w:p>
    <w:p>
      <w:pPr>
        <w:spacing w:after="0" w:line="184" w:lineRule="exact"/>
        <w:rPr>
          <w:rFonts w:ascii="Times New Roman" w:cs="Times New Roman" w:eastAsia="Times New Roman" w:hAnsi="Times New Roman"/>
          <w:sz w:val="17"/>
          <w:szCs w:val="17"/>
          <w:u w:val="single" w:color="auto"/>
          <w:color w:val="0000EE"/>
        </w:rPr>
      </w:pPr>
    </w:p>
    <w:p>
      <w:pPr>
        <w:ind w:left="1060" w:right="159" w:hanging="826"/>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141">
        <w:r>
          <w:rPr>
            <w:rFonts w:ascii="Times New Roman" w:cs="Times New Roman" w:eastAsia="Times New Roman" w:hAnsi="Times New Roman"/>
            <w:sz w:val="18"/>
            <w:szCs w:val="18"/>
            <w:u w:val="single" w:color="auto"/>
            <w:color w:val="0000EE"/>
          </w:rPr>
          <w:t>Supplemental Indenture relating to Hughes Satellite Systems Corporation’s 6.625% Senior Notes due 2026,</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dated as of March 23, 2017, by and among Hughes Satellite Systems Corporation, the guarantors and the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supplemental guarantor listed on the signature pages thereto and U.S. Bank National Association, as trustee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(incorporated by reference to Exhibit 4.20 to Hughes Satellite Systems Corporation’s Registration Statement</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on Form S-4, filed April 6, 2017, Commission File No. 333- 179121).</w:t>
        </w:r>
      </w:hyperlink>
    </w:p>
    <w:p>
      <w:pPr>
        <w:spacing w:after="0" w:line="195" w:lineRule="exact"/>
        <w:rPr>
          <w:rFonts w:ascii="Times New Roman" w:cs="Times New Roman" w:eastAsia="Times New Roman" w:hAnsi="Times New Roman"/>
          <w:sz w:val="18"/>
          <w:szCs w:val="18"/>
          <w:u w:val="single" w:color="auto"/>
          <w:color w:val="0000EE"/>
        </w:rPr>
      </w:pPr>
    </w:p>
    <w:p>
      <w:pPr>
        <w:jc w:val="both"/>
        <w:ind w:left="1060" w:right="99" w:hanging="829"/>
        <w:spacing w:after="0" w:line="297"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142">
        <w:r>
          <w:rPr>
            <w:rFonts w:ascii="Times New Roman" w:cs="Times New Roman" w:eastAsia="Times New Roman" w:hAnsi="Times New Roman"/>
            <w:sz w:val="17"/>
            <w:szCs w:val="17"/>
            <w:u w:val="single" w:color="auto"/>
            <w:color w:val="0000EE"/>
          </w:rPr>
          <w:t>Joinder Agreement, dated as of August 10, 2017, to the Security Agreement dated as of June 8, 2011, by and</w:t>
        </w:r>
      </w:hyperlink>
      <w:r>
        <w:rPr>
          <w:rFonts w:ascii="Times New Roman" w:cs="Times New Roman" w:eastAsia="Times New Roman" w:hAnsi="Times New Roman"/>
          <w:sz w:val="17"/>
          <w:szCs w:val="17"/>
          <w:u w:val="single" w:color="auto"/>
          <w:color w:val="0000EE"/>
        </w:rPr>
        <w:t xml:space="preserve"> </w:t>
      </w:r>
      <w:hyperlink r:id="rId142">
        <w:r>
          <w:rPr>
            <w:rFonts w:ascii="Times New Roman" w:cs="Times New Roman" w:eastAsia="Times New Roman" w:hAnsi="Times New Roman"/>
            <w:sz w:val="17"/>
            <w:szCs w:val="17"/>
            <w:u w:val="single" w:color="auto"/>
            <w:color w:val="0000EE"/>
          </w:rPr>
          <w:t>between HNS Americas, L.L.C., HNS Americas II, L.L.C. and U.S. Bank National Association, as successor</w:t>
        </w:r>
      </w:hyperlink>
      <w:r>
        <w:rPr>
          <w:rFonts w:ascii="Times New Roman" w:cs="Times New Roman" w:eastAsia="Times New Roman" w:hAnsi="Times New Roman"/>
          <w:sz w:val="17"/>
          <w:szCs w:val="17"/>
          <w:u w:val="single" w:color="auto"/>
          <w:color w:val="0000EE"/>
        </w:rPr>
        <w:t xml:space="preserve"> </w:t>
      </w:r>
      <w:hyperlink r:id="rId142">
        <w:r>
          <w:rPr>
            <w:rFonts w:ascii="Times New Roman" w:cs="Times New Roman" w:eastAsia="Times New Roman" w:hAnsi="Times New Roman"/>
            <w:sz w:val="17"/>
            <w:szCs w:val="17"/>
            <w:u w:val="single" w:color="auto"/>
            <w:color w:val="0000EE"/>
          </w:rPr>
          <w:t>collateral agent (incorporated by reference to Exhibit 4.24 to EchoStar Corporation’s Annual Report on Form</w:t>
        </w:r>
      </w:hyperlink>
      <w:r>
        <w:rPr>
          <w:rFonts w:ascii="Times New Roman" w:cs="Times New Roman" w:eastAsia="Times New Roman" w:hAnsi="Times New Roman"/>
          <w:sz w:val="17"/>
          <w:szCs w:val="17"/>
          <w:u w:val="single" w:color="auto"/>
          <w:color w:val="0000EE"/>
        </w:rPr>
        <w:t xml:space="preserve"> </w:t>
      </w:r>
      <w:hyperlink r:id="rId142">
        <w:r>
          <w:rPr>
            <w:rFonts w:ascii="Times New Roman" w:cs="Times New Roman" w:eastAsia="Times New Roman" w:hAnsi="Times New Roman"/>
            <w:sz w:val="17"/>
            <w:szCs w:val="17"/>
            <w:u w:val="single" w:color="auto"/>
            <w:color w:val="0000EE"/>
          </w:rPr>
          <w:t>10-K for the year ended December 31, 2017, filed February 22, 2018, Commission File No. 001-33807).</w:t>
        </w:r>
      </w:hyperlink>
    </w:p>
    <w:p>
      <w:pPr>
        <w:spacing w:after="0" w:line="180" w:lineRule="exact"/>
        <w:rPr>
          <w:rFonts w:ascii="Times New Roman" w:cs="Times New Roman" w:eastAsia="Times New Roman" w:hAnsi="Times New Roman"/>
          <w:sz w:val="17"/>
          <w:szCs w:val="17"/>
          <w:u w:val="single" w:color="auto"/>
          <w:color w:val="0000EE"/>
        </w:rPr>
      </w:pPr>
    </w:p>
    <w:p>
      <w:pPr>
        <w:ind w:left="1060" w:right="99" w:hanging="829"/>
        <w:spacing w:after="0" w:line="272"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143">
        <w:r>
          <w:rPr>
            <w:rFonts w:ascii="Times New Roman" w:cs="Times New Roman" w:eastAsia="Times New Roman" w:hAnsi="Times New Roman"/>
            <w:sz w:val="18"/>
            <w:szCs w:val="18"/>
            <w:u w:val="single" w:color="auto"/>
            <w:color w:val="0000EE"/>
          </w:rPr>
          <w:t>Second Supplemental Indenture relating to Hughes Satellite Systems Corporation’s 5.250% Senior Secured</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Notes due 2026, dated August 10, 2017, by and among Hughes Satellite Systems Corporation, the guarantors</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and the supplemental guarantor listed on the signature pages thereto, U.S. Bank National Association, as</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trustee and successor collateral agent (incorporated by reference to Exhibit 4.25 to EchoStar Corporation’s</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Annual Report on Form 10-K for the year ended December 31, 2017, filed February 22, 2018, Commission</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File No. 001-33807).</w:t>
        </w:r>
      </w:hyperlink>
    </w:p>
    <w:p>
      <w:pPr>
        <w:spacing w:after="0" w:line="199" w:lineRule="exact"/>
        <w:rPr>
          <w:rFonts w:ascii="Times New Roman" w:cs="Times New Roman" w:eastAsia="Times New Roman" w:hAnsi="Times New Roman"/>
          <w:sz w:val="18"/>
          <w:szCs w:val="18"/>
          <w:u w:val="single" w:color="auto"/>
          <w:color w:val="0000EE"/>
        </w:rPr>
      </w:pPr>
    </w:p>
    <w:p>
      <w:pPr>
        <w:ind w:left="1060" w:right="99" w:hanging="829"/>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144">
        <w:r>
          <w:rPr>
            <w:rFonts w:ascii="Times New Roman" w:cs="Times New Roman" w:eastAsia="Times New Roman" w:hAnsi="Times New Roman"/>
            <w:sz w:val="18"/>
            <w:szCs w:val="18"/>
            <w:u w:val="single" w:color="auto"/>
            <w:color w:val="0000EE"/>
          </w:rPr>
          <w:t>Second Supplemental Indenture relating to Hughes Satellite Systems Corporation’s 6.625% Senior Notes due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2026, dated as of August 10, 2017, by and among Hughes Satellite Systems Corporation, the guarantors and</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the supplemental guarantor listed on the signature pages thereto and U.S. Bank National Association, as</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trustee (incorporated by reference to Exhibit 4.26 to EchoStar Corporation’s Annual Report on Form 10-K</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for the year ended December 31, 2017, filed February 22, 2018, 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60" w:right="599" w:hanging="829"/>
        <w:spacing w:after="0" w:line="329"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145">
        <w:r>
          <w:rPr>
            <w:rFonts w:ascii="Times New Roman" w:cs="Times New Roman" w:eastAsia="Times New Roman" w:hAnsi="Times New Roman"/>
            <w:sz w:val="17"/>
            <w:szCs w:val="17"/>
            <w:u w:val="single" w:color="auto"/>
            <w:color w:val="0000EE"/>
          </w:rPr>
          <w:t>Supplemental Indenture relating to the 5 7/8% Senior Notes due 2024 (incorporated by reference from</w:t>
        </w:r>
      </w:hyperlink>
      <w:r>
        <w:rPr>
          <w:rFonts w:ascii="Times New Roman" w:cs="Times New Roman" w:eastAsia="Times New Roman" w:hAnsi="Times New Roman"/>
          <w:sz w:val="17"/>
          <w:szCs w:val="17"/>
          <w:u w:val="single" w:color="auto"/>
          <w:color w:val="0000EE"/>
        </w:rPr>
        <w:t xml:space="preserve"> </w:t>
      </w:r>
      <w:hyperlink r:id="rId145">
        <w:r>
          <w:rPr>
            <w:rFonts w:ascii="Times New Roman" w:cs="Times New Roman" w:eastAsia="Times New Roman" w:hAnsi="Times New Roman"/>
            <w:sz w:val="17"/>
            <w:szCs w:val="17"/>
            <w:u w:val="single" w:color="auto"/>
            <w:color w:val="0000EE"/>
          </w:rPr>
          <w:t>Exhibit 4.15 to the Annual Report on Form 10-K of DISH DBS Corporation filed March 29, 2018).</w:t>
        </w:r>
      </w:hyperlink>
    </w:p>
    <w:p>
      <w:pPr>
        <w:spacing w:after="0" w:line="153" w:lineRule="exact"/>
        <w:rPr>
          <w:sz w:val="20"/>
          <w:szCs w:val="20"/>
          <w:color w:val="auto"/>
        </w:rPr>
      </w:pPr>
    </w:p>
    <w:p>
      <w:pPr>
        <w:ind w:left="1060" w:right="599" w:hanging="829"/>
        <w:spacing w:after="0" w:line="329"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146">
        <w:r>
          <w:rPr>
            <w:rFonts w:ascii="Times New Roman" w:cs="Times New Roman" w:eastAsia="Times New Roman" w:hAnsi="Times New Roman"/>
            <w:sz w:val="17"/>
            <w:szCs w:val="17"/>
            <w:u w:val="single" w:color="auto"/>
            <w:color w:val="0000EE"/>
          </w:rPr>
          <w:t>Supplemental Indenture relating to the 7 3/4% Senior Notes due 2026 (incorporated by reference from</w:t>
        </w:r>
      </w:hyperlink>
      <w:r>
        <w:rPr>
          <w:rFonts w:ascii="Times New Roman" w:cs="Times New Roman" w:eastAsia="Times New Roman" w:hAnsi="Times New Roman"/>
          <w:sz w:val="17"/>
          <w:szCs w:val="17"/>
          <w:u w:val="single" w:color="auto"/>
          <w:color w:val="0000EE"/>
        </w:rPr>
        <w:t xml:space="preserve"> </w:t>
      </w:r>
      <w:hyperlink r:id="rId146">
        <w:r>
          <w:rPr>
            <w:rFonts w:ascii="Times New Roman" w:cs="Times New Roman" w:eastAsia="Times New Roman" w:hAnsi="Times New Roman"/>
            <w:sz w:val="17"/>
            <w:szCs w:val="17"/>
            <w:u w:val="single" w:color="auto"/>
            <w:color w:val="0000EE"/>
          </w:rPr>
          <w:t>Exhibit 4.16 to the Annual Report on Form 10-K of DISH DBS Corporation filed March 29, 2018).</w:t>
        </w:r>
      </w:hyperlink>
    </w:p>
    <w:p>
      <w:pPr>
        <w:spacing w:after="0" w:line="153" w:lineRule="exact"/>
        <w:rPr>
          <w:sz w:val="20"/>
          <w:szCs w:val="20"/>
          <w:color w:val="auto"/>
        </w:rPr>
      </w:pPr>
    </w:p>
    <w:p>
      <w:pPr>
        <w:ind w:left="1060" w:right="139" w:hanging="829"/>
        <w:spacing w:after="0" w:line="297"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147">
        <w:r>
          <w:rPr>
            <w:rFonts w:ascii="Times New Roman" w:cs="Times New Roman" w:eastAsia="Times New Roman" w:hAnsi="Times New Roman"/>
            <w:sz w:val="17"/>
            <w:szCs w:val="17"/>
            <w:u w:val="single" w:color="auto"/>
            <w:color w:val="0000EE"/>
          </w:rPr>
          <w:t>Joinder Agreement, dated as of June 12, 2019, to the Security Agreement dated as of June 8, 2011, by and</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between EchoStar BSS Corporation, EchoStar FSS L.L.C. and U.S. Bank National Association, as successor</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collateral agent (incorporated by reference to Exhibit 4.1 to EchoStar Corporation’s Quarterly Report on</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Form 10-Q for the quarter ended June 30, 2019, filed August 8, 2019, Commission File No. 001-33807).</w:t>
        </w:r>
      </w:hyperlink>
    </w:p>
    <w:p>
      <w:pPr>
        <w:spacing w:after="0" w:line="180" w:lineRule="exact"/>
        <w:rPr>
          <w:rFonts w:ascii="Times New Roman" w:cs="Times New Roman" w:eastAsia="Times New Roman" w:hAnsi="Times New Roman"/>
          <w:sz w:val="17"/>
          <w:szCs w:val="17"/>
          <w:u w:val="single" w:color="auto"/>
          <w:color w:val="0000EE"/>
        </w:rPr>
      </w:pPr>
    </w:p>
    <w:p>
      <w:pPr>
        <w:ind w:left="1060" w:right="179" w:hanging="829"/>
        <w:spacing w:after="0" w:line="272"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148">
        <w:r>
          <w:rPr>
            <w:rFonts w:ascii="Times New Roman" w:cs="Times New Roman" w:eastAsia="Times New Roman" w:hAnsi="Times New Roman"/>
            <w:sz w:val="18"/>
            <w:szCs w:val="18"/>
            <w:u w:val="single" w:color="auto"/>
            <w:color w:val="0000EE"/>
          </w:rPr>
          <w:t>Third Supplemental Indenture relating to Hughes Satellite Systems Corporation’s 5.250% Senior Secured</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Notes due 2026, dated June 12, 2019, by and among Hughes Satellite Systems Corporation, the guarantors</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and the supplemental guarantors listed on the signature pages thereto, U.S. Bank National Association, as</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trustee and successor collateral agent (incorporated by reference to Exhibit 4.2 to EchoStar Corporation’s</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Quarterly Report on Form 10-Q for the quarter ended June 30, 2019, filed August 8, 2019, Commission File</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No. 001-33807).</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2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right="99" w:hanging="829"/>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150">
        <w:r>
          <w:rPr>
            <w:rFonts w:ascii="Times New Roman" w:cs="Times New Roman" w:eastAsia="Times New Roman" w:hAnsi="Times New Roman"/>
            <w:sz w:val="18"/>
            <w:szCs w:val="18"/>
            <w:u w:val="single" w:color="auto"/>
            <w:color w:val="0000EE"/>
          </w:rPr>
          <w:t>Third Supplemental Indenture relating to Hughes Satellite Systems Corporation’s 6.625% Senior Notes due</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2026, dated as of June 12, 2019, by and among Hughes Satellite Systems Corporation, the guarantors and the</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supplemental guarantors listed on the signature pages thereto and U.S. Bank National Association, as trustee</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(incorporated by reference to Exhibit 4.3 to EchoStar Corporation’s Quarterly Report on Form 10-Q for the</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quarter ended June 30, 2019, filed August 8, 2019, 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60" w:right="339" w:hanging="829"/>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151">
        <w:r>
          <w:rPr>
            <w:rFonts w:ascii="Times New Roman" w:cs="Times New Roman" w:eastAsia="Times New Roman" w:hAnsi="Times New Roman"/>
            <w:sz w:val="18"/>
            <w:szCs w:val="18"/>
            <w:u w:val="single" w:color="auto"/>
            <w:color w:val="0000EE"/>
          </w:rPr>
          <w:t>Indenture, relating to the 7 3/8% Senior Notes due 2028, dated as of July 1, 2020, among DISH DBS</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Corporation, the guarantors named on the signature pages thereto and U.S. Bank National Association, as</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Trustee (incorporated by reference from Exhibit 4.1 to the Current Report on Form 8-K of DISH Network</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Corporation filed July 1, 2020).</w:t>
        </w:r>
      </w:hyperlink>
    </w:p>
    <w:p>
      <w:pPr>
        <w:spacing w:after="0" w:line="195" w:lineRule="exact"/>
        <w:rPr>
          <w:rFonts w:ascii="Times New Roman" w:cs="Times New Roman" w:eastAsia="Times New Roman" w:hAnsi="Times New Roman"/>
          <w:sz w:val="18"/>
          <w:szCs w:val="18"/>
          <w:u w:val="single" w:color="auto"/>
          <w:color w:val="0000EE"/>
        </w:rPr>
      </w:pPr>
    </w:p>
    <w:p>
      <w:pPr>
        <w:ind w:left="1060" w:right="139" w:hanging="829"/>
        <w:spacing w:after="0" w:line="305"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4.21*</w:t>
      </w:r>
      <w:r>
        <w:rPr>
          <w:sz w:val="20"/>
          <w:szCs w:val="20"/>
          <w:color w:val="auto"/>
        </w:rPr>
        <w:tab/>
      </w:r>
      <w:hyperlink r:id="rId152">
        <w:r>
          <w:rPr>
            <w:rFonts w:ascii="Times New Roman" w:cs="Times New Roman" w:eastAsia="Times New Roman" w:hAnsi="Times New Roman"/>
            <w:sz w:val="17"/>
            <w:szCs w:val="17"/>
            <w:u w:val="single" w:color="auto"/>
            <w:color w:val="0000EE"/>
          </w:rPr>
          <w:t>Indenture, relating to the 0% Convertible Notes due 2025, dated as of December 21, 2020, by and between</w:t>
        </w:r>
      </w:hyperlink>
      <w:r>
        <w:rPr>
          <w:rFonts w:ascii="Times New Roman" w:cs="Times New Roman" w:eastAsia="Times New Roman" w:hAnsi="Times New Roman"/>
          <w:sz w:val="17"/>
          <w:szCs w:val="17"/>
          <w:u w:val="single" w:color="auto"/>
          <w:color w:val="0000EE"/>
        </w:rPr>
        <w:t xml:space="preserve"> </w:t>
      </w:r>
      <w:hyperlink r:id="rId152">
        <w:r>
          <w:rPr>
            <w:rFonts w:ascii="Times New Roman" w:cs="Times New Roman" w:eastAsia="Times New Roman" w:hAnsi="Times New Roman"/>
            <w:sz w:val="17"/>
            <w:szCs w:val="17"/>
            <w:u w:val="single" w:color="auto"/>
            <w:color w:val="0000EE"/>
          </w:rPr>
          <w:t>DISH Network Corporation and U.S. Bank National Association, as Trustee (incorporated by reference from</w:t>
        </w:r>
      </w:hyperlink>
      <w:r>
        <w:rPr>
          <w:rFonts w:ascii="Times New Roman" w:cs="Times New Roman" w:eastAsia="Times New Roman" w:hAnsi="Times New Roman"/>
          <w:sz w:val="17"/>
          <w:szCs w:val="17"/>
          <w:u w:val="single" w:color="auto"/>
          <w:color w:val="0000EE"/>
        </w:rPr>
        <w:t xml:space="preserve"> </w:t>
      </w:r>
      <w:hyperlink r:id="rId152">
        <w:r>
          <w:rPr>
            <w:rFonts w:ascii="Times New Roman" w:cs="Times New Roman" w:eastAsia="Times New Roman" w:hAnsi="Times New Roman"/>
            <w:sz w:val="17"/>
            <w:szCs w:val="17"/>
            <w:u w:val="single" w:color="auto"/>
            <w:color w:val="0000EE"/>
          </w:rPr>
          <w:t>Exhibit 4.1 to the Current Report on Form 8-K of DISH Network Corporation filed December 22, 2020).</w:t>
        </w:r>
      </w:hyperlink>
    </w:p>
    <w:p>
      <w:pPr>
        <w:spacing w:after="0" w:line="173" w:lineRule="exact"/>
        <w:rPr>
          <w:rFonts w:ascii="Times New Roman" w:cs="Times New Roman" w:eastAsia="Times New Roman" w:hAnsi="Times New Roman"/>
          <w:sz w:val="17"/>
          <w:szCs w:val="17"/>
          <w:u w:val="single" w:color="auto"/>
          <w:color w:val="0000EE"/>
        </w:rPr>
      </w:pPr>
    </w:p>
    <w:p>
      <w:pPr>
        <w:ind w:left="1060" w:right="259" w:hanging="829"/>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4.22*</w:t>
      </w:r>
      <w:r>
        <w:rPr>
          <w:sz w:val="20"/>
          <w:szCs w:val="20"/>
          <w:color w:val="auto"/>
        </w:rPr>
        <w:tab/>
      </w:r>
      <w:hyperlink r:id="rId153">
        <w:r>
          <w:rPr>
            <w:rFonts w:ascii="Times New Roman" w:cs="Times New Roman" w:eastAsia="Times New Roman" w:hAnsi="Times New Roman"/>
            <w:sz w:val="18"/>
            <w:szCs w:val="18"/>
            <w:u w:val="single" w:color="auto"/>
            <w:color w:val="0000EE"/>
          </w:rPr>
          <w:t>First Supplemental Indenture, relating to the DISH 3.375% Convertible Notes due 2026, dated as of</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December 29, 2023, among DISH Network Corporation, EchoStar Corporation and U.S. Bank Trust</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Company, National Association (as successor to U.S. Bank National Association), as Trustee (incorporated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by reference from Exhibit 4.2 to the Current Report on Form 8-K of EchoStar Corporation filed January 2,</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2024).</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59" w:hanging="829"/>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4.23*</w:t>
      </w:r>
      <w:r>
        <w:rPr>
          <w:sz w:val="20"/>
          <w:szCs w:val="20"/>
          <w:color w:val="auto"/>
        </w:rPr>
        <w:tab/>
      </w:r>
      <w:hyperlink r:id="rId154">
        <w:r>
          <w:rPr>
            <w:rFonts w:ascii="Times New Roman" w:cs="Times New Roman" w:eastAsia="Times New Roman" w:hAnsi="Times New Roman"/>
            <w:sz w:val="18"/>
            <w:szCs w:val="18"/>
            <w:u w:val="single" w:color="auto"/>
            <w:color w:val="0000EE"/>
          </w:rPr>
          <w:t>First Supplemental Indenture, relating to the DISH 2.375% Convertible Notes due 2024, dated as of</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December 29, 2023, among DISH Network Corporation, EchoStar Corporation and U.S. Bank Trust</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Company, National Association (as successor to U.S. Bank National Association), as Trustee (incorporated</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by reference from Exhibit 4.4 to the Current Report on Form 8-K of EchoStar Corporation filed January 2,</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2024).</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59" w:hanging="829"/>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4.24*</w:t>
      </w:r>
      <w:r>
        <w:rPr>
          <w:sz w:val="20"/>
          <w:szCs w:val="20"/>
          <w:color w:val="auto"/>
        </w:rPr>
        <w:tab/>
      </w:r>
      <w:hyperlink r:id="rId155">
        <w:r>
          <w:rPr>
            <w:rFonts w:ascii="Times New Roman" w:cs="Times New Roman" w:eastAsia="Times New Roman" w:hAnsi="Times New Roman"/>
            <w:sz w:val="18"/>
            <w:szCs w:val="18"/>
            <w:u w:val="single" w:color="auto"/>
            <w:color w:val="0000EE"/>
          </w:rPr>
          <w:t>First Supplemental Indenture, relating to the DISH 0% Convertible Notes due 2025, dated as of</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December 29, 2023, among DISH Network Corporation, EchoStar Corporation and U.S. Bank Trust</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Company, National Association (as successor to U.S. Bank National Association), as Trustee (incorporated</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by reference from Exhibit 4.6 to the Current Report on Form 8-K of EchoStar Corporation filed January 2,</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2024).</w:t>
        </w:r>
      </w:hyperlink>
    </w:p>
    <w:p>
      <w:pPr>
        <w:spacing w:after="0" w:line="195"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right="319" w:hanging="829"/>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4.25*</w:t>
      </w:r>
      <w:r>
        <w:rPr>
          <w:sz w:val="20"/>
          <w:szCs w:val="20"/>
          <w:color w:val="auto"/>
        </w:rPr>
        <w:tab/>
      </w:r>
      <w:hyperlink r:id="rId157">
        <w:r>
          <w:rPr>
            <w:rFonts w:ascii="Times New Roman" w:cs="Times New Roman" w:eastAsia="Times New Roman" w:hAnsi="Times New Roman"/>
            <w:sz w:val="18"/>
            <w:szCs w:val="18"/>
            <w:u w:val="single" w:color="auto"/>
            <w:color w:val="0000EE"/>
          </w:rPr>
          <w:t>Indenture, relating to the 5 1/8% Senior Notes due 2029, dated as of May 24, 2021 among DISH DBS</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Corporation, the guarantors named on the signature pages thereto and U.S. Bank, National Association, as</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Trustee (incorporated by reference from Exhibit 4.1 to the Current Report on Form 8-K of DISH Network</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Corporation filed May 24, 2021).</w:t>
        </w:r>
      </w:hyperlink>
    </w:p>
    <w:p>
      <w:pPr>
        <w:spacing w:after="0" w:line="195" w:lineRule="exact"/>
        <w:rPr>
          <w:rFonts w:ascii="Times New Roman" w:cs="Times New Roman" w:eastAsia="Times New Roman" w:hAnsi="Times New Roman"/>
          <w:sz w:val="18"/>
          <w:szCs w:val="18"/>
          <w:u w:val="single" w:color="auto"/>
          <w:color w:val="0000EE"/>
        </w:rPr>
      </w:pPr>
    </w:p>
    <w:p>
      <w:pPr>
        <w:ind w:left="1060" w:right="59" w:hanging="829"/>
        <w:spacing w:after="0" w:line="274"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4.26*</w:t>
      </w:r>
      <w:r>
        <w:rPr>
          <w:sz w:val="20"/>
          <w:szCs w:val="20"/>
          <w:color w:val="auto"/>
        </w:rPr>
        <w:tab/>
      </w:r>
      <w:hyperlink r:id="rId158">
        <w:r>
          <w:rPr>
            <w:rFonts w:ascii="Times New Roman" w:cs="Times New Roman" w:eastAsia="Times New Roman" w:hAnsi="Times New Roman"/>
            <w:sz w:val="18"/>
            <w:szCs w:val="18"/>
            <w:u w:val="single" w:color="auto"/>
            <w:color w:val="0000EE"/>
          </w:rPr>
          <w:t>Indenture, relating to the 5 1/4% Senior Secured Notes due 2026 and the 5 3/4% Senior Secured Notes due</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2028, dated as of November 26, 2021, among DISH DBS Corporation, the guarantors named on the signature</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pages thereto and U.S. Bank National Association, as Trustee and Collateral Agent (incorporated by</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reference from Exhibit 4.1 to the Current Report on Form 8-K of DISH Network Corporation filed</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November 26, 2021).</w:t>
        </w:r>
      </w:hyperlink>
    </w:p>
    <w:p>
      <w:pPr>
        <w:spacing w:after="0" w:line="195" w:lineRule="exact"/>
        <w:rPr>
          <w:rFonts w:ascii="Times New Roman" w:cs="Times New Roman" w:eastAsia="Times New Roman" w:hAnsi="Times New Roman"/>
          <w:sz w:val="18"/>
          <w:szCs w:val="18"/>
          <w:u w:val="single" w:color="auto"/>
          <w:color w:val="0000EE"/>
        </w:rPr>
      </w:pPr>
    </w:p>
    <w:p>
      <w:pPr>
        <w:ind w:left="1060" w:right="179" w:hanging="829"/>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4.27*</w:t>
      </w:r>
      <w:r>
        <w:rPr>
          <w:sz w:val="20"/>
          <w:szCs w:val="20"/>
          <w:color w:val="auto"/>
        </w:rPr>
        <w:tab/>
      </w:r>
      <w:hyperlink r:id="rId159">
        <w:r>
          <w:rPr>
            <w:rFonts w:ascii="Times New Roman" w:cs="Times New Roman" w:eastAsia="Times New Roman" w:hAnsi="Times New Roman"/>
            <w:sz w:val="18"/>
            <w:szCs w:val="18"/>
            <w:u w:val="single" w:color="auto"/>
            <w:color w:val="0000EE"/>
          </w:rPr>
          <w:t>Security Agreement, dated as of November 26, 2021, among DISH DBS Corporation, the guarantors named</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on the signature pages thereto and U.S. Bank National Association, as Collateral Agent (incorporated by</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reference from Exhibit 4.2 to the Current Report on Form 8-K of DISH Network Corporation filed</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November 26, 2021).</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1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4.28*</w:t>
      </w:r>
      <w:r>
        <w:rPr>
          <w:sz w:val="20"/>
          <w:szCs w:val="20"/>
          <w:color w:val="auto"/>
        </w:rPr>
        <w:tab/>
      </w:r>
      <w:hyperlink r:id="rId160">
        <w:r>
          <w:rPr>
            <w:rFonts w:ascii="Times New Roman" w:cs="Times New Roman" w:eastAsia="Times New Roman" w:hAnsi="Times New Roman"/>
            <w:sz w:val="18"/>
            <w:szCs w:val="18"/>
            <w:u w:val="single" w:color="auto"/>
            <w:color w:val="0000EE"/>
          </w:rPr>
          <w:t>Loan and Security Agreement, dated as of November 26, 2021, between DISH DBS Corporation and DISH</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Network Corporation (incorporated by reference from Exhibit 4.3 to the Current Report on Form 8-K of</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DISH Network Corporation filed November 26, 2021).</w:t>
        </w:r>
      </w:hyperlink>
    </w:p>
    <w:p>
      <w:pPr>
        <w:spacing w:after="0" w:line="231" w:lineRule="exact"/>
        <w:rPr>
          <w:rFonts w:ascii="Times New Roman" w:cs="Times New Roman" w:eastAsia="Times New Roman" w:hAnsi="Times New Roman"/>
          <w:sz w:val="18"/>
          <w:szCs w:val="18"/>
          <w:u w:val="single" w:color="auto"/>
          <w:color w:val="0000EE"/>
        </w:rPr>
      </w:pPr>
    </w:p>
    <w:p>
      <w:pPr>
        <w:ind w:left="1060" w:right="79" w:hanging="829"/>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4.29*</w:t>
      </w:r>
      <w:r>
        <w:rPr>
          <w:sz w:val="20"/>
          <w:szCs w:val="20"/>
          <w:color w:val="auto"/>
        </w:rPr>
        <w:tab/>
      </w:r>
      <w:hyperlink r:id="rId161">
        <w:r>
          <w:rPr>
            <w:rFonts w:ascii="Times New Roman" w:cs="Times New Roman" w:eastAsia="Times New Roman" w:hAnsi="Times New Roman"/>
            <w:sz w:val="18"/>
            <w:szCs w:val="18"/>
            <w:u w:val="single" w:color="auto"/>
            <w:color w:val="0000EE"/>
          </w:rPr>
          <w:t>Secured Indenture, relating to the 11.75% Senior Secured Notes due 2027, dated as of November 15, 2022,</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among DISH Network Corporation, the guarantors named on the signature pages thereto and U.S. Bank Trust</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Company, National Association, as trustee and collateral agent (incorporated by reference from Exhibit 4.1 to</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the Current Report on Form 8-K of DISH Network Corporation filed January 26, 2023).</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19" w:hanging="829"/>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4.30*</w:t>
      </w:r>
      <w:r>
        <w:rPr>
          <w:sz w:val="20"/>
          <w:szCs w:val="20"/>
          <w:color w:val="auto"/>
        </w:rPr>
        <w:tab/>
      </w:r>
      <w:hyperlink r:id="rId162">
        <w:r>
          <w:rPr>
            <w:rFonts w:ascii="Times New Roman" w:cs="Times New Roman" w:eastAsia="Times New Roman" w:hAnsi="Times New Roman"/>
            <w:sz w:val="18"/>
            <w:szCs w:val="18"/>
            <w:u w:val="single" w:color="auto"/>
            <w:color w:val="0000EE"/>
          </w:rPr>
          <w:t>Security Agreement, dated as of November 15, 2022, among the secured guarantors named on the signature</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pages thereto and U.S. Bank Trust Company, National Association, as collateral agent (incorporated by</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reference from Exhibit 4.2 to the Current Report on Form 8-K of DISH Network Corporation filed</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November 15, 2022).</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1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4.31*</w:t>
      </w:r>
      <w:r>
        <w:rPr>
          <w:sz w:val="20"/>
          <w:szCs w:val="20"/>
          <w:color w:val="auto"/>
        </w:rPr>
        <w:tab/>
      </w:r>
      <w:hyperlink r:id="rId163">
        <w:r>
          <w:rPr>
            <w:rFonts w:ascii="Times New Roman" w:cs="Times New Roman" w:eastAsia="Times New Roman" w:hAnsi="Times New Roman"/>
            <w:sz w:val="18"/>
            <w:szCs w:val="18"/>
            <w:u w:val="single" w:color="auto"/>
            <w:color w:val="0000EE"/>
          </w:rPr>
          <w:t>Description of our Capital Stock ((incorporated by reference to Exhibit 4.25 to EchoStar Corporations’</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Annual Report on Form 10-K for the year ended December 31, 2019, filed February 20, 2020, Commission</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23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64">
        <w:r>
          <w:rPr>
            <w:rFonts w:ascii="Times New Roman" w:cs="Times New Roman" w:eastAsia="Times New Roman" w:hAnsi="Times New Roman"/>
            <w:sz w:val="18"/>
            <w:szCs w:val="18"/>
            <w:u w:val="single" w:color="auto"/>
            <w:color w:val="0000EE"/>
          </w:rPr>
          <w:t>Form of EchoStar Corporation 2008 Class B CEO Stock Option Plan (incorporated by reference to Exhibit</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10.25 to Amendment No. 1 of EchoStar Corporation’s Form 10 filed December 12, 2007, Commission File</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25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65">
        <w:r>
          <w:rPr>
            <w:rFonts w:ascii="Times New Roman" w:cs="Times New Roman" w:eastAsia="Times New Roman" w:hAnsi="Times New Roman"/>
            <w:sz w:val="18"/>
            <w:szCs w:val="18"/>
            <w:u w:val="single" w:color="auto"/>
            <w:color w:val="0000EE"/>
          </w:rPr>
          <w:t>Amended and Restated EchoStar Corporation 2008 Stock Incentive Plan (the “2008 Stock Incentive Plan”)</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(incorporated by reference to EchoStar Corporation’s Definitive Proxy Statement on Form 14, filed</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September 18, 2014,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29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66">
        <w:r>
          <w:rPr>
            <w:rFonts w:ascii="Times New Roman" w:cs="Times New Roman" w:eastAsia="Times New Roman" w:hAnsi="Times New Roman"/>
            <w:sz w:val="18"/>
            <w:szCs w:val="18"/>
            <w:u w:val="single" w:color="auto"/>
            <w:color w:val="0000EE"/>
          </w:rPr>
          <w:t>Amended and Restated EchoStar Corporation 2008 Non-Employee Director Stock Option Plan (the “2008</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Non-Employee Director Stock Option Plan”) (incorporated by reference to EchoStar Corporation’s</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Definitive Proxy Statement on Form 14, filed March 31, 2009,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5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67">
        <w:r>
          <w:rPr>
            <w:rFonts w:ascii="Times New Roman" w:cs="Times New Roman" w:eastAsia="Times New Roman" w:hAnsi="Times New Roman"/>
            <w:sz w:val="18"/>
            <w:szCs w:val="18"/>
            <w:u w:val="single" w:color="auto"/>
            <w:color w:val="0000EE"/>
          </w:rPr>
          <w:t>Form of Restricted Stock Unit Agreement for 2008 Stock Incentive Plan — Executive or Director</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(incorporated by reference to Exhibit 10.1 to EchoStar Corporation’s Quarterly Report on Form 10-Q for the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quarter ended September 30, 2015, filed November 6, 2015,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99" w:hanging="829"/>
        <w:spacing w:after="0" w:line="26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68">
        <w:r>
          <w:rPr>
            <w:rFonts w:ascii="Times New Roman" w:cs="Times New Roman" w:eastAsia="Times New Roman" w:hAnsi="Times New Roman"/>
            <w:sz w:val="18"/>
            <w:szCs w:val="18"/>
            <w:u w:val="single" w:color="auto"/>
            <w:color w:val="0000EE"/>
          </w:rPr>
          <w:t>Form of Stock Option Agreement for 2008 Stock Incentive Plan (1999) (incorporated by reference to Exhibit</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10.39 to EchoStar Corporation’s Annual Report on Form 10-K for the year ended December 31, 2015, filed</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February 24, 2016, Commission File No. 001-33807).**</w:t>
        </w:r>
      </w:hyperlink>
    </w:p>
    <w:p>
      <w:pPr>
        <w:spacing w:after="0" w:line="3"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60" w:right="57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70">
        <w:r>
          <w:rPr>
            <w:rFonts w:ascii="Times New Roman" w:cs="Times New Roman" w:eastAsia="Times New Roman" w:hAnsi="Times New Roman"/>
            <w:sz w:val="18"/>
            <w:szCs w:val="18"/>
            <w:u w:val="single" w:color="auto"/>
            <w:color w:val="0000EE"/>
          </w:rPr>
          <w:t>Form of Stock Option Agreement for 2008 Stock Incentive Plan — Employee (2008) (incorporated by</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reference to Exhibit 10.40 to EchoStar Corporation’s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December 31, 2015, filed February 24, 2016,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57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71">
        <w:r>
          <w:rPr>
            <w:rFonts w:ascii="Times New Roman" w:cs="Times New Roman" w:eastAsia="Times New Roman" w:hAnsi="Times New Roman"/>
            <w:sz w:val="18"/>
            <w:szCs w:val="18"/>
            <w:u w:val="single" w:color="auto"/>
            <w:color w:val="0000EE"/>
          </w:rPr>
          <w:t>Form of Stock Option Agreement for 2008 Stock Incentive Plan — Executive (2008) (incorporated by</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reference to Exhibit 10.41 to EchoStar Corporation’s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December 31, 2015, filed February 24, 2016,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57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72">
        <w:r>
          <w:rPr>
            <w:rFonts w:ascii="Times New Roman" w:cs="Times New Roman" w:eastAsia="Times New Roman" w:hAnsi="Times New Roman"/>
            <w:sz w:val="18"/>
            <w:szCs w:val="18"/>
            <w:u w:val="single" w:color="auto"/>
            <w:color w:val="0000EE"/>
          </w:rPr>
          <w:t>Form of Stock Option Agreement for 2008 Stock Incentive Plan — Employee (2014) (incorporated by</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reference to Exhibit 10.42 to EchoStar Corporation’s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December 31, 2015, filed February 24, 2016,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579" w:hanging="829"/>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73">
        <w:r>
          <w:rPr>
            <w:rFonts w:ascii="Times New Roman" w:cs="Times New Roman" w:eastAsia="Times New Roman" w:hAnsi="Times New Roman"/>
            <w:sz w:val="18"/>
            <w:szCs w:val="18"/>
            <w:u w:val="single" w:color="auto"/>
            <w:color w:val="0000EE"/>
          </w:rPr>
          <w:t>Form of Stock Option Agreement for 2008 Stock Incentive Plan — Executive (2014) (incorporated by</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reference to Exhibit 10.43 to EchoStar Corporation’s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December 31, 2015, filed February 24, 2016, Commission File No. 001-33807). **</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1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74">
        <w:r>
          <w:rPr>
            <w:rFonts w:ascii="Times New Roman" w:cs="Times New Roman" w:eastAsia="Times New Roman" w:hAnsi="Times New Roman"/>
            <w:sz w:val="18"/>
            <w:szCs w:val="18"/>
            <w:u w:val="single" w:color="auto"/>
            <w:color w:val="0000EE"/>
          </w:rPr>
          <w:t>Form of Non-Employee Director Stock Option Agreement for 2008 Non-Employee Director Stock Option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Plan (incorporated by reference to Exhibit 10.44 to EchoStar Corporation’s Annual Report on Form 10-K for</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the year ended December 31, 2015, filed February 24, 2016, Commission File No. 001-33807). **</w:t>
        </w:r>
      </w:hyperlink>
    </w:p>
    <w:p>
      <w:pPr>
        <w:spacing w:after="0" w:line="191" w:lineRule="exact"/>
        <w:rPr>
          <w:rFonts w:ascii="Times New Roman" w:cs="Times New Roman" w:eastAsia="Times New Roman" w:hAnsi="Times New Roman"/>
          <w:sz w:val="18"/>
          <w:szCs w:val="18"/>
          <w:u w:val="single" w:color="auto"/>
          <w:color w:val="0000EE"/>
        </w:rPr>
      </w:pPr>
    </w:p>
    <w:p>
      <w:pPr>
        <w:ind w:left="1060" w:right="219" w:hanging="871"/>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75">
        <w:r>
          <w:rPr>
            <w:rFonts w:ascii="Times New Roman" w:cs="Times New Roman" w:eastAsia="Times New Roman" w:hAnsi="Times New Roman"/>
            <w:sz w:val="18"/>
            <w:szCs w:val="18"/>
            <w:u w:val="single" w:color="auto"/>
            <w:color w:val="0000EE"/>
          </w:rPr>
          <w:t>Form of Restricted Stock Unit Agreement for 2008 Stock Incentive Plan — Executive or Director (2011)</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(incorporated by reference to Exhibit 10.45 to EchoStar Corporation’s Annual Report on Form 10-K for the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year ended December 31, 2015, filed February 24, 2016,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579" w:hanging="874"/>
        <w:spacing w:after="0" w:line="329"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76">
        <w:r>
          <w:rPr>
            <w:rFonts w:ascii="Times New Roman" w:cs="Times New Roman" w:eastAsia="Times New Roman" w:hAnsi="Times New Roman"/>
            <w:sz w:val="17"/>
            <w:szCs w:val="17"/>
            <w:u w:val="single" w:color="auto"/>
            <w:color w:val="0000EE"/>
          </w:rPr>
          <w:t>EchoStar Corporation 2017 Stock Incentive Plan (incorporated by reference to EchoStar Corporation’s</w:t>
        </w:r>
      </w:hyperlink>
      <w:r>
        <w:rPr>
          <w:rFonts w:ascii="Times New Roman" w:cs="Times New Roman" w:eastAsia="Times New Roman" w:hAnsi="Times New Roman"/>
          <w:sz w:val="17"/>
          <w:szCs w:val="17"/>
          <w:u w:val="single" w:color="auto"/>
          <w:color w:val="0000EE"/>
        </w:rPr>
        <w:t xml:space="preserve"> </w:t>
      </w:r>
      <w:hyperlink r:id="rId176">
        <w:r>
          <w:rPr>
            <w:rFonts w:ascii="Times New Roman" w:cs="Times New Roman" w:eastAsia="Times New Roman" w:hAnsi="Times New Roman"/>
            <w:sz w:val="17"/>
            <w:szCs w:val="17"/>
            <w:u w:val="single" w:color="auto"/>
            <w:color w:val="0000EE"/>
          </w:rPr>
          <w:t>Definitive Proxy Statement on Form 14, filed March 23, 2017, Commission File No. 001-33807).**</w:t>
        </w:r>
      </w:hyperlink>
    </w:p>
    <w:p>
      <w:pPr>
        <w:spacing w:after="0" w:line="153" w:lineRule="exact"/>
        <w:rPr>
          <w:sz w:val="20"/>
          <w:szCs w:val="20"/>
          <w:color w:val="auto"/>
        </w:rPr>
      </w:pPr>
    </w:p>
    <w:p>
      <w:pPr>
        <w:ind w:left="1060" w:right="11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6">
        <w:r>
          <w:rPr>
            <w:rFonts w:ascii="Times New Roman" w:cs="Times New Roman" w:eastAsia="Times New Roman" w:hAnsi="Times New Roman"/>
            <w:sz w:val="18"/>
            <w:szCs w:val="18"/>
            <w:u w:val="single" w:color="auto"/>
            <w:color w:val="0000EE"/>
          </w:rPr>
          <w:t>EchoStar Corporation 2017 Non-Employee Director Stock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EchoStar Corporation’s Definitive Proxy Statement on Form 14, filed March 23, 2017, Commission File No.</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73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6">
        <w:r>
          <w:rPr>
            <w:rFonts w:ascii="Times New Roman" w:cs="Times New Roman" w:eastAsia="Times New Roman" w:hAnsi="Times New Roman"/>
            <w:sz w:val="18"/>
            <w:szCs w:val="18"/>
            <w:u w:val="single" w:color="auto"/>
            <w:color w:val="0000EE"/>
          </w:rPr>
          <w:t>Amended and Restated EchoStar Corporation 2017 Employee Stock Purchase Plan (incorporated by</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reference to EchoStar Corporation’s Definitive Proxy Statement on Form 14, filed March 23, 2017,</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219" w:hanging="874"/>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7">
        <w:r>
          <w:rPr>
            <w:rFonts w:ascii="Times New Roman" w:cs="Times New Roman" w:eastAsia="Times New Roman" w:hAnsi="Times New Roman"/>
            <w:sz w:val="18"/>
            <w:szCs w:val="18"/>
            <w:u w:val="single" w:color="auto"/>
            <w:color w:val="0000EE"/>
          </w:rPr>
          <w:t>Amendment No. 1 to EchoStar Corporation 2017 Amended and Restated Employee Stock Purchase Plan</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dated October 20, 2022 (incorporated by reference to Exhibit 10.5 to EchoStar Corporation’s Quarterly</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Report on Form 10-Q for the quarter ended September 30, 2022, filed November 3, 2022, Commission File</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60" w:right="35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8">
        <w:r>
          <w:rPr>
            <w:rFonts w:ascii="Times New Roman" w:cs="Times New Roman" w:eastAsia="Times New Roman" w:hAnsi="Times New Roman"/>
            <w:sz w:val="18"/>
            <w:szCs w:val="18"/>
            <w:u w:val="single" w:color="auto"/>
            <w:color w:val="0000EE"/>
          </w:rPr>
          <w:t>EchoStar Non-Qualified Plan -- Executive Plan and Adoption Agreement, as amended (incorporated by</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reference to Exhibit 10.1 to EchoStar Corporation’s Quarterly Report on Form 10-Q for the quarter ended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June 30, 2017, filed August 9, 2017,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3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9">
        <w:r>
          <w:rPr>
            <w:rFonts w:ascii="Times New Roman" w:cs="Times New Roman" w:eastAsia="Times New Roman" w:hAnsi="Times New Roman"/>
            <w:sz w:val="18"/>
            <w:szCs w:val="18"/>
            <w:u w:val="single" w:color="auto"/>
            <w:color w:val="0000EE"/>
          </w:rPr>
          <w:t>Form of Stock Option Agreement for the EchoStar Corporation 2017 Stock Incentive Plan - Employee</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(2017) (incorporated by reference to Exhibit 10.2 to EchoStar Corporation’s Quarterly Report on Form 10-Q</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for the quarter ended June 30, 2017, filed August 9, 2017,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3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80">
        <w:r>
          <w:rPr>
            <w:rFonts w:ascii="Times New Roman" w:cs="Times New Roman" w:eastAsia="Times New Roman" w:hAnsi="Times New Roman"/>
            <w:sz w:val="18"/>
            <w:szCs w:val="18"/>
            <w:u w:val="single" w:color="auto"/>
            <w:color w:val="0000EE"/>
          </w:rPr>
          <w:t>Form of Stock Option Agreement for the EchoStar Corporation 2017 Stock Incentive Plan - Executive</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(2017) (incorporated by reference to Exhibit 10.3 to EchoStar Corporation’s Quarterly Report on Form 10-Q</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for the quarter ended June 30, 2017, filed August 9, 2017, Commission File No. 001-33807). **</w:t>
        </w:r>
      </w:hyperlink>
    </w:p>
    <w:p>
      <w:pPr>
        <w:sectPr>
          <w:pgSz w:w="11900" w:h="16838" w:orient="portrait"/>
          <w:cols w:equalWidth="0" w:num="1">
            <w:col w:w="9019"/>
          </w:cols>
          <w:pgMar w:left="1440" w:top="513" w:right="1440" w:bottom="1440" w:gutter="0" w:footer="0" w:header="0"/>
        </w:sectPr>
      </w:pPr>
    </w:p>
    <w:p>
      <w:pPr>
        <w:spacing w:after="0" w:line="191"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right="419" w:hanging="874"/>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82">
        <w:r>
          <w:rPr>
            <w:rFonts w:ascii="Times New Roman" w:cs="Times New Roman" w:eastAsia="Times New Roman" w:hAnsi="Times New Roman"/>
            <w:sz w:val="18"/>
            <w:szCs w:val="18"/>
            <w:u w:val="single" w:color="auto"/>
            <w:color w:val="0000EE"/>
          </w:rPr>
          <w:t>Form of Non-Employee Director Stock Option Agreement for the EchoStar Corporation 2017 Non-</w:t>
        </w:r>
      </w:hyperlink>
      <w:hyperlink r:id="rId182">
        <w:r>
          <w:rPr>
            <w:rFonts w:ascii="Times New Roman" w:cs="Times New Roman" w:eastAsia="Times New Roman" w:hAnsi="Times New Roman"/>
            <w:sz w:val="18"/>
            <w:szCs w:val="18"/>
            <w:u w:val="single" w:color="auto"/>
            <w:color w:val="0000EE"/>
          </w:rPr>
          <w:t>Employee Director Stock Incentive Plan (incorporated by reference to Exhibit 10.4 to EchoStar</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Corporation’s Quarterly Report on Form 10-Q for the quarter ended June 30, 2017, filed August 9, 2017,</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39" w:hanging="874"/>
        <w:spacing w:after="0" w:line="305"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83">
        <w:r>
          <w:rPr>
            <w:rFonts w:ascii="Times New Roman" w:cs="Times New Roman" w:eastAsia="Times New Roman" w:hAnsi="Times New Roman"/>
            <w:sz w:val="17"/>
            <w:szCs w:val="17"/>
            <w:u w:val="single" w:color="auto"/>
            <w:color w:val="0000EE"/>
          </w:rPr>
          <w:t>Form of Restricted Stock Unit Agreement for the EchoStar Corporation 2017 Stock Incentive Plan -</w:t>
        </w:r>
      </w:hyperlink>
      <w:r>
        <w:rPr>
          <w:rFonts w:ascii="Times New Roman" w:cs="Times New Roman" w:eastAsia="Times New Roman" w:hAnsi="Times New Roman"/>
          <w:sz w:val="17"/>
          <w:szCs w:val="17"/>
          <w:u w:val="single" w:color="auto"/>
          <w:color w:val="0000EE"/>
        </w:rPr>
        <w:t xml:space="preserve"> </w:t>
      </w:r>
      <w:hyperlink r:id="rId183">
        <w:r>
          <w:rPr>
            <w:rFonts w:ascii="Times New Roman" w:cs="Times New Roman" w:eastAsia="Times New Roman" w:hAnsi="Times New Roman"/>
            <w:sz w:val="17"/>
            <w:szCs w:val="17"/>
            <w:u w:val="single" w:color="auto"/>
            <w:color w:val="0000EE"/>
          </w:rPr>
          <w:t>Executive (2017) (incorporated by reference to Exhibit 10.5 to EchoStar Corporation’s Quarterly Report on</w:t>
        </w:r>
      </w:hyperlink>
      <w:r>
        <w:rPr>
          <w:rFonts w:ascii="Times New Roman" w:cs="Times New Roman" w:eastAsia="Times New Roman" w:hAnsi="Times New Roman"/>
          <w:sz w:val="17"/>
          <w:szCs w:val="17"/>
          <w:u w:val="single" w:color="auto"/>
          <w:color w:val="0000EE"/>
        </w:rPr>
        <w:t xml:space="preserve"> </w:t>
      </w:r>
      <w:hyperlink r:id="rId183">
        <w:r>
          <w:rPr>
            <w:rFonts w:ascii="Times New Roman" w:cs="Times New Roman" w:eastAsia="Times New Roman" w:hAnsi="Times New Roman"/>
            <w:sz w:val="17"/>
            <w:szCs w:val="17"/>
            <w:u w:val="single" w:color="auto"/>
            <w:color w:val="0000EE"/>
          </w:rPr>
          <w:t>Form 10-Q for the quarter ended June 30, 2017, filed August 9, 2017, Commission File No. 001-33807).**</w:t>
        </w:r>
      </w:hyperlink>
    </w:p>
    <w:p>
      <w:pPr>
        <w:spacing w:after="0" w:line="173" w:lineRule="exact"/>
        <w:rPr>
          <w:rFonts w:ascii="Times New Roman" w:cs="Times New Roman" w:eastAsia="Times New Roman" w:hAnsi="Times New Roman"/>
          <w:sz w:val="17"/>
          <w:szCs w:val="17"/>
          <w:u w:val="single" w:color="auto"/>
          <w:color w:val="0000EE"/>
        </w:rPr>
      </w:pPr>
    </w:p>
    <w:p>
      <w:pPr>
        <w:ind w:left="1060" w:right="13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84">
        <w:r>
          <w:rPr>
            <w:rFonts w:ascii="Times New Roman" w:cs="Times New Roman" w:eastAsia="Times New Roman" w:hAnsi="Times New Roman"/>
            <w:sz w:val="18"/>
            <w:szCs w:val="18"/>
            <w:u w:val="single" w:color="auto"/>
            <w:color w:val="0000EE"/>
          </w:rPr>
          <w:t>Form of Stock Option Agreement for the EchoStar Corporation 2017 Stock Incentive Plan — Employee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(2022) (incorporated by reference to Exhibit 10.1 to EchoStar Corporation’s Quarterly Report on Form 10-Q</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for the quarter ended September 30, 2022, filed November 3, 2022,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3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85">
        <w:r>
          <w:rPr>
            <w:rFonts w:ascii="Times New Roman" w:cs="Times New Roman" w:eastAsia="Times New Roman" w:hAnsi="Times New Roman"/>
            <w:sz w:val="18"/>
            <w:szCs w:val="18"/>
            <w:u w:val="single" w:color="auto"/>
            <w:color w:val="0000EE"/>
          </w:rPr>
          <w:t>Form of Stock Option Agreement for the EchoStar Corporation 2017 Stock Incentive Plan — Executive</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(2022) (incorporated by reference to Exhibit 10.2 to EchoStar Corporation’s Quarterly Report on Form 10-Q</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for the quarter ended September 30, 2022, filed November 3, 2022, Commission File No. 001-33807) **</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99" w:hanging="874"/>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86">
        <w:r>
          <w:rPr>
            <w:rFonts w:ascii="Times New Roman" w:cs="Times New Roman" w:eastAsia="Times New Roman" w:hAnsi="Times New Roman"/>
            <w:sz w:val="18"/>
            <w:szCs w:val="18"/>
            <w:u w:val="single" w:color="auto"/>
            <w:color w:val="0000EE"/>
          </w:rPr>
          <w:t>Form of Non-Employee Director Stock Option Agreement for the EchoStar Corporation 2017 Non-</w:t>
        </w:r>
      </w:hyperlink>
      <w:hyperlink r:id="rId186">
        <w:r>
          <w:rPr>
            <w:rFonts w:ascii="Times New Roman" w:cs="Times New Roman" w:eastAsia="Times New Roman" w:hAnsi="Times New Roman"/>
            <w:sz w:val="18"/>
            <w:szCs w:val="18"/>
            <w:u w:val="single" w:color="auto"/>
            <w:color w:val="0000EE"/>
          </w:rPr>
          <w:t>Employee Director Stock Incentive Plan (2022) (incorporated by reference to Exhibit 10.3 to EchoStar</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Corporation’s Quarterly Report on Form 10-Q for the quarter ended September 30, 2022, filed November 3,</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2022, Commission File No. 001-33807)**</w:t>
        </w:r>
      </w:hyperlink>
    </w:p>
    <w:p>
      <w:pPr>
        <w:spacing w:after="0" w:line="195" w:lineRule="exact"/>
        <w:rPr>
          <w:rFonts w:ascii="Times New Roman" w:cs="Times New Roman" w:eastAsia="Times New Roman" w:hAnsi="Times New Roman"/>
          <w:sz w:val="18"/>
          <w:szCs w:val="18"/>
          <w:u w:val="single" w:color="auto"/>
          <w:color w:val="0000EE"/>
        </w:rPr>
      </w:pPr>
    </w:p>
    <w:p>
      <w:pPr>
        <w:ind w:left="1060" w:right="239" w:hanging="874"/>
        <w:spacing w:after="0" w:line="276"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87">
        <w:r>
          <w:rPr>
            <w:rFonts w:ascii="Times New Roman" w:cs="Times New Roman" w:eastAsia="Times New Roman" w:hAnsi="Times New Roman"/>
            <w:sz w:val="18"/>
            <w:szCs w:val="18"/>
            <w:u w:val="single" w:color="auto"/>
            <w:color w:val="0000EE"/>
          </w:rPr>
          <w:t>Form of Restricted Stock Unit Agreement for the EchoStar Corporation 2017 Stock Incentive Plan —</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Executive (2022) (incorporated by reference to Exhibit 10.4 to EchoStar Corporation’s Quarterly Report on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Form 10-Q for the quarter ended September 30, 2022, filed November 3, 2022, Commission File No. 001-</w:t>
        </w:r>
      </w:hyperlink>
      <w:hyperlink r:id="rId187">
        <w:r>
          <w:rPr>
            <w:rFonts w:ascii="Times New Roman" w:cs="Times New Roman" w:eastAsia="Times New Roman" w:hAnsi="Times New Roman"/>
            <w:sz w:val="18"/>
            <w:szCs w:val="18"/>
            <w:u w:val="single" w:color="auto"/>
            <w:color w:val="0000EE"/>
          </w:rPr>
          <w:t>33807) **</w:t>
        </w:r>
      </w:hyperlink>
    </w:p>
    <w:p>
      <w:pPr>
        <w:spacing w:after="0" w:line="195" w:lineRule="exact"/>
        <w:rPr>
          <w:rFonts w:ascii="Times New Roman" w:cs="Times New Roman" w:eastAsia="Times New Roman" w:hAnsi="Times New Roman"/>
          <w:sz w:val="18"/>
          <w:szCs w:val="18"/>
          <w:u w:val="single" w:color="auto"/>
          <w:color w:val="0000EE"/>
        </w:rPr>
      </w:pPr>
    </w:p>
    <w:p>
      <w:pPr>
        <w:ind w:left="1060" w:right="9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8">
        <w:r>
          <w:rPr>
            <w:rFonts w:ascii="Times New Roman" w:cs="Times New Roman" w:eastAsia="Times New Roman" w:hAnsi="Times New Roman"/>
            <w:sz w:val="18"/>
            <w:szCs w:val="18"/>
            <w:u w:val="single" w:color="auto"/>
            <w:color w:val="0000EE"/>
          </w:rPr>
          <w:t>Form of Stock Option Agreement for Hamid Akhavan (incorporated by reference to Exhibit 10.2 to EchoStar</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Corporation’s Quarterly Report on Form 10-Q for the quarter ended March 31, 2022, filed May 5, 2022,</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19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9">
        <w:r>
          <w:rPr>
            <w:rFonts w:ascii="Times New Roman" w:cs="Times New Roman" w:eastAsia="Times New Roman" w:hAnsi="Times New Roman"/>
            <w:sz w:val="18"/>
            <w:szCs w:val="18"/>
            <w:u w:val="single" w:color="auto"/>
            <w:color w:val="0000EE"/>
          </w:rPr>
          <w:t>Form of Restricted Stock Unit Agreement for Hamid Akhavan (incorporated by reference to Exhibit 10.3 to</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EchoStar Corporation’s Quarterly Report on Form 10-Q for the quarter ended March 31, 2022, filed May 5,</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2022,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7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90">
        <w:r>
          <w:rPr>
            <w:rFonts w:ascii="Times New Roman" w:cs="Times New Roman" w:eastAsia="Times New Roman" w:hAnsi="Times New Roman"/>
            <w:sz w:val="18"/>
            <w:szCs w:val="18"/>
            <w:u w:val="single" w:color="auto"/>
            <w:color w:val="0000EE"/>
          </w:rPr>
          <w:t>Amendment to EchoStar Non-Qualified Plan -- Executive Plan and Adoption Agreement, dated November 1,</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2018 (incorporated by reference to Exhibit 10.35 to EchoStar Corporation’s Annual Report on Form 10-K for</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the year ended December 31, 2018, filed February 21, 2019,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19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91">
        <w:r>
          <w:rPr>
            <w:rFonts w:ascii="Times New Roman" w:cs="Times New Roman" w:eastAsia="Times New Roman" w:hAnsi="Times New Roman"/>
            <w:sz w:val="18"/>
            <w:szCs w:val="18"/>
            <w:u w:val="single" w:color="auto"/>
            <w:color w:val="0000EE"/>
          </w:rPr>
          <w:t>Amended and Restated EchoStar Corporation Executive Officer Bonus Incentive Plan, dated as of April 30,</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2019 (incorporated by reference to Exhibit 10.1 to EchoStar Corporation’s Quarterly Report on Form 10-Q</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for the quarter ended June 30, 2019, filed August 8, 2019, Commission File No. 001-33807).**</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219" w:hanging="874"/>
        <w:spacing w:after="0" w:line="305"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92">
        <w:r>
          <w:rPr>
            <w:rFonts w:ascii="Times New Roman" w:cs="Times New Roman" w:eastAsia="Times New Roman" w:hAnsi="Times New Roman"/>
            <w:sz w:val="17"/>
            <w:szCs w:val="17"/>
            <w:u w:val="single" w:color="auto"/>
            <w:color w:val="0000EE"/>
          </w:rPr>
          <w:t>Amendment to EchoStar Non-Qualified Plan – Executive Plan and Adoption Agreement, dated October 21,</w:t>
        </w:r>
      </w:hyperlink>
      <w:r>
        <w:rPr>
          <w:rFonts w:ascii="Times New Roman" w:cs="Times New Roman" w:eastAsia="Times New Roman" w:hAnsi="Times New Roman"/>
          <w:sz w:val="17"/>
          <w:szCs w:val="17"/>
          <w:u w:val="single" w:color="auto"/>
          <w:color w:val="0000EE"/>
        </w:rPr>
        <w:t xml:space="preserve"> </w:t>
      </w:r>
      <w:hyperlink r:id="rId192">
        <w:r>
          <w:rPr>
            <w:rFonts w:ascii="Times New Roman" w:cs="Times New Roman" w:eastAsia="Times New Roman" w:hAnsi="Times New Roman"/>
            <w:sz w:val="17"/>
            <w:szCs w:val="17"/>
            <w:u w:val="single" w:color="auto"/>
            <w:color w:val="0000EE"/>
          </w:rPr>
          <w:t>2019 (incorporated by reference to Exhibit 10.1 to EchoStar Corporation’s Quarterly Report on Form 10-Q</w:t>
        </w:r>
      </w:hyperlink>
      <w:r>
        <w:rPr>
          <w:rFonts w:ascii="Times New Roman" w:cs="Times New Roman" w:eastAsia="Times New Roman" w:hAnsi="Times New Roman"/>
          <w:sz w:val="17"/>
          <w:szCs w:val="17"/>
          <w:u w:val="single" w:color="auto"/>
          <w:color w:val="0000EE"/>
        </w:rPr>
        <w:t xml:space="preserve"> </w:t>
      </w:r>
      <w:hyperlink r:id="rId192">
        <w:r>
          <w:rPr>
            <w:rFonts w:ascii="Times New Roman" w:cs="Times New Roman" w:eastAsia="Times New Roman" w:hAnsi="Times New Roman"/>
            <w:sz w:val="17"/>
            <w:szCs w:val="17"/>
            <w:u w:val="single" w:color="auto"/>
            <w:color w:val="0000EE"/>
          </w:rPr>
          <w:t>for the quarter ended September 30, 2020, filed November 5, 2020, Commission File No. 001-33807). **</w:t>
        </w:r>
      </w:hyperlink>
    </w:p>
    <w:p>
      <w:pPr>
        <w:spacing w:after="0" w:line="173" w:lineRule="exact"/>
        <w:rPr>
          <w:rFonts w:ascii="Times New Roman" w:cs="Times New Roman" w:eastAsia="Times New Roman" w:hAnsi="Times New Roman"/>
          <w:sz w:val="17"/>
          <w:szCs w:val="17"/>
          <w:u w:val="single" w:color="auto"/>
          <w:color w:val="0000EE"/>
        </w:rPr>
      </w:pPr>
    </w:p>
    <w:p>
      <w:pPr>
        <w:ind w:left="1060" w:right="7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93">
        <w:r>
          <w:rPr>
            <w:rFonts w:ascii="Times New Roman" w:cs="Times New Roman" w:eastAsia="Times New Roman" w:hAnsi="Times New Roman"/>
            <w:sz w:val="18"/>
            <w:szCs w:val="18"/>
            <w:u w:val="single" w:color="auto"/>
            <w:color w:val="0000EE"/>
          </w:rPr>
          <w:t>Amendment No. 1 to EchoStar Corporation 2017 Non-Employee Director Stock Incentive Plan (incorporated</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by reference to EchoStar Corporation’s Definitive Proxy Statement on Schedule 14A, filed March 17, 2021,</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Commission File No. 001- 33807). **</w:t>
        </w:r>
      </w:hyperlink>
    </w:p>
    <w:p>
      <w:pPr>
        <w:sectPr>
          <w:pgSz w:w="11900" w:h="16838" w:orient="portrait"/>
          <w:cols w:equalWidth="0" w:num="1">
            <w:col w:w="9019"/>
          </w:cols>
          <w:pgMar w:left="1440" w:top="513" w:right="1440" w:bottom="1440" w:gutter="0" w:footer="0" w:header="0"/>
        </w:sectPr>
      </w:pPr>
    </w:p>
    <w:p>
      <w:pPr>
        <w:spacing w:after="0" w:line="191"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786130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right="199" w:hanging="874"/>
        <w:spacing w:after="0" w:line="26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95">
        <w:r>
          <w:rPr>
            <w:rFonts w:ascii="Times New Roman" w:cs="Times New Roman" w:eastAsia="Times New Roman" w:hAnsi="Times New Roman"/>
            <w:sz w:val="18"/>
            <w:szCs w:val="18"/>
            <w:u w:val="single" w:color="auto"/>
            <w:color w:val="0000EE"/>
          </w:rPr>
          <w:t>Second Amended and Restated EchoStar Corporation Executive Officer Bonus Incentive Plan, dated as of</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November 2, 2021 (incorporated by reference to Exhibit 10.30 to EchoStar Corporation’s Annual Report on</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Form 10-K for the year ended December 31, 2021, filed February 24, 2022, Commission File No. 001-</w:t>
        </w:r>
      </w:hyperlink>
      <w:hyperlink r:id="rId195">
        <w:r>
          <w:rPr>
            <w:rFonts w:ascii="Times New Roman" w:cs="Times New Roman" w:eastAsia="Times New Roman" w:hAnsi="Times New Roman"/>
            <w:sz w:val="18"/>
            <w:szCs w:val="18"/>
            <w:u w:val="single" w:color="auto"/>
            <w:color w:val="0000EE"/>
          </w:rPr>
          <w:t>33807). **</w:t>
        </w:r>
      </w:hyperlink>
    </w:p>
    <w:p>
      <w:pPr>
        <w:spacing w:after="0" w:line="193" w:lineRule="exact"/>
        <w:rPr>
          <w:rFonts w:ascii="Times New Roman" w:cs="Times New Roman" w:eastAsia="Times New Roman" w:hAnsi="Times New Roman"/>
          <w:sz w:val="18"/>
          <w:szCs w:val="18"/>
          <w:u w:val="single" w:color="auto"/>
          <w:color w:val="0000EE"/>
        </w:rPr>
      </w:pPr>
    </w:p>
    <w:p>
      <w:pPr>
        <w:ind w:left="1060" w:right="63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96">
        <w:r>
          <w:rPr>
            <w:rFonts w:ascii="Times New Roman" w:cs="Times New Roman" w:eastAsia="Times New Roman" w:hAnsi="Times New Roman"/>
            <w:sz w:val="18"/>
            <w:szCs w:val="18"/>
            <w:u w:val="single" w:color="auto"/>
            <w:color w:val="0000EE"/>
          </w:rPr>
          <w:t>2002 Class B CEO Stock Option Plan (incorporated by reference from Appendix A to DISH Network</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Corporation’s Definitive Proxy Statement on Schedule 14A dated April 9, 2002). **</w:t>
        </w:r>
      </w:hyperlink>
    </w:p>
    <w:p>
      <w:pPr>
        <w:spacing w:after="0" w:line="176" w:lineRule="exact"/>
        <w:rPr>
          <w:sz w:val="20"/>
          <w:szCs w:val="20"/>
          <w:color w:val="auto"/>
        </w:rPr>
      </w:pPr>
    </w:p>
    <w:p>
      <w:pPr>
        <w:ind w:left="1060" w:right="35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97">
        <w:r>
          <w:rPr>
            <w:rFonts w:ascii="Times New Roman" w:cs="Times New Roman" w:eastAsia="Times New Roman" w:hAnsi="Times New Roman"/>
            <w:sz w:val="18"/>
            <w:szCs w:val="18"/>
            <w:u w:val="single" w:color="auto"/>
            <w:color w:val="0000EE"/>
          </w:rPr>
          <w:t>Nonemployee Director Stock Option Agreement (incorporated by reference to Exhibit 99.6 to the Current</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Report on Form 8-K of DISH Network Corporation filed July 7, 2005). **</w:t>
        </w:r>
      </w:hyperlink>
    </w:p>
    <w:p>
      <w:pPr>
        <w:spacing w:after="0" w:line="176" w:lineRule="exact"/>
        <w:rPr>
          <w:sz w:val="20"/>
          <w:szCs w:val="20"/>
          <w:color w:val="auto"/>
        </w:rPr>
      </w:pPr>
    </w:p>
    <w:p>
      <w:pPr>
        <w:ind w:left="1060" w:right="29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98">
        <w:r>
          <w:rPr>
            <w:rFonts w:ascii="Times New Roman" w:cs="Times New Roman" w:eastAsia="Times New Roman" w:hAnsi="Times New Roman"/>
            <w:sz w:val="18"/>
            <w:szCs w:val="18"/>
            <w:u w:val="single" w:color="auto"/>
            <w:color w:val="0000EE"/>
          </w:rPr>
          <w:t>DISH Network Corporation 2009 Stock Incentive Plan (incorporated by reference to Appendix A to DISH</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Network Corporation’s Definitive Proxy Statement on Form 14A filed September 19, 2014). **</w:t>
        </w:r>
      </w:hyperlink>
    </w:p>
    <w:p>
      <w:pPr>
        <w:spacing w:after="0" w:line="176" w:lineRule="exact"/>
        <w:rPr>
          <w:sz w:val="20"/>
          <w:szCs w:val="20"/>
          <w:color w:val="auto"/>
        </w:rPr>
      </w:pPr>
    </w:p>
    <w:p>
      <w:pPr>
        <w:ind w:left="1060" w:right="35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99">
        <w:r>
          <w:rPr>
            <w:rFonts w:ascii="Times New Roman" w:cs="Times New Roman" w:eastAsia="Times New Roman" w:hAnsi="Times New Roman"/>
            <w:sz w:val="18"/>
            <w:szCs w:val="18"/>
            <w:u w:val="single" w:color="auto"/>
            <w:color w:val="0000EE"/>
          </w:rPr>
          <w:t>Amended and Restated DISH Network Corporation 2001 Nonemployee Director Stock Option Plan</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(incorporated by reference to Appendix B to DISH Network Corporation’s Definitive Proxy Statement on</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Form 14A filed March 31, 2009). **</w:t>
        </w:r>
      </w:hyperlink>
    </w:p>
    <w:p>
      <w:pPr>
        <w:spacing w:after="0" w:line="191" w:lineRule="exact"/>
        <w:rPr>
          <w:rFonts w:ascii="Times New Roman" w:cs="Times New Roman" w:eastAsia="Times New Roman" w:hAnsi="Times New Roman"/>
          <w:sz w:val="18"/>
          <w:szCs w:val="18"/>
          <w:u w:val="single" w:color="auto"/>
          <w:color w:val="0000EE"/>
        </w:rPr>
      </w:pPr>
    </w:p>
    <w:p>
      <w:pPr>
        <w:ind w:left="1060" w:right="159" w:hanging="874"/>
        <w:spacing w:after="0" w:line="281"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99">
        <w:r>
          <w:rPr>
            <w:rFonts w:ascii="Times New Roman" w:cs="Times New Roman" w:eastAsia="Times New Roman" w:hAnsi="Times New Roman"/>
            <w:sz w:val="18"/>
            <w:szCs w:val="18"/>
            <w:u w:val="single" w:color="auto"/>
            <w:color w:val="0000EE"/>
          </w:rPr>
          <w:t>Amended and Restated DISH Network Corporation 1999 Stock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Appendix C to DISH Network Corporation’s Definitive Proxy Statement on Form 14A filed March 31,</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2009). **</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60" w:right="239" w:hanging="874"/>
        <w:spacing w:after="0" w:line="289"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200">
        <w:r>
          <w:rPr>
            <w:rFonts w:ascii="Times New Roman" w:cs="Times New Roman" w:eastAsia="Times New Roman" w:hAnsi="Times New Roman"/>
            <w:sz w:val="17"/>
            <w:szCs w:val="17"/>
            <w:u w:val="single" w:color="auto"/>
            <w:color w:val="0000EE"/>
          </w:rPr>
          <w:t>Guaranty of Certain Obligations to FCC, dated as of October 1, 2015, made by DISH Network Corporation</w:t>
        </w:r>
      </w:hyperlink>
      <w:r>
        <w:rPr>
          <w:rFonts w:ascii="Times New Roman" w:cs="Times New Roman" w:eastAsia="Times New Roman" w:hAnsi="Times New Roman"/>
          <w:sz w:val="17"/>
          <w:szCs w:val="17"/>
          <w:u w:val="single" w:color="auto"/>
          <w:color w:val="0000EE"/>
        </w:rPr>
        <w:t xml:space="preserve"> </w:t>
      </w:r>
      <w:hyperlink r:id="rId200">
        <w:r>
          <w:rPr>
            <w:rFonts w:ascii="Times New Roman" w:cs="Times New Roman" w:eastAsia="Times New Roman" w:hAnsi="Times New Roman"/>
            <w:sz w:val="17"/>
            <w:szCs w:val="17"/>
            <w:u w:val="single" w:color="auto"/>
            <w:color w:val="0000EE"/>
          </w:rPr>
          <w:t>in favor of the Federal Communications Commission (Northstar Wireless) (incorporated by reference from</w:t>
        </w:r>
      </w:hyperlink>
      <w:r>
        <w:rPr>
          <w:rFonts w:ascii="Times New Roman" w:cs="Times New Roman" w:eastAsia="Times New Roman" w:hAnsi="Times New Roman"/>
          <w:sz w:val="17"/>
          <w:szCs w:val="17"/>
          <w:u w:val="single" w:color="auto"/>
          <w:color w:val="0000EE"/>
        </w:rPr>
        <w:t xml:space="preserve"> </w:t>
      </w:r>
      <w:hyperlink r:id="rId200">
        <w:r>
          <w:rPr>
            <w:rFonts w:ascii="Times New Roman" w:cs="Times New Roman" w:eastAsia="Times New Roman" w:hAnsi="Times New Roman"/>
            <w:sz w:val="17"/>
            <w:szCs w:val="17"/>
            <w:u w:val="single" w:color="auto"/>
            <w:color w:val="0000EE"/>
          </w:rPr>
          <w:t>Exhibit 10.2 to the Current Report on Form 8-K of DISH Network Corporation filed October 2, 2015).</w:t>
        </w:r>
      </w:hyperlink>
    </w:p>
    <w:p>
      <w:pPr>
        <w:spacing w:after="0" w:line="171" w:lineRule="exact"/>
        <w:rPr>
          <w:rFonts w:ascii="Times New Roman" w:cs="Times New Roman" w:eastAsia="Times New Roman" w:hAnsi="Times New Roman"/>
          <w:sz w:val="17"/>
          <w:szCs w:val="17"/>
          <w:u w:val="single" w:color="auto"/>
          <w:color w:val="0000EE"/>
        </w:rPr>
      </w:pPr>
    </w:p>
    <w:p>
      <w:pPr>
        <w:ind w:left="1060" w:right="239" w:hanging="874"/>
        <w:spacing w:after="0" w:line="305"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201">
        <w:r>
          <w:rPr>
            <w:rFonts w:ascii="Times New Roman" w:cs="Times New Roman" w:eastAsia="Times New Roman" w:hAnsi="Times New Roman"/>
            <w:sz w:val="17"/>
            <w:szCs w:val="17"/>
            <w:u w:val="single" w:color="auto"/>
            <w:color w:val="0000EE"/>
          </w:rPr>
          <w:t>Guaranty of Certain Obligations to FCC, dated as of October 1, 2015, made by DISH Network Corporation</w:t>
        </w:r>
      </w:hyperlink>
      <w:r>
        <w:rPr>
          <w:rFonts w:ascii="Times New Roman" w:cs="Times New Roman" w:eastAsia="Times New Roman" w:hAnsi="Times New Roman"/>
          <w:sz w:val="17"/>
          <w:szCs w:val="17"/>
          <w:u w:val="single" w:color="auto"/>
          <w:color w:val="0000EE"/>
        </w:rPr>
        <w:t xml:space="preserve"> </w:t>
      </w:r>
      <w:hyperlink r:id="rId201">
        <w:r>
          <w:rPr>
            <w:rFonts w:ascii="Times New Roman" w:cs="Times New Roman" w:eastAsia="Times New Roman" w:hAnsi="Times New Roman"/>
            <w:sz w:val="17"/>
            <w:szCs w:val="17"/>
            <w:u w:val="single" w:color="auto"/>
            <w:color w:val="0000EE"/>
          </w:rPr>
          <w:t>in favor of the Federal Communications Commission (SNR Wireless) (incorporated by reference from</w:t>
        </w:r>
      </w:hyperlink>
      <w:r>
        <w:rPr>
          <w:rFonts w:ascii="Times New Roman" w:cs="Times New Roman" w:eastAsia="Times New Roman" w:hAnsi="Times New Roman"/>
          <w:sz w:val="17"/>
          <w:szCs w:val="17"/>
          <w:u w:val="single" w:color="auto"/>
          <w:color w:val="0000EE"/>
        </w:rPr>
        <w:t xml:space="preserve"> </w:t>
      </w:r>
      <w:hyperlink r:id="rId201">
        <w:r>
          <w:rPr>
            <w:rFonts w:ascii="Times New Roman" w:cs="Times New Roman" w:eastAsia="Times New Roman" w:hAnsi="Times New Roman"/>
            <w:sz w:val="17"/>
            <w:szCs w:val="17"/>
            <w:u w:val="single" w:color="auto"/>
            <w:color w:val="0000EE"/>
          </w:rPr>
          <w:t>Exhibit 10.4 to the Current Report on Form 8-K of DISH Network Corporation filed October 2, 2015).</w:t>
        </w:r>
      </w:hyperlink>
    </w:p>
    <w:p>
      <w:pPr>
        <w:spacing w:after="0" w:line="173" w:lineRule="exact"/>
        <w:rPr>
          <w:rFonts w:ascii="Times New Roman" w:cs="Times New Roman" w:eastAsia="Times New Roman" w:hAnsi="Times New Roman"/>
          <w:sz w:val="17"/>
          <w:szCs w:val="17"/>
          <w:u w:val="single" w:color="auto"/>
          <w:color w:val="0000EE"/>
        </w:rPr>
      </w:pPr>
    </w:p>
    <w:p>
      <w:pPr>
        <w:ind w:left="1060" w:right="7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202">
        <w:r>
          <w:rPr>
            <w:rFonts w:ascii="Times New Roman" w:cs="Times New Roman" w:eastAsia="Times New Roman" w:hAnsi="Times New Roman"/>
            <w:sz w:val="18"/>
            <w:szCs w:val="18"/>
            <w:u w:val="single" w:color="auto"/>
            <w:color w:val="0000EE"/>
          </w:rPr>
          <w:t>Form of Base/Additional Note Hedge Transaction Confirmation (incorporated by reference from Exhibit 10.1</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to the Current Report on Form 8-K of DISH Network Corporation filed August 8, 2016).</w:t>
        </w:r>
      </w:hyperlink>
    </w:p>
    <w:p>
      <w:pPr>
        <w:spacing w:after="0" w:line="176" w:lineRule="exact"/>
        <w:rPr>
          <w:sz w:val="20"/>
          <w:szCs w:val="20"/>
          <w:color w:val="auto"/>
        </w:rPr>
      </w:pPr>
    </w:p>
    <w:p>
      <w:pPr>
        <w:ind w:left="1060" w:right="17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203">
        <w:r>
          <w:rPr>
            <w:rFonts w:ascii="Times New Roman" w:cs="Times New Roman" w:eastAsia="Times New Roman" w:hAnsi="Times New Roman"/>
            <w:sz w:val="18"/>
            <w:szCs w:val="18"/>
            <w:u w:val="single" w:color="auto"/>
            <w:color w:val="0000EE"/>
          </w:rPr>
          <w:t>Form of Base/Additional Warrant Transaction Confirmation (incorporated by reference from Exhibit 10.2 to</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the Current Report on Form 8-K of DISH Network Corporation filed August 8, 2016).</w:t>
        </w:r>
      </w:hyperlink>
    </w:p>
    <w:p>
      <w:pPr>
        <w:spacing w:after="0" w:line="176" w:lineRule="exact"/>
        <w:rPr>
          <w:sz w:val="20"/>
          <w:szCs w:val="20"/>
          <w:color w:val="auto"/>
        </w:rPr>
      </w:pPr>
    </w:p>
    <w:p>
      <w:pPr>
        <w:ind w:left="1060" w:right="15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204">
        <w:r>
          <w:rPr>
            <w:rFonts w:ascii="Times New Roman" w:cs="Times New Roman" w:eastAsia="Times New Roman" w:hAnsi="Times New Roman"/>
            <w:sz w:val="18"/>
            <w:szCs w:val="18"/>
            <w:u w:val="single" w:color="auto"/>
            <w:color w:val="0000EE"/>
          </w:rPr>
          <w:t>Description of the 2017 Long-Term Incentive Plan dated December 2, 2016 (incorporated by reference from</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the Current Report on Form 8-K of DISH Network Corporation filed December 8, 2016). **</w:t>
        </w:r>
      </w:hyperlink>
    </w:p>
    <w:p>
      <w:pPr>
        <w:spacing w:after="0" w:line="176" w:lineRule="exact"/>
        <w:rPr>
          <w:sz w:val="20"/>
          <w:szCs w:val="20"/>
          <w:color w:val="auto"/>
        </w:rPr>
      </w:pPr>
    </w:p>
    <w:p>
      <w:pPr>
        <w:ind w:left="1060" w:right="29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205">
        <w:r>
          <w:rPr>
            <w:rFonts w:ascii="Times New Roman" w:cs="Times New Roman" w:eastAsia="Times New Roman" w:hAnsi="Times New Roman"/>
            <w:sz w:val="18"/>
            <w:szCs w:val="18"/>
            <w:u w:val="single" w:color="auto"/>
            <w:color w:val="0000EE"/>
          </w:rPr>
          <w:t>Description of the 2019 Long-Term Incentive Plan dated August 17, 2018 (incorporated by reference from</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the Current Report on Form 8-K of DISH Network Corporation filed August 23, 2018). **</w:t>
        </w:r>
      </w:hyperlink>
    </w:p>
    <w:p>
      <w:pPr>
        <w:spacing w:after="0" w:line="176" w:lineRule="exact"/>
        <w:rPr>
          <w:sz w:val="20"/>
          <w:szCs w:val="20"/>
          <w:color w:val="auto"/>
        </w:rPr>
      </w:pPr>
    </w:p>
    <w:p>
      <w:pPr>
        <w:ind w:left="1060" w:right="21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206">
        <w:r>
          <w:rPr>
            <w:rFonts w:ascii="Times New Roman" w:cs="Times New Roman" w:eastAsia="Times New Roman" w:hAnsi="Times New Roman"/>
            <w:sz w:val="18"/>
            <w:szCs w:val="18"/>
            <w:u w:val="single" w:color="auto"/>
            <w:color w:val="0000EE"/>
          </w:rPr>
          <w:t>Incentive Stock Option Agreement (incorporated by reference from Exhibit 10.1 to the Quarterly Report on</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Form 10-Q of DISH Network Corporation filed November 6, 2020). **</w:t>
        </w:r>
      </w:hyperlink>
    </w:p>
    <w:p>
      <w:pPr>
        <w:spacing w:after="0" w:line="176" w:lineRule="exact"/>
        <w:rPr>
          <w:sz w:val="20"/>
          <w:szCs w:val="20"/>
          <w:color w:val="auto"/>
        </w:rPr>
      </w:pPr>
    </w:p>
    <w:p>
      <w:pPr>
        <w:ind w:left="1060" w:right="7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207">
        <w:r>
          <w:rPr>
            <w:rFonts w:ascii="Times New Roman" w:cs="Times New Roman" w:eastAsia="Times New Roman" w:hAnsi="Times New Roman"/>
            <w:sz w:val="18"/>
            <w:szCs w:val="18"/>
            <w:u w:val="single" w:color="auto"/>
            <w:color w:val="0000EE"/>
          </w:rPr>
          <w:t>Non-Qualified Stock Option Agreement (incorporated by reference from Exhibit 10.2 to the Quarterly Report</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on Form 10-Q of DISH Network Corporation filed November 6, 2020). **</w:t>
        </w:r>
      </w:hyperlink>
    </w:p>
    <w:p>
      <w:pPr>
        <w:spacing w:after="0" w:line="176" w:lineRule="exact"/>
        <w:rPr>
          <w:sz w:val="20"/>
          <w:szCs w:val="20"/>
          <w:color w:val="auto"/>
        </w:rPr>
      </w:pPr>
    </w:p>
    <w:p>
      <w:pPr>
        <w:ind w:left="1060" w:right="339" w:hanging="874"/>
        <w:spacing w:after="0" w:line="297"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208">
        <w:r>
          <w:rPr>
            <w:rFonts w:ascii="Times New Roman" w:cs="Times New Roman" w:eastAsia="Times New Roman" w:hAnsi="Times New Roman"/>
            <w:sz w:val="18"/>
            <w:szCs w:val="18"/>
            <w:u w:val="single" w:color="auto"/>
            <w:color w:val="0000EE"/>
          </w:rPr>
          <w:t>Restricted Stock Unit Agreement (incorporated by reference from Exhibit 10.3 to the Quarterly Report on</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Form 10-Q of DISH Network Corporation filed November 6, 2020). **</w:t>
        </w:r>
      </w:hyperlink>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86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210">
        <w:r>
          <w:rPr>
            <w:rFonts w:ascii="Times New Roman" w:cs="Times New Roman" w:eastAsia="Times New Roman" w:hAnsi="Times New Roman"/>
            <w:sz w:val="18"/>
            <w:szCs w:val="18"/>
            <w:u w:val="single" w:color="auto"/>
            <w:color w:val="0000EE"/>
          </w:rPr>
          <w:t>Master Network Service Agreement, dated as of July 1, 2020, by and among DISH Network Corporation,</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DISH Purchasing Corporation, and T-Mobile USA, Inc. (incorporated by reference from Exhibit 10.4 to the</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Quarterly Report on Form 10-Q of DISH Network Corporation filed November 6, 2020).</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40" w:right="419" w:hanging="86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w:t>
      </w:r>
      <w:r>
        <w:rPr>
          <w:sz w:val="20"/>
          <w:szCs w:val="20"/>
          <w:color w:val="auto"/>
        </w:rPr>
        <w:tab/>
      </w:r>
      <w:hyperlink r:id="rId211">
        <w:r>
          <w:rPr>
            <w:rFonts w:ascii="Times New Roman" w:cs="Times New Roman" w:eastAsia="Times New Roman" w:hAnsi="Times New Roman"/>
            <w:sz w:val="18"/>
            <w:szCs w:val="18"/>
            <w:u w:val="single" w:color="auto"/>
            <w:color w:val="0000EE"/>
          </w:rPr>
          <w:t>License Purchase Agreement, dated as of July 1, 2020, by and among DISH Network Corporation and T-</w:t>
        </w:r>
      </w:hyperlink>
      <w:hyperlink r:id="rId211">
        <w:r>
          <w:rPr>
            <w:rFonts w:ascii="Times New Roman" w:cs="Times New Roman" w:eastAsia="Times New Roman" w:hAnsi="Times New Roman"/>
            <w:sz w:val="18"/>
            <w:szCs w:val="18"/>
            <w:u w:val="single" w:color="auto"/>
            <w:color w:val="0000EE"/>
          </w:rPr>
          <w:t>Mobile USA, Inc. (incorporated by reference from Exhibit 10.5 to the Quarterly Report on Form 10-Q of</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DISH Network Corporation filed November 6, 2020).</w:t>
        </w:r>
      </w:hyperlink>
    </w:p>
    <w:p>
      <w:pPr>
        <w:spacing w:after="0" w:line="191" w:lineRule="exact"/>
        <w:rPr>
          <w:rFonts w:ascii="Times New Roman" w:cs="Times New Roman" w:eastAsia="Times New Roman" w:hAnsi="Times New Roman"/>
          <w:sz w:val="18"/>
          <w:szCs w:val="18"/>
          <w:u w:val="single" w:color="auto"/>
          <w:color w:val="0000EE"/>
        </w:rPr>
      </w:pPr>
    </w:p>
    <w:p>
      <w:pPr>
        <w:ind w:left="1040" w:right="219" w:hanging="86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10.48*</w:t>
      </w:r>
      <w:r>
        <w:rPr>
          <w:sz w:val="20"/>
          <w:szCs w:val="20"/>
          <w:color w:val="auto"/>
        </w:rPr>
        <w:tab/>
      </w:r>
      <w:hyperlink r:id="rId212">
        <w:r>
          <w:rPr>
            <w:rFonts w:ascii="Times New Roman" w:cs="Times New Roman" w:eastAsia="Times New Roman" w:hAnsi="Times New Roman"/>
            <w:sz w:val="18"/>
            <w:szCs w:val="18"/>
            <w:u w:val="single" w:color="auto"/>
            <w:color w:val="0000EE"/>
          </w:rPr>
          <w:t>Network Services Agreement, dated as of July 14, 2021, by and among DISH Wireless L.L.C. and AT&amp;T</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Mobility LLC (incorporated by reference from Exhibit 10.1 to the Quarterly Report on Form 10-Q of DISH</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Network Corporation filed November 4, 2021).***</w:t>
        </w:r>
      </w:hyperlink>
    </w:p>
    <w:p>
      <w:pPr>
        <w:spacing w:after="0" w:line="191" w:lineRule="exact"/>
        <w:rPr>
          <w:rFonts w:ascii="Times New Roman" w:cs="Times New Roman" w:eastAsia="Times New Roman" w:hAnsi="Times New Roman"/>
          <w:sz w:val="18"/>
          <w:szCs w:val="18"/>
          <w:u w:val="single" w:color="auto"/>
          <w:color w:val="0000EE"/>
        </w:rPr>
      </w:pPr>
    </w:p>
    <w:p>
      <w:pPr>
        <w:ind w:left="1040" w:right="79" w:hanging="861"/>
        <w:spacing w:after="0" w:line="27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10.49*</w:t>
      </w:r>
      <w:r>
        <w:rPr>
          <w:sz w:val="20"/>
          <w:szCs w:val="20"/>
          <w:color w:val="auto"/>
        </w:rPr>
        <w:tab/>
      </w:r>
      <w:hyperlink r:id="rId213">
        <w:r>
          <w:rPr>
            <w:rFonts w:ascii="Times New Roman" w:cs="Times New Roman" w:eastAsia="Times New Roman" w:hAnsi="Times New Roman"/>
            <w:sz w:val="18"/>
            <w:szCs w:val="18"/>
            <w:u w:val="single" w:color="auto"/>
            <w:color w:val="0000EE"/>
          </w:rPr>
          <w:t>Amended and Restated Support Agreement, dated as of October 2, 2023, by and among DISH Network,</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EchoStar and the Ergen Stockholders (attached to the prospectus which forms a part of this registration</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statement as Annex B) (incorporated by reference from Exhibit 10.1 to the Amendment No. 1 on Form S-4 of</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EchoStar filed on November 6, 2023).</w:t>
        </w:r>
      </w:hyperlink>
    </w:p>
    <w:p>
      <w:pPr>
        <w:spacing w:after="0" w:line="195" w:lineRule="exact"/>
        <w:rPr>
          <w:rFonts w:ascii="Times New Roman" w:cs="Times New Roman" w:eastAsia="Times New Roman" w:hAnsi="Times New Roman"/>
          <w:sz w:val="18"/>
          <w:szCs w:val="18"/>
          <w:u w:val="single" w:color="auto"/>
          <w:color w:val="0000EE"/>
        </w:rPr>
      </w:pPr>
    </w:p>
    <w:p>
      <w:pPr>
        <w:ind w:left="1040" w:right="159" w:hanging="86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10.50*</w:t>
      </w:r>
      <w:r>
        <w:rPr>
          <w:sz w:val="20"/>
          <w:szCs w:val="20"/>
          <w:color w:val="auto"/>
        </w:rPr>
        <w:tab/>
      </w:r>
      <w:hyperlink r:id="rId214">
        <w:r>
          <w:rPr>
            <w:rFonts w:ascii="Times New Roman" w:cs="Times New Roman" w:eastAsia="Times New Roman" w:hAnsi="Times New Roman"/>
            <w:sz w:val="18"/>
            <w:szCs w:val="18"/>
            <w:u w:val="single" w:color="auto"/>
            <w:color w:val="0000EE"/>
          </w:rPr>
          <w:t>Letter Agreement, dated as of October 2, 2023, by and between EchoStar and Hamid Akhavan (incorporated</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by reference from Exhibit 10.2 to the Amendment No. 1 on Form S-4 of EchoStar filed on November 6,</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2023).**</w:t>
        </w:r>
      </w:hyperlink>
    </w:p>
    <w:p>
      <w:pPr>
        <w:spacing w:after="0" w:line="191" w:lineRule="exact"/>
        <w:rPr>
          <w:rFonts w:ascii="Times New Roman" w:cs="Times New Roman" w:eastAsia="Times New Roman" w:hAnsi="Times New Roman"/>
          <w:sz w:val="18"/>
          <w:szCs w:val="18"/>
          <w:u w:val="single" w:color="auto"/>
          <w:color w:val="0000EE"/>
        </w:rPr>
      </w:pPr>
    </w:p>
    <w:p>
      <w:pPr>
        <w:ind w:left="1040" w:right="459" w:hanging="86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10.51*</w:t>
      </w:r>
      <w:r>
        <w:rPr>
          <w:sz w:val="20"/>
          <w:szCs w:val="20"/>
          <w:color w:val="auto"/>
        </w:rPr>
        <w:tab/>
      </w:r>
      <w:hyperlink r:id="rId215">
        <w:r>
          <w:rPr>
            <w:rFonts w:ascii="Times New Roman" w:cs="Times New Roman" w:eastAsia="Times New Roman" w:hAnsi="Times New Roman"/>
            <w:sz w:val="18"/>
            <w:szCs w:val="18"/>
            <w:u w:val="single" w:color="auto"/>
            <w:color w:val="0000EE"/>
          </w:rPr>
          <w:t>Letter Agreement, dated as of October 2, 2023, by and between EchoStar and John W. Swieringa</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(incorporated by reference from Exhibit 10.3 to the Amendment No. 1 on Form S-4 of EchoStar filed on</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November 6, 2023).**</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40" w:right="339" w:hanging="861"/>
        <w:spacing w:after="0" w:line="28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10.52*</w:t>
      </w:r>
      <w:r>
        <w:rPr>
          <w:sz w:val="20"/>
          <w:szCs w:val="20"/>
          <w:color w:val="auto"/>
        </w:rPr>
        <w:tab/>
      </w:r>
      <w:hyperlink r:id="rId216">
        <w:r>
          <w:rPr>
            <w:rFonts w:ascii="Times New Roman" w:cs="Times New Roman" w:eastAsia="Times New Roman" w:hAnsi="Times New Roman"/>
            <w:sz w:val="18"/>
            <w:szCs w:val="18"/>
            <w:u w:val="single" w:color="auto"/>
            <w:color w:val="0000EE"/>
          </w:rPr>
          <w:t>Registration Rights Agreement, dated as of December 31, 2023, among EchoStar Corporation, Charles W.</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Ergen, Cantey M. Ergen and the other signatories thereto (incorporated by reference from Exhibit 10.1 to</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EchoStar’s Current Report on Form 8-K filed on January 2, 2024).</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040" w:right="319" w:hanging="861"/>
        <w:spacing w:after="0" w:line="29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10.53*</w:t>
      </w:r>
      <w:r>
        <w:rPr>
          <w:sz w:val="20"/>
          <w:szCs w:val="20"/>
          <w:color w:val="auto"/>
        </w:rPr>
        <w:tab/>
      </w:r>
      <w:hyperlink r:id="rId217">
        <w:r>
          <w:rPr>
            <w:rFonts w:ascii="Times New Roman" w:cs="Times New Roman" w:eastAsia="Times New Roman" w:hAnsi="Times New Roman"/>
            <w:sz w:val="18"/>
            <w:szCs w:val="18"/>
            <w:u w:val="single" w:color="auto"/>
            <w:color w:val="0000EE"/>
          </w:rPr>
          <w:t>Form of Warrant Amendment Letter Agreement (incorporated by reference from Exhibit 4.8 to EchoStar’s</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Current Report on Form 8-K filed on January 2, 2024).</w:t>
        </w:r>
      </w:hyperlink>
    </w:p>
    <w:p>
      <w:pPr>
        <w:spacing w:after="0" w:line="176" w:lineRule="exact"/>
        <w:rPr>
          <w:sz w:val="20"/>
          <w:szCs w:val="20"/>
          <w:color w:val="auto"/>
        </w:rPr>
      </w:pPr>
    </w:p>
    <w:p>
      <w:pPr>
        <w:ind w:left="1040" w:right="419" w:hanging="861"/>
        <w:spacing w:after="0" w:line="29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10.54*</w:t>
      </w:r>
      <w:r>
        <w:rPr>
          <w:sz w:val="20"/>
          <w:szCs w:val="20"/>
          <w:color w:val="auto"/>
        </w:rPr>
        <w:tab/>
      </w:r>
      <w:hyperlink r:id="rId218">
        <w:r>
          <w:rPr>
            <w:rFonts w:ascii="Times New Roman" w:cs="Times New Roman" w:eastAsia="Times New Roman" w:hAnsi="Times New Roman"/>
            <w:sz w:val="18"/>
            <w:szCs w:val="18"/>
            <w:u w:val="single" w:color="auto"/>
            <w:color w:val="0000EE"/>
          </w:rPr>
          <w:t>Form of Warrant Guarantee (incorporated by reference from Exhibit 4.9 to EchoStar’s Current Report on</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Form 8-K filed on January 2, 2024).</w:t>
        </w:r>
      </w:hyperlink>
    </w:p>
    <w:p>
      <w:pPr>
        <w:spacing w:after="0" w:line="176" w:lineRule="exact"/>
        <w:rPr>
          <w:sz w:val="20"/>
          <w:szCs w:val="20"/>
          <w:color w:val="auto"/>
        </w:rPr>
      </w:pPr>
    </w:p>
    <w:p>
      <w:pPr>
        <w:ind w:left="1040" w:right="779" w:hanging="861"/>
        <w:spacing w:after="0" w:line="297"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10.55*</w:t>
      </w:r>
      <w:r>
        <w:rPr>
          <w:sz w:val="20"/>
          <w:szCs w:val="20"/>
          <w:color w:val="auto"/>
        </w:rPr>
        <w:tab/>
      </w:r>
      <w:hyperlink r:id="rId219">
        <w:r>
          <w:rPr>
            <w:rFonts w:ascii="Times New Roman" w:cs="Times New Roman" w:eastAsia="Times New Roman" w:hAnsi="Times New Roman"/>
            <w:sz w:val="18"/>
            <w:szCs w:val="18"/>
            <w:u w:val="single" w:color="auto"/>
            <w:color w:val="0000EE"/>
          </w:rPr>
          <w:t>Form of Note Hedge Amendment Letter Agreement (incorporated by reference from Exhibit 4.11 to</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EchoStar’s Current Report on Form 8-K filed on January 2, 2024).</w:t>
        </w:r>
      </w:hyperlink>
    </w:p>
    <w:p>
      <w:pPr>
        <w:spacing w:after="0" w:line="136" w:lineRule="exact"/>
        <w:rPr>
          <w:sz w:val="20"/>
          <w:szCs w:val="20"/>
          <w:color w:val="auto"/>
        </w:rPr>
      </w:pPr>
    </w:p>
    <w:p>
      <w:pPr>
        <w:ind w:left="260"/>
        <w:spacing w:after="0" w:line="207" w:lineRule="exact"/>
        <w:tabs>
          <w:tab w:leader="none" w:pos="1020" w:val="left"/>
        </w:tabs>
        <w:rPr>
          <w:sz w:val="20"/>
          <w:szCs w:val="20"/>
          <w:color w:val="auto"/>
        </w:rPr>
      </w:pPr>
      <w:r>
        <w:rPr>
          <w:rFonts w:ascii="Times New Roman" w:cs="Times New Roman" w:eastAsia="Times New Roman" w:hAnsi="Times New Roman"/>
          <w:sz w:val="18"/>
          <w:szCs w:val="18"/>
          <w:color w:val="auto"/>
        </w:rPr>
        <w:t>21</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Subsidiaries of EchoStar Corporation.</w:t>
      </w:r>
    </w:p>
    <w:p>
      <w:pPr>
        <w:spacing w:after="0" w:line="252" w:lineRule="exact"/>
        <w:rPr>
          <w:sz w:val="20"/>
          <w:szCs w:val="20"/>
          <w:color w:val="auto"/>
        </w:rPr>
      </w:pPr>
    </w:p>
    <w:p>
      <w:pPr>
        <w:ind w:left="260"/>
        <w:spacing w:after="0" w:line="207" w:lineRule="exact"/>
        <w:tabs>
          <w:tab w:leader="none" w:pos="1020" w:val="left"/>
        </w:tabs>
        <w:rPr>
          <w:sz w:val="20"/>
          <w:szCs w:val="20"/>
          <w:color w:val="auto"/>
        </w:rPr>
      </w:pPr>
      <w:r>
        <w:rPr>
          <w:rFonts w:ascii="Times New Roman" w:cs="Times New Roman" w:eastAsia="Times New Roman" w:hAnsi="Times New Roman"/>
          <w:sz w:val="18"/>
          <w:szCs w:val="18"/>
          <w:color w:val="auto"/>
        </w:rPr>
        <w:t>23</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w:t>
      </w:r>
    </w:p>
    <w:p>
      <w:pPr>
        <w:spacing w:after="0" w:line="252" w:lineRule="exact"/>
        <w:rPr>
          <w:sz w:val="20"/>
          <w:szCs w:val="20"/>
          <w:color w:val="auto"/>
        </w:rPr>
      </w:pPr>
    </w:p>
    <w:p>
      <w:pPr>
        <w:ind w:left="1040" w:right="239" w:hanging="784"/>
        <w:spacing w:after="0" w:line="231" w:lineRule="exact"/>
        <w:tabs>
          <w:tab w:leader="none" w:pos="1020" w:val="left"/>
        </w:tabs>
        <w:rPr>
          <w:sz w:val="20"/>
          <w:szCs w:val="20"/>
          <w:color w:val="auto"/>
        </w:rPr>
      </w:pPr>
      <w:r>
        <w:rPr>
          <w:rFonts w:ascii="Times New Roman" w:cs="Times New Roman" w:eastAsia="Times New Roman" w:hAnsi="Times New Roman"/>
          <w:sz w:val="18"/>
          <w:szCs w:val="18"/>
          <w:color w:val="auto"/>
        </w:rPr>
        <w:t>24</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EE"/>
        </w:rPr>
        <w:t>Power of Attorney authorizing Dean A. Manson as signatory for Charles W. Ergen, Kathleen Q. Abernathy, George R. Brokaw, Stephen J. Bye, James DeFranco, R. Stanton Dodge, Cantey M. Ergen, Lisa W. Hershman, Tom A. Ortolf and William David Wade.</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31.1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Certification of Chief Executive Officer.</w:t>
      </w:r>
    </w:p>
    <w:p>
      <w:pPr>
        <w:spacing w:after="0" w:line="252"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31.2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Certification of Principal Financial Officer.</w:t>
      </w:r>
    </w:p>
    <w:p>
      <w:pPr>
        <w:spacing w:after="0" w:line="252"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32.1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906 Certification of Chief Executive Officer.</w:t>
      </w:r>
    </w:p>
    <w:p>
      <w:pPr>
        <w:spacing w:after="0" w:line="252"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32.2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906 Certification of Principal Financial Officer.</w:t>
      </w:r>
    </w:p>
    <w:p>
      <w:pPr>
        <w:spacing w:after="0" w:line="252" w:lineRule="exact"/>
        <w:rPr>
          <w:sz w:val="20"/>
          <w:szCs w:val="20"/>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97.1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EchoStar Corporation’s Clawback Policy.</w:t>
      </w:r>
    </w:p>
    <w:p>
      <w:pPr>
        <w:spacing w:after="0" w:line="293" w:lineRule="exact"/>
        <w:rPr>
          <w:sz w:val="20"/>
          <w:szCs w:val="20"/>
          <w:color w:val="auto"/>
        </w:rPr>
      </w:pPr>
    </w:p>
    <w:p>
      <w:pPr>
        <w:ind w:left="780" w:right="679" w:hanging="559"/>
        <w:spacing w:after="0" w:line="329" w:lineRule="auto"/>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21">
        <w:r>
          <w:rPr>
            <w:rFonts w:ascii="Times New Roman" w:cs="Times New Roman" w:eastAsia="Times New Roman" w:hAnsi="Times New Roman"/>
            <w:sz w:val="17"/>
            <w:szCs w:val="17"/>
            <w:u w:val="single" w:color="auto"/>
            <w:color w:val="0000EE"/>
          </w:rPr>
          <w:t>Department of Justice CDMA Letter to Defendants dated July 9, 2021 (incorporated by reference from</w:t>
        </w:r>
      </w:hyperlink>
      <w:r>
        <w:rPr>
          <w:rFonts w:ascii="Times New Roman" w:cs="Times New Roman" w:eastAsia="Times New Roman" w:hAnsi="Times New Roman"/>
          <w:sz w:val="17"/>
          <w:szCs w:val="17"/>
          <w:u w:val="single" w:color="auto"/>
          <w:color w:val="0000EE"/>
        </w:rPr>
        <w:t xml:space="preserve"> </w:t>
      </w:r>
      <w:hyperlink r:id="rId221">
        <w:r>
          <w:rPr>
            <w:rFonts w:ascii="Times New Roman" w:cs="Times New Roman" w:eastAsia="Times New Roman" w:hAnsi="Times New Roman"/>
            <w:sz w:val="17"/>
            <w:szCs w:val="17"/>
            <w:u w:val="single" w:color="auto"/>
            <w:color w:val="0000EE"/>
          </w:rPr>
          <w:t>Exhibit 99.1 to the Quarterly Report on Form 10-Q of DISH Network Corporation filed August 9, 2021).</w:t>
        </w:r>
      </w:hyperlink>
    </w:p>
    <w:p>
      <w:pPr>
        <w:spacing w:after="0" w:line="98" w:lineRule="exact"/>
        <w:rPr>
          <w:sz w:val="20"/>
          <w:szCs w:val="20"/>
          <w:color w:val="auto"/>
        </w:rPr>
      </w:pPr>
    </w:p>
    <w:p>
      <w:pPr>
        <w:ind w:left="780" w:right="339" w:hanging="573"/>
        <w:spacing w:after="0" w:line="239" w:lineRule="exact"/>
        <w:rPr>
          <w:sz w:val="20"/>
          <w:szCs w:val="20"/>
          <w:color w:val="auto"/>
        </w:rPr>
      </w:pPr>
      <w:r>
        <w:rPr>
          <w:rFonts w:ascii="Times New Roman" w:cs="Times New Roman" w:eastAsia="Times New Roman" w:hAnsi="Times New Roman"/>
          <w:sz w:val="18"/>
          <w:szCs w:val="18"/>
          <w:color w:val="auto"/>
        </w:rPr>
        <w:t>101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following materials from the Annual Report on Form 10-K of EchoStar Corporation for the year ended December 31, 2023, filed on February 29, 2024, formatted in Inline eXtensible Business Reporting Language (“iXBRL”): (i) Consolidated Balance Sheets, (ii) Consolidated Statements of Operations and Comprehensive Income (Loss), (iii) Consolidated Statement of Changes in Stockholders’ Equity (Deficit), (iv) Consolidated Statements of Cash Flows, and (v) related notes to these financial statements.</w:t>
      </w:r>
    </w:p>
    <w:p>
      <w:pPr>
        <w:spacing w:after="0" w:line="173" w:lineRule="exact"/>
        <w:rPr>
          <w:sz w:val="20"/>
          <w:szCs w:val="20"/>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104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257810</wp:posOffset>
            </wp:positionV>
            <wp:extent cx="14141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hanging="570"/>
        <w:spacing w:after="0"/>
        <w:tabs>
          <w:tab w:leader="none" w:pos="620" w:val="left"/>
        </w:tabs>
        <w:numPr>
          <w:ilvl w:val="0"/>
          <w:numId w:val="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620" w:hanging="570"/>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185" w:lineRule="exact"/>
        <w:rPr>
          <w:sz w:val="20"/>
          <w:szCs w:val="20"/>
          <w:color w:val="auto"/>
        </w:rPr>
      </w:pPr>
    </w:p>
    <w:p>
      <w:pPr>
        <w:ind w:left="620" w:hanging="570"/>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management contract or compensatory plan or arrangement.</w:t>
      </w:r>
    </w:p>
    <w:p>
      <w:pPr>
        <w:spacing w:after="0" w:line="184" w:lineRule="exact"/>
        <w:rPr>
          <w:rFonts w:ascii="Times New Roman" w:cs="Times New Roman" w:eastAsia="Times New Roman" w:hAnsi="Times New Roman"/>
          <w:sz w:val="18"/>
          <w:szCs w:val="18"/>
          <w:color w:val="auto"/>
        </w:rPr>
      </w:pPr>
    </w:p>
    <w:p>
      <w:pPr>
        <w:ind w:left="60" w:right="979" w:hanging="10"/>
        <w:spacing w:after="0" w:line="282" w:lineRule="auto"/>
        <w:tabs>
          <w:tab w:leader="none" w:pos="6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and separately filed with the Securities and Exchange Commission with a request for confidential treatment.</w:t>
      </w:r>
    </w:p>
    <w:p>
      <w:pPr>
        <w:spacing w:after="0" w:line="131"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18415</wp:posOffset>
            </wp:positionV>
            <wp:extent cx="29317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Paul W. Orban</w:t>
      </w:r>
    </w:p>
    <w:p>
      <w:pPr>
        <w:spacing w:after="0" w:line="23" w:lineRule="exact"/>
        <w:rPr>
          <w:sz w:val="20"/>
          <w:szCs w:val="20"/>
          <w:color w:val="auto"/>
        </w:rPr>
      </w:pPr>
    </w:p>
    <w:p>
      <w:pPr>
        <w:ind w:left="4340" w:right="139"/>
        <w:spacing w:after="0" w:line="290" w:lineRule="auto"/>
        <w:rPr>
          <w:sz w:val="20"/>
          <w:szCs w:val="20"/>
          <w:color w:val="auto"/>
        </w:rPr>
      </w:pPr>
      <w:r>
        <w:rPr>
          <w:rFonts w:ascii="Times New Roman" w:cs="Times New Roman" w:eastAsia="Times New Roman" w:hAnsi="Times New Roman"/>
          <w:sz w:val="17"/>
          <w:szCs w:val="17"/>
          <w:color w:val="auto"/>
        </w:rPr>
        <w:t xml:space="preserve">Executive Vice President and Chief Financial Officer, DISH </w:t>
      </w:r>
      <w:r>
        <w:rPr>
          <w:rFonts w:ascii="Times New Roman" w:cs="Times New Roman" w:eastAsia="Times New Roman" w:hAnsi="Times New Roman"/>
          <w:sz w:val="17"/>
          <w:szCs w:val="17"/>
          <w:i w:val="1"/>
          <w:iCs w:val="1"/>
          <w:color w:val="auto"/>
        </w:rPr>
        <w:t>(Principal Financial Officer and Principal Accounting Officer)</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8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0"/>
                <w:szCs w:val="20"/>
                <w:color w:val="auto"/>
              </w:rPr>
            </w:pPr>
          </w:p>
        </w:tc>
        <w:tc>
          <w:tcPr>
            <w:tcW w:w="1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 w:type="dxa"/>
            <w:vAlign w:val="bottom"/>
          </w:tcPr>
          <w:p>
            <w:pPr>
              <w:spacing w:after="0"/>
              <w:rPr>
                <w:sz w:val="20"/>
                <w:szCs w:val="20"/>
                <w:color w:val="auto"/>
              </w:rPr>
            </w:pPr>
          </w:p>
        </w:tc>
      </w:tr>
      <w:tr>
        <w:trPr>
          <w:trHeight w:val="372"/>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Hamid Akhavan</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Hamid Akhavan</w:t>
            </w:r>
          </w:p>
        </w:tc>
        <w:tc>
          <w:tcPr>
            <w:tcW w:w="2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Paul W. Orban</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DISH</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176"/>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Paul W. Orban</w:t>
            </w:r>
          </w:p>
        </w:tc>
        <w:tc>
          <w:tcPr>
            <w:tcW w:w="240" w:type="dxa"/>
            <w:vAlign w:val="bottom"/>
          </w:tcPr>
          <w:p>
            <w:pPr>
              <w:spacing w:after="0"/>
              <w:rPr>
                <w:sz w:val="15"/>
                <w:szCs w:val="15"/>
                <w:color w:val="auto"/>
              </w:rPr>
            </w:pPr>
          </w:p>
        </w:tc>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W. Ergen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Kathleen Q. Abernathy</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R. Brokaw</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J. Bye</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DeFranco</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Stanton Dodge</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Cantey M. Ergen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W. Hershman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A. Ortolf</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 Wade</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2480" w:type="dxa"/>
            <w:vAlign w:val="bottom"/>
          </w:tcPr>
          <w:p>
            <w:pPr>
              <w:spacing w:after="0"/>
              <w:rPr>
                <w:sz w:val="24"/>
                <w:szCs w:val="24"/>
                <w:color w:val="auto"/>
              </w:rPr>
            </w:pPr>
          </w:p>
        </w:tc>
        <w:tc>
          <w:tcPr>
            <w:tcW w:w="470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5"/>
        </w:trPr>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right="7019" w:hanging="504"/>
        <w:spacing w:after="0" w:line="275" w:lineRule="auto"/>
        <w:tabs>
          <w:tab w:leader="none" w:pos="1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Dean A. Manson</w:t>
      </w:r>
      <w:r>
        <w:rPr>
          <w:rFonts w:ascii="Times New Roman" w:cs="Times New Roman" w:eastAsia="Times New Roman" w:hAnsi="Times New Roman"/>
          <w:sz w:val="18"/>
          <w:szCs w:val="18"/>
          <w:color w:val="auto"/>
        </w:rPr>
        <w:t xml:space="preserve"> Dean A. 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-300990</wp:posOffset>
            </wp:positionV>
            <wp:extent cx="25031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40" w:type="dxa"/>
            <w:vAlign w:val="bottom"/>
            <w:gridSpan w:val="6"/>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80" w:type="dxa"/>
            <w:vAlign w:val="bottom"/>
          </w:tcPr>
          <w:p>
            <w:pPr>
              <w:spacing w:after="0"/>
              <w:rPr>
                <w:sz w:val="20"/>
                <w:szCs w:val="20"/>
                <w:color w:val="auto"/>
              </w:rPr>
            </w:pPr>
          </w:p>
        </w:tc>
      </w:tr>
      <w:tr>
        <w:trPr>
          <w:trHeight w:val="432"/>
        </w:trPr>
        <w:tc>
          <w:tcPr>
            <w:tcW w:w="8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0" w:type="dxa"/>
            <w:vAlign w:val="bottom"/>
          </w:tcPr>
          <w:p>
            <w:pPr>
              <w:spacing w:after="0"/>
              <w:rPr>
                <w:sz w:val="24"/>
                <w:szCs w:val="24"/>
                <w:color w:val="auto"/>
              </w:rPr>
            </w:pPr>
          </w:p>
        </w:tc>
        <w:tc>
          <w:tcPr>
            <w:tcW w:w="82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KPMG LLP, Independent Registered Public Accounting Firm </w:t>
            </w:r>
            <w:r>
              <w:rPr>
                <w:rFonts w:ascii="Times New Roman" w:cs="Times New Roman" w:eastAsia="Times New Roman" w:hAnsi="Times New Roman"/>
                <w:sz w:val="18"/>
                <w:szCs w:val="18"/>
                <w:color w:val="000000"/>
              </w:rPr>
              <w:t>(PCAOB ID: 185)</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060" w:type="dxa"/>
            <w:vAlign w:val="bottom"/>
            <w:gridSpan w:val="2"/>
          </w:tcPr>
          <w:p>
            <w:pPr>
              <w:spacing w:after="0"/>
              <w:rPr>
                <w:sz w:val="17"/>
                <w:szCs w:val="17"/>
                <w:color w:val="auto"/>
              </w:rPr>
            </w:pPr>
          </w:p>
        </w:tc>
        <w:tc>
          <w:tcPr>
            <w:tcW w:w="6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2840" w:type="dxa"/>
            <w:vAlign w:val="bottom"/>
          </w:tcPr>
          <w:p>
            <w:pPr>
              <w:spacing w:after="0"/>
              <w:rPr>
                <w:sz w:val="17"/>
                <w:szCs w:val="17"/>
                <w:color w:val="auto"/>
              </w:rPr>
            </w:pPr>
          </w:p>
        </w:tc>
        <w:tc>
          <w:tcPr>
            <w:tcW w:w="6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20" w:type="dxa"/>
            <w:vAlign w:val="bottom"/>
          </w:tcPr>
          <w:p>
            <w:pPr>
              <w:spacing w:after="0"/>
              <w:rPr>
                <w:sz w:val="17"/>
                <w:szCs w:val="17"/>
                <w:color w:val="auto"/>
              </w:rPr>
            </w:pPr>
          </w:p>
        </w:tc>
        <w:tc>
          <w:tcPr>
            <w:tcW w:w="5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(Deficit)</w:t>
            </w:r>
          </w:p>
        </w:tc>
        <w:tc>
          <w:tcPr>
            <w:tcW w:w="3160" w:type="dxa"/>
            <w:vAlign w:val="bottom"/>
            <w:gridSpan w:val="3"/>
          </w:tcPr>
          <w:p>
            <w:pPr>
              <w:spacing w:after="0"/>
              <w:rPr>
                <w:sz w:val="17"/>
                <w:szCs w:val="17"/>
                <w:color w:val="auto"/>
              </w:rPr>
            </w:pPr>
          </w:p>
        </w:tc>
        <w:tc>
          <w:tcPr>
            <w:tcW w:w="6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20" w:type="dxa"/>
            <w:vAlign w:val="bottom"/>
          </w:tcPr>
          <w:p>
            <w:pPr>
              <w:spacing w:after="0"/>
              <w:rPr>
                <w:sz w:val="17"/>
                <w:szCs w:val="17"/>
                <w:color w:val="auto"/>
              </w:rPr>
            </w:pPr>
          </w:p>
        </w:tc>
        <w:tc>
          <w:tcPr>
            <w:tcW w:w="8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898"/>
        </w:trPr>
        <w:tc>
          <w:tcPr>
            <w:tcW w:w="2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8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5"/>
              </w:rPr>
              <w:t>F-1</w:t>
            </w:r>
          </w:p>
        </w:tc>
        <w:tc>
          <w:tcPr>
            <w:tcW w:w="6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EchoStar Corporation:</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EchoStar Corporation and subsidiaries (the Company) as of December 31, 2023 and 2022, the related consolidated statements of operations and comprehensive income (loss), changes in stockholders’ equity (deficit),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debt maturing in 2024 and expects to use a substantial amount of cash in the next twelve months. This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revenue</w:t>
      </w:r>
    </w:p>
    <w:p>
      <w:pPr>
        <w:spacing w:after="0" w:line="227"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As discussed in Note 16 to the consolidated financial statements, the Company reported $17.0 billion in total revenue for the year ended December 31, 2023, which included Pay-TV, Retail Wireless, and Broadband and Satellite Services revenue of $11.6 billion, $3.7 billion, and $1.7 billion, respectively. These categories of revenue have multiple revenue streams and certain aspects of the Company’s processes and information technology (IT) systems differ among the revenue streams.</w:t>
      </w:r>
    </w:p>
    <w:p>
      <w:pPr>
        <w:spacing w:after="0" w:line="164" w:lineRule="exact"/>
        <w:rPr>
          <w:sz w:val="20"/>
          <w:szCs w:val="20"/>
          <w:color w:val="auto"/>
        </w:rPr>
      </w:pPr>
    </w:p>
    <w:p>
      <w:pPr>
        <w:ind w:left="60" w:right="659"/>
        <w:spacing w:after="0" w:line="261" w:lineRule="auto"/>
        <w:rPr>
          <w:sz w:val="20"/>
          <w:szCs w:val="20"/>
          <w:color w:val="auto"/>
        </w:rPr>
      </w:pPr>
      <w:r>
        <w:rPr>
          <w:rFonts w:ascii="Times New Roman" w:cs="Times New Roman" w:eastAsia="Times New Roman" w:hAnsi="Times New Roman"/>
          <w:sz w:val="18"/>
          <w:szCs w:val="18"/>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certain revenue streams,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For other revenue streams, we assessed the recorded amounts by sampling transactions or confirming the price and quantity of items sold with third-party customers. Additionally, for other revenue streams we performed a software-assisted data analysis to test relationships among certain revenue transactions. Through these procedures we then compared the amounts recognized for consistency with underlying documentation, including contracts or payment and transaction support. We evaluated the sufficiency of audit evidence obtained by assessing the results of the procedures performed, including the appropriateness of the nature and extent of such evidence.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0"/>
                <w:szCs w:val="10"/>
                <w:color w:val="auto"/>
              </w:rPr>
            </w:pPr>
          </w:p>
        </w:tc>
        <w:tc>
          <w:tcPr>
            <w:tcW w:w="1160" w:type="dxa"/>
            <w:vAlign w:val="bottom"/>
          </w:tcPr>
          <w:p>
            <w:pPr>
              <w:jc w:val="right"/>
              <w:ind w:right="16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Current Assets: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1,821,376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2,497,536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Marketable investment securities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623,044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1,809,898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6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Trade accounts receivable, net of allowance for credit losses of $74,390 and $59,790,</w:t>
            </w:r>
          </w:p>
        </w:tc>
        <w:tc>
          <w:tcPr>
            <w:tcW w:w="1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1,122,139</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1,182,597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665,169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625,979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Prepaids and other assets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644,005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617,819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16,081</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4,891,814</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6,757,713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Noncurrent Assets: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 cash equivalents and marketable investment securities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118,065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9,561,834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7,904,957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Regulatory authorizations, net</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38,572,980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37,395,604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investments, net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314,370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524,905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3,065,448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2,823,834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172,892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1,113,298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 net</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411,491</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2,110,959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52,217,080</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51,990,568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57,108,894</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58,748,281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Current Liabilities: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774,011</w:t>
            </w:r>
          </w:p>
        </w:tc>
        <w:tc>
          <w:tcPr>
            <w:tcW w:w="26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1,023,537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and other</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754,658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833,213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programming</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1,427,762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1,298,777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297,678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298,043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1,717,826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1,436,485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finance lease obligations (Note 10)</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3,046,654</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1,552,559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8,018,589</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6,442,614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Long-Term Obligations, Net of Current Portion: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 and finance lease obligations, net of current portion (Note 10)</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19,717,266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21,343,561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5,014,309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5,354,756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3,121,307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2,808,774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deferred revenue and other long-term liabilities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849,131</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748,384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long-term obligations, net of current portion</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28,702,013</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30,255,475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36,720,602</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36,698,089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interests (Note 2)</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438,382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464,359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Stockholders’ Equity (Deficit):</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6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1,600,000,000 shares authorized, 140,153,020 and</w:t>
            </w:r>
          </w:p>
        </w:tc>
        <w:tc>
          <w:tcPr>
            <w:tcW w:w="1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138,128,368 shares issued and outstanding, respectively</w:t>
            </w: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9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common stock, $0.001 par value, 800,000,000 shares authorized, 131,348,468 shares</w:t>
            </w:r>
          </w:p>
        </w:tc>
        <w:tc>
          <w:tcPr>
            <w:tcW w:w="1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8,301,979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8,222,599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Pr>
          <w:p>
            <w:pPr>
              <w:spacing w:after="0"/>
              <w:rPr>
                <w:sz w:val="12"/>
                <w:szCs w:val="12"/>
                <w:color w:val="auto"/>
              </w:rPr>
            </w:pPr>
          </w:p>
        </w:tc>
        <w:tc>
          <w:tcPr>
            <w:tcW w:w="14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(160,056)</w:t>
            </w:r>
          </w:p>
        </w:tc>
        <w:tc>
          <w:tcPr>
            <w:tcW w:w="16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(175,267)</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earnings (deficit)</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11,737,983</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13,440,040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EchoStar stockholders’ equity (deficit)</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19,880,177</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21,487,641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69,733</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98,192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19,949,910</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21,585,833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57,108,894</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58,748,281</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Service and other revenue</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16,145,763</w:t>
            </w:r>
          </w:p>
        </w:tc>
        <w:tc>
          <w:tcPr>
            <w:tcW w:w="22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17,596,265</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18,598,313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Equipment sales and other revenue</w:t>
            </w: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869,835</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1,037,981</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17,015,598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18,634,246</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19,818,678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Costs and Expenses (exclusive of depreciation and amortization):</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9,510,427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10,111,341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10,717,333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 - equipment and other</w:t>
            </w: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2,434,904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2,099,136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1,778,471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2,989,154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3,015,325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2,686,279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1,597,923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1,174,895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1,213,946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long-lived assets and goodwill (Note 2)</w:t>
            </w: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761,099</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costs and expenses</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17,293,507</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16,401,408</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16,396,274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(277,909)</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2,232,838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3,422,404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207,374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93,240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3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(90,357)</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(79,217)</w:t>
            </w:r>
          </w:p>
        </w:tc>
        <w:tc>
          <w:tcPr>
            <w:tcW w:w="2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(111,151)</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 (Note 6)</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(1,770,792)</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1,088,441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other income (expense)</w:t>
            </w: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(1,653,775)</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1,102,464</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(72,532)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3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(1,931,684)</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3,335,302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3,349,872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 net</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296,860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(798,410)</w:t>
            </w:r>
          </w:p>
        </w:tc>
        <w:tc>
          <w:tcPr>
            <w:tcW w:w="2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(828,437)</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(1,634,824)</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2,536,892</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2,521,435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 net of tax</w:t>
            </w: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67,233</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59,172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EchoStar</w:t>
            </w: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(1,702,057)</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2,477,720</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2,486,285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7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Weighted-average common shares outstanding - Class A and B common</w:t>
            </w: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4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270,842</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270,102</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275,117</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270,842</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307,733</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313,122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Class A and B common stock:</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Basic net income (loss) per share attributable to EchoStar</w:t>
            </w: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EchoStar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(6.28)</w:t>
            </w:r>
          </w:p>
        </w:tc>
        <w:tc>
          <w:tcPr>
            <w:tcW w:w="2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8.05</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7.94</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(1,634,824)</w:t>
            </w: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2,536,892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2,521,435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Other comprehensive income (loss):</w:t>
            </w: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19,129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35,449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(22,274)</w:t>
            </w:r>
          </w:p>
        </w:tc>
        <w:tc>
          <w:tcPr>
            <w:tcW w:w="0" w:type="dxa"/>
            <w:vAlign w:val="bottom"/>
          </w:tcPr>
          <w:p>
            <w:pPr>
              <w:spacing w:after="0"/>
              <w:rPr>
                <w:sz w:val="1"/>
                <w:szCs w:val="1"/>
                <w:color w:val="auto"/>
              </w:rPr>
            </w:pPr>
          </w:p>
        </w:tc>
      </w:tr>
      <w:tr>
        <w:trPr>
          <w:trHeight w:val="148"/>
        </w:trPr>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holding gains (losses) on available-for-sale debt securities</w:t>
            </w:r>
          </w:p>
        </w:tc>
        <w:tc>
          <w:tcPr>
            <w:tcW w:w="3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26"/>
        </w:trPr>
        <w:tc>
          <w:tcPr>
            <w:tcW w:w="47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Recognition of previously unrealized (gains) losses on available-for-sale</w:t>
            </w:r>
          </w:p>
        </w:tc>
        <w:tc>
          <w:tcPr>
            <w:tcW w:w="3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3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 (expense) benefit, net</w:t>
            </w:r>
          </w:p>
        </w:tc>
        <w:tc>
          <w:tcPr>
            <w:tcW w:w="3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(5,005)</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Total other comprehensive income (loss), net of tax</w:t>
            </w: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18,861</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38,261</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(27,479)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(1,615,963)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2,575,153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2,493,956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Less: Comprehensive income (loss) attributable to noncontrolling interests,</w:t>
            </w:r>
          </w:p>
        </w:tc>
        <w:tc>
          <w:tcPr>
            <w:tcW w:w="3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70,883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60,879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Comprehensive income (loss) attributable to EchoStar</w:t>
            </w: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(1,686,846)</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2,514,274</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2,463,195</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 and B</w:t>
            </w:r>
          </w:p>
        </w:tc>
        <w:tc>
          <w:tcPr>
            <w:tcW w:w="12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4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8"/>
              </w:rPr>
              <w:t>Redeemable</w:t>
            </w: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98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02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 Shares</w:t>
            </w:r>
          </w:p>
        </w:tc>
        <w:tc>
          <w:tcPr>
            <w:tcW w:w="1000" w:type="dxa"/>
            <w:vAlign w:val="bottom"/>
            <w:gridSpan w:val="4"/>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r>
      <w:tr>
        <w:trPr>
          <w:trHeight w:val="155"/>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at Cost (Note 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Interests</w:t>
            </w:r>
          </w:p>
        </w:tc>
      </w:tr>
      <w:tr>
        <w:trPr>
          <w:trHeight w:val="128"/>
        </w:trPr>
        <w:tc>
          <w:tcPr>
            <w:tcW w:w="20" w:type="dxa"/>
            <w:vAlign w:val="bottom"/>
          </w:tcPr>
          <w:p>
            <w:pPr>
              <w:spacing w:after="0"/>
              <w:rPr>
                <w:sz w:val="11"/>
                <w:szCs w:val="11"/>
                <w:color w:val="auto"/>
              </w:rPr>
            </w:pPr>
          </w:p>
        </w:tc>
        <w:tc>
          <w:tcPr>
            <w:tcW w:w="2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266</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$ 8,727,300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(188,731)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8,826,948</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65,405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$ 17,431,188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right w:val="single" w:sz="8" w:color="CCEEFF"/>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350,648</w:t>
            </w:r>
          </w:p>
        </w:tc>
      </w:tr>
      <w:tr>
        <w:trPr>
          <w:trHeight w:val="128"/>
        </w:trPr>
        <w:tc>
          <w:tcPr>
            <w:tcW w:w="20" w:type="dxa"/>
            <w:vAlign w:val="bottom"/>
          </w:tcPr>
          <w:p>
            <w:pPr>
              <w:spacing w:after="0"/>
              <w:rPr>
                <w:sz w:val="11"/>
                <w:szCs w:val="11"/>
                <w:color w:val="auto"/>
              </w:rPr>
            </w:pPr>
          </w:p>
        </w:tc>
        <w:tc>
          <w:tcPr>
            <w:tcW w:w="22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Exercise of stock awards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40,971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40,971</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Employee benefits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37,445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37,446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Employee Stock Purchase Plan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27,210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27,211</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Non-cash, stock-based compensation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59,379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59,379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(23,090)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(4,389)</w:t>
            </w: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(27,479)</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Convertible debt reclassified per ASU</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2020-06, net of deferred taxes of $245,778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 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(805,566)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(805,566)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Contribution by non-controlling interest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holder</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9,880</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9,880</w:t>
            </w: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Treasury share repurchase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(261,609)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net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(261,609)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261,609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(9,424)</w:t>
            </w:r>
          </w:p>
        </w:tc>
        <w:tc>
          <w:tcPr>
            <w:tcW w:w="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(9,424)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44,574</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(loss) attributable to EchoStar</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2,486,285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2,486,285</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0" w:type="dxa"/>
            <w:vAlign w:val="bottom"/>
          </w:tcPr>
          <w:p>
            <w:pPr>
              <w:spacing w:after="0"/>
              <w:rPr>
                <w:sz w:val="11"/>
                <w:szCs w:val="11"/>
                <w:color w:val="auto"/>
              </w:rPr>
            </w:pPr>
          </w:p>
        </w:tc>
        <w:tc>
          <w:tcPr>
            <w:tcW w:w="2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8,085,989</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(211,821)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11,051,624</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61,472</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$ 18,987,532</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395,222</w:t>
            </w:r>
          </w:p>
        </w:tc>
      </w:tr>
      <w:tr>
        <w:trPr>
          <w:trHeight w:val="128"/>
        </w:trPr>
        <w:tc>
          <w:tcPr>
            <w:tcW w:w="20" w:type="dxa"/>
            <w:vAlign w:val="bottom"/>
          </w:tcPr>
          <w:p>
            <w:pPr>
              <w:spacing w:after="0"/>
              <w:rPr>
                <w:sz w:val="11"/>
                <w:szCs w:val="11"/>
                <w:color w:val="auto"/>
              </w:rPr>
            </w:pPr>
          </w:p>
        </w:tc>
        <w:tc>
          <w:tcPr>
            <w:tcW w:w="2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Exercise of stock awards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Employee benefits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33,389</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Employee Stock Purchase Plan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27,238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27,239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Non-cash, stock-based compensation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82,994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82,994</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1,707</w:t>
            </w:r>
          </w:p>
        </w:tc>
        <w:tc>
          <w:tcPr>
            <w:tcW w:w="8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38,261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equity and contribution of</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pursuant to the India JV formation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44,540</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30,303</w:t>
            </w: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Consideration received from DISH</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Network for R&amp;D tax credits utilized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6,315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6,315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Treasury share repurchase</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(89,303)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(89,303)</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(89,304)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89,303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438</w:t>
            </w:r>
          </w:p>
        </w:tc>
        <w:tc>
          <w:tcPr>
            <w:tcW w:w="8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(9,965)</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(9,965)</w:t>
            </w: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69,137</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 attributable to EchoStar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2,477,720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2,477,720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0" w:type="dxa"/>
            <w:vAlign w:val="bottom"/>
          </w:tcPr>
          <w:p>
            <w:pPr>
              <w:spacing w:after="0"/>
              <w:rPr>
                <w:sz w:val="11"/>
                <w:szCs w:val="11"/>
                <w:color w:val="auto"/>
              </w:rPr>
            </w:pPr>
          </w:p>
        </w:tc>
        <w:tc>
          <w:tcPr>
            <w:tcW w:w="2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$ 8,222,599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(175,267)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13,440,040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98,192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$ 21,585,833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464,359</w:t>
            </w:r>
          </w:p>
        </w:tc>
      </w:tr>
      <w:tr>
        <w:trPr>
          <w:trHeight w:val="40"/>
        </w:trPr>
        <w:tc>
          <w:tcPr>
            <w:tcW w:w="20" w:type="dxa"/>
            <w:vAlign w:val="bottom"/>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bottom w:val="single" w:sz="8" w:color="auto"/>
            </w:tcBorders>
            <w:shd w:val="clear" w:color="auto" w:fill="CCEEFF"/>
          </w:tcPr>
          <w:p>
            <w:pPr>
              <w:spacing w:after="0"/>
              <w:rPr>
                <w:sz w:val="3"/>
                <w:szCs w:val="3"/>
                <w:color w:val="auto"/>
              </w:rPr>
            </w:pPr>
          </w:p>
        </w:tc>
        <w:tc>
          <w:tcPr>
            <w:tcW w:w="660" w:type="dxa"/>
            <w:vAlign w:val="bottom"/>
            <w:tcBorders>
              <w:bottom w:val="single" w:sz="8" w:color="auto"/>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tcBorders>
              <w:bottom w:val="single" w:sz="8" w:color="auto"/>
            </w:tcBorders>
            <w:shd w:val="clear" w:color="auto" w:fill="CCEEFF"/>
          </w:tcPr>
          <w:p>
            <w:pPr>
              <w:spacing w:after="0"/>
              <w:rPr>
                <w:sz w:val="3"/>
                <w:szCs w:val="3"/>
                <w:color w:val="auto"/>
              </w:rPr>
            </w:pPr>
          </w:p>
        </w:tc>
        <w:tc>
          <w:tcPr>
            <w:tcW w:w="560" w:type="dxa"/>
            <w:vAlign w:val="bottom"/>
            <w:tcBorders>
              <w:bottom w:val="single" w:sz="8" w:color="auto"/>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Borders>
              <w:bottom w:val="single" w:sz="8" w:color="auto"/>
            </w:tcBorders>
            <w:shd w:val="clear" w:color="auto" w:fill="CCEEFF"/>
          </w:tcPr>
          <w:p>
            <w:pPr>
              <w:spacing w:after="0"/>
              <w:rPr>
                <w:sz w:val="3"/>
                <w:szCs w:val="3"/>
                <w:color w:val="auto"/>
              </w:rPr>
            </w:pPr>
          </w:p>
        </w:tc>
        <w:tc>
          <w:tcPr>
            <w:tcW w:w="780" w:type="dxa"/>
            <w:vAlign w:val="bottom"/>
            <w:tcBorders>
              <w:bottom w:val="single" w:sz="8" w:color="auto"/>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tcBorders>
              <w:bottom w:val="single" w:sz="8" w:color="auto"/>
            </w:tcBorders>
            <w:shd w:val="clear" w:color="auto" w:fill="CCEEFF"/>
          </w:tcPr>
          <w:p>
            <w:pPr>
              <w:spacing w:after="0"/>
              <w:rPr>
                <w:sz w:val="3"/>
                <w:szCs w:val="3"/>
                <w:color w:val="auto"/>
              </w:rPr>
            </w:pPr>
          </w:p>
        </w:tc>
        <w:tc>
          <w:tcPr>
            <w:tcW w:w="640" w:type="dxa"/>
            <w:vAlign w:val="bottom"/>
            <w:tcBorders>
              <w:bottom w:val="single" w:sz="8" w:color="auto"/>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tcBorders>
              <w:bottom w:val="single" w:sz="8" w:color="auto"/>
            </w:tcBorders>
            <w:shd w:val="clear" w:color="auto" w:fill="CCEEFF"/>
          </w:tcPr>
          <w:p>
            <w:pPr>
              <w:spacing w:after="0"/>
              <w:rPr>
                <w:sz w:val="3"/>
                <w:szCs w:val="3"/>
                <w:color w:val="auto"/>
              </w:rPr>
            </w:pPr>
          </w:p>
        </w:tc>
        <w:tc>
          <w:tcPr>
            <w:tcW w:w="660" w:type="dxa"/>
            <w:vAlign w:val="bottom"/>
            <w:tcBorders>
              <w:bottom w:val="single" w:sz="8" w:color="auto"/>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bottom w:val="single" w:sz="8" w:color="auto"/>
            </w:tcBorders>
            <w:shd w:val="clear" w:color="auto" w:fill="CCEEFF"/>
          </w:tcPr>
          <w:p>
            <w:pPr>
              <w:spacing w:after="0"/>
              <w:rPr>
                <w:sz w:val="3"/>
                <w:szCs w:val="3"/>
                <w:color w:val="auto"/>
              </w:rPr>
            </w:pPr>
          </w:p>
        </w:tc>
        <w:tc>
          <w:tcPr>
            <w:tcW w:w="700" w:type="dxa"/>
            <w:vAlign w:val="bottom"/>
            <w:tcBorders>
              <w:bottom w:val="single" w:sz="8" w:color="auto"/>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bottom w:val="single" w:sz="8" w:color="auto"/>
            </w:tcBorders>
            <w:shd w:val="clear" w:color="auto" w:fill="CCEEFF"/>
          </w:tcPr>
          <w:p>
            <w:pPr>
              <w:spacing w:after="0"/>
              <w:rPr>
                <w:sz w:val="3"/>
                <w:szCs w:val="3"/>
                <w:color w:val="auto"/>
              </w:rPr>
            </w:pPr>
          </w:p>
        </w:tc>
        <w:tc>
          <w:tcPr>
            <w:tcW w:w="620" w:type="dxa"/>
            <w:vAlign w:val="bottom"/>
            <w:tcBorders>
              <w:bottom w:val="single" w:sz="8" w:color="auto"/>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tcBorders>
              <w:bottom w:val="single" w:sz="8" w:color="auto"/>
              <w:right w:val="single" w:sz="8" w:color="CCEEFF"/>
            </w:tcBorders>
            <w:shd w:val="clear" w:color="auto" w:fill="CCEEFF"/>
          </w:tcPr>
          <w:p>
            <w:pPr>
              <w:spacing w:after="0"/>
              <w:rPr>
                <w:sz w:val="3"/>
                <w:szCs w:val="3"/>
                <w:color w:val="auto"/>
              </w:rPr>
            </w:pPr>
          </w:p>
        </w:tc>
        <w:tc>
          <w:tcPr>
            <w:tcW w:w="740" w:type="dxa"/>
            <w:vAlign w:val="bottom"/>
            <w:tcBorders>
              <w:bottom w:val="single" w:sz="8" w:color="auto"/>
              <w:right w:val="single" w:sz="8" w:color="CCEEFF"/>
            </w:tcBorders>
            <w:shd w:val="clear" w:color="auto" w:fill="000000"/>
          </w:tcPr>
          <w:p>
            <w:pPr>
              <w:spacing w:after="0"/>
              <w:rPr>
                <w:sz w:val="3"/>
                <w:szCs w:val="3"/>
                <w:color w:val="auto"/>
              </w:rPr>
            </w:pPr>
          </w:p>
        </w:tc>
      </w:tr>
      <w:tr>
        <w:trPr>
          <w:trHeight w:val="115"/>
        </w:trPr>
        <w:tc>
          <w:tcPr>
            <w:tcW w:w="226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Exercise of stock awards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Employee benefits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20,100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20,101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Employee Stock Purchase Plan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12,042</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Non-cash, stock-based compensation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51,514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51,514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3,650</w:t>
            </w: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18,861</w:t>
            </w: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(2,831)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w:t>
            </w:r>
          </w:p>
        </w:tc>
        <w:tc>
          <w:tcPr>
            <w:tcW w:w="8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(3,270)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Purchase of Northstar Manager, LLC's</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ownership interest in Northstar Spectrum</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(109,432)</w:t>
            </w:r>
          </w:p>
        </w:tc>
      </w:tr>
      <w:tr>
        <w:trPr>
          <w:trHeight w:val="117"/>
        </w:trPr>
        <w:tc>
          <w:tcPr>
            <w:tcW w:w="20" w:type="dxa"/>
            <w:vAlign w:val="bottom"/>
          </w:tcPr>
          <w:p>
            <w:pPr>
              <w:spacing w:after="0"/>
              <w:rPr>
                <w:sz w:val="10"/>
                <w:szCs w:val="10"/>
                <w:color w:val="auto"/>
              </w:rPr>
            </w:pPr>
          </w:p>
        </w:tc>
        <w:tc>
          <w:tcPr>
            <w:tcW w:w="2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Deconsolidation of Hughes Systique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Corporation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(15,448)</w:t>
            </w:r>
          </w:p>
        </w:tc>
        <w:tc>
          <w:tcPr>
            <w:tcW w:w="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(15,448)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 w:type="dxa"/>
            <w:vAlign w:val="bottom"/>
          </w:tcPr>
          <w:p>
            <w:pPr>
              <w:spacing w:after="0"/>
              <w:rPr>
                <w:sz w:val="10"/>
                <w:szCs w:val="10"/>
                <w:color w:val="auto"/>
              </w:rPr>
            </w:pPr>
          </w:p>
        </w:tc>
        <w:tc>
          <w:tcPr>
            <w:tcW w:w="22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right w:val="single" w:sz="8" w:color="CCEEFF"/>
            </w:tcBorders>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(16,222)</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(16,222)</w:t>
            </w: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83,455</w:t>
            </w:r>
          </w:p>
        </w:tc>
      </w:tr>
      <w:tr>
        <w:trPr>
          <w:trHeight w:val="135"/>
        </w:trPr>
        <w:tc>
          <w:tcPr>
            <w:tcW w:w="20" w:type="dxa"/>
            <w:vAlign w:val="bottom"/>
          </w:tcPr>
          <w:p>
            <w:pPr>
              <w:spacing w:after="0"/>
              <w:rPr>
                <w:sz w:val="11"/>
                <w:szCs w:val="11"/>
                <w:color w:val="auto"/>
              </w:rPr>
            </w:pPr>
          </w:p>
        </w:tc>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 attributable to EchoStar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(1,702,057)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(1,702,057)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0" w:type="dxa"/>
            <w:vAlign w:val="bottom"/>
          </w:tcPr>
          <w:p>
            <w:pPr>
              <w:spacing w:after="0"/>
              <w:rPr>
                <w:sz w:val="11"/>
                <w:szCs w:val="11"/>
                <w:color w:val="auto"/>
              </w:rPr>
            </w:pPr>
          </w:p>
        </w:tc>
        <w:tc>
          <w:tcPr>
            <w:tcW w:w="22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$ 8,301,979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(160,056)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11,737,983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69,733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$ 19,949,910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right w:val="single" w:sz="8" w:color="CCEEFF"/>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438,382</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9"/>
        </w:trPr>
        <w:tc>
          <w:tcPr>
            <w:tcW w:w="5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(1,634,824)</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2,536,892</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2,521,435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Adjustments to reconcile net income (loss) to net cash flows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1,597,923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1,174,895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1,213,946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long-lived assets and goodwill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761,099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Realized and unrealized losses (gains) on investments, impairments and other</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(46,888)</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(72,371)</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(7,541)</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Realized and unrealized losses (gains) on derivatives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1,693,387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(1,015,387)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stock-based compensation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expense (benefit)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(337,222)</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729,587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allowance for credit losses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(34,635)</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long-term deferred revenue and other long-term 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83,453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166,383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current assets and current liabilities, net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Trade accounts receivable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(74,812)</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and accrued income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(36,115)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(37,981)</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(175,918)</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(40,290)</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(47,144)</w:t>
            </w:r>
          </w:p>
        </w:tc>
        <w:tc>
          <w:tcPr>
            <w:tcW w:w="0" w:type="dxa"/>
            <w:vAlign w:val="bottom"/>
          </w:tcPr>
          <w:p>
            <w:pPr>
              <w:spacing w:after="0"/>
              <w:rPr>
                <w:sz w:val="1"/>
                <w:szCs w:val="1"/>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86,219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 and other</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(78,555)</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(71,709)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(62,034)</w:t>
            </w:r>
          </w:p>
        </w:tc>
        <w:tc>
          <w:tcPr>
            <w:tcW w:w="0" w:type="dxa"/>
            <w:vAlign w:val="bottom"/>
          </w:tcPr>
          <w:p>
            <w:pPr>
              <w:spacing w:after="0"/>
              <w:rPr>
                <w:sz w:val="1"/>
                <w:szCs w:val="1"/>
                <w:color w:val="auto"/>
              </w:rPr>
            </w:pPr>
          </w:p>
        </w:tc>
      </w:tr>
      <w:tr>
        <w:trPr>
          <w:trHeight w:val="148"/>
        </w:trPr>
        <w:tc>
          <w:tcPr>
            <w:tcW w:w="5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programming and other accrued expenses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267,110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(105,980)</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(41,293)</w:t>
            </w:r>
          </w:p>
        </w:tc>
        <w:tc>
          <w:tcPr>
            <w:tcW w:w="0" w:type="dxa"/>
            <w:vAlign w:val="bottom"/>
          </w:tcPr>
          <w:p>
            <w:pPr>
              <w:spacing w:after="0"/>
              <w:rPr>
                <w:sz w:val="1"/>
                <w:szCs w:val="1"/>
                <w:color w:val="auto"/>
              </w:rPr>
            </w:pPr>
          </w:p>
        </w:tc>
      </w:tr>
      <w:tr>
        <w:trPr>
          <w:trHeight w:val="142"/>
        </w:trPr>
        <w:tc>
          <w:tcPr>
            <w:tcW w:w="54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from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2,432,647</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3,621,190</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4,655,373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marketable investment securities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(2,407,546)</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(1,965,859)</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(6,338,641)</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and maturities of marketable investment securities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3,710,544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4,159,830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4,390,903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(3,100,921)</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(3,050,472)</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(1,619,312)</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Refunds and other receipts of purchases of property and equipment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interest related to regulatory authorizations (Note 2)</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(1,162,473)</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(984,309)</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(777,885)</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other debt investments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148,448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Refund of regulatory authorizations deposit</w:t>
            </w: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regulatory authorizations, including deposits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(7,206,865)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(122,657)</w:t>
            </w: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(33,386)</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(11,900)</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(116,621)</w:t>
            </w:r>
          </w:p>
        </w:tc>
        <w:tc>
          <w:tcPr>
            <w:tcW w:w="0" w:type="dxa"/>
            <w:vAlign w:val="bottom"/>
          </w:tcPr>
          <w:p>
            <w:pPr>
              <w:spacing w:after="0"/>
              <w:rPr>
                <w:sz w:val="1"/>
                <w:szCs w:val="1"/>
                <w:color w:val="auto"/>
              </w:rPr>
            </w:pPr>
          </w:p>
        </w:tc>
      </w:tr>
      <w:tr>
        <w:trPr>
          <w:trHeight w:val="142"/>
        </w:trPr>
        <w:tc>
          <w:tcPr>
            <w:tcW w:w="54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from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(2,808,732)</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(9,059,575)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(4,246,723)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 of long-term debt and finance lease obligations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(121,981)</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(86,229)</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(89,958)</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Redemption and repurchases of senior notes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(1,460,635)</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(2,056,821)</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(2,901,818)</w:t>
            </w: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senior notes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convertible notes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(182,834)</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Early debt extinguishment gains (losses)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proceeds from Class A common stock options exercised and stock issued under the</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10,598</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27,438</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Northstar Manager, LLC's ownership interest in Northstar Spectrum</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(109,432)</w:t>
            </w: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share repurchase</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(89,303)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(261,436)</w:t>
            </w:r>
          </w:p>
        </w:tc>
        <w:tc>
          <w:tcPr>
            <w:tcW w:w="0" w:type="dxa"/>
            <w:vAlign w:val="bottom"/>
          </w:tcPr>
          <w:p>
            <w:pPr>
              <w:spacing w:after="0"/>
              <w:rPr>
                <w:sz w:val="1"/>
                <w:szCs w:val="1"/>
                <w:color w:val="auto"/>
              </w:rPr>
            </w:pPr>
          </w:p>
        </w:tc>
      </w:tr>
      <w:tr>
        <w:trPr>
          <w:trHeight w:val="149"/>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issuance costs and debt (discount) premium</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(51,121)</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(34,459)</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(7,496)</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(18,413)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(15,507)</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from financing activities</w:t>
            </w: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(277,121)</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(274,449)</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3,515,004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Effect of exchange rates on cash and cash equivalents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(2,306)</w:t>
            </w: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(3,749)</w:t>
            </w: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restricted cash and cash equivalents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(650,202)</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(5,715,140)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3,919,905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restricted cash and cash equivalents, beginning of period (Note 5)</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2,561,803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8,276,943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4,357,038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restricted cash and cash equivalents, end of period (Note 5)</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1,911,601</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2,561,803</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8,276,943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1.</w:t>
        <w:tab/>
        <w:t>Organization and Business Activities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Business</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Merger with DISH Network</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w:t>
      </w:r>
    </w:p>
    <w:p>
      <w:pPr>
        <w:spacing w:after="0" w:line="183"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Network Common Stock that were held in DISH Network’s treasury or held directly by us or Merger Sub immediately prior to the Effective Time were cancelled and cease to exist and no consideration was paid in respect thereof. All shares of the DISH Network Class A Common Stock were delisted from the Nasdaq Global Select Market (“NASDAQ”) and deregistered under the Securities Exchange Act of 1934, as amended.</w:t>
      </w:r>
    </w:p>
    <w:p>
      <w:pPr>
        <w:spacing w:after="0" w:line="19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spacing w:after="0" w:line="189"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Concurrently with the entry into the Amended Merger Agreement, the Ergen EchoStar Stockholders (as defined in the Amended Merger Agreement), the Ergen DISH Stockholders (collectively, the “Ergen Stockholders”), we and DISH Network entered into an amended and restated support agreement (the “Amended Support Agreement”).</w:t>
      </w:r>
    </w:p>
    <w:p>
      <w:pPr>
        <w:spacing w:after="0" w:line="176"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Merger, and pursuant to the Amended and Restated Support Agreement, the Ergen Stockholders, we and DISH Network, on December 31, 2023, we and the Ergen Stockholders entered into a registration rights agreement (the “Registration Rights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us to make appropriate officers available to participate in roadshow presentations and cooperate as reasonably requested in connection with any underwritten offerings. We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us for use in a registration statement by a participating stockholder.</w:t>
      </w:r>
    </w:p>
    <w:p>
      <w:pPr>
        <w:spacing w:after="0" w:line="194"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For more information and a copy of the Amended Merger Agreement, the Amended Support Agreement and the Registration Rights Agreement, see the Form 8-K of EchoStar Corporation filed on October 3, 2023 and the Form 8-K of EchoStar Corporation filed on January 2, 2024.</w:t>
      </w:r>
    </w:p>
    <w:p>
      <w:pPr>
        <w:spacing w:after="0" w:line="1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With the Merger complete, we are currently focused on the process of integrating our and DISH Network’s business in a manner that facilitates synergies, cost savings, growth opportunities and achieves other anticipated benefits (the “Integration”).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222222"/>
        </w:rPr>
        <w:t>The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222222"/>
        </w:rPr>
        <w:t xml:space="preserve">Our cash and cash equivalents and marketable investment securities totaled </w:t>
      </w:r>
      <w:r>
        <w:rPr>
          <w:rFonts w:ascii="Times New Roman" w:cs="Times New Roman" w:eastAsia="Times New Roman" w:hAnsi="Times New Roman"/>
          <w:sz w:val="18"/>
          <w:szCs w:val="18"/>
          <w:color w:val="000000"/>
        </w:rPr>
        <w:t>$2.4 billion</w:t>
      </w:r>
      <w:r>
        <w:rPr>
          <w:rFonts w:ascii="Times New Roman" w:cs="Times New Roman" w:eastAsia="Times New Roman" w:hAnsi="Times New Roman"/>
          <w:sz w:val="18"/>
          <w:szCs w:val="18"/>
          <w:color w:val="222222"/>
        </w:rPr>
        <w:t xml:space="preserve"> as of December 31, 2023 (“Cash on Hand”). As reflected in the consolidated financial statements as of December 31, 2023, we have </w:t>
      </w:r>
      <w:r>
        <w:rPr>
          <w:rFonts w:ascii="Times New Roman" w:cs="Times New Roman" w:eastAsia="Times New Roman" w:hAnsi="Times New Roman"/>
          <w:sz w:val="18"/>
          <w:szCs w:val="18"/>
          <w:color w:val="000000"/>
        </w:rPr>
        <w:t>$951 million and $1.98</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billion </w:t>
      </w:r>
      <w:r>
        <w:rPr>
          <w:rFonts w:ascii="Times New Roman" w:cs="Times New Roman" w:eastAsia="Times New Roman" w:hAnsi="Times New Roman"/>
          <w:sz w:val="18"/>
          <w:szCs w:val="18"/>
          <w:color w:val="222222"/>
        </w:rPr>
        <w:t>of debt maturing in March and November 2024, respectively, as well as a</w:t>
      </w:r>
      <w:r>
        <w:rPr>
          <w:rFonts w:ascii="Times New Roman" w:cs="Times New Roman" w:eastAsia="Times New Roman" w:hAnsi="Times New Roman"/>
          <w:sz w:val="18"/>
          <w:szCs w:val="18"/>
          <w:color w:val="000000"/>
        </w:rPr>
        <w:t xml:space="preserve"> $438 million </w:t>
      </w:r>
      <w:r>
        <w:rPr>
          <w:rFonts w:ascii="Times New Roman" w:cs="Times New Roman" w:eastAsia="Times New Roman" w:hAnsi="Times New Roman"/>
          <w:sz w:val="18"/>
          <w:szCs w:val="18"/>
          <w:color w:val="222222"/>
        </w:rPr>
        <w:t>obligation related to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SNR put right. We satisfied the SNR obligation out of Cash on Hand on February 16, 2024, and for calendar year 2024 are forecasting negative cash flows.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222222"/>
        </w:rPr>
        <w:t>Because we do not currently have committed financing to fund our operations for at least twelve months from the issuance of these consolidated financial statements, substantial doubt exists about our ability to continue as a going concern. We currently intend to use Cash on Hand and cash flow from operations to pay the March 2024 debt maturity. However, we do not currently have the necessary Cash on Hand and/or projected future cash flows to fund the November 2024 debt maturity and subsequent interest on our outstanding debt. To address our capital needs, we are in active discussions with funding sources to raise additional capital and restructure our outstanding debt. We cannot provide assurances that we will be successful in obtaining such new financing and/or restructuring the existing debt obligations necessary for us to have sufficient liquidity. Further, if we are not successful in these endeavors, then capital expenditures to meet future FCC build out requirements and wireless customer growth initiatives will be adversely affected.</w:t>
      </w:r>
    </w:p>
    <w:p>
      <w:pPr>
        <w:spacing w:after="0" w:line="188"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222222"/>
        </w:rPr>
        <w:t>The consolidated financial statements do not include any adjustments to the amount and classification of assets and liabilities that may be necessary should we not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currently operate four primary business segments: (1) Pay-TV; (2) Retail Wireless; (3) 5G Network Deployment; and (4) Broadband and Satellite Services.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Pay-TV</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2023, we had 8.526 million Pay-TV subscribers in the United States, including 6.471 million DISH TV subscribers and 2.055 million SLING TV subscribers.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Retail Wireless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offer nationwide prepaid and postpaid retail wireless services to subscribers primarily under our Boost Mobile®, Boost postpaid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financing arrangements for wireless devices.</w:t>
      </w:r>
    </w:p>
    <w:p>
      <w:pPr>
        <w:spacing w:after="0" w:line="183"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 xml:space="preserve">We are currently operating our Retail Wireless segment primarily as a mobile virtual network operator (“MVNO”) as we continue our 5G Network Deployment and commercialize our 5G Network, as defined below. We are transitioning our Retail Wireless segment to a mobile network operator (“MNO”) as our 5G Network becomes commercially available and we are currently activating subscribers onto our 5G Network in markets where we have reached </w:t>
      </w:r>
      <w:r>
        <w:rPr>
          <w:rFonts w:ascii="Times New Roman" w:cs="Times New Roman" w:eastAsia="Times New Roman" w:hAnsi="Times New Roman"/>
          <w:sz w:val="18"/>
          <w:szCs w:val="18"/>
          <w:color w:val="0A0A0A"/>
        </w:rPr>
        <w:t>voice over new radio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(“VoNR”)</w:t>
      </w:r>
      <w:r>
        <w:rPr>
          <w:rFonts w:ascii="Times New Roman" w:cs="Times New Roman" w:eastAsia="Times New Roman" w:hAnsi="Times New Roman"/>
          <w:sz w:val="18"/>
          <w:szCs w:val="18"/>
          <w:color w:val="000000"/>
        </w:rPr>
        <w:t>. As an MVNO, today we depend on T-Mobile and AT&amp;T to provide us with network services under the</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amended Master Network Services Agreement (“MNSA”) and Network Services Agreement (the “NSA”), respectively. Under the NSA, we expect AT&amp;T will become our primary network services provider. As of December 31, 2023, we had 7.378 million Wireless subscribers.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22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We regularly evaluate ways to enhance our business. As part of this process, we are in regular dialogue with interested parties who may assist us in accomplishing our goals, including ongoing conversations with CONX Corp. (an entity partially owned by Charles W. Ergen, our Chairman) regarding a transaction involving our Retail Wireless segment. There can be no assurance that these discussions will lead to a transaction nor as to the structure or terms of any such transaction.</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5G Network Deployment</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15 for further information.</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 See Note 15 for further information.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DISH Network Spectrum</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We have invested a total of over $30 billion to acquire certain Wireless spectrum licenses. These Wireless spectrum licenses are subject to certain interim and final build-out requirements, as well as certain renewal requirements.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including 20% of the U.S. population by 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 </w:t>
      </w:r>
      <w:r>
        <w:rPr>
          <w:rFonts w:ascii="Times New Roman" w:cs="Times New Roman" w:eastAsia="Times New Roman" w:hAnsi="Times New Roman"/>
          <w:sz w:val="18"/>
          <w:szCs w:val="18"/>
          <w:color w:val="0A0A0A"/>
        </w:rPr>
        <w:t>We now have the largest commercial deployment of 5G VoNR in the world reaching approximately 200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Americans and </w:t>
      </w:r>
      <w:r>
        <w:rPr>
          <w:rFonts w:ascii="Times New Roman" w:cs="Times New Roman" w:eastAsia="Times New Roman" w:hAnsi="Times New Roman"/>
          <w:sz w:val="18"/>
          <w:szCs w:val="18"/>
          <w:color w:val="000000"/>
        </w:rPr>
        <w:t>5G broadband service</w:t>
      </w:r>
      <w:r>
        <w:rPr>
          <w:rFonts w:ascii="Times New Roman" w:cs="Times New Roman" w:eastAsia="Times New Roman" w:hAnsi="Times New Roman"/>
          <w:sz w:val="18"/>
          <w:szCs w:val="18"/>
          <w:color w:val="0A0A0A"/>
        </w:rPr>
        <w:t xml:space="preserve"> reaching approximately 250 million Americans.</w:t>
      </w:r>
    </w:p>
    <w:p>
      <w:pPr>
        <w:spacing w:after="0" w:line="19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15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right="579"/>
        <w:spacing w:after="0" w:line="284" w:lineRule="auto"/>
        <w:rPr>
          <w:sz w:val="20"/>
          <w:szCs w:val="20"/>
          <w:color w:val="auto"/>
        </w:rPr>
      </w:pPr>
      <w:r>
        <w:rPr>
          <w:rFonts w:ascii="Times New Roman" w:cs="Times New Roman" w:eastAsia="Times New Roman" w:hAnsi="Times New Roman"/>
          <w:sz w:val="18"/>
          <w:szCs w:val="18"/>
          <w:i w:val="1"/>
          <w:iCs w:val="1"/>
          <w:color w:val="auto"/>
        </w:rPr>
        <w:t>DISH Network Noncontrolling Investments in the Northstar Entities and the SNR Entities Related to AWS-3 Wireless Spectrum Licenses</w:t>
      </w:r>
    </w:p>
    <w:p>
      <w:pPr>
        <w:spacing w:after="0" w:line="160"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During 2015, through our wholly-owned subsidiaries American AWS-3 Wireless II L.L.C. (“American II”) and American AWS-3 Wireless III L.L.C. (“American III”), we initially made over $10 billion in certain noncontrolling investments</w:t>
      </w:r>
    </w:p>
    <w:p>
      <w:pPr>
        <w:spacing w:after="0" w:line="1"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and to SNR Wireless, respectively, which are recorded in “Regulatory authorizations, net” on our Consolidated Balance Sheets.</w:t>
      </w:r>
    </w:p>
    <w:p>
      <w:pPr>
        <w:spacing w:after="0" w:line="18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accounting guidance in Accounting Standards Codification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Northstar Spectrum and SNR HoldCo are considered variable interest entities (“VIEs”) and, based on the characteristics of the structure of these entities and in accordance with the applicable accounting guidance, we consolidate these entities into our financial statements. On October 12, 2023, the FCC consented to the sale of Northstar Manager, LLC’s (“NorthStar Manager”)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Wireless Management, LLC’s (“SNR Management”)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 See Note 2 for further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Broadband and Satellite Services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also offer a robust suite of integrated, multi-transport solutions to enable airline and airline service providers to deliver reliable in-flight network connectivity serving both commercial and business aviation. As of December 31, 2023, we had 1.004 million Broadband subscribers.</w:t>
      </w:r>
    </w:p>
    <w:p>
      <w:pPr>
        <w:spacing w:after="0" w:line="192"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Our EchoStar XXIV satellite began service in December 2023, bringing additional broadband capacity across North and South America and is expected to be an integral part of our satellite service business. Revenue in our satellite services business depends largely on our ability to make continuous use of our available satellite capacity on behalf of existing customers and our ability to enter into commercial relationships with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Cyber-Security Incident</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23, 2023, DISH Network experienced a network outage that affected its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w:t>
      </w:r>
    </w:p>
    <w:p>
      <w:pPr>
        <w:spacing w:after="0" w:line="183"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On February 28, 2023, we further disclosed that certain data had been extracted from the DISH Network IT systems. Our investigation into the extent of the incident is now completed.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spacing w:after="0" w:line="18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DISH TV, SLING TV and Retail Wireless services, along with our wireless and data networks remained operational at all times during the incident. As of March 31, 2023, all significant systems had been restored.</w:t>
      </w:r>
    </w:p>
    <w:p>
      <w:pPr>
        <w:spacing w:after="0" w:line="16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we incurred substantially all of our cyber-security-related expenses for this matter, including, but not limited to, costs to remediate the incident and provide additional customer support. During the second, third and fourth quarters of 2023, we did not incur additional material expenses resulting from the cyber-security incident and do not expect to incur material expenses in future periods. During the year ended December 31, 2023, we incurred approximately $30 million in cyber-security-related expenses, which are recorded in “Cost of services” on our Consolidated Statements of Operations and Comprehensive Income (Loss).</w:t>
      </w:r>
    </w:p>
    <w:p>
      <w:pPr>
        <w:spacing w:after="0" w:line="183"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balances and results of operations of EchoStar and our consolidated subsidiaries and are prepared in conformity with U.S. generally accepted accounting principles (“GAAP”). 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88"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Merger with DISH Network. </w:t>
      </w:r>
      <w:r>
        <w:rPr>
          <w:rFonts w:ascii="Times New Roman" w:cs="Times New Roman" w:eastAsia="Times New Roman" w:hAnsi="Times New Roman"/>
          <w:sz w:val="17"/>
          <w:szCs w:val="17"/>
          <w:color w:val="auto"/>
        </w:rPr>
        <w:t>Prior to the Merger, Charles W. Ergen and Cantey M. Ergen were the controlling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each of EchoStar and DISH Network and they continue to be the controlling stockholders of EchoStar after the Merger. Therefore, the Merger has been accounted for as a transaction between entities under common control in accordance with Financial Accounting Standards Board Accounting Standards Codification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Subtopic 50, </w:t>
      </w:r>
      <w:r>
        <w:rPr>
          <w:rFonts w:ascii="Times New Roman" w:cs="Times New Roman" w:eastAsia="Times New Roman" w:hAnsi="Times New Roman"/>
          <w:sz w:val="17"/>
          <w:szCs w:val="17"/>
          <w:i w:val="1"/>
          <w:iCs w:val="1"/>
          <w:color w:val="auto"/>
        </w:rPr>
        <w:t>Related Issues</w:t>
      </w:r>
      <w:r>
        <w:rPr>
          <w:rFonts w:ascii="Times New Roman" w:cs="Times New Roman" w:eastAsia="Times New Roman" w:hAnsi="Times New Roman"/>
          <w:sz w:val="17"/>
          <w:szCs w:val="17"/>
          <w:color w:val="auto"/>
        </w:rPr>
        <w:t>, with EchoStar considered as the receiving entity because EchoStar issued equity in connection with the Merger. Accordingly, upon the completion of the Merger, on December 31, 2023, EchoStar recorded DISH Network’s net assets at their carrying value, with no additional goodwill or other intangible assets recognized.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Upon the completion of the Merger, the net assets of DISH Network have been combined with those of EchoStar at their historical carrying amounts and DISH Network and EchoStar are presented on a combined basis for all historical periods that the companies were under common control. Shares of EchoStar Common Stock issued to holders of DISH Network Common Stock in exchange for the outstanding shares of DISH Network Common Stock were recorded at par value and historical weighted average basic and diluted shares of DISH Network have been adjusted by the Exchange Ratio and included in the weighted average shares outstanding on our consolidated statements of operations. EchoStar reissued treasury shares as part of the EchoStar share issuance upon the completion of the Merger. The accompanying consolidated statements of cash flows for the years ended December 31, 2022 and 2021 include cash repurchases of the treasury shares that were reissued in connection with closing of the Merger. Intercompany transactions between EchoStar and DISH Network have been eliminated from all historical periods.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2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Northstar Wireless</w:t>
      </w:r>
      <w:r>
        <w:rPr>
          <w:rFonts w:ascii="Times New Roman" w:cs="Times New Roman" w:eastAsia="Times New Roman" w:hAnsi="Times New Roman"/>
          <w:sz w:val="18"/>
          <w:szCs w:val="18"/>
          <w:color w:val="auto"/>
        </w:rPr>
        <w:t>. Northstar Wireless is a wholly-owned subsidiary of Northstar Spectrum, which is an entity owned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Northstar Manager and us. Under the applicable accounting guidance in ASC 810, Northstar Spectrum is considered a VIE and, based on the characteristics of the structure of this entity and in accordance with the applicable accounting guidance, we consolidate Northstar Spectrum into our financial statements. The Northstar Operative Agreements, as amended, provide for, among other things, that Northstar Manager has the ability, but not the obligation, to require Northstar Spectrum to purchase Northstar Manager’s ownership interests in Northstar Spectrum (the “Northstar Put Right”) for a purchase price that equals its equity contribution to Northstar Spectrum plus a fixed annual rate of return.</w:t>
      </w:r>
    </w:p>
    <w:p>
      <w:pPr>
        <w:spacing w:after="0" w:line="18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First Northstar Put Window closed in the first quarter of 2021. On October 21, 2022, we, through our wholly-owned subsidiary American II received notice that Northstar Manager exercised the Northstar Put Right effective as of October 21, 2022. As of December 31, 2022, the aggregate value of the Northstar Put Right accrued to $96 million.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Northstar Spectrum does not have a call right with respect to Northstar Manager’s ownership interests in Northstar Spectrum. Although Northstar Manager is the sole manager of Northstar Spectrum, Northstar Manager’s ownership interest was considered temporary equity under the applicable accounting guidance and was recorded as part of “Redeemable noncontrolling interests” in the mezzanine section of our Consolidated Balance Sheets. Northstar Manager’s ownership interest in Northstar Spectrum was initially accounted for at fair value. Subsequently, Northstar Manager’s ownership interest in Northstar Spectrum was increased by the fixed annual rate of return through “Redeemable noncontrolling interests” on our Consolidated Balance Sheets, with the offset recorded in “Net income (loss) attributable to noncontrolling interests, net of tax” on our Consolidated Statements of Operations and Comprehensive Income (Loss). The operating results of Northstar Spectrum attributable to Northstar Manager were recorded as “Redeemable noncontrolling interests” on our Consolidated Balance Sheets, with the offset recorded in “Net income (loss) attributable to noncontrolling interests, net of tax” on our Consolidated Statements of Operations and Comprehensive Income (Loss). See Note 15 for further information.</w:t>
      </w:r>
    </w:p>
    <w:p>
      <w:pPr>
        <w:spacing w:after="0" w:line="18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SNR Wireless</w:t>
      </w:r>
      <w:r>
        <w:rPr>
          <w:rFonts w:ascii="Times New Roman" w:cs="Times New Roman" w:eastAsia="Times New Roman" w:hAnsi="Times New Roman"/>
          <w:sz w:val="18"/>
          <w:szCs w:val="18"/>
          <w:color w:val="auto"/>
        </w:rPr>
        <w:t>. SNR Wireless is a wholly-owned subsidiary of SNR HoldCo, which is an entity owned by SNR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us. Under the applicable accounting guidance in ASC 810, SNR HoldCo is considered a VIE and, based on the characteristics of the structure of this entity and in accordance with the applicable accounting guidance, we consolidate SNR HoldCo into our financial statements. The SNR Operative Agreements, as amended, provide for, among other things, that SNR Management has the ability, but not the obligation, to require SNR HoldCo to purchase SNR Management’s ownership interests in SNR HoldCo (the “SNR Put Right”) for a purchase price that equals its equity contribution to SNR HoldCo plus a fixed annual rate of return.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First SNR Put Window closed in the first quarter of 2021. On November 15, 2021, we, through our wholly-owned subsidiary American III received notice that SNR Management exercised the SNR Put Right effective as of November 15, 2021. As of December 31, 2023 and December 31, 2022, the aggregate value of the SNR Put Right had accrued to approximately $438 million and $368 million, respectively. Subsequent to December 31, 2023, the FCC consented to the sale of SNR Management’s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SNR HoldCo does not have a call right with respect to SNR Management’s ownership interests in SNR HoldCo. Although SNR Management is the sole manager of SNR HoldCo, SNR Management’s ownership interest is considered temporary equity under the applicable accounting guidance and is thus recorded as part of “Redeemable noncontrolling interests” in the mezzanine section of our Consolidated Balance Sheets. SNR Management’s ownership interest in SNR HoldCo was initially accounted for at fair value. Subsequently, SNR Management’s ownership interest in SNR HoldCo is increased by the fixed annual rate of return through “Redeemable noncontrolling interests” on our Consolidated Balance Sheets, with the offset recorded in “Net income (loss) attributable to noncontrolling interests, net of tax” on our Consolidated Statements of Operations and Comprehensive Income (Loss). The operating results of SNR HoldCo attributable to SNR Management are recorded as “Redeemable noncontrolling interests” on our Consolidated Balance Sheets, with the offset recorded in “Net income (loss) attributable to noncontrolling interests, net of tax” on our Consolidated Statements of Operations and Comprehensive Income (Loss). See Note 15 for further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our stock-based compensation plans, fair value of assets and liabilities acquired in business combinations, the fair value of our option to purchase T-Mobile’s 800 MHz spectrum, inputs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279"/>
        <w:spacing w:after="0" w:line="289" w:lineRule="auto"/>
        <w:rPr>
          <w:sz w:val="20"/>
          <w:szCs w:val="20"/>
          <w:color w:val="auto"/>
        </w:rPr>
      </w:pPr>
      <w:r>
        <w:rPr>
          <w:rFonts w:ascii="Times New Roman" w:cs="Times New Roman" w:eastAsia="Times New Roman" w:hAnsi="Times New Roman"/>
          <w:sz w:val="17"/>
          <w:szCs w:val="17"/>
          <w:color w:val="auto"/>
        </w:rPr>
        <w:t>We consider all liquid investments purchased with a remaining maturity of 90 days or less at the date of acquisition to be cash equivalents. Cash equivalents as of December 31, 2023 and 2022 may consist of money market funds, government bonds, corporate notes and commercial paper. The amortized cost of these investments approximates their fair value.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Investment Securities</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All equity securities are carried at fair value, with changes in fair value recognized in “Other, net” within “Other Income (Expense)” on our Consolidated Statements of Operations and Comprehensive Income (Loss).</w:t>
      </w:r>
    </w:p>
    <w:p>
      <w:pPr>
        <w:spacing w:after="0" w:line="16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 Interest income from available-for-sale debt securities is reported in Interest income, net in on our Consolidated Statements of Operations and Comprehensive Income (Loss).</w:t>
      </w:r>
    </w:p>
    <w:p>
      <w:pPr>
        <w:spacing w:after="0" w:line="17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Receivables and Related Allowance for Credit Losses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Accounts Receivable</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In determining the allowance for credit losses, management groups similar types of financial assets with consistent risk characteristics. Pools identified by management include, but are not limited to residential customers, commercial customers, enterprise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Installments Receivable</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offer Boost postpaid customers the option to pay for their devices and other equipment in installments, generally over a period of 36 months. Installments receivable are presented on our Consolidated Balance Sheets at their amortized cost basis (i.e., the receivables’ unpaid balance as adjusted for any written-off amounts due to impairment and unamortized discounts), net of the allowance for credit losses. At the time of an installment sale, we impute a discount for interest if the term exceeds 12 months as there is no stated rate of interest on the receivables. The receivables are recorded at their present value, which is determined by discounting expected future cash payments at the imputed interest rate. The current portion of installments receivable is included in “Trade accounts receivable, net” and the long-term portion of installments receivable is included in “Other noncurrent assets, net” on our Consolidated Balance Sheets. This adjustment results in a discount or reduction in the transaction price of the contract with a customer, which is allocated to the performance obligations of the arrangement such as Equipment and other revenues on our Consolidated Statements of Operations and Comprehensive Income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imputed discount rate reflects a current market interest rate and is predominately comprised of the estimated credit risk underlying the installment receivable, reflecting the estimated credit worthiness of the customer. The imputed discount on receivables is amortized over the financed installment term using the effective interest method and recognized in “Equipment and other revenues” on our Consolidated Statements of Comprehensive Income.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Property and equipment, including capitalized expenditures related to our wireless projects, 5G Network Deployment and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one to 40 years. Repair and maintenance costs are charged to expense when incurred. Renewals and improvements that add value or extend the asset’s useful life are capitalized.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Internal Use Software</w:t>
      </w:r>
    </w:p>
    <w:p>
      <w:pPr>
        <w:spacing w:after="0" w:line="227"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We capitalize certain costs related to developing or acquiring internal use software. Capitalization of software costs begin once the preliminary project stage is completed and we commit to funding the software project. Capitalizing ceases when the software project is ready for its intended use. Capitalized software costs are recorded in “Property and equipment, net” on our Consolidated Balance Sheets and are amortized over the estimated useful life of the software.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record an asset retirement obligation for the estimated fair value of legal obligations associated with the retirement of tangible long-lived assets and a corresponding increase in the carrying amount of the related asset in the period in which the obligation is incurred. In periods subsequent to initial measurement, we recognize changes in the liability resulting from the passage of time and revisions to either the timing or the amount of the original estimate. Over time, the liability is accreted to its present value and the capitalized cost is depreciated over the estimated useful life of the asset. Our asset retirement obligations relate primarily to certain legal obligations to remediate leased property on our communication towers and are recorded in “Property and equipment, net” with the related liability recorded in “Long-term deferred revenue and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ind w:left="60" w:right="419"/>
        <w:spacing w:after="0" w:line="256" w:lineRule="auto"/>
        <w:rPr>
          <w:sz w:val="20"/>
          <w:szCs w:val="20"/>
          <w:color w:val="auto"/>
        </w:rPr>
      </w:pPr>
      <w:r>
        <w:rPr>
          <w:rFonts w:ascii="Times New Roman" w:cs="Times New Roman" w:eastAsia="Times New Roman" w:hAnsi="Times New Roman"/>
          <w:sz w:val="18"/>
          <w:szCs w:val="18"/>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Method Investments</w:t>
      </w:r>
    </w:p>
    <w:p>
      <w:pPr>
        <w:spacing w:after="0" w:line="227" w:lineRule="exact"/>
        <w:rPr>
          <w:sz w:val="20"/>
          <w:szCs w:val="20"/>
          <w:color w:val="auto"/>
        </w:rPr>
      </w:pPr>
    </w:p>
    <w:p>
      <w:pPr>
        <w:jc w:val="both"/>
        <w:ind w:left="60" w:right="239"/>
        <w:spacing w:after="0" w:line="277" w:lineRule="auto"/>
        <w:rPr>
          <w:sz w:val="20"/>
          <w:szCs w:val="20"/>
          <w:color w:val="auto"/>
        </w:rPr>
      </w:pPr>
      <w:r>
        <w:rPr>
          <w:rFonts w:ascii="Times New Roman" w:cs="Times New Roman" w:eastAsia="Times New Roman" w:hAnsi="Times New Roman"/>
          <w:sz w:val="17"/>
          <w:szCs w:val="17"/>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Debt Investments</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generally record our investments in non-publicly traded debt instruments without a readily determinable fair value at amortized cost. We recognize any discounts over the term of the loan in “Interest income, net” in the Consolidated Statements of Operations and Comprehensive Income (Loss). In addition, some of our debt instruments have interest income that is paid-in-kind, which is added to the principal balance to determine the then current interest income. When we adjust the carrying amount of an investment, the gain or loss is recorded in “Other, net” on our Consolidated Statements of Operations and Comprehensive Income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w:t>
      </w:r>
    </w:p>
    <w:p>
      <w:pPr>
        <w:spacing w:after="0" w:line="227"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16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Indicators of impairment may include, but are not limited to, unprofitable operations, material loss contingencies, changes in business strategy, changes in market trends or market conditions, changes in the investees’ enterprise value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may purchase and hold derivative financial instruments for, among other reasons, strategic or speculative purposes. We record all derivative financial instruments on our Consolidated Balance Sheets at fair value as either assets or liabilities. Changes in the fair values of derivative financial instruments are recognized in our results of operations and included in “Other, net” within “Other Income (Expense)” on our Consolidated Statements of Operations and Comprehensive Income (Loss). We have not designated any derivative financial instrument for hedge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We have the option to purchase certain of T-Mobile’s 800 MHz spectrum licenses from T-Mobile at a fixed price in the future as part of the Boost Mobile Acquisition. See Note 6 for further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Finite-Lived Intangible Assets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review our long-lived assets and identifiable finite-lived intangible assets for impairment whenever events or changes in circumstances indicate that the carrying amount of an asset may not be recoverable. Intangible assets that have finite lives are amortized over their estimated useful lives. For assets which are held and used in operations, the asset would be impaired if the carrying amount of the asset (or asset group) exceeded its undiscounted future net cash flows. When an impairment is determined, the actual impairment recognized is the difference between the carrying amount and the fair value as estimated using one of the following approaches: income, cost and/or market. In the event of an impairment, a loss is recorded in “Impairment of long-lived assets” on our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w:t>
      </w:r>
    </w:p>
    <w:p>
      <w:pPr>
        <w:spacing w:after="0" w:line="18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benchmarks the fair value against the carrying amount.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DBS Satellites</w:t>
      </w:r>
    </w:p>
    <w:p>
      <w:pPr>
        <w:spacing w:after="0" w:line="227"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We currently evaluate our DBS satellite fleet for impairment as one asset group whenever events or changes in circumstances indicate that its carrying amount may not be recoverable. We do not believe any triggering event has occurred which would indicate impairment as of December 31, 2023 and 2022. We will continue to monitor the DBS satellite fleet for indicators of impairment.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Broadband Satellites</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evaluate our Broadband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 We do not believe any triggering event has occurred which would indicate impairment as of December 31, 2023 and 2022. We will continue to monitor the Broadband satellite fleet for indicators of impairment.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Finite-Lived Regulatory Authorizations</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have regulatory authorizations that are not related to the FCC and have determined that they have finite lives due to uncertainties about the ability to extend or renew their terms. Finite lived regulatory authorizations are amortized over their estimated useful lives on a straight-line basis. Renewal costs are usually capitalized when they are incurred.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Intangible assets include customer relationships, trademarks, and certain below market contracts. These assets are amortized over their respective useful lives. We do not believe any triggering event has occurred which would indicate impairment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 and Goodwill</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and certain other contractual or regulatory rights to use spectrum at specified orbital locations. Generally, we have determined that our FCC licenses have indefinite useful lives due to the following:</w:t>
      </w:r>
    </w:p>
    <w:p>
      <w:pPr>
        <w:spacing w:after="0" w:line="189" w:lineRule="exact"/>
        <w:rPr>
          <w:sz w:val="20"/>
          <w:szCs w:val="20"/>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FCC licenses are a non-depleting asset;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FCC licenses are integral to our business segments and will contribute to cash flows indefinitely;</w:t>
      </w:r>
    </w:p>
    <w:p>
      <w:pPr>
        <w:spacing w:after="0" w:line="9" w:lineRule="exact"/>
        <w:rPr>
          <w:rFonts w:ascii="Times New Roman" w:cs="Times New Roman" w:eastAsia="Times New Roman" w:hAnsi="Times New Roman"/>
          <w:sz w:val="18"/>
          <w:szCs w:val="18"/>
          <w:color w:val="auto"/>
        </w:rPr>
      </w:pPr>
    </w:p>
    <w:p>
      <w:pPr>
        <w:ind w:left="720" w:right="519" w:hanging="319"/>
        <w:spacing w:after="0" w:line="250"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satellite applications are generally authorized by the FCC subject to certain conditions, without substantial cost under a stable regulatory, legislative and legal environment;</w:t>
      </w: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expenditures to obtain future cash flows are not significant;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FCC licenses are not technologically dependent;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use these assets indefinitely.</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DBS Licenses</w:t>
      </w:r>
    </w:p>
    <w:p>
      <w:pPr>
        <w:spacing w:after="0" w:line="22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combine all of our indefinite-lived DBS licenses that we currently utilize or plan to utilize in the future into a single unit of accounting. For 2023, 2022 and 2021, management performed a qualitative assessment to determine whether it is more likely than not that the fair value of the DBS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DBS licenses exceeds its carrying amount. As such, no further analysis was required.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Broadband Licenses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Through a business acquisition in 2011, we acquired regulatory authorizations from the FCC to operate satellites using Ka-band frequencies at the 95° W.L. and 107.1° W.L. orbital locations (“Operational FCC Slot Licenses”). The regulatory rights for each orbital location are substantially equivalent. Through a business acquisition in 2019, we acquired global S-band non-geostationary satellite spectrum rights for mobile satellite services (the “Helios Spectrum”). For the year ended December 31, 2023, 2022 and 2021, management performed a qualitative assessment to determine whether it was more likely than not that the fair value of these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Operational FCC Slot Licenses and the Helios Spectrum exceed their carrying amounts. As such, no further analysis was required.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Wireless Spectrum Licenses</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2022, we acquired the 3.45-3.55 GHz wireless licenses (the “3.45–3.55 GHz Licenses”). During 2021, we acquired the 3550-3650 MHz (CBRS) and 3.7-3.98 GHz wireless licenses, together (the “C-Band Licenses”). During 2020, we acquired the 37 GHz, 39 GHz, and 47 GHz wireless licenses and during 2019, we acquired the 24 GHz and 28 GHz wireless licenses, together (the “High-Band Licenses”).</w:t>
      </w:r>
    </w:p>
    <w:p>
      <w:pPr>
        <w:spacing w:after="0" w:line="18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2023 and 2022, we combined our 600 MHz, 700 MHz, AWS-4, H Block, High-Band Licenses, C-Band Licenses, 3.45– 3.55 GHz Licenses and the Northstar Licenses and SNR Licenses into a single unit of accounting. In 2021, we combined our 600 MHz, 700 MHz, AWS-4, H Block, High-Band Licenses, C-Band Licenses, 3.45–3.55 GHz Licenses and the Northstar Licenses and SNR Licenses into a single unit of accounting.</w:t>
      </w:r>
    </w:p>
    <w:p>
      <w:pPr>
        <w:spacing w:after="0" w:line="180"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In 2023, we quantitatively assessed these licenses for impairment. Our quantitative assessment consisted of a market approach performed by a third party and reviewed by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right="5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Market Approach. </w:t>
      </w:r>
      <w:r>
        <w:rPr>
          <w:rFonts w:ascii="Times New Roman" w:cs="Times New Roman" w:eastAsia="Times New Roman" w:hAnsi="Times New Roman"/>
          <w:sz w:val="17"/>
          <w:szCs w:val="17"/>
          <w:color w:val="auto"/>
        </w:rPr>
        <w:t>Currently frequencies in the 500 kHz to 30 GHz make up the bulk of commercial use in the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States. Spectrum bands can be grouped into four categories: low-band (less than 1 GHz), lower mid-band (1-2 GHz), upper mid-band (primarily 2-4 GHz) and high-band (generally above 24 GHz). Radio frequencies have different characteristics with regard to the distance they will travel and their ability to penetrate structures. Lower band frequency bands require less power to travel large distances and propagate well providing geographic coverage, whereas higher bandwidth spectrum is favored in urban settings where the goal is increased data capacity and cell sites are dense, with limited coverage areas.</w:t>
      </w:r>
    </w:p>
    <w:p>
      <w:pPr>
        <w:spacing w:after="0" w:line="170"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Spectrum is licensed by geographic areas that can vary from the size of a county to significantly larger expanses. Licenses can cover densely populated urban areas to sparsely populated rural regions. Pricing for spectrum licenses will vary, sometimes significantly based on the frequency, population area or restrictions associated with the authorization for use obtained from the FCC. Population or “Pop” is a key input to valuing each geographic license. The amount of spectrum included in a license is measured in terms of megahertz, referred to as “MHz.” The wider the band the greater the MHz.</w:t>
      </w:r>
    </w:p>
    <w:p>
      <w:pPr>
        <w:spacing w:after="0" w:line="168"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The market approach assessed the value of our spectrum using benchmarks, based on market transactions, which may include spectrum auctions and secondary market transactions, either acquisitions of spectrum or of businesses for which spectrum values can reliably be inferred. The market approach looked at the value of each band of our spectrum by block and geographic area based on pairing the spectrum in a manner that yielded its highest and best use. Prices were then calculated on an amount per MHz-Pop basis (where the numerator is the total value of the licenses and the denominator is the product of the population and MHz) based upon the most relevant data points. Finally, a discount was applied to the analysis for lack of marketability on certain of our holdings based on sale restrictions associated with those specific bands.</w:t>
      </w:r>
    </w:p>
    <w:p>
      <w:pPr>
        <w:spacing w:after="0" w:line="171"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Our spectrum holdings include low-band, lower mid-band, upper mid-band (collectively referred to as “Low-Mid Band Licenses”) and high-band licenses.</w:t>
      </w:r>
    </w:p>
    <w:p>
      <w:pPr>
        <w:spacing w:after="0" w:line="16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 part of our impairment assessment we performed the market approach during the fourth quarter of 2023 and concluded that the fair value of these licenses are substantially in excess of their carrying value.</w:t>
      </w:r>
    </w:p>
    <w:p>
      <w:pPr>
        <w:spacing w:after="0" w:line="162"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In 2022, management performed a quantitative assessment to determine whether the fair value of these licenses exceed the carrying amount. In our assessment, we performed the market approach and the income approach during the fourth quarter of 2022 and concluded that under both scenarios the fair value of these licenses are substantially in excess of their carrying value.</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2021, management performed a qualitative assessment to determine whether it is more likely than not that the fair value of these licenses exceed the carrying amount. In our assessment, we considered several factors, including, among other things, the projected financial performance of our Wireless segment, the business enterprise value of our Wireless segment, and market transactions for wireless spectrum licenses including auction results. In assessing these factors, we considered both macroeconomic conditions and industry and market conditions. In contemplating all factors in their totality, we concluded that it is more likely than not that the fair value of these licenses exceeds their carrying amount.</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During 2023, 2022, and 2021, our multichannel video distribution and data service (“MVDDS”) wireless spectrum licenses were assessed as a single unit of accounting. For 2023, 2022 and 2021, management assessed these licenses qualitatively. Our qualitative assessment focused on recent auction results and historical market activity. We concluded that it is more likely than not that the fair value of these licenses exceeded their carrying amount.</w:t>
      </w:r>
    </w:p>
    <w:p>
      <w:pPr>
        <w:spacing w:after="0" w:line="18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Changes in circumstances or market conditions could result in a write-down of any of the above Wireless spectrum licenses in the future.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values of assets acquired and liabilities assumed as of the acquisition date. We test goodwill for impairment at the reporting unit level, which includes, among others, the SLING TV, DISH TV, Retail Wireless, 5G Network Deployment and Hughes reporting units. Historically the majority of our goodwill relates to the Hughes reporting unit within our Broadband and Satellite Services segment and the Retail Wireless and 5G Network Deployment segments.</w:t>
      </w:r>
    </w:p>
    <w:p>
      <w:pPr>
        <w:spacing w:after="0" w:line="183"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We perform our annual impairment assessment for goodwill and other indefinite-lived intangible assets each year during the fourth quarter or more frequently if events or changes in circumstances indicate an impairment may be possible. We previously performed our annual impairment assessment for goodwill during the second quarter and changed the testing date due to the Merger in order to align the testing date between all reporting units. The change in testing date does not result in a material change in the method of our goodwill impairment assessment. We may consider qualitative factors to assess if it is more likely than not that the fair value for goodwill is below the carrying amount. If we determine in the qualitative assessment that it is more likely than not that the fair value is less than its carrying value, then we perform a quantitative assessment to determine the estimated fair value of the reporting unit. We may also elect to bypass the qualitative assessment and perform a quantitative assessment.</w:t>
      </w:r>
    </w:p>
    <w:p>
      <w:pPr>
        <w:spacing w:after="0" w:line="188" w:lineRule="exact"/>
        <w:rPr>
          <w:sz w:val="20"/>
          <w:szCs w:val="20"/>
          <w:color w:val="auto"/>
        </w:rPr>
      </w:pPr>
    </w:p>
    <w:p>
      <w:pPr>
        <w:ind w:left="60" w:right="479"/>
        <w:spacing w:after="0" w:line="256" w:lineRule="auto"/>
        <w:rPr>
          <w:sz w:val="20"/>
          <w:szCs w:val="20"/>
          <w:color w:val="auto"/>
        </w:rPr>
      </w:pPr>
      <w:r>
        <w:rPr>
          <w:rFonts w:ascii="Times New Roman" w:cs="Times New Roman" w:eastAsia="Times New Roman" w:hAnsi="Times New Roman"/>
          <w:sz w:val="18"/>
          <w:szCs w:val="18"/>
          <w:color w:val="auto"/>
        </w:rPr>
        <w:t>Our assessment process included, among other things, discounted cash flow analyses, consideration of fair values of tangible and indefinite-lived intangible assets held by the reporting units and our recent market capitalization. Our assessment indicated the goodwill attributed to certain acquisitions was no longer supported based on the sustained decrease in our market capitalization. As such, we recorded a total noncash impairment charge of approximately $758 million in “Impairment of long-lived assets and goodwill” on our Consolidated Statements of Operations and Comprehensive Income (Loss).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impairments were indicated for any reporting unit for the years ended December 31, 2022 and 2021.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amounts of goodwill by operating segment: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5G</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Pay-TV</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Network</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Satellite</w:t>
            </w:r>
          </w:p>
        </w:tc>
        <w:tc>
          <w:tcPr>
            <w:tcW w:w="14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Wireless</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Deployment</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86"/>
              </w:rPr>
              <w:t>(In thousands)</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5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2021, net of accumulated impairment losses</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6,457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98,657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119,903</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511,086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736,103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Goodwill from India JV formation, net of foreign currency translation</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 net of accumulated impairment losses</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6,457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98,657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119,903</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532,491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757,508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Impairment of goodwill</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(6,457)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(98,657)</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(119,903)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(532,491)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(757,508)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 net of accumulated impairment losses</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impairment losses as of December 31, 2023</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(6,457)</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(98,657)</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(119,903)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(532,491)</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(757,508)</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 However, as the qualifying assets, including certain bands of wireless spectrum licenses, are placed into service, we will no longer capitalize interest on those assets and we will begin to expense interest on our Consolidated Statements of Operations and Comprehensive Income (Loss).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one to 20 years or in relation to the estimated discounted cash flows over the life of the intangible asset.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Deferred Revenue and Other Long-Term Liabilities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Taxes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8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83" w:lineRule="exact"/>
        <w:rPr>
          <w:sz w:val="20"/>
          <w:szCs w:val="20"/>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being quoted prices in active markets for identical assets;</w:t>
      </w:r>
    </w:p>
    <w:p>
      <w:pPr>
        <w:spacing w:after="0" w:line="27"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39" w:hanging="319"/>
        <w:spacing w:after="0" w:line="255"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8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carrying amount for cash and cash equivalents, trade accounts receivable (net of allowance for credit losses) and current liabilities (excluding the “Current portion of long-term debt and finance lease obligations”) was equal to or approximated fair value due to their short-term nature or proximity to current market rates.</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9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Transfers between levels in the fair value hierarchy are considered to occur at the beginning of the quarterly accounting period. There were no transfers between levels during the years ended December 31, 2023 and 2022. See Note 6 for the fair value of our marketable investment securities and derivative instruments.</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10 for the fair value of our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Long-Term Debt</w:t>
      </w:r>
    </w:p>
    <w:p>
      <w:pPr>
        <w:spacing w:after="0" w:line="229"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7"/>
          <w:szCs w:val="17"/>
          <w:color w:val="auto"/>
        </w:rPr>
        <w:t xml:space="preserve">Historically, for embedded conversion features, we valued and bifurcated the conversion option associated with convertible notes (the “equity component”) from the host debt instrument. The initial value of the equity component on the convertible notes was recorded in “Additional paid-in capital” within “Stockholders’ Equity (Deficit)” on our Consolidated Balance Sheets with the offset recorded as the debt discount. In accordance with ASU 2020-06 </w:t>
      </w:r>
      <w:r>
        <w:rPr>
          <w:rFonts w:ascii="Times New Roman" w:cs="Times New Roman" w:eastAsia="Times New Roman" w:hAnsi="Times New Roman"/>
          <w:sz w:val="17"/>
          <w:szCs w:val="17"/>
          <w:i w:val="1"/>
          <w:iCs w:val="1"/>
          <w:color w:val="auto"/>
        </w:rPr>
        <w:t>Debt – Debt with Conversion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Other Options and Derivatives and Hedging – Contracts in Entity’s Own Equity </w:t>
      </w:r>
      <w:r>
        <w:rPr>
          <w:rFonts w:ascii="Times New Roman" w:cs="Times New Roman" w:eastAsia="Times New Roman" w:hAnsi="Times New Roman"/>
          <w:sz w:val="17"/>
          <w:szCs w:val="17"/>
          <w:color w:val="auto"/>
        </w:rPr>
        <w:t>(“ASU 2020-06”), which we adopted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first quarter of 2021, the equity component related to our convertible notes of $1.051 billion has been reclassified from “Additional paid-in capital” within “Stockholders’ Equity (Deficit)” to “Long-term debt and finance lease obligations, net of current portion” and the associated deferred taxes of $246 million has been reclassified from “Additional paid-in capital” within “Stockholders’ Equity (Deficit)” to “Deferred tax liabilities” on our Consolidated Balance Sheets.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 and Debt Discounts</w:t>
      </w:r>
    </w:p>
    <w:p>
      <w:pPr>
        <w:spacing w:after="0" w:line="229"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10 for further information.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Pay-TV Segment</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Pay-TV segment revenue is primarily derived from Pay-TV subscriber revenue. We also generate revenue from equipment rental fees and other hardware related fees, including DVRs and fees from subscribers with multiple receivers; advertising services; fees earned from our in-home service operations; broadband services; warranty services; sales of digital receivers and related equipment to third-party pay-TV providers; satellite uplink and telemetry, tracking and control (“TT&amp;C”) services; and revenue from in-home services. See Note 16 for further information, including revenue disaggregated by major source.</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87"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 xml:space="preserve">For our residential video subscribers, we have concluded that the contract term under Accounting Standard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Retail Wireless Segment</w:t>
      </w:r>
    </w:p>
    <w:p>
      <w:pPr>
        <w:spacing w:after="0" w:line="22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Our Retail Wireless segment revenue is primarily derived from Wireless subscriber revenue and selling wireless devices to prepaid and postpaid subscribers. The majority of our subscribers are prepaid under the Boost Mobile and Gen Mobile brands with a smaller subset of postpaid subscribers serviced under Boost postpaid brand. Prepaid subscribers prepay for their monthly service on a month-to-month contract. Our contracts with prepaid customers are determined to be one month. Postpaid subscribers are qualified to pay for their service after it has been provided and pay for their monthly service on</w:t>
      </w:r>
    </w:p>
    <w:p>
      <w:pPr>
        <w:spacing w:after="0" w:line="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 month-to-month contract. Our contracts with postpaid customers typically have an enforceable duration of one month. However, promotional bill credits offered to a customer on an equipment sale that are paid over time and are contingent on the customer maintaining a service contract may result in an extended service contract based on whether a substantive penalty is deemed to exist.</w:t>
      </w:r>
    </w:p>
    <w:p>
      <w:pPr>
        <w:spacing w:after="0" w:line="18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have both an indirect sales channel, which includes third-party owned retail stores and big box stores, as well as online through Amazon, and a direct sales channel, which services customers online through each respective brand’s website. To deliver products to third-party retail stores through the indirect sales channel, we use direct distribution partners to facilitate product delivery. Our contracts with customers may involve more than one performance obligation, which include wireless services, wireless devices or a combination thereof, and we allocate the transaction price between each performance obligation based on its relative standalone selling price. Although our Retail Wireless segment offers both products and services, we have determined that not all contracts with customers are bundled arrangements as the wireless device and service are sometimes sold at different times, and in the case of certain sales arrangements through the indirect sales channel, have different customers. When control of the product is transferred to an intermediary other than the end customer in the indirect channel, the customer for the wireless device is the intermediary, such as the direct distribution partner, whereas for the service the subscriber is the end consumer. When control of the product is not transferred to the intermediary, in the indirect channel the product is accounted for as consigned inventory and the customer for both the wireless device and service is the end customer. Service revenues may also include other value added services to subscribers, which may be recorded either gross or net within our Consolidated Statements of Operations and Comprehensive Income (Loss) depending on whether we are deemed to be the principal or agent in the relationship with the subscriber. Service revenues are recognized when the service has been provided and no further obligation exists. Concessions given to subscribers are recorded as a reduction to revenue.</w:t>
      </w:r>
    </w:p>
    <w:p>
      <w:pPr>
        <w:spacing w:after="0" w:line="193"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Equipment revenues are primarily related to the sale of wireless devices. Equipment revenue is recognized when control of the product is transferred to our customer, either the direct distribution partner or the end customer, as described above. We offer postpaid customers the option to pay for devices in installments, generally over 36 months. We recognize the effects of a financing component as a reduction of the transaction price in contracts where customers purchase their devices with an installment term of more than one year, including those financing components that are not considered to be significant to the contract.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have elected the practical expedient of not recognizing the effects of a significant financing component for contracts where we expect, at contract inception, that the period between the transfer of a performance obligation to a customer and the customer’s payment for that performance obligation will be one year or less. We may offer certain promotions that provide our customers on device installment plans with the right to upgrade to a new device after paying a specified portion of their device payment plan agreement amount and trading in their device in good working order. We account for this trade-in right as a guarantee obligation. The full amount of the trade-in right’s fair value is recognized as a guarantee liability and results in a reduction to the revenue recognized upon the sale of the device. The total transaction price is reduced by the guarantee, which is accounted for outside the scope of Topic 606, and the remaining transaction price is allocated between the performance obligations within the contract. Sales of equipment in the indirect sales channel often include credits subsequently paid to the direct distribution partner as a reimbursement for any discount promotions offered to the end consumer.</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These credits (payments to a customer) are accounted for as variable consideration when estimating the amount of revenue to recognize from the sales of equipment to indirect dealers and are estimated based on historical experience and other factors, such as expected promotional activity. For wireless devices sold with a right of return, we defer a portion of equipment revenue and cost of sales to reflect this variable consideration.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Broadband and Satellite Services Segment</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broadband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Broadband and Satellite Services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In addition to equipment and service offerings, our Broadband and Satellite Services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9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derive a portion of our revenues from contracts with customers for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generally based upon usage.</w:t>
      </w:r>
    </w:p>
    <w:p>
      <w:pPr>
        <w:spacing w:after="0" w:line="180"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Generally, our satellite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Governmental Funding</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participate in various United States federal and state programs, including the Affordable Connectivity Program (“ACP”) under which eligible low-income households may receive a discount off the cost of broadband service and certain connected devices, and participating providers can receive a reimbursement for such discounts. This revenue is included in “Service and other revenue” on our Consolidated Statements of Operations and Comprehensive Income (Loss). Corresponding receivables are recorded when services have been provided to the customers and costs incurred, but cash has not been received. These amounts are included in “Trade accounts receivable, net” on our Consolidated Balance Sheets.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residential video subscribers are typically billed monthly, and the contract balances for those customers arise from the timing of the monthly billing cycle. Our current Wireless subscribers, the majority of which are prepaid, generate deferred revenue. We do not adjust the amount of consideration for financing impacts when we anticipate that the period between transfer of goods and services and eventual payment for those goods and services will be less than one year. Contract assets are included in “Trade accounts receivable, net” and contract liabilities are included in “Deferred revenue and other” and “Long-term deferred revenue and other long-term liabilities” on our Consolidated Balance Sheets. Contract balances are amortized over the contract term. See Note 17 for further information, including balance and activity detail about our allowance for credit losses and deferred revenue related to contracts with subscribers.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Recognized Related to the Costs to Obtain a Contract with a Customer</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recognize an asset for the incremental costs of obtaining a contract with a customer if we expect the benefit of those costs to be longer than one year. We have determined that certain sales incentive programs in our Pay-TV, Broadband and Satellite Services, and Retail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“Other current assets” and “Other noncurrent assets, net” on our Consolidated Balance Sheets, and then amortized in “Selling, general and administrative expenses” on our Consolidated Statements of Operations and Comprehensive Income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enter into non-cancelable operating and finance leases for, among other things, communication towers, satellites,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satellite-related ground infrastructure, data centers, office space, dark fiber and transport equipment, warehouses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 centers, vehicles and other equipment. Substantially all of our leases have remaining lease terms from one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 years, some of which include renewal options, and some of which include options to terminate the leases within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one year. For certain arrangements (generally communication towers), the lease term includes the non-cancelable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plus the renewal period that we are reasonably certain to exercise.</w:t>
      </w:r>
    </w:p>
    <w:p>
      <w:pPr>
        <w:spacing w:after="0" w:line="20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and classify that lease as either an operating or finance lease at inception. Operating leases are included in “Operating lease assets,” “Other accrued expenses” and “Operating lease liabilities” on our Consolidated Balance Sheets. Finance leases are included in “Property and equipment, net,” “Current portion of long-term debt and finance lease obligations” and “Long-term debt and finance lease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9 for further information on our lease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Right of use (“ROU”)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9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which are generally accounted for separately. Our variable lease payments are immaterial and our lease agreements do not contain any material residual value guarantees or material restrictive covenants.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180"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non-lease service revenue related to equipment leased to new and existing DISH TV subscribers would have otherwise been accounted for as an operating lease.</w:t>
      </w:r>
    </w:p>
    <w:p>
      <w:pPr>
        <w:spacing w:after="0" w:line="16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“Property and equipment, net” and continue to be depreciated. Assets subject to sales-type leases are derecognized from “Property and equipment, net” at lease commencement and a net investment in the lease asset is recognized in “Trade accounts receivable, net” and “Other noncurrent assets, net” on our Consolidated Balance Sheets.</w:t>
      </w:r>
    </w:p>
    <w:p>
      <w:pPr>
        <w:spacing w:after="0" w:line="19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 if the interest rate implicit in the lease cannot be reasonably determined. We report revenue and periodic interest income from sales-type leases at the commencement date in “Equipment sales and other revenue” on our Consolidated Statements of Operations and Comprehensive Income (Loss). We report operating lease revenue in “Service and other revenue”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Pay-TV Segment</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“Cost of services” on our Consolidated Statements of Operations and Comprehensive Income (Loss) principally includes programming expenses and other operating costs related to our Pay-TV segment. 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Broadband and Satellite Services Segment</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“Cost of services” on our Consolidated Statements of Operations and Comprehensive Income (Loss) principally consists of costs of satellite capacity and services, hub infrastructure, customer care, wireline and wireless capacity and direct labor costs associated with the services provided and is generally charged to expense as incurred.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Retail Wireless Segment</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“Cost of services” on our Consolidated Statements of Operations and Comprehensive Income (Loss) principally includes and costs incurred under the MNSA and NSA. Costs incurred under the MNSA and NSA are recognized as the services are performed or as incurred.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 – Equipment and Other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Pay-TV Segment</w:t>
      </w:r>
    </w:p>
    <w:p>
      <w:pPr>
        <w:spacing w:after="0" w:line="227"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“Cost of sales – equipment and other” on our Consolidated Statements of Operations and Comprehensive Income (Loss) principally includes costs related to the non-subsidized sales of Pay-TV equipment. Costs are generally recognized as products are delivered to customers and the related revenue is recognized.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Broadband and Satellite Services Segment</w:t>
      </w:r>
    </w:p>
    <w:p>
      <w:pPr>
        <w:spacing w:after="0" w:line="227"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“Cost of sales – equipment and other” on our Consolidated Statements of Operations and Comprehensive Income (Loss) principally consists of inventory costs, including freight and royalties, and is generally recognized at the point in time control of the equipment is passed to the customer and related revenue is recognized.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Retail Wireless Segment</w:t>
      </w:r>
    </w:p>
    <w:p>
      <w:pPr>
        <w:spacing w:after="0" w:line="22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“Cost of sales – equipment and other” on our Consolidated Statements of Operations and Comprehensive Income (Loss) principally includes the cost of wireless devices and other related items, certain direct costs of wireless mobile network operations to deliver wireless voice and data services. Costs are generally recognized as products are delivered to customers and the related revenue is recognized.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5G Network Deployment Segment</w:t>
      </w:r>
    </w:p>
    <w:p>
      <w:pPr>
        <w:spacing w:after="0" w:line="22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“Cost of sales – equipment and other” on our Consolidated Statements of Operations and Comprehensive Income (Loss) principally includes the lease expense on communication towers and transport as well as cloud services. Lease costs are generally recognized on a straight-line basis over the lease term. Costs related to cloud services are either recognized ratably over the contract term or based on usage.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recognize advertising expense when incurred as a component of “Selling, general and administrative expenses” on our Consolidated Statements of Operations and Comprehensive Income (Loss). Advertising expenses totaled $868 million, $816 million and $725 million for the years ended December 31, 2023, 2022 and 2021,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not incurred in connection with customer requirements, are expensed as incurred and are included as a component of “Selling, general and administrative expenses” on our Consolidated Statements of Operations and Comprehensive Income (Loss).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Additionally, customer-related research and development costs are incurred in connection with the specific requirements of a customer’s order; in such instances, the amounts for these customer funded development efforts are also included in “Cost of sales – equipment and other” on our Consolidated Statements of Operations and Comprehensive Income (Loss). Research and development costs totaled $110 million, $110 million and $91 million for the years ended December 31, 2023, 2022 and 2021,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in “Other, net” on our Consolidated Statements of Operations and Comprehensive Income (Loss). Except in certain uncommon circumstances, we have not recorded deferred income taxes related to our foreign currency translation adjustments.</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Gains and losses resulting from the re-measurement of transactions denominated in foreign currencies are recognized in “Other, net” on our Consolidated Statements of Operations and Comprehensive Income (Loss).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Joint Ventures. </w:t>
      </w:r>
      <w:r>
        <w:rPr>
          <w:rFonts w:ascii="Times New Roman" w:cs="Times New Roman" w:eastAsia="Times New Roman" w:hAnsi="Times New Roman"/>
          <w:sz w:val="17"/>
          <w:szCs w:val="17"/>
          <w:color w:val="auto"/>
        </w:rPr>
        <w:t>On August 23, 2023, the FASB issued ASU 2023-05,</w:t>
      </w:r>
      <w:r>
        <w:rPr>
          <w:rFonts w:ascii="Times New Roman" w:cs="Times New Roman" w:eastAsia="Times New Roman" w:hAnsi="Times New Roman"/>
          <w:sz w:val="17"/>
          <w:szCs w:val="17"/>
          <w:i w:val="1"/>
          <w:iCs w:val="1"/>
          <w:color w:val="auto"/>
        </w:rPr>
        <w:t xml:space="preserve"> Business Combinations — Joint Venture Formations (Subtopic 805-60) </w:t>
      </w:r>
      <w:r>
        <w:rPr>
          <w:rFonts w:ascii="Times New Roman" w:cs="Times New Roman" w:eastAsia="Times New Roman" w:hAnsi="Times New Roman"/>
          <w:sz w:val="17"/>
          <w:szCs w:val="17"/>
          <w:color w:val="auto"/>
        </w:rPr>
        <w:t>(“ASU 2023-05”), which requires an entity that qualifies as either a joint venture or a corporate joint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are evaluating the impact the adoption of ASU 2023-05 will have on our Consolidated Financial Statements and related disclosures.</w:t>
      </w:r>
    </w:p>
    <w:p>
      <w:pPr>
        <w:spacing w:after="0" w:line="17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On November 27, 2023, the FASB issued ASU 2023-07</w:t>
      </w:r>
      <w:r>
        <w:rPr>
          <w:rFonts w:ascii="Times New Roman" w:cs="Times New Roman" w:eastAsia="Times New Roman" w:hAnsi="Times New Roman"/>
          <w:sz w:val="18"/>
          <w:szCs w:val="18"/>
          <w:i w:val="1"/>
          <w:iCs w:val="1"/>
          <w:color w:val="auto"/>
        </w:rPr>
        <w:t xml:space="preserve"> Segment Reporting (Topic 280): Improvements to Reporting Segment Disclosures </w:t>
      </w:r>
      <w:r>
        <w:rPr>
          <w:rFonts w:ascii="Times New Roman" w:cs="Times New Roman" w:eastAsia="Times New Roman" w:hAnsi="Times New Roman"/>
          <w:sz w:val="18"/>
          <w:szCs w:val="18"/>
          <w:color w:val="auto"/>
        </w:rPr>
        <w:t>(“ASU 2023-07”), which will enhance financial reporting by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are evaluating the impact the adoption of ASU 2023-07 will have on our Consolidated Financial Statements and related disclosures.</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December 14, 2023, the FASB issued ASU 2023-9,</w:t>
      </w:r>
      <w:r>
        <w:rPr>
          <w:rFonts w:ascii="Times New Roman" w:cs="Times New Roman" w:eastAsia="Times New Roman" w:hAnsi="Times New Roman"/>
          <w:sz w:val="18"/>
          <w:szCs w:val="18"/>
          <w:i w:val="1"/>
          <w:iCs w:val="1"/>
          <w:color w:val="auto"/>
        </w:rPr>
        <w:t xml:space="preserve"> Income Taxes (Topic 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2023-09”), which will enhance income tax disclosures. ASU 2023-09 requires among other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are evaluating the impact the adoption of ASU 2023-09 will have on our Consolidated Financial Statements and related disclosures.</w:t>
      </w:r>
    </w:p>
    <w:p>
      <w:pPr>
        <w:spacing w:after="0" w:line="374"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Basic and Diluted Net Income (Loss) Per Share</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Convertible Notes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Merger with DISH Network</w:t>
      </w:r>
    </w:p>
    <w:p>
      <w:pPr>
        <w:spacing w:after="0" w:line="227"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 xml:space="preserve">On the terms and subject to the conditions set forth in the Amended Merger Agreement, at the Effective Time, each share of DISH Network Class A Common Stock outstanding immediately prior to the Effective Time was converted into EchoStar Class A Common Stock </w:t>
      </w:r>
      <w:r>
        <w:rPr>
          <w:rFonts w:ascii="Times New Roman" w:cs="Times New Roman" w:eastAsia="Times New Roman" w:hAnsi="Times New Roman"/>
          <w:sz w:val="18"/>
          <w:szCs w:val="18"/>
          <w:color w:val="222222"/>
        </w:rPr>
        <w:t>equal to the Exchange Ratio</w:t>
      </w:r>
      <w:r>
        <w:rPr>
          <w:rFonts w:ascii="Times New Roman" w:cs="Times New Roman" w:eastAsia="Times New Roman" w:hAnsi="Times New Roman"/>
          <w:sz w:val="18"/>
          <w:szCs w:val="18"/>
          <w:color w:val="auto"/>
        </w:rPr>
        <w:t>. See Note 1 for further information. In addition, on the terms and subject to the conditions set forth in the Amended Merger Agreement, at the Effective Time, the Convertible Notes, the convertible note hedge transactions, and the warrant transactions changed into a right to convert or purchase EchoStar Class A Common Stock. See Note 10 for further information.</w:t>
      </w:r>
    </w:p>
    <w:p>
      <w:pPr>
        <w:spacing w:after="0" w:line="187"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 following table presents EPS amounts for all periods and the basic and diluted weighted-average shares outstanding used in the calculation.</w:t>
      </w: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0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3"/>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1200" w:type="dxa"/>
            <w:vAlign w:val="bottom"/>
            <w:gridSpan w:val="3"/>
          </w:tcPr>
          <w:p>
            <w:pPr>
              <w:ind w:left="160"/>
              <w:spacing w:after="0" w:line="183" w:lineRule="exact"/>
              <w:rPr>
                <w:sz w:val="20"/>
                <w:szCs w:val="20"/>
                <w:color w:val="auto"/>
              </w:rPr>
            </w:pPr>
            <w:r>
              <w:rPr>
                <w:rFonts w:ascii="Times New Roman" w:cs="Times New Roman" w:eastAsia="Times New Roman" w:hAnsi="Times New Roman"/>
                <w:sz w:val="16"/>
                <w:szCs w:val="16"/>
                <w:color w:val="auto"/>
                <w:w w:val="98"/>
              </w:rPr>
              <w:t>except per share</w:t>
            </w:r>
          </w:p>
        </w:tc>
        <w:tc>
          <w:tcPr>
            <w:tcW w:w="980" w:type="dxa"/>
            <w:vAlign w:val="bottom"/>
            <w:gridSpan w:val="2"/>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rPr>
              <w:t>amounts)</w:t>
            </w:r>
          </w:p>
        </w:tc>
        <w:tc>
          <w:tcPr>
            <w:tcW w:w="40" w:type="dxa"/>
            <w:vAlign w:val="bottom"/>
          </w:tcPr>
          <w:p>
            <w:pPr>
              <w:spacing w:after="0"/>
              <w:rPr>
                <w:sz w:val="15"/>
                <w:szCs w:val="15"/>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(1,634,824)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2,536,892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2,521,435</w:t>
            </w:r>
          </w:p>
        </w:tc>
        <w:tc>
          <w:tcPr>
            <w:tcW w:w="40" w:type="dxa"/>
            <w:vAlign w:val="bottom"/>
            <w:shd w:val="clear" w:color="auto" w:fill="CCEEFF"/>
          </w:tcPr>
          <w:p>
            <w:pPr>
              <w:spacing w:after="0"/>
              <w:rPr>
                <w:sz w:val="18"/>
                <w:szCs w:val="18"/>
                <w:color w:val="auto"/>
              </w:rPr>
            </w:pPr>
          </w:p>
        </w:tc>
      </w:tr>
      <w:tr>
        <w:trPr>
          <w:trHeight w:val="213"/>
        </w:trPr>
        <w:tc>
          <w:tcPr>
            <w:tcW w:w="5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net of tax</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67,233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59,172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35,150</w:t>
            </w:r>
          </w:p>
        </w:tc>
        <w:tc>
          <w:tcPr>
            <w:tcW w:w="40" w:type="dxa"/>
            <w:vAlign w:val="bottom"/>
            <w:tcBorders>
              <w:bottom w:val="single" w:sz="8" w:color="CCEEFF"/>
            </w:tcBorders>
          </w:tcPr>
          <w:p>
            <w:pPr>
              <w:spacing w:after="0"/>
              <w:rPr>
                <w:sz w:val="18"/>
                <w:szCs w:val="18"/>
                <w:color w:val="auto"/>
              </w:rPr>
            </w:pPr>
          </w:p>
        </w:tc>
      </w:tr>
      <w:tr>
        <w:trPr>
          <w:trHeight w:val="19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EchoStar - Basic</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(1,702,057)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2,477,720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2,486,285</w:t>
            </w:r>
          </w:p>
        </w:tc>
        <w:tc>
          <w:tcPr>
            <w:tcW w:w="40" w:type="dxa"/>
            <w:vAlign w:val="bottom"/>
            <w:shd w:val="clear" w:color="auto" w:fill="CCEEFF"/>
          </w:tcPr>
          <w:p>
            <w:pPr>
              <w:spacing w:after="0"/>
              <w:rPr>
                <w:sz w:val="17"/>
                <w:szCs w:val="17"/>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dilutive Convertible Notes, net of tax (1)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EchoStar - Diluted</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(1,702,057)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2,486,285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Class A and B common</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8"/>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275,117</w:t>
            </w:r>
          </w:p>
        </w:tc>
        <w:tc>
          <w:tcPr>
            <w:tcW w:w="40" w:type="dxa"/>
            <w:vAlign w:val="bottom"/>
          </w:tcPr>
          <w:p>
            <w:pPr>
              <w:spacing w:after="0"/>
              <w:rPr>
                <w:sz w:val="18"/>
                <w:szCs w:val="18"/>
                <w:color w:val="auto"/>
              </w:rPr>
            </w:pPr>
          </w:p>
        </w:tc>
      </w:tr>
      <w:tr>
        <w:trPr>
          <w:trHeight w:val="218"/>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impact of Convertible Notes (2)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40" w:type="dxa"/>
            <w:vAlign w:val="bottom"/>
            <w:shd w:val="clear" w:color="auto" w:fill="CCEEFF"/>
          </w:tcPr>
          <w:p>
            <w:pPr>
              <w:spacing w:after="0"/>
              <w:rPr>
                <w:sz w:val="18"/>
                <w:szCs w:val="18"/>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Dilutive impact of stock awards outstanding (2)</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40" w:type="dxa"/>
            <w:vAlign w:val="bottom"/>
          </w:tcPr>
          <w:p>
            <w:pPr>
              <w:spacing w:after="0"/>
              <w:rPr>
                <w:sz w:val="18"/>
                <w:szCs w:val="18"/>
                <w:color w:val="auto"/>
              </w:rPr>
            </w:pPr>
          </w:p>
        </w:tc>
      </w:tr>
      <w:tr>
        <w:trPr>
          <w:trHeight w:val="199"/>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270,842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Class A and B common stock:</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 attributable to EchoStar</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40" w:type="dxa"/>
            <w:vAlign w:val="bottom"/>
          </w:tcPr>
          <w:p>
            <w:pPr>
              <w:spacing w:after="0"/>
              <w:rPr>
                <w:sz w:val="18"/>
                <w:szCs w:val="18"/>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 attributable to EchoStar</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(6.28)</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40" w:type="dxa"/>
            <w:vAlign w:val="bottom"/>
            <w:shd w:val="clear" w:color="auto" w:fill="CCEEFF"/>
          </w:tcPr>
          <w:p>
            <w:pPr>
              <w:spacing w:after="0"/>
              <w:rPr>
                <w:sz w:val="19"/>
                <w:szCs w:val="19"/>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76" w:lineRule="exact"/>
        <w:rPr>
          <w:sz w:val="20"/>
          <w:szCs w:val="20"/>
          <w:color w:val="auto"/>
        </w:rPr>
      </w:pPr>
    </w:p>
    <w:p>
      <w:pPr>
        <w:ind w:left="380" w:right="219" w:hanging="330"/>
        <w:spacing w:after="0" w:line="261"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2022 and 2021, substantially all of our interest expense was capitalized. See Note 2 for further information.</w:t>
      </w:r>
    </w:p>
    <w:p>
      <w:pPr>
        <w:ind w:left="380" w:right="119" w:hanging="330"/>
        <w:spacing w:after="0" w:line="255"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dilutive impact of 38 million weighted-average shares of Class A common stock were excluded from the computation of “Diluted net income (loss) per share attributable to EchoStar” because the effect would have been anti-dilutive as a result of the net loss attributable to EchoStar in the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is at price ranges of approximately $185.75 to $245.33 per share (adjusted per share price pursuant to the Amended Merger Agreement), subject to certain adjustments. As a consequence, the following are not included in the diluted EPS calculation.</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4980" w:type="dxa"/>
            <w:vAlign w:val="bottom"/>
          </w:tcPr>
          <w:p>
            <w:pPr>
              <w:spacing w:after="0"/>
              <w:rPr>
                <w:sz w:val="17"/>
                <w:szCs w:val="17"/>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6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183"/>
        </w:trPr>
        <w:tc>
          <w:tcPr>
            <w:tcW w:w="49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Anti-dilutive stock awards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8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Performance/market based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8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Performance Units/Awards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9"/>
                <w:szCs w:val="19"/>
                <w:color w:val="auto"/>
              </w:rPr>
            </w:pP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80" w:type="dxa"/>
            <w:vAlign w:val="bottom"/>
          </w:tcPr>
          <w:p>
            <w:pPr>
              <w:spacing w:after="0"/>
              <w:rPr>
                <w:sz w:val="18"/>
                <w:szCs w:val="18"/>
                <w:color w:val="auto"/>
              </w:rPr>
            </w:pPr>
          </w:p>
        </w:tc>
      </w:tr>
      <w:tr>
        <w:trPr>
          <w:trHeight w:val="199"/>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31,688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Supplemental Data - Statements of Cash Flows</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supplemental cash flow and other non-cash data. See Note 9 for supplemental cash flow and non-cash data related to leases.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20" w:type="dxa"/>
            <w:vAlign w:val="bottom"/>
            <w:tcBorders>
              <w:bottom w:val="single" w:sz="8" w:color="auto"/>
            </w:tcBorders>
          </w:tcPr>
          <w:p>
            <w:pPr>
              <w:spacing w:after="0"/>
              <w:rPr>
                <w:sz w:val="19"/>
                <w:szCs w:val="19"/>
                <w:color w:val="auto"/>
              </w:rPr>
            </w:pPr>
          </w:p>
        </w:tc>
      </w:tr>
      <w:tr>
        <w:trPr>
          <w:trHeight w:val="203"/>
        </w:trPr>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 (including capitalized interest)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1,400,524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1,144,915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906,925</w:t>
            </w:r>
          </w:p>
        </w:tc>
      </w:tr>
      <w:tr>
        <w:trPr>
          <w:trHeight w:val="20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received for interest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98,456</w:t>
            </w:r>
          </w:p>
        </w:tc>
      </w:tr>
      <w:tr>
        <w:trPr>
          <w:trHeight w:val="20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Capitalized interest (1)</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1,335,129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1,084,880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858,605</w:t>
            </w: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benefits paid in Class A common stock</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37,446</w:t>
            </w:r>
          </w:p>
        </w:tc>
      </w:tr>
      <w:tr>
        <w:trPr>
          <w:trHeight w:val="20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Convertible debt reclassified per ASU 2020-06</w:t>
            </w:r>
          </w:p>
        </w:tc>
        <w:tc>
          <w:tcPr>
            <w:tcW w:w="26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1,051,344</w:t>
            </w: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 reclassified per ASU 2020-06</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245,778</w:t>
            </w:r>
          </w:p>
        </w:tc>
      </w:tr>
      <w:tr>
        <w:trPr>
          <w:trHeight w:val="20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Vendor financing</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108,048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26,627</w:t>
            </w: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FCC licenses reclassification</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915,449</w:t>
            </w:r>
          </w:p>
        </w:tc>
      </w:tr>
      <w:tr>
        <w:trPr>
          <w:trHeight w:val="20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403,134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463,092</w:t>
            </w: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122,390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50,765</w:t>
            </w:r>
          </w:p>
        </w:tc>
      </w:tr>
      <w:tr>
        <w:trPr>
          <w:trHeight w:val="20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Revaluation of contingent liabilities</w:t>
            </w:r>
          </w:p>
        </w:tc>
        <w:tc>
          <w:tcPr>
            <w:tcW w:w="26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net assets received as part of the India JV formation</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08"/>
        </w:trPr>
        <w:tc>
          <w:tcPr>
            <w:tcW w:w="22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See Note 2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tab/>
        <w:t>Other Comprehensive Income (Loss)</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tax effect on each component of “Other comprehensive income (loss)” and excludes noncontrolling interest:</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3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5"/>
        </w:trPr>
        <w:tc>
          <w:tcPr>
            <w:tcW w:w="2320" w:type="dxa"/>
            <w:vAlign w:val="bottom"/>
          </w:tcPr>
          <w:p>
            <w:pPr>
              <w:spacing w:after="0"/>
              <w:rPr>
                <w:sz w:val="10"/>
                <w:szCs w:val="10"/>
                <w:color w:val="auto"/>
              </w:rPr>
            </w:pPr>
          </w:p>
        </w:tc>
        <w:tc>
          <w:tcPr>
            <w:tcW w:w="7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Before</w:t>
            </w:r>
          </w:p>
        </w:tc>
        <w:tc>
          <w:tcPr>
            <w:tcW w:w="80" w:type="dxa"/>
            <w:vAlign w:val="bottom"/>
          </w:tcPr>
          <w:p>
            <w:pPr>
              <w:spacing w:after="0"/>
              <w:rPr>
                <w:sz w:val="10"/>
                <w:szCs w:val="10"/>
                <w:color w:val="auto"/>
              </w:rPr>
            </w:pPr>
          </w:p>
        </w:tc>
        <w:tc>
          <w:tcPr>
            <w:tcW w:w="660" w:type="dxa"/>
            <w:vAlign w:val="bottom"/>
            <w:gridSpan w:val="2"/>
          </w:tcPr>
          <w:p>
            <w:pPr>
              <w:jc w:val="right"/>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0"/>
                <w:szCs w:val="10"/>
                <w:color w:val="auto"/>
              </w:rPr>
            </w:pPr>
          </w:p>
        </w:tc>
        <w:tc>
          <w:tcPr>
            <w:tcW w:w="480" w:type="dxa"/>
            <w:vAlign w:val="bottom"/>
          </w:tcPr>
          <w:p>
            <w:pPr>
              <w:jc w:val="center"/>
              <w:ind w:right="53"/>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3"/>
                <w:szCs w:val="13"/>
                <w:b w:val="1"/>
                <w:bCs w:val="1"/>
                <w:color w:val="auto"/>
              </w:rPr>
              <w:t>Before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Tax</w:t>
            </w:r>
          </w:p>
        </w:tc>
        <w:tc>
          <w:tcPr>
            <w:tcW w:w="80" w:type="dxa"/>
            <w:vAlign w:val="bottom"/>
          </w:tcPr>
          <w:p>
            <w:pPr>
              <w:spacing w:after="0"/>
              <w:rPr>
                <w:sz w:val="10"/>
                <w:szCs w:val="10"/>
                <w:color w:val="auto"/>
              </w:rPr>
            </w:pPr>
          </w:p>
        </w:tc>
        <w:tc>
          <w:tcPr>
            <w:tcW w:w="480" w:type="dxa"/>
            <w:vAlign w:val="bottom"/>
          </w:tcPr>
          <w:p>
            <w:pPr>
              <w:jc w:val="center"/>
              <w:ind w:right="53"/>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Before</w:t>
            </w:r>
          </w:p>
        </w:tc>
        <w:tc>
          <w:tcPr>
            <w:tcW w:w="100" w:type="dxa"/>
            <w:vAlign w:val="bottom"/>
          </w:tcPr>
          <w:p>
            <w:pPr>
              <w:spacing w:after="0"/>
              <w:rPr>
                <w:sz w:val="10"/>
                <w:szCs w:val="10"/>
                <w:color w:val="auto"/>
              </w:rPr>
            </w:pPr>
          </w:p>
        </w:tc>
        <w:tc>
          <w:tcPr>
            <w:tcW w:w="70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w w:val="92"/>
              </w:rPr>
              <w:t>Tax</w:t>
            </w:r>
          </w:p>
        </w:tc>
        <w:tc>
          <w:tcPr>
            <w:tcW w:w="80" w:type="dxa"/>
            <w:vAlign w:val="bottom"/>
          </w:tcPr>
          <w:p>
            <w:pPr>
              <w:spacing w:after="0"/>
              <w:rPr>
                <w:sz w:val="10"/>
                <w:szCs w:val="10"/>
                <w:color w:val="auto"/>
              </w:rPr>
            </w:pPr>
          </w:p>
        </w:tc>
        <w:tc>
          <w:tcPr>
            <w:tcW w:w="560" w:type="dxa"/>
            <w:vAlign w:val="bottom"/>
          </w:tcPr>
          <w:p>
            <w:pPr>
              <w:jc w:val="center"/>
              <w:ind w:right="53"/>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0"/>
                <w:szCs w:val="10"/>
                <w:color w:val="auto"/>
              </w:rPr>
            </w:pPr>
          </w:p>
        </w:tc>
      </w:tr>
      <w:tr>
        <w:trPr>
          <w:trHeight w:val="148"/>
        </w:trPr>
        <w:tc>
          <w:tcPr>
            <w:tcW w:w="23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Tax</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of Tax</w:t>
            </w:r>
          </w:p>
        </w:tc>
        <w:tc>
          <w:tcPr>
            <w:tcW w:w="80" w:type="dxa"/>
            <w:vAlign w:val="bottom"/>
          </w:tcPr>
          <w:p>
            <w:pPr>
              <w:spacing w:after="0"/>
              <w:rPr>
                <w:sz w:val="12"/>
                <w:szCs w:val="1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Tax</w:t>
            </w:r>
          </w:p>
        </w:tc>
        <w:tc>
          <w:tcPr>
            <w:tcW w:w="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8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of Tax</w:t>
            </w:r>
          </w:p>
        </w:tc>
        <w:tc>
          <w:tcPr>
            <w:tcW w:w="6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8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of Tax</w:t>
            </w:r>
          </w:p>
        </w:tc>
      </w:tr>
      <w:tr>
        <w:trPr>
          <w:trHeight w:val="165"/>
        </w:trPr>
        <w:tc>
          <w:tcPr>
            <w:tcW w:w="2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r>
      <w:tr>
        <w:trPr>
          <w:trHeight w:val="129"/>
        </w:trPr>
        <w:tc>
          <w:tcPr>
            <w:tcW w:w="2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auto"/>
                <w:w w:val="96"/>
              </w:rPr>
              <w:t>(In thousands)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$ 15,479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33,742</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34,452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(17,885)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(18,367)</w:t>
            </w:r>
          </w:p>
        </w:tc>
      </w:tr>
      <w:tr>
        <w:trPr>
          <w:trHeight w:val="136"/>
        </w:trPr>
        <w:tc>
          <w:tcPr>
            <w:tcW w:w="23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Unrealized holding gains (losses) 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(535)</w:t>
            </w: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0" w:type="dxa"/>
            <w:vAlign w:val="bottom"/>
          </w:tcPr>
          <w:p>
            <w:pPr>
              <w:spacing w:after="0"/>
              <w:rPr>
                <w:sz w:val="14"/>
                <w:szCs w:val="14"/>
                <w:color w:val="auto"/>
              </w:rPr>
            </w:pPr>
          </w:p>
        </w:tc>
      </w:tr>
      <w:tr>
        <w:trPr>
          <w:trHeight w:val="136"/>
        </w:trPr>
        <w:tc>
          <w:tcPr>
            <w:tcW w:w="2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Recognition of previously unrealized</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(gains) losses on available-for-sale</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 included in net income (loss)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(5,005)</w:t>
            </w:r>
          </w:p>
        </w:tc>
      </w:tr>
      <w:tr>
        <w:trPr>
          <w:trHeight w:val="142"/>
        </w:trPr>
        <w:tc>
          <w:tcPr>
            <w:tcW w:w="2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$ 15,723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15,211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36,913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36,554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(23,609)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(23,090)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The “Accumulated other comprehensive income (loss)” is detailed in the following table, net of tax and excludes noncontrolling interest:</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(209,499)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(2,758)</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(211,821)</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34,452</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(175,047)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(175,267)</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(160,169)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Marketable Investment Securities, Restricted Cash and Cash Equivalents, and Other Investment Securities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marketable investment securities, restricted cash and cash equivalents, and other investment securities consisted of the following:</w:t>
      </w: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5"/>
          </w:tcPr>
          <w:p>
            <w:pPr>
              <w:jc w:val="right"/>
              <w:ind w:right="1139"/>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Marketable investment securities: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marketable investment securities: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Strategic - available-for-sale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Strategic - trading/equity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176,205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446,695</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current marketable investment securities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623,044</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1,809,898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marketable investment securities (1)</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marketable investment securities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650,884</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1,862,642</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 and cash equivalents (1)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 securities, net: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method investments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method and other debt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169,670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investment securities, net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314,370</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524,905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marketable investment securities, restricted cash and cash</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1,055,479</w:t>
            </w:r>
          </w:p>
        </w:tc>
        <w:tc>
          <w:tcPr>
            <w:tcW w:w="5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2,451,814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equivalents, and other investment securities, net</w:t>
            </w:r>
          </w:p>
        </w:tc>
        <w:tc>
          <w:tcPr>
            <w:tcW w:w="2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19" w:hanging="330"/>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marketable investment securities and restricted cash and cash equivalents are included in “Restricted cash, cash equivalents and marketable investment securities” on our Consolidated Balance Sheets.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Investment Securities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 See Note 2 for further information.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Marketable Investment Securities – Strategic</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December 31, 2023,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Marketable Investment Securities – Other</w:t>
      </w:r>
    </w:p>
    <w:p>
      <w:pPr>
        <w:spacing w:after="0" w:line="227"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current other marketable investment securities portfolio includes investments in various debt instruments including, among others, commercial paper, corporate securities and United States treasury and/or agency securities.</w:t>
      </w:r>
    </w:p>
    <w:p>
      <w:pPr>
        <w:ind w:left="60" w:right="439"/>
        <w:spacing w:after="0" w:line="253" w:lineRule="auto"/>
        <w:rPr>
          <w:sz w:val="20"/>
          <w:szCs w:val="20"/>
          <w:color w:val="auto"/>
        </w:rPr>
      </w:pPr>
      <w:r>
        <w:rPr>
          <w:rFonts w:ascii="Times New Roman" w:cs="Times New Roman" w:eastAsia="Times New Roman" w:hAnsi="Times New Roman"/>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 Cash Equivalents and Marketable Investment Securities</w:t>
      </w:r>
    </w:p>
    <w:p>
      <w:pPr>
        <w:spacing w:after="0" w:line="22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our restricted marketable investment securities, together with our restricted cash and cash equivalents, included amounts required as collateral for our letters of credit and trusts.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 Securities, net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strategic investments in certain debt and/or equity securities that are included in noncurrent “Other investment securities, net” on our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8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NagraStar L.L.C. </w:t>
      </w:r>
      <w:r>
        <w:rPr>
          <w:rFonts w:ascii="Times New Roman" w:cs="Times New Roman" w:eastAsia="Times New Roman" w:hAnsi="Times New Roman"/>
          <w:sz w:val="18"/>
          <w:szCs w:val="18"/>
          <w:color w:val="auto"/>
        </w:rPr>
        <w:t>We own a 50% interest in NagraStar L.L.C. (“NagraStar”), a joint venture that is our primary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Invidi Technologies Corporation</w:t>
      </w:r>
      <w:r>
        <w:rPr>
          <w:rFonts w:ascii="Times New Roman" w:cs="Times New Roman" w:eastAsia="Times New Roman" w:hAnsi="Times New Roman"/>
          <w:sz w:val="18"/>
          <w:szCs w:val="18"/>
          <w:color w:val="auto"/>
        </w:rPr>
        <w:t>. We own a 35% interest in Invidi Technologies Corporation (“Invidi”), an entity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18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TerreStar Solutions, Inc. </w:t>
      </w:r>
      <w:r>
        <w:rPr>
          <w:rFonts w:ascii="Times New Roman" w:cs="Times New Roman" w:eastAsia="Times New Roman" w:hAnsi="Times New Roman"/>
          <w:sz w:val="18"/>
          <w:szCs w:val="18"/>
          <w:color w:val="auto"/>
        </w:rPr>
        <w:t>We own a 40% interest in TerreStar Solutions, Inc. (“TSI”), an entity that provides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communication coverage in Canada using a satellite user terminal. TSI’s wireless communications system is based on a satellite and ground-based technology, which provides communication services in hard-to-reach areas and provides a nationwide interoperable, survivable and critical communications infrastructure. TSI also holds and leases certain 2 GHz wireless spectrum licenses in Canada.</w:t>
      </w:r>
    </w:p>
    <w:p>
      <w:pPr>
        <w:spacing w:after="0" w:line="183" w:lineRule="exact"/>
        <w:rPr>
          <w:sz w:val="20"/>
          <w:szCs w:val="20"/>
          <w:color w:val="auto"/>
        </w:rPr>
      </w:pPr>
    </w:p>
    <w:p>
      <w:pPr>
        <w:jc w:val="both"/>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Deluxe/EchoStar LLC. </w:t>
      </w:r>
      <w:r>
        <w:rPr>
          <w:rFonts w:ascii="Times New Roman" w:cs="Times New Roman" w:eastAsia="Times New Roman" w:hAnsi="Times New Roman"/>
          <w:sz w:val="18"/>
          <w:szCs w:val="18"/>
          <w:color w:val="auto"/>
        </w:rPr>
        <w:t>We own 50% of Deluxe/EchoStar LLC (“Deluxe”), a joint venture that we entered into in 2010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an advanced digital cinema satellite distribution network targeting delivery to digitally equipped theaters in the U.S. and Canada.</w:t>
      </w:r>
    </w:p>
    <w:p>
      <w:pPr>
        <w:spacing w:after="0" w:line="17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Broadband Connectivity Solutions (Restricted) Limited. </w:t>
      </w:r>
      <w:r>
        <w:rPr>
          <w:rFonts w:ascii="Times New Roman" w:cs="Times New Roman" w:eastAsia="Times New Roman" w:hAnsi="Times New Roman"/>
          <w:sz w:val="18"/>
          <w:szCs w:val="18"/>
          <w:color w:val="auto"/>
        </w:rPr>
        <w:t>We own 20% of Broadband Connectivity Solutions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(together with its subsidiaries, “BCS”), a joint venture that we entered into in 2018 to provide commercial Ka-band satellite broadband services across Africa, the Middle East and southwest Asia operating over Yahsat’s Al Yah 2 and Al Yah 3 Ka-band satellites.</w:t>
      </w:r>
    </w:p>
    <w:p>
      <w:pPr>
        <w:spacing w:after="0" w:line="18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investments measured at fair value on a recurring basis were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December 31, 2023</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December 31, 2022</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Level 2</w:t>
            </w:r>
          </w:p>
        </w:tc>
        <w:tc>
          <w:tcPr>
            <w:tcW w:w="16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Level 3</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Level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344"/>
              <w:spacing w:after="0" w:line="142" w:lineRule="exact"/>
              <w:rPr>
                <w:sz w:val="20"/>
                <w:szCs w:val="20"/>
                <w:color w:val="auto"/>
              </w:rPr>
            </w:pPr>
            <w:r>
              <w:rPr>
                <w:rFonts w:ascii="Times New Roman" w:cs="Times New Roman" w:eastAsia="Times New Roman" w:hAnsi="Times New Roman"/>
                <w:sz w:val="15"/>
                <w:szCs w:val="15"/>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Cash equivalents (including</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1,692,849</w:t>
            </w:r>
          </w:p>
        </w:tc>
        <w:tc>
          <w:tcPr>
            <w:tcW w:w="1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573,504</w:t>
            </w:r>
          </w:p>
        </w:tc>
        <w:tc>
          <w:tcPr>
            <w:tcW w:w="1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1,119,345</w:t>
            </w: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2,216,929</w:t>
            </w:r>
          </w:p>
        </w:tc>
        <w:tc>
          <w:tcPr>
            <w:tcW w:w="1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174,707</w:t>
            </w:r>
          </w:p>
        </w:tc>
        <w:tc>
          <w:tcPr>
            <w:tcW w:w="1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2,042,222</w:t>
            </w:r>
          </w:p>
        </w:tc>
        <w:tc>
          <w:tcPr>
            <w:tcW w:w="1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b w:val="1"/>
                <w:bCs w:val="1"/>
                <w:color w:val="auto"/>
              </w:rPr>
              <w:t>restricted)</w:t>
            </w: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Debt securities (including</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14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U.S. Treasury and agency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65,172</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65,172</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290,398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290,398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9"/>
              </w:rPr>
              <w:t>1,384,251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9"/>
              </w:rPr>
              <w:t>1,384,251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Corporate securities</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114,265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114,265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316,939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316,939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4,844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8,200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3,071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Equity securities</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176,205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166,481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9,724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119,445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109,657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9,788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14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650,884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231,653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419,087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9"/>
              </w:rPr>
              <w:t>1,862,642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148,449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9"/>
              </w:rPr>
              <w:t>1,714,049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As of December 31, 2023, restricted and non-restricted marketable investment securities included debt securities of $475 million with contractual maturities within one year. Actual maturities may differ from contractual maturities as a result of our ability to sell these securities prior to maturity.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We have the option to purchase certain of T-Mobile’s 800 MHz spectrum licenses from T-Mobile at a fixed price. This instrument meets the definition of a derivative and is valued based upon, among other things, our estimate of the underlying asset price, the expected term, volatility, the risk free rate of return and the probability of us exercising the option. The instrument acquisition date fair value was $713 million. The derivative is remeasured quarterly. As of December 31, 2023 and December 31, 2022, the derivative’s fair value was zero and $1.693 billion, respectively, and is included in “Other noncurrent assets, net” on our Consolidated Balance Sheets. The change in the derivative’s carrying value was primarily driven by a decrease in our estimated probability of exercising the option to zero. All changes in the derivative’s fair value are recorded in “Other, net” on our Consolidated Statements of Operations and Comprehensive Income (Loss). See the table below.</w:t>
      </w:r>
    </w:p>
    <w:p>
      <w:pPr>
        <w:spacing w:after="0" w:line="188"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On June 30, 2023, the United States Department of Justice, Antitrust Division (the “DOJ”) provided notice to the United States District Court for the District of Columbia (the “District Court”) that, pursuant to its discretion under the Final Judgment, it granted a 60-day extension of the deadline for T-Mobile to divest the 800 MHz spectrum licenses, which expired on August 30, 2023.</w:t>
      </w:r>
    </w:p>
    <w:p>
      <w:pPr>
        <w:spacing w:after="0" w:line="18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 August 17, 2023, we filed a petition with the District Court seeking an extension of the deadline for T-Mobile to divest the 800 MHz spectrum licenses.</w:t>
      </w:r>
    </w:p>
    <w:p>
      <w:pPr>
        <w:spacing w:after="0" w:line="162"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On October 15, 2023, we and T-Mobile entered into an amendment to the License Purchase Agreement (the “Amendment”) that, among other things, extends the date by which we may purchase the 800 MHz spectrum licenses to April 1, 2024 (the “Extension”). In connection with the Extension, we agreed to make an upfront payment of $100 million (the “Upfront Payment”) to T-Mobile. The Amendment also resolves all outstanding disputes between the parties with respect to the License Purchase Agreement. On October 25, 2023, we paid the $100 million Upfront Payment to T-Mobile.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Amendment has been approved by the DOJ in accordance with the Stipulation and Order filed in the District Court on July 26, 2019 and the Final Judgment entered by the District Court on April 1, 2020. The Amendment became effective upon the District Court entering the Amended Final Judgment on October 23, 2023.</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Upfront Payment is fully creditable against the purchase price in the event we exercise our option to purchase the 800 MHz spectrum licenses from T-Mobile. T-Mobile has the right (but not the obligation) to pursue an alternative offer between now and April 1, 2024 provided that we retain the first right to purchase the spectrum before April 1, 2024. If we elect to not exercise the option to purchase the 800 MHz spectrum licenses pursuant to the License Purchase Agreement or it expires, T-Mobile will retain the $100 million Upfront Payment per the Amendment.</w:t>
      </w:r>
    </w:p>
    <w:p>
      <w:pPr>
        <w:spacing w:after="0" w:line="18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Throughout 2023, we were actively involved in negotiations with counterparties to obtain the financing necessary to exercise the 800 MHz purchase option. However, we have been unsuccessful in our attempts to reach terms for a definitive financing agreement. Due to the relatively short time remaining before the 800 MHz purchase option’s expiration on April 1, 2024, we no longer believe it is probable that we will exercise the option. Therefore, we reduced the probability weighted value of the spectrum option to zero. As a result of the probability weighted derivative’s fair value being zero, during the fourth quarter and the year ended December 31, 2023, a loss of $1.601 billion and $1.793 billion, respectively, (both including the $100 million prepayment previously made to T-Mobile) was recorded in “Other, net” on our Consolidated Statements of Operations and Comprehensive Income (Loss). We still maintain the right to exercise the purchase option until it expires on April 1, 2024. If we elect to exercise the option and purchase these licenses, we will record the licenses at fair value at that date in “Regulatory authorizations, net” on our Consolidated Balance Sheets and record a corresponding gain, net of our exercise price, on our Consolidated Statements </w:t>
      </w:r>
      <w:r>
        <w:rPr>
          <w:rFonts w:ascii="Times New Roman" w:cs="Times New Roman" w:eastAsia="Times New Roman" w:hAnsi="Times New Roman"/>
          <w:sz w:val="18"/>
          <w:szCs w:val="18"/>
          <w:color w:val="222222"/>
        </w:rPr>
        <w:t>of Operations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Income (Loss).</w:t>
      </w:r>
    </w:p>
    <w:p>
      <w:pPr>
        <w:spacing w:after="0" w:line="190"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We account for our option to purchase certain T-Mobile’s 800 MHz spectrum licenses under the License Purchase Agreement as a Level 3 instrument within the fair value hierarchy.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Sales and Changes in Carrying Amounts of Investments and Other</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“Other, net” within “Other Income (Expense)” included on our Consolidated Statements of Operations and Comprehensive Income (Loss) is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7"/>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net:</w:t>
            </w:r>
          </w:p>
        </w:tc>
        <w:tc>
          <w:tcPr>
            <w:tcW w:w="24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224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18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and non-marketable investment securities - realized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6"/>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gains (losses) (1)</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66,394</w:t>
            </w:r>
          </w:p>
        </w:tc>
      </w:tr>
      <w:tr>
        <w:trPr>
          <w:trHeight w:val="20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instruments - net realized and/or unrealized gains (losses) (2)</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(1,793,387)</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r>
      <w:tr>
        <w:trPr>
          <w:trHeight w:val="203"/>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investment securities - other-than-temporary impairments (3)</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(39,800)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(55,266)</w:t>
            </w:r>
          </w:p>
        </w:tc>
      </w:tr>
      <w:tr>
        <w:trPr>
          <w:trHeight w:val="20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Gains (losses) related to early redemption of debt (4)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w:t>
            </w:r>
          </w:p>
        </w:tc>
      </w:tr>
      <w:tr>
        <w:trPr>
          <w:trHeight w:val="203"/>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transaction gains (losses)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w:t>
            </w:r>
          </w:p>
        </w:tc>
      </w:tr>
      <w:tr>
        <w:trPr>
          <w:trHeight w:val="20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affiliates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(8,098)</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(3,087)</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w:t>
            </w:r>
          </w:p>
        </w:tc>
      </w:tr>
      <w:tr>
        <w:trPr>
          <w:trHeight w:val="203"/>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(21,872)</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(1,465)</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29,008</w:t>
            </w:r>
          </w:p>
        </w:tc>
      </w:tr>
      <w:tr>
        <w:trPr>
          <w:trHeight w:val="196"/>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(1,770,792)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1,088,441</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w:t>
            </w:r>
          </w:p>
        </w:tc>
      </w:tr>
      <w:tr>
        <w:trPr>
          <w:trHeight w:val="20"/>
        </w:trPr>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76" w:lineRule="exact"/>
        <w:rPr>
          <w:sz w:val="20"/>
          <w:szCs w:val="20"/>
          <w:color w:val="auto"/>
        </w:rPr>
      </w:pPr>
    </w:p>
    <w:p>
      <w:pPr>
        <w:ind w:left="380" w:right="359" w:hanging="330"/>
        <w:spacing w:after="0" w:line="255"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recorded a loss of $24 million related to a decline in value of an investment previously held on a cost-basis method, due to fair value becoming determinable as a result of a merger between that entity and a publicly traded entity. Starting September 30, 2023, and for all subsequent periods, the investment is classified as marketable investment securities.</w:t>
      </w:r>
    </w:p>
    <w:p>
      <w:pPr>
        <w:spacing w:after="0" w:line="2" w:lineRule="exact"/>
        <w:rPr>
          <w:rFonts w:ascii="Times New Roman" w:cs="Times New Roman" w:eastAsia="Times New Roman" w:hAnsi="Times New Roman"/>
          <w:sz w:val="18"/>
          <w:szCs w:val="18"/>
          <w:color w:val="auto"/>
        </w:rPr>
      </w:pPr>
    </w:p>
    <w:p>
      <w:pPr>
        <w:ind w:left="380" w:right="479" w:hanging="330"/>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in the derivative’s carrying value for the year ended December 31, 2023 was primarily driven by a decrease </w:t>
      </w:r>
      <w:r>
        <w:rPr>
          <w:rFonts w:ascii="Times New Roman" w:cs="Times New Roman" w:eastAsia="Times New Roman" w:hAnsi="Times New Roman"/>
          <w:sz w:val="18"/>
          <w:szCs w:val="18"/>
          <w:color w:val="222222"/>
        </w:rPr>
        <w:t>in our estimated probability of exercising the option. This amount</w:t>
      </w:r>
      <w:r>
        <w:rPr>
          <w:rFonts w:ascii="Times New Roman" w:cs="Times New Roman" w:eastAsia="Times New Roman" w:hAnsi="Times New Roman"/>
          <w:sz w:val="18"/>
          <w:szCs w:val="18"/>
          <w:color w:val="auto"/>
        </w:rPr>
        <w:t xml:space="preserve"> includes the $100 million prepayment previously made to T-Mobile.</w:t>
      </w:r>
    </w:p>
    <w:p>
      <w:pPr>
        <w:spacing w:after="0" w:line="1" w:lineRule="exact"/>
        <w:rPr>
          <w:rFonts w:ascii="Times New Roman" w:cs="Times New Roman" w:eastAsia="Times New Roman" w:hAnsi="Times New Roman"/>
          <w:sz w:val="18"/>
          <w:szCs w:val="18"/>
          <w:color w:val="auto"/>
        </w:rPr>
      </w:pPr>
    </w:p>
    <w:p>
      <w:pPr>
        <w:ind w:left="380" w:right="279" w:hanging="330"/>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recorded a $33 million impairment for BCS as a result of increased competition and the economic environment for this business. We estimated the fair value of our investment by using the combination of the discounted cash flow model and market value approach.</w:t>
      </w:r>
    </w:p>
    <w:p>
      <w:pPr>
        <w:spacing w:after="0" w:line="9" w:lineRule="exact"/>
        <w:rPr>
          <w:rFonts w:ascii="Times New Roman" w:cs="Times New Roman" w:eastAsia="Times New Roman" w:hAnsi="Times New Roman"/>
          <w:sz w:val="18"/>
          <w:szCs w:val="18"/>
          <w:color w:val="auto"/>
        </w:rPr>
      </w:pPr>
    </w:p>
    <w:p>
      <w:pPr>
        <w:ind w:left="380" w:right="239" w:hanging="330"/>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primarily resulted from repurchases of our Convertible Notes and 5 7/8% Senior Notes due 2024 during the year ended December 31, 2023. See Note 10 for further information.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tab/>
        <w:t>Inventory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9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183"/>
        </w:trPr>
        <w:tc>
          <w:tcPr>
            <w:tcW w:w="4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gridSpan w:val="3"/>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1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512,894</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521,600</w:t>
            </w:r>
          </w:p>
        </w:tc>
        <w:tc>
          <w:tcPr>
            <w:tcW w:w="60" w:type="dxa"/>
            <w:vAlign w:val="bottom"/>
            <w:shd w:val="clear" w:color="auto" w:fill="CCEEFF"/>
          </w:tcPr>
          <w:p>
            <w:pPr>
              <w:spacing w:after="0"/>
              <w:rPr>
                <w:sz w:val="17"/>
                <w:szCs w:val="17"/>
                <w:color w:val="auto"/>
              </w:rPr>
            </w:pPr>
          </w:p>
        </w:tc>
      </w:tr>
      <w:tr>
        <w:trPr>
          <w:trHeight w:val="20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 and service repairs</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35,759</w:t>
            </w:r>
          </w:p>
        </w:tc>
        <w:tc>
          <w:tcPr>
            <w:tcW w:w="60" w:type="dxa"/>
            <w:vAlign w:val="bottom"/>
          </w:tcPr>
          <w:p>
            <w:pPr>
              <w:spacing w:after="0"/>
              <w:rPr>
                <w:sz w:val="17"/>
                <w:szCs w:val="17"/>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Consignment (1)</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56,360</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60" w:type="dxa"/>
            <w:vAlign w:val="bottom"/>
            <w:shd w:val="clear" w:color="auto" w:fill="CCEEFF"/>
          </w:tcPr>
          <w:p>
            <w:pPr>
              <w:spacing w:after="0"/>
              <w:rPr>
                <w:sz w:val="17"/>
                <w:szCs w:val="17"/>
                <w:color w:val="auto"/>
              </w:rPr>
            </w:pPr>
          </w:p>
        </w:tc>
      </w:tr>
      <w:tr>
        <w:trPr>
          <w:trHeight w:val="20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3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53,828</w:t>
            </w:r>
          </w:p>
        </w:tc>
        <w:tc>
          <w:tcPr>
            <w:tcW w:w="60" w:type="dxa"/>
            <w:vAlign w:val="bottom"/>
            <w:tcBorders>
              <w:bottom w:val="single" w:sz="8" w:color="CCEEFF"/>
            </w:tcBorders>
          </w:tcPr>
          <w:p>
            <w:pPr>
              <w:spacing w:after="0"/>
              <w:rPr>
                <w:sz w:val="17"/>
                <w:szCs w:val="17"/>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110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665,169</w:t>
            </w:r>
          </w:p>
        </w:tc>
        <w:tc>
          <w:tcPr>
            <w:tcW w:w="3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625,979</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This change primarily resulted from a distribution agreement related to certain Boost postpaid wireless devices.</w:t>
      </w:r>
    </w:p>
    <w:p>
      <w:pPr>
        <w:spacing w:after="0" w:line="221"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and Equipment and Intangible Assets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Depreciable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r>
      <w:tr>
        <w:trPr>
          <w:trHeight w:val="212"/>
        </w:trPr>
        <w:tc>
          <w:tcPr>
            <w:tcW w:w="2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r>
      <w:tr>
        <w:trPr>
          <w:trHeight w:val="189"/>
        </w:trPr>
        <w:tc>
          <w:tcPr>
            <w:tcW w:w="2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16"/>
                <w:szCs w:val="16"/>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leased to customers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1,977,450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2,161,173</w:t>
            </w:r>
          </w:p>
        </w:tc>
        <w:tc>
          <w:tcPr>
            <w:tcW w:w="40" w:type="dxa"/>
            <w:vAlign w:val="bottom"/>
            <w:shd w:val="clear" w:color="auto" w:fill="CCEEFF"/>
          </w:tcPr>
          <w:p>
            <w:pPr>
              <w:spacing w:after="0"/>
              <w:rPr>
                <w:sz w:val="18"/>
                <w:szCs w:val="18"/>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Satellites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4,168,766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3,527,788</w:t>
            </w:r>
          </w:p>
        </w:tc>
        <w:tc>
          <w:tcPr>
            <w:tcW w:w="40" w:type="dxa"/>
            <w:vAlign w:val="bottom"/>
          </w:tcPr>
          <w:p>
            <w:pPr>
              <w:spacing w:after="0"/>
              <w:rPr>
                <w:sz w:val="18"/>
                <w:szCs w:val="18"/>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Satellites acquired under finance lease agreements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712,832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705,090</w:t>
            </w:r>
          </w:p>
        </w:tc>
        <w:tc>
          <w:tcPr>
            <w:tcW w:w="40" w:type="dxa"/>
            <w:vAlign w:val="bottom"/>
            <w:shd w:val="clear" w:color="auto" w:fill="CCEEFF"/>
          </w:tcPr>
          <w:p>
            <w:pPr>
              <w:spacing w:after="0"/>
              <w:rPr>
                <w:sz w:val="19"/>
                <w:szCs w:val="19"/>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Furniture, fixtures, equipment and other</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1,691,389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1,479,063</w:t>
            </w:r>
          </w:p>
        </w:tc>
        <w:tc>
          <w:tcPr>
            <w:tcW w:w="40" w:type="dxa"/>
            <w:vAlign w:val="bottom"/>
          </w:tcPr>
          <w:p>
            <w:pPr>
              <w:spacing w:after="0"/>
              <w:rPr>
                <w:sz w:val="18"/>
                <w:szCs w:val="18"/>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5G Network Deployment equipment (1)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4,263,327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770,153</w:t>
            </w:r>
          </w:p>
        </w:tc>
        <w:tc>
          <w:tcPr>
            <w:tcW w:w="40" w:type="dxa"/>
            <w:vAlign w:val="bottom"/>
            <w:shd w:val="clear" w:color="auto" w:fill="CCEEFF"/>
          </w:tcPr>
          <w:p>
            <w:pPr>
              <w:spacing w:after="0"/>
              <w:rPr>
                <w:sz w:val="19"/>
                <w:szCs w:val="19"/>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Software and computer equipment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2,026,648</w:t>
            </w:r>
          </w:p>
        </w:tc>
        <w:tc>
          <w:tcPr>
            <w:tcW w:w="40" w:type="dxa"/>
            <w:vAlign w:val="bottom"/>
          </w:tcPr>
          <w:p>
            <w:pPr>
              <w:spacing w:after="0"/>
              <w:rPr>
                <w:sz w:val="18"/>
                <w:szCs w:val="18"/>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538,815</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497,386</w:t>
            </w:r>
          </w:p>
        </w:tc>
        <w:tc>
          <w:tcPr>
            <w:tcW w:w="40" w:type="dxa"/>
            <w:vAlign w:val="bottom"/>
            <w:shd w:val="clear" w:color="auto" w:fill="CCEEFF"/>
          </w:tcPr>
          <w:p>
            <w:pPr>
              <w:spacing w:after="0"/>
              <w:rPr>
                <w:sz w:val="19"/>
                <w:szCs w:val="19"/>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46,638</w:t>
            </w:r>
          </w:p>
        </w:tc>
        <w:tc>
          <w:tcPr>
            <w:tcW w:w="40" w:type="dxa"/>
            <w:vAlign w:val="bottom"/>
          </w:tcPr>
          <w:p>
            <w:pPr>
              <w:spacing w:after="0"/>
              <w:rPr>
                <w:sz w:val="18"/>
                <w:szCs w:val="18"/>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1,844,338</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3,979,145</w:t>
            </w:r>
          </w:p>
        </w:tc>
        <w:tc>
          <w:tcPr>
            <w:tcW w:w="40" w:type="dxa"/>
            <w:vAlign w:val="bottom"/>
            <w:shd w:val="clear" w:color="auto" w:fill="CCEEFF"/>
          </w:tcPr>
          <w:p>
            <w:pPr>
              <w:spacing w:after="0"/>
              <w:rPr>
                <w:sz w:val="19"/>
                <w:szCs w:val="19"/>
                <w:color w:val="auto"/>
              </w:rPr>
            </w:pPr>
          </w:p>
        </w:tc>
      </w:tr>
      <w:tr>
        <w:trPr>
          <w:trHeight w:val="19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17,747,189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15,193,084</w:t>
            </w:r>
          </w:p>
        </w:tc>
        <w:tc>
          <w:tcPr>
            <w:tcW w:w="40" w:type="dxa"/>
            <w:vAlign w:val="bottom"/>
          </w:tcPr>
          <w:p>
            <w:pPr>
              <w:spacing w:after="0"/>
              <w:rPr>
                <w:sz w:val="17"/>
                <w:szCs w:val="17"/>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(8,185,355)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(7,288,127)</w:t>
            </w:r>
          </w:p>
        </w:tc>
      </w:tr>
      <w:tr>
        <w:trPr>
          <w:trHeight w:val="19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9,561,834</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7,904,957</w:t>
            </w:r>
          </w:p>
        </w:tc>
        <w:tc>
          <w:tcPr>
            <w:tcW w:w="4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5G Network Deployment assets acquired under finance lease agreements.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Construction in progress consisted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r>
      <w:tr>
        <w:trPr>
          <w:trHeight w:val="215"/>
        </w:trPr>
        <w:tc>
          <w:tcPr>
            <w:tcW w:w="2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Pay-TV</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162,055</w:t>
            </w:r>
          </w:p>
        </w:tc>
        <w:tc>
          <w:tcPr>
            <w:tcW w:w="7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36,936</w:t>
            </w:r>
          </w:p>
        </w:tc>
        <w:tc>
          <w:tcPr>
            <w:tcW w:w="80" w:type="dxa"/>
            <w:vAlign w:val="bottom"/>
            <w:shd w:val="clear" w:color="auto" w:fill="CCEEFF"/>
          </w:tcPr>
          <w:p>
            <w:pPr>
              <w:spacing w:after="0"/>
              <w:rPr>
                <w:sz w:val="18"/>
                <w:szCs w:val="18"/>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Retail Wireless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5G Network Deployment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1,639,945</w:t>
            </w: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3,133,687</w:t>
            </w:r>
          </w:p>
        </w:tc>
        <w:tc>
          <w:tcPr>
            <w:tcW w:w="80" w:type="dxa"/>
            <w:vAlign w:val="bottom"/>
            <w:shd w:val="clear" w:color="auto" w:fill="CCEEFF"/>
          </w:tcPr>
          <w:p>
            <w:pPr>
              <w:spacing w:after="0"/>
              <w:rPr>
                <w:sz w:val="19"/>
                <w:szCs w:val="19"/>
                <w:color w:val="auto"/>
              </w:rPr>
            </w:pPr>
          </w:p>
        </w:tc>
      </w:tr>
      <w:tr>
        <w:trPr>
          <w:trHeight w:val="21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 (1)</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42,338</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808,522</w:t>
            </w:r>
          </w:p>
        </w:tc>
        <w:tc>
          <w:tcPr>
            <w:tcW w:w="80" w:type="dxa"/>
            <w:vAlign w:val="bottom"/>
            <w:tcBorders>
              <w:bottom w:val="single" w:sz="8" w:color="CCEEFF"/>
            </w:tcBorders>
          </w:tcPr>
          <w:p>
            <w:pPr>
              <w:spacing w:after="0"/>
              <w:rPr>
                <w:sz w:val="18"/>
                <w:szCs w:val="18"/>
                <w:color w:val="auto"/>
              </w:rPr>
            </w:pPr>
          </w:p>
        </w:tc>
      </w:tr>
      <w:tr>
        <w:trPr>
          <w:trHeight w:val="199"/>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construction in progress</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1,844,338</w:t>
            </w:r>
          </w:p>
        </w:tc>
        <w:tc>
          <w:tcPr>
            <w:tcW w:w="3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3,979,145</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76" w:lineRule="exact"/>
        <w:rPr>
          <w:sz w:val="20"/>
          <w:szCs w:val="20"/>
          <w:color w:val="auto"/>
        </w:rPr>
      </w:pPr>
    </w:p>
    <w:p>
      <w:pPr>
        <w:ind w:left="380" w:right="299" w:hanging="330"/>
        <w:spacing w:after="0" w:line="258"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we entered into a contract for the design and construction of the EchoStar XXIV satellite, a next-generation, high throughput geostationary satellite. The satellite began service in December 2023 and is expected to bring further consumer broadband capacity across North and South America and generate additional sales in other markets, including in-flight Wi-Fi, enterprise networking and cellular backhaul for mobile network operators across the two continents. The satellite was placed into service in the fourth quarter of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expense consisted of the following: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3"/>
        </w:trPr>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5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leased to customers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400,651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473,130</w:t>
            </w:r>
          </w:p>
        </w:tc>
        <w:tc>
          <w:tcPr>
            <w:tcW w:w="40" w:type="dxa"/>
            <w:vAlign w:val="bottom"/>
            <w:shd w:val="clear" w:color="auto" w:fill="CCEEFF"/>
          </w:tcPr>
          <w:p>
            <w:pPr>
              <w:spacing w:after="0"/>
              <w:rPr>
                <w:sz w:val="18"/>
                <w:szCs w:val="18"/>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Satellites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268,994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318,685</w:t>
            </w:r>
          </w:p>
        </w:tc>
        <w:tc>
          <w:tcPr>
            <w:tcW w:w="40" w:type="dxa"/>
            <w:vAlign w:val="bottom"/>
          </w:tcPr>
          <w:p>
            <w:pPr>
              <w:spacing w:after="0"/>
              <w:rPr>
                <w:sz w:val="18"/>
                <w:szCs w:val="18"/>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fixtures, equipment and other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144,722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98,762</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96,658</w:t>
            </w:r>
          </w:p>
        </w:tc>
        <w:tc>
          <w:tcPr>
            <w:tcW w:w="40" w:type="dxa"/>
            <w:vAlign w:val="bottom"/>
            <w:shd w:val="clear" w:color="auto" w:fill="CCEEFF"/>
          </w:tcPr>
          <w:p>
            <w:pPr>
              <w:spacing w:after="0"/>
              <w:rPr>
                <w:sz w:val="19"/>
                <w:szCs w:val="19"/>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5G Network Deployment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40" w:type="dxa"/>
            <w:vAlign w:val="bottom"/>
          </w:tcPr>
          <w:p>
            <w:pPr>
              <w:spacing w:after="0"/>
              <w:rPr>
                <w:sz w:val="18"/>
                <w:szCs w:val="18"/>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computer equipment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270,200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185,538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118,671</w:t>
            </w:r>
          </w:p>
        </w:tc>
        <w:tc>
          <w:tcPr>
            <w:tcW w:w="4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assets and other amortization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217,479</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190,958</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198,539</w:t>
            </w:r>
          </w:p>
        </w:tc>
        <w:tc>
          <w:tcPr>
            <w:tcW w:w="40" w:type="dxa"/>
            <w:vAlign w:val="bottom"/>
            <w:tcBorders>
              <w:bottom w:val="single" w:sz="8" w:color="CCEEFF"/>
            </w:tcBorders>
          </w:tcPr>
          <w:p>
            <w:pPr>
              <w:spacing w:after="0"/>
              <w:rPr>
                <w:sz w:val="18"/>
                <w:szCs w:val="18"/>
                <w:color w:val="auto"/>
              </w:rPr>
            </w:pPr>
          </w:p>
        </w:tc>
      </w:tr>
      <w:tr>
        <w:trPr>
          <w:trHeight w:val="19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depreciation and amortization</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1,597,923</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1,174,895</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1,213,946</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Cost of sales and operating expense categories included in our accompanying Consolidated Statements of Operations and Comprehensive Income (Loss) do not include depreciation and amortization expense related to satellites, equipment leased to customers, or our 5G Network Deployment equipment and software, and amortization of development costs of externally marketed software.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relating to our asset retirement obligations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9"/>
                <w:szCs w:val="19"/>
                <w:color w:val="auto"/>
              </w:rPr>
            </w:pPr>
          </w:p>
        </w:tc>
      </w:t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right"/>
              <w:ind w:right="1019"/>
              <w:spacing w:after="0"/>
              <w:rPr>
                <w:sz w:val="20"/>
                <w:szCs w:val="20"/>
                <w:color w:val="auto"/>
              </w:rPr>
            </w:pPr>
            <w:r>
              <w:rPr>
                <w:rFonts w:ascii="Times New Roman" w:cs="Times New Roman" w:eastAsia="Times New Roman" w:hAnsi="Times New Roman"/>
                <w:sz w:val="16"/>
                <w:szCs w:val="16"/>
                <w:color w:val="auto"/>
              </w:rPr>
              <w:t>(In thousands)</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183,135</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51,551</w:t>
            </w:r>
          </w:p>
        </w:tc>
      </w:tr>
      <w:tr>
        <w:trPr>
          <w:trHeight w:val="20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incurred</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124,822</w:t>
            </w:r>
          </w:p>
        </w:tc>
      </w:tr>
      <w:tr>
        <w:trPr>
          <w:trHeight w:val="20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20,963</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w:t>
            </w:r>
          </w:p>
        </w:tc>
      </w:tr>
      <w:tr>
        <w:trPr>
          <w:trHeight w:val="20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Revision to estimated cash flows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278,287</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183,135</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included in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278,287</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183,135</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corresponding assets, net of accumulated depreciation, related to asset retirement obligations were $217 million and $162 million as of December 31, 2023 and 2022,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Satellites Pay-TV Segment</w:t>
      </w:r>
    </w:p>
    <w:p>
      <w:pPr>
        <w:spacing w:after="0" w:line="22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Our Pay-TV segment currently utilizes nine satellites in geostationary orbit approximately 22,300 miles above the equator, seven of which we own and depreciate over their estimated useful life. We also lease two satellites from third parties: Anik F3, which is accounted for as an operating lease, and Nimiq 5, which is accounted for as a finance lease and is depreciated over its economic life. As of July 2023, we no longer lease the Ciel II satellite.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our Pay-TV segment satellite fleet consisted of the following: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Degree</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Launch</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Orbital</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r>
      <w:tr>
        <w:trPr>
          <w:trHeight w:val="21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Satellites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99"/>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X</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February 2006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26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XI</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July 2008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26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XIV</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2010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119</w:t>
            </w:r>
          </w:p>
        </w:tc>
        <w:tc>
          <w:tcPr>
            <w:tcW w:w="26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XV</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July 2010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61.5</w:t>
            </w:r>
          </w:p>
        </w:tc>
        <w:tc>
          <w:tcPr>
            <w:tcW w:w="26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XVI</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November 2012</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61.5</w:t>
            </w:r>
          </w:p>
        </w:tc>
        <w:tc>
          <w:tcPr>
            <w:tcW w:w="26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XVIII</w:t>
            </w:r>
          </w:p>
        </w:tc>
        <w:tc>
          <w:tcPr>
            <w:tcW w:w="22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rPr>
              <w:t>June 2016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61.5</w:t>
            </w:r>
          </w:p>
        </w:tc>
        <w:tc>
          <w:tcPr>
            <w:tcW w:w="26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XXIII</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2017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26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9"/>
        </w:trPr>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Under Construction:</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XXV</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Leased from Other Third-Party:</w:t>
            </w:r>
          </w:p>
        </w:tc>
        <w:tc>
          <w:tcPr>
            <w:tcW w:w="1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Anik F3</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April 2007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118.7</w:t>
            </w:r>
          </w:p>
        </w:tc>
        <w:tc>
          <w:tcPr>
            <w:tcW w:w="260" w:type="dxa"/>
            <w:vAlign w:val="bottom"/>
          </w:tcPr>
          <w:p>
            <w:pPr>
              <w:spacing w:after="0"/>
              <w:rPr>
                <w:sz w:val="18"/>
                <w:szCs w:val="18"/>
                <w:color w:val="auto"/>
              </w:rPr>
            </w:pPr>
          </w:p>
        </w:tc>
        <w:tc>
          <w:tcPr>
            <w:tcW w:w="2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April 2025</w:t>
            </w:r>
          </w:p>
        </w:tc>
      </w:tr>
      <w:tr>
        <w:trPr>
          <w:trHeight w:val="21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Nimiq 5</w:t>
            </w:r>
          </w:p>
        </w:tc>
        <w:tc>
          <w:tcPr>
            <w:tcW w:w="22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rPr>
              <w:t>September 2009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72.7</w:t>
            </w:r>
          </w:p>
        </w:tc>
        <w:tc>
          <w:tcPr>
            <w:tcW w:w="26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September 2024</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 Under Construction</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EchoStar XXV</w:t>
      </w:r>
      <w:r>
        <w:rPr>
          <w:rFonts w:ascii="Times New Roman" w:cs="Times New Roman" w:eastAsia="Times New Roman" w:hAnsi="Times New Roman"/>
          <w:sz w:val="18"/>
          <w:szCs w:val="18"/>
          <w:color w:val="auto"/>
        </w:rPr>
        <w:t>. On March 20, 2023, we entered into a contract with Maxar Space LLC for the construction of EchoStar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 Anomalies</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18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generally do not carry commercial launch or in-orbit insurance on any of the satellites that we own and therefore, we will bear the risk associated with any uninsured launch or in-orbit satellite failures.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Satellites - Broadband and Satellite Services Segment</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Our Broadband and Satellite Services segment currently utilizes nine satellites in geostationary orbit approximately 22,300 miles above the equator, six of which we own and depreciate over their estimated useful life. We also lease three satellites from third parties, which are accounted for as finance leases and are depreciated over their economic life.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our Broadband and Satellite Services segment satellite fleet consisted of the following: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Degree</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Launch</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Orbital</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r>
      <w:tr>
        <w:trPr>
          <w:trHeight w:val="215"/>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Satellites</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99"/>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r>
      <w:tr>
        <w:trPr>
          <w:trHeight w:val="20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IX</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August 2003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2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XVII</w:t>
            </w:r>
          </w:p>
        </w:tc>
        <w:tc>
          <w:tcPr>
            <w:tcW w:w="22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July 2012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XIX</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December 2016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2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XXI</w:t>
            </w:r>
          </w:p>
        </w:tc>
        <w:tc>
          <w:tcPr>
            <w:tcW w:w="22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rPr>
              <w:t>June 2017</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 Yah 3</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January 2018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2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EchoStar XXIV</w:t>
            </w:r>
          </w:p>
        </w:tc>
        <w:tc>
          <w:tcPr>
            <w:tcW w:w="22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July 2023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95.2</w:t>
            </w: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Leased from Other Third-Party:</w:t>
            </w:r>
          </w:p>
        </w:tc>
        <w:tc>
          <w:tcPr>
            <w:tcW w:w="1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0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Eutelsat 65 West A</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2016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2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2031</w:t>
            </w:r>
          </w:p>
        </w:tc>
      </w:tr>
      <w:tr>
        <w:trPr>
          <w:trHeight w:val="20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Telesat T19V</w:t>
            </w:r>
          </w:p>
        </w:tc>
        <w:tc>
          <w:tcPr>
            <w:tcW w:w="22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July 2018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2033</w:t>
            </w:r>
          </w:p>
        </w:tc>
      </w:tr>
      <w:tr>
        <w:trPr>
          <w:trHeight w:val="21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EchoStar 105/SES-11</w:t>
            </w: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October 2017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2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2028</w:t>
            </w:r>
          </w:p>
        </w:tc>
      </w:tr>
    </w:tbl>
    <w:p>
      <w:pPr>
        <w:spacing w:after="0" w:line="19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Eutelsat 10A satellite was deorbited in the fourth quarter of 2023. The Spaceway 3 satellite was deorbited in January 2024 and is excluded from the table above.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 Anomalies and Impairments</w:t>
      </w:r>
    </w:p>
    <w:p>
      <w:pPr>
        <w:spacing w:after="0" w:line="22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2023.</w:t>
      </w:r>
    </w:p>
    <w:p>
      <w:pPr>
        <w:spacing w:after="0" w:line="180"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w:t>
      </w:r>
    </w:p>
    <w:p>
      <w:pPr>
        <w:spacing w:after="0" w:line="18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We have obtained certain insurance for our EchoStar XXIV satellite covering launch plus the first year of operations. We will continue to assess circumstances going forward and make insurance-related decisions on a case-by-case basis.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identifiable intangibles subject to amortization consisted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7"/>
                <w:szCs w:val="17"/>
                <w:color w:val="auto"/>
              </w:rPr>
            </w:pPr>
          </w:p>
        </w:tc>
        <w:tc>
          <w:tcPr>
            <w:tcW w:w="26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17"/>
                <w:szCs w:val="17"/>
                <w:color w:val="auto"/>
              </w:rPr>
            </w:pPr>
          </w:p>
        </w:tc>
      </w:tr>
      <w:tr>
        <w:trPr>
          <w:trHeight w:val="180"/>
        </w:trPr>
        <w:tc>
          <w:tcPr>
            <w:tcW w:w="3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Intangible</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Intangible</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5"/>
                <w:szCs w:val="15"/>
                <w:color w:val="auto"/>
              </w:rPr>
            </w:pPr>
          </w:p>
        </w:tc>
      </w:tr>
      <w:tr>
        <w:trPr>
          <w:trHeight w:val="212"/>
        </w:trPr>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r>
      <w:tr>
        <w:trPr>
          <w:trHeight w:val="188"/>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Technology-based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(111,989)</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(111,422)</w:t>
            </w:r>
          </w:p>
        </w:tc>
        <w:tc>
          <w:tcPr>
            <w:tcW w:w="20" w:type="dxa"/>
            <w:vAlign w:val="bottom"/>
          </w:tcPr>
          <w:p>
            <w:pPr>
              <w:spacing w:after="0"/>
              <w:rPr>
                <w:sz w:val="17"/>
                <w:szCs w:val="17"/>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(90,326)</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(78,209)</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Contract-based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(41,500)</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20" w:type="dxa"/>
            <w:vAlign w:val="bottom"/>
          </w:tcPr>
          <w:p>
            <w:pPr>
              <w:spacing w:after="0"/>
              <w:rPr>
                <w:sz w:val="17"/>
                <w:szCs w:val="17"/>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(807,651)</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903,083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(637,442)</w:t>
            </w:r>
          </w:p>
        </w:tc>
        <w:tc>
          <w:tcPr>
            <w:tcW w:w="20" w:type="dxa"/>
            <w:vAlign w:val="bottom"/>
          </w:tcPr>
          <w:p>
            <w:pPr>
              <w:spacing w:after="0"/>
              <w:rPr>
                <w:sz w:val="17"/>
                <w:szCs w:val="17"/>
                <w:color w:val="auto"/>
              </w:rPr>
            </w:pPr>
          </w:p>
        </w:tc>
      </w:tr>
      <w:tr>
        <w:trPr>
          <w:trHeight w:val="19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1,224,358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(1,051,466)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1,224,362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(868,573)</w:t>
            </w:r>
          </w:p>
        </w:tc>
        <w:tc>
          <w:tcPr>
            <w:tcW w:w="2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These identifiable intangibles are included in “Intangible assets, net” on our Consolidated Balance Sheets. Amortization of these intangible assets is recorded on a straight-line basis over an average finite useful life primarily ranging from approximately two to 20 years. Amortization was $183 million, $156 million and $169 million for the years ended December 31, 2023, 2022 and 2021,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of our identifiable intangible assets as of December 31, 2023 is as follows (in thousands):</w:t>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recorded a noncash impairment charge for goodwill of $758 million in “Impairment of long-lived assets and goodwill” on our Consolidated Statements of Operations and Comprehensive Income (Loss). See Note 2 for further information. The non-recurring measurement of fair value of goodwill is classified as Level 3 in the fair value hierarchy.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Goodwill consisted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460" w:type="dxa"/>
            <w:vAlign w:val="bottom"/>
            <w:tcBorders>
              <w:bottom w:val="single" w:sz="8" w:color="auto"/>
            </w:tcBorders>
          </w:tcPr>
          <w:p>
            <w:pPr>
              <w:spacing w:after="0"/>
              <w:rPr>
                <w:sz w:val="19"/>
                <w:szCs w:val="19"/>
                <w:color w:val="auto"/>
              </w:rPr>
            </w:pPr>
          </w:p>
        </w:tc>
      </w:tr>
      <w:tr>
        <w:trPr>
          <w:trHeight w:val="187"/>
        </w:trPr>
        <w:tc>
          <w:tcPr>
            <w:tcW w:w="48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860" w:type="dxa"/>
            <w:vAlign w:val="bottom"/>
          </w:tcPr>
          <w:p>
            <w:pPr>
              <w:spacing w:after="0"/>
              <w:rPr>
                <w:sz w:val="18"/>
                <w:szCs w:val="18"/>
                <w:color w:val="auto"/>
              </w:rPr>
            </w:pPr>
          </w:p>
        </w:tc>
        <w:tc>
          <w:tcPr>
            <w:tcW w:w="1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4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1460" w:type="dxa"/>
            <w:vAlign w:val="bottom"/>
          </w:tcPr>
          <w:p>
            <w:pPr>
              <w:spacing w:after="0"/>
              <w:rPr>
                <w:sz w:val="16"/>
                <w:szCs w:val="16"/>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Pay-TV</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 Wireless</w:t>
            </w:r>
          </w:p>
        </w:tc>
        <w:tc>
          <w:tcPr>
            <w:tcW w:w="1480" w:type="dxa"/>
            <w:vAlign w:val="bottom"/>
          </w:tcPr>
          <w:p>
            <w:pPr>
              <w:spacing w:after="0"/>
              <w:rPr>
                <w:sz w:val="17"/>
                <w:szCs w:val="17"/>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98,657</w:t>
            </w: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5G Network Deployment</w:t>
            </w: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119,903</w:t>
            </w:r>
          </w:p>
        </w:tc>
      </w:tr>
      <w:tr>
        <w:trPr>
          <w:trHeight w:val="20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w:t>
            </w:r>
          </w:p>
        </w:tc>
        <w:tc>
          <w:tcPr>
            <w:tcW w:w="1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532,491</w:t>
            </w: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goodwill</w:t>
            </w: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757,508</w:t>
            </w:r>
          </w:p>
        </w:tc>
      </w:tr>
      <w:tr>
        <w:trPr>
          <w:trHeight w:val="20"/>
        </w:trPr>
        <w:tc>
          <w:tcPr>
            <w:tcW w:w="4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Regulatory Authorizations – Pay-TV and 5G Network Deployment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Regulatory Authorizations with indefinite lives consisted of the following: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tcPr>
          <w:p>
            <w:pPr>
              <w:jc w:val="right"/>
              <w:ind w:right="184"/>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DBS Licenses</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677,409</w:t>
            </w:r>
          </w:p>
        </w:tc>
        <w:tc>
          <w:tcPr>
            <w:tcW w:w="84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700 MHz Licenses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711,871</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711,871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AWS-4 Licenses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 Block Licenses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1,671,506</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1,671,506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600 MHz Licenses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6,213,335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MVDDS Licenses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28 GHz Licenses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24 GHz Licenses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37 GHz, 39 GHz &amp; 47 GHz Licenses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202,533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3550-3650 MHz Licenses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912,939</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3.7-3.98 GHz Licenses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3.45-3.55 GHz Licenses</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7,327,989</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7,327,989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1695-1710 MHz, 1755-1780 MHz, and 2155-2180 MHz</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AWS-3</w:t>
            </w:r>
          </w:p>
        </w:tc>
        <w:tc>
          <w:tcPr>
            <w:tcW w:w="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5,618,930</w:t>
            </w:r>
          </w:p>
        </w:tc>
        <w:tc>
          <w:tcPr>
            <w:tcW w:w="3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5,618,930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Subtotal</w:t>
            </w:r>
          </w:p>
        </w:tc>
        <w:tc>
          <w:tcPr>
            <w:tcW w:w="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25,319,108</w:t>
            </w:r>
          </w:p>
        </w:tc>
        <w:tc>
          <w:tcPr>
            <w:tcW w:w="3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25,317,099</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Noncontrolling Investments:</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SNR</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4,271,459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Capitalized Interest (1)</w:t>
            </w:r>
          </w:p>
        </w:tc>
        <w:tc>
          <w:tcPr>
            <w:tcW w:w="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8,523,682</w:t>
            </w:r>
          </w:p>
        </w:tc>
        <w:tc>
          <w:tcPr>
            <w:tcW w:w="3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7,344,515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38,114,249</w:t>
            </w: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36,933,073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See Note 2 for further information.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Regulatory Authorizations – Broadband and Satellite Services Segment</w:t>
      </w:r>
    </w:p>
    <w:p>
      <w:pPr>
        <w:spacing w:after="0" w:line="22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our Regulatory Authorizations for our Broadband and Satellite Services segment with indefinite lives consisted of the following: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5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5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183"/>
        </w:trPr>
        <w:tc>
          <w:tcPr>
            <w:tcW w:w="5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gridSpan w:val="3"/>
          </w:tcPr>
          <w:p>
            <w:pPr>
              <w:jc w:val="right"/>
              <w:ind w:right="15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95 W</w:t>
            </w:r>
          </w:p>
        </w:tc>
        <w:tc>
          <w:tcPr>
            <w:tcW w:w="9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200,000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60" w:type="dxa"/>
            <w:vAlign w:val="bottom"/>
            <w:shd w:val="clear" w:color="auto" w:fill="CCEEFF"/>
          </w:tcPr>
          <w:p>
            <w:pPr>
              <w:spacing w:after="0"/>
              <w:rPr>
                <w:sz w:val="18"/>
                <w:szCs w:val="18"/>
                <w:color w:val="auto"/>
              </w:rPr>
            </w:pP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 W</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200,000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60" w:type="dxa"/>
            <w:vAlign w:val="bottom"/>
          </w:tcPr>
          <w:p>
            <w:pPr>
              <w:spacing w:after="0"/>
              <w:rPr>
                <w:sz w:val="18"/>
                <w:szCs w:val="18"/>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Sirion-1 Filing</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39,160</w:t>
            </w:r>
          </w:p>
        </w:tc>
        <w:tc>
          <w:tcPr>
            <w:tcW w:w="3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39,160</w:t>
            </w:r>
          </w:p>
        </w:tc>
        <w:tc>
          <w:tcPr>
            <w:tcW w:w="60" w:type="dxa"/>
            <w:vAlign w:val="bottom"/>
            <w:shd w:val="clear" w:color="auto" w:fill="CCEEFF"/>
          </w:tcPr>
          <w:p>
            <w:pPr>
              <w:spacing w:after="0"/>
              <w:rPr>
                <w:sz w:val="19"/>
                <w:szCs w:val="19"/>
                <w:color w:val="auto"/>
              </w:rPr>
            </w:pPr>
          </w:p>
        </w:tc>
      </w:tr>
      <w:tr>
        <w:trPr>
          <w:trHeight w:val="236"/>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439,160</w:t>
            </w:r>
          </w:p>
        </w:tc>
        <w:tc>
          <w:tcPr>
            <w:tcW w:w="3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439,160</w:t>
            </w:r>
          </w:p>
        </w:tc>
        <w:tc>
          <w:tcPr>
            <w:tcW w:w="60" w:type="dxa"/>
            <w:vAlign w:val="bottom"/>
            <w:tcBorders>
              <w:bottom w:val="single" w:sz="8" w:color="CCEEFF"/>
            </w:tcBorders>
          </w:tcPr>
          <w:p>
            <w:pPr>
              <w:spacing w:after="0"/>
              <w:rPr>
                <w:sz w:val="20"/>
                <w:szCs w:val="20"/>
                <w:color w:val="auto"/>
              </w:rPr>
            </w:pPr>
          </w:p>
        </w:tc>
      </w:tr>
      <w:tr>
        <w:trPr>
          <w:trHeight w:val="183"/>
        </w:trPr>
        <w:tc>
          <w:tcPr>
            <w:tcW w:w="5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Regulatory Authorizations with finite lives consisted of the following: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7"/>
                <w:szCs w:val="17"/>
                <w:color w:val="auto"/>
              </w:rPr>
            </w:pPr>
          </w:p>
        </w:tc>
        <w:tc>
          <w:tcPr>
            <w:tcW w:w="262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17"/>
                <w:szCs w:val="17"/>
                <w:color w:val="auto"/>
              </w:rPr>
            </w:pPr>
          </w:p>
        </w:tc>
      </w:tr>
      <w:tr>
        <w:trPr>
          <w:trHeight w:val="180"/>
        </w:trPr>
        <w:tc>
          <w:tcPr>
            <w:tcW w:w="3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Finite Lived</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Finite Lived</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5"/>
                <w:szCs w:val="15"/>
                <w:color w:val="auto"/>
              </w:rPr>
            </w:pPr>
          </w:p>
        </w:tc>
      </w:tr>
      <w:tr>
        <w:trPr>
          <w:trHeight w:val="212"/>
        </w:trPr>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r>
      <w:tr>
        <w:trPr>
          <w:trHeight w:val="189"/>
        </w:trPr>
        <w:tc>
          <w:tcPr>
            <w:tcW w:w="3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(In thousands)</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58,061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(38,490)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55,317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(31,946)</w:t>
            </w:r>
          </w:p>
        </w:tc>
        <w:tc>
          <w:tcPr>
            <w:tcW w:w="20" w:type="dxa"/>
            <w:vAlign w:val="bottom"/>
          </w:tcPr>
          <w:p>
            <w:pPr>
              <w:spacing w:after="0"/>
              <w:rPr>
                <w:sz w:val="17"/>
                <w:szCs w:val="17"/>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These identifiable intangibles are included in “Regulatory Authorizations, net” on our Consolidated Balance Sheets. Amortization of these intangible assets is recorded on a straight-line basis over an average finite useful life of thirteen years. Amortization was $5 million for the year ended December 31, 2023 and $4 million and $4 million for the years ended December 31, 2022 and 2021, respectively. Foreign currency translation adjustments were gains of $1 million, losses of $2 million and gains of $1 million for the years ended December 31, 2023, 2022 and 2021,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of our identifiable intangible assets as of December 31, 2023 is as follows (in thousands):</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(In thousands)</w:t>
            </w: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5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w:t>
            </w: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03"/>
        </w:trPr>
        <w:tc>
          <w:tcPr>
            <w:tcW w:w="20" w:type="dxa"/>
            <w:vAlign w:val="bottom"/>
          </w:tcPr>
          <w:p>
            <w:pPr>
              <w:spacing w:after="0"/>
              <w:rPr>
                <w:sz w:val="17"/>
                <w:szCs w:val="17"/>
                <w:color w:val="auto"/>
              </w:rPr>
            </w:pPr>
          </w:p>
        </w:tc>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r>
      <w:tr>
        <w:trPr>
          <w:trHeight w:val="196"/>
        </w:trPr>
        <w:tc>
          <w:tcPr>
            <w:tcW w:w="20" w:type="dxa"/>
            <w:vAlign w:val="bottom"/>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19,571</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Lessee Accounting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enter into non-cancelable operating and finance leases for, among other things, communication towers, satellites,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satellite-related ground infrastructure, data centers, office space, dark fiber and transport equipment, warehouses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 centers, vehicles and other equipment. Substantially all of our leases have remaining lease terms from one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 years, some of which include renewal options, and some of which include options to terminate the leases within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one year. For certain arrangements, the lease term includes the non-cancelable period plus the renewal period that we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reasonably certain to exercise.</w:t>
      </w:r>
    </w:p>
    <w:p>
      <w:pPr>
        <w:spacing w:after="0" w:line="20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Eutelsat 65 West A, Telesat T19V and EchoStar 105/SES-11 satellites are accounted for as finance leases within our Broadband and Satellite Services segment. Through the first quarter of 2022, our Anik F3 and Nimiq 5 satellites were accounted for as finance leases within our Pay-TV segment. However, during April 2022, we extended the Anik F3 lease and as a result it is currently accounted for as an operating lease. Substantially all of our remaining leases are accounted for as operating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83"/>
        </w:trPr>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7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(1)</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355,871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111,336</w:t>
            </w:r>
          </w:p>
        </w:tc>
        <w:tc>
          <w:tcPr>
            <w:tcW w:w="6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 (2)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6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 (3):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95,237</w:t>
            </w:r>
          </w:p>
        </w:tc>
        <w:tc>
          <w:tcPr>
            <w:tcW w:w="60" w:type="dxa"/>
            <w:vAlign w:val="bottom"/>
          </w:tcPr>
          <w:p>
            <w:pPr>
              <w:spacing w:after="0"/>
              <w:rPr>
                <w:sz w:val="18"/>
                <w:szCs w:val="18"/>
                <w:color w:val="auto"/>
              </w:rPr>
            </w:pPr>
          </w:p>
        </w:tc>
      </w:tr>
      <w:tr>
        <w:trPr>
          <w:trHeight w:val="219"/>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3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w:t>
            </w:r>
          </w:p>
        </w:tc>
        <w:tc>
          <w:tcPr>
            <w:tcW w:w="60" w:type="dxa"/>
            <w:vAlign w:val="bottom"/>
            <w:shd w:val="clear" w:color="auto" w:fill="CCEEFF"/>
          </w:tcPr>
          <w:p>
            <w:pPr>
              <w:spacing w:after="0"/>
              <w:rPr>
                <w:sz w:val="19"/>
                <w:szCs w:val="19"/>
                <w:color w:val="auto"/>
              </w:rPr>
            </w:pPr>
          </w:p>
        </w:tc>
      </w:tr>
      <w:tr>
        <w:trPr>
          <w:trHeight w:val="196"/>
        </w:trPr>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116,814</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70,093</w:t>
            </w:r>
          </w:p>
        </w:tc>
        <w:tc>
          <w:tcPr>
            <w:tcW w:w="3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109,978</w:t>
            </w:r>
          </w:p>
        </w:tc>
        <w:tc>
          <w:tcPr>
            <w:tcW w:w="60" w:type="dxa"/>
            <w:vAlign w:val="bottom"/>
            <w:tcBorders>
              <w:bottom w:val="single" w:sz="8" w:color="CCEEFF"/>
            </w:tcBorders>
          </w:tcPr>
          <w:p>
            <w:pPr>
              <w:spacing w:after="0"/>
              <w:rPr>
                <w:sz w:val="17"/>
                <w:szCs w:val="17"/>
                <w:color w:val="auto"/>
              </w:rPr>
            </w:pPr>
          </w:p>
        </w:tc>
      </w:tr>
      <w:tr>
        <w:trPr>
          <w:trHeight w:val="196"/>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660,384</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430,878</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226,114</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operating lease cost is primarily related to communication tower leases.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that have terms of 12 months or less.</w:t>
      </w:r>
    </w:p>
    <w:p>
      <w:pPr>
        <w:spacing w:after="0" w:line="9" w:lineRule="exact"/>
        <w:rPr>
          <w:rFonts w:ascii="Times New Roman" w:cs="Times New Roman" w:eastAsia="Times New Roman" w:hAnsi="Times New Roman"/>
          <w:sz w:val="18"/>
          <w:szCs w:val="18"/>
          <w:color w:val="auto"/>
        </w:rPr>
      </w:pPr>
    </w:p>
    <w:p>
      <w:pPr>
        <w:jc w:val="both"/>
        <w:ind w:left="380" w:right="99" w:hanging="330"/>
        <w:spacing w:after="0" w:line="253"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finance lease cost for the year ended December 31, 2022 is primarily related to the QuetzSat-1 finance lease, which expired in November 2021, as well as the Anik F3 finance lease that was extended in April 2022 and as a result is currently accounted for as an operating lease. The increase in finance lease cost for the year ended December 31, 2023 is primarily related to equipment for our 5G Network Deployment.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gridSpan w:val="1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top w:val="single" w:sz="8" w:color="auto"/>
            </w:tcBorders>
            <w:gridSpan w:val="5"/>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gridSpan w:val="4"/>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367,438</w:t>
            </w:r>
          </w:p>
        </w:tc>
        <w:tc>
          <w:tcPr>
            <w:tcW w:w="70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186,372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70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11,060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53,467</w:t>
            </w:r>
          </w:p>
        </w:tc>
        <w:tc>
          <w:tcPr>
            <w:tcW w:w="70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42,740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753,935</w:t>
            </w:r>
          </w:p>
        </w:tc>
        <w:tc>
          <w:tcPr>
            <w:tcW w:w="70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1,402,357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1,489,637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53,771</w:t>
            </w:r>
          </w:p>
        </w:tc>
        <w:tc>
          <w:tcPr>
            <w:tcW w:w="70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66,312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assets (1)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3,065,448</w:t>
            </w:r>
          </w:p>
        </w:tc>
        <w:tc>
          <w:tcPr>
            <w:tcW w:w="70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2,823,834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5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317,395</w:t>
            </w:r>
          </w:p>
        </w:tc>
        <w:tc>
          <w:tcPr>
            <w:tcW w:w="70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3,121,307</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2,808,774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operating lease liabilities (1)</w:t>
            </w:r>
          </w:p>
        </w:tc>
        <w:tc>
          <w:tcPr>
            <w:tcW w:w="380" w:type="dxa"/>
            <w:vAlign w:val="bottom"/>
            <w:tcBorders>
              <w:bottom w:val="single" w:sz="8" w:color="CCEEFF"/>
            </w:tcBorders>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3,438,702</w:t>
            </w: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3,019,629</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833,933</w:t>
            </w:r>
          </w:p>
        </w:tc>
        <w:tc>
          <w:tcPr>
            <w:tcW w:w="700" w:type="dxa"/>
            <w:vAlign w:val="bottom"/>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gridSpan w:val="5"/>
          </w:tcPr>
          <w:p>
            <w:pPr>
              <w:jc w:val="right"/>
              <w:ind w:right="259"/>
              <w:spacing w:after="0"/>
              <w:rPr>
                <w:sz w:val="20"/>
                <w:szCs w:val="20"/>
                <w:color w:val="auto"/>
              </w:rPr>
            </w:pPr>
            <w:r>
              <w:rPr>
                <w:rFonts w:ascii="Times New Roman" w:cs="Times New Roman" w:eastAsia="Times New Roman" w:hAnsi="Times New Roman"/>
                <w:sz w:val="16"/>
                <w:szCs w:val="16"/>
                <w:color w:val="auto"/>
              </w:rPr>
              <w:t>(520,344)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(425,696)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313,589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346,724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56,459</w:t>
            </w:r>
          </w:p>
        </w:tc>
        <w:tc>
          <w:tcPr>
            <w:tcW w:w="700" w:type="dxa"/>
            <w:vAlign w:val="bottom"/>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67,199</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75,287</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123,658</w:t>
            </w:r>
          </w:p>
        </w:tc>
        <w:tc>
          <w:tcPr>
            <w:tcW w:w="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123,353</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Operating leases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 years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11.8 years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leases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years</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Operating leases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leases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25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2023, we revised certain terms with a vendor supplying communication towers. The revision in terms resulted in a lease modification, which was not accounted for as a separate contract. On the measurement date, we reassessed the terms of the original agreement, including but not limited to the timing of future cash flows, the remaining economic life of the underlying asset, the discount rate and the lease classification. This resulted in a reduction to both the operating lease asset and operating lease liability by approximately $227 million, which is included in “Operating lease assets,” and “Operating lease liabilities” on our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Maturities of Lease Liabilities</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4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4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4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448,503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66,073</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514,576</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485,783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521,175</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516,143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36,588</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552,731</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515,022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517,596</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471,980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471,980</w:t>
            </w:r>
          </w:p>
        </w:tc>
        <w:tc>
          <w:tcPr>
            <w:tcW w:w="40" w:type="dxa"/>
            <w:vAlign w:val="bottom"/>
            <w:shd w:val="clear" w:color="auto" w:fill="CCEEFF"/>
          </w:tcPr>
          <w:p>
            <w:pPr>
              <w:spacing w:after="0"/>
              <w:rPr>
                <w:sz w:val="17"/>
                <w:szCs w:val="17"/>
                <w:color w:val="auto"/>
              </w:rPr>
            </w:pPr>
          </w:p>
        </w:tc>
      </w:tr>
      <w:tr>
        <w:trPr>
          <w:trHeight w:val="20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3,170,778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3,170,778</w:t>
            </w:r>
          </w:p>
        </w:tc>
        <w:tc>
          <w:tcPr>
            <w:tcW w:w="40" w:type="dxa"/>
            <w:vAlign w:val="bottom"/>
          </w:tcPr>
          <w:p>
            <w:pPr>
              <w:spacing w:after="0"/>
              <w:rPr>
                <w:sz w:val="17"/>
                <w:szCs w:val="17"/>
                <w:color w:val="auto"/>
              </w:rPr>
            </w:pPr>
          </w:p>
        </w:tc>
      </w:tr>
      <w:tr>
        <w:trPr>
          <w:trHeight w:val="196"/>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5,608,209</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140,627</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5,748,836</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(2,169,507)</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(16,969)</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(2,186,476)</w:t>
            </w:r>
          </w:p>
        </w:tc>
      </w:tr>
      <w:tr>
        <w:trPr>
          <w:trHeight w:val="196"/>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3,438,702</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123,658</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3,562,360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(317,395)</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(56,459)</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(373,854)</w:t>
            </w:r>
          </w:p>
        </w:tc>
      </w:tr>
      <w:tr>
        <w:trPr>
          <w:trHeight w:val="196"/>
        </w:trPr>
        <w:tc>
          <w:tcPr>
            <w:tcW w:w="5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portion of lease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3,121,307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3,188,506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Lessor Accounting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our lease revenue by type of lease: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9"/>
                <w:szCs w:val="19"/>
                <w:color w:val="auto"/>
              </w:rPr>
            </w:pPr>
          </w:p>
        </w:tc>
      </w:tr>
      <w:tr>
        <w:trPr>
          <w:trHeight w:val="203"/>
        </w:trPr>
        <w:tc>
          <w:tcPr>
            <w:tcW w:w="44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revenue: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Sales-type lease revenue</w:t>
            </w:r>
          </w:p>
        </w:tc>
        <w:tc>
          <w:tcPr>
            <w:tcW w:w="82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13,431</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260" w:type="dxa"/>
            <w:vAlign w:val="bottom"/>
          </w:tcPr>
          <w:p>
            <w:pPr>
              <w:spacing w:after="0"/>
              <w:rPr>
                <w:sz w:val="17"/>
                <w:szCs w:val="17"/>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8,726</w:t>
            </w:r>
          </w:p>
        </w:tc>
      </w:tr>
      <w:tr>
        <w:trPr>
          <w:trHeight w:val="203"/>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revenue</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42,565</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44,350</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41,955</w:t>
            </w: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revenue</w:t>
            </w:r>
          </w:p>
        </w:tc>
        <w:tc>
          <w:tcPr>
            <w:tcW w:w="8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55,996</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53,127</w:t>
            </w:r>
          </w:p>
        </w:tc>
        <w:tc>
          <w:tcPr>
            <w:tcW w:w="260" w:type="dxa"/>
            <w:vAlign w:val="bottom"/>
          </w:tcPr>
          <w:p>
            <w:pPr>
              <w:spacing w:after="0"/>
              <w:rPr>
                <w:sz w:val="17"/>
                <w:szCs w:val="17"/>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50,681</w:t>
            </w:r>
          </w:p>
        </w:tc>
      </w:tr>
      <w:tr>
        <w:trPr>
          <w:trHeight w:val="20"/>
        </w:trPr>
        <w:tc>
          <w:tcPr>
            <w:tcW w:w="4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Substantially all of our net investment in sales-type leases consisted of lease receivables totaling $30 million and $22 million as of December 31, 2023 and 2022,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future operating lease payments to be received as of December 31,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200" w:type="dxa"/>
            <w:vAlign w:val="bottom"/>
          </w:tcPr>
          <w:p>
            <w:pPr>
              <w:spacing w:after="0"/>
              <w:rPr>
                <w:sz w:val="15"/>
                <w:szCs w:val="15"/>
                <w:color w:val="auto"/>
              </w:rPr>
            </w:pPr>
          </w:p>
        </w:tc>
        <w:tc>
          <w:tcPr>
            <w:tcW w:w="14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36,008</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r>
      <w:tr>
        <w:trPr>
          <w:trHeight w:val="216"/>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34,588</w:t>
            </w:r>
          </w:p>
        </w:tc>
      </w:tr>
      <w:tr>
        <w:trPr>
          <w:trHeight w:val="21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 to be received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170,417</w:t>
            </w:r>
          </w:p>
        </w:tc>
      </w:tr>
      <w:tr>
        <w:trPr>
          <w:trHeight w:val="20"/>
        </w:trPr>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Long-Term Debt and Finance Lease Obligations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Long-Term Debt</w:t>
      </w:r>
    </w:p>
    <w:p>
      <w:pPr>
        <w:spacing w:after="0" w:line="22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carrying amount and fair value of our debt facilities as of December 31, 2023 and 2022:</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9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tcPr>
          <w:p>
            <w:pPr>
              <w:jc w:val="right"/>
              <w:ind w:right="528"/>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 Senior Notes due 2023 (1)</w:t>
            </w:r>
          </w:p>
        </w:tc>
        <w:tc>
          <w:tcPr>
            <w:tcW w:w="6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1,443,179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1,441,635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3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3/8% Convertible Notes due 2024 (2)</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DISH</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951,168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944,034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3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7/8% Senior Notes due 2024 (3)</w:t>
            </w:r>
          </w:p>
        </w:tc>
        <w:tc>
          <w:tcPr>
            <w:tcW w:w="6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1,982,544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1,872,275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1,870,940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 Convertible Notes due 2025 (4)</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DISH</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1,957,197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1,228,141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3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3/4% Senior Notes due 2026</w:t>
            </w:r>
          </w:p>
        </w:tc>
        <w:tc>
          <w:tcPr>
            <w:tcW w:w="6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1,388,060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3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1/4% Senior Secured Notes due 2026</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HSSC</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665,678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727,763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3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5/8% Senior Notes due 2026</w:t>
            </w:r>
          </w:p>
        </w:tc>
        <w:tc>
          <w:tcPr>
            <w:tcW w:w="6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HSSC</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591,525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707,490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3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3/8% Convertible Notes due 2026 (5)</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DISH</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2,908,801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1,570,753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3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1/4% Senior Secured Notes due 2026</w:t>
            </w:r>
          </w:p>
        </w:tc>
        <w:tc>
          <w:tcPr>
            <w:tcW w:w="6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2,366,073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2,336,813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11 3/4% Senior Secured Notes due 2027 (6)</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DISH</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3,668,980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3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3/8% Senior Notes due 2028</w:t>
            </w:r>
          </w:p>
        </w:tc>
        <w:tc>
          <w:tcPr>
            <w:tcW w:w="6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600,160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708,320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3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3/4% Senior Secured Notes due 2028</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2,013,125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3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1/8% Senior Notes due 2029</w:t>
            </w:r>
          </w:p>
        </w:tc>
        <w:tc>
          <w:tcPr>
            <w:tcW w:w="6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DDBS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774,600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976,755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notes payable</w:t>
            </w:r>
          </w:p>
        </w:tc>
        <w:tc>
          <w:tcPr>
            <w:tcW w:w="5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160,158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160,158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188,509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188,509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Subtotal</w:t>
            </w:r>
          </w:p>
        </w:tc>
        <w:tc>
          <w:tcPr>
            <w:tcW w:w="5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22,709,868</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17,843,562</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22,881,688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18,752,159</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Unamortized deferred financing costs and other debt discounts, net</w:t>
            </w: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(69,606)</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(108,921)</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obligations (7)</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98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Total long-term debt and finance lease obligations (including</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22,763,920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22,896,120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9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current portion)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4" w:lineRule="exact"/>
        <w:rPr>
          <w:sz w:val="20"/>
          <w:szCs w:val="20"/>
          <w:color w:val="auto"/>
        </w:rPr>
      </w:pPr>
    </w:p>
    <w:p>
      <w:pPr>
        <w:ind w:left="380" w:right="359" w:hanging="330"/>
        <w:spacing w:after="0" w:line="261"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repurchased or redeemed the principal balance of our 5% Senior Notes due 2023 as of March 15, 2023, the instrument’s maturity date.</w:t>
      </w:r>
    </w:p>
    <w:p>
      <w:pPr>
        <w:ind w:left="380" w:right="7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repurchased approximately $49 million of our 2 3/8% Convertible Notes due 2024 in open market trades. The remaining balance of approximately $951 million matures on March 15, 2024 and is included in “Current portion of long-term debt and finance lease obligations” on our Consolidated Balance Sheets as of December 31, 2023.</w:t>
      </w:r>
    </w:p>
    <w:p>
      <w:pPr>
        <w:spacing w:after="0" w:line="10" w:lineRule="exact"/>
        <w:rPr>
          <w:rFonts w:ascii="Times New Roman" w:cs="Times New Roman" w:eastAsia="Times New Roman" w:hAnsi="Times New Roman"/>
          <w:sz w:val="18"/>
          <w:szCs w:val="18"/>
          <w:color w:val="auto"/>
        </w:rPr>
      </w:pPr>
    </w:p>
    <w:p>
      <w:pPr>
        <w:ind w:left="380" w:right="639" w:hanging="330"/>
        <w:spacing w:after="0" w:line="255"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repurchased approximately $17 million of our 5 7/8% Senior Notes due 2024 in open market trades. The remaining balance of approximately $1.983 billion matures on November 15, 2024 and is included in “Current portion of long-term debt and finance lease obligations” on our Consolidated Balance Sheets as of December 31, 2023.</w:t>
      </w:r>
    </w:p>
    <w:p>
      <w:pPr>
        <w:spacing w:after="0" w:line="2" w:lineRule="exact"/>
        <w:rPr>
          <w:rFonts w:ascii="Times New Roman" w:cs="Times New Roman" w:eastAsia="Times New Roman" w:hAnsi="Times New Roman"/>
          <w:sz w:val="18"/>
          <w:szCs w:val="18"/>
          <w:color w:val="auto"/>
        </w:rPr>
      </w:pPr>
    </w:p>
    <w:p>
      <w:pPr>
        <w:ind w:left="380" w:right="73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repurchased approximately $43 million of our 0% Convertible Notes due 2025 in open market trades. The remaining balance of approximately $1.957 billion matures on December 15, 2025.</w:t>
      </w:r>
    </w:p>
    <w:p>
      <w:pPr>
        <w:spacing w:after="0" w:line="1"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repurchased approximately $91 million of our 3 3/8% Convertible Notes due 2026 in open market trades. The remaining balance of approximately $2.909 billion matures on August 15, 2026.</w:t>
      </w:r>
    </w:p>
    <w:p>
      <w:pPr>
        <w:spacing w:after="0" w:line="1" w:lineRule="exact"/>
        <w:rPr>
          <w:rFonts w:ascii="Times New Roman" w:cs="Times New Roman" w:eastAsia="Times New Roman" w:hAnsi="Times New Roman"/>
          <w:sz w:val="18"/>
          <w:szCs w:val="18"/>
          <w:color w:val="auto"/>
        </w:rPr>
      </w:pPr>
    </w:p>
    <w:p>
      <w:pPr>
        <w:ind w:left="380" w:right="219" w:hanging="330"/>
        <w:spacing w:after="0" w:line="250"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2023, we issued an additional $1.5 billion aggregate principal amount of our 11 3/4% Senior Secured Notes due 2027.</w:t>
      </w:r>
    </w:p>
    <w:p>
      <w:pPr>
        <w:ind w:left="380" w:hanging="330"/>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regarding fair value of finance leases is not required.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DISH DBS Unsecured Senior Notes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Senior Notes are:</w:t>
      </w:r>
    </w:p>
    <w:p>
      <w:pPr>
        <w:spacing w:after="0" w:line="225" w:lineRule="exact"/>
        <w:rPr>
          <w:sz w:val="20"/>
          <w:szCs w:val="20"/>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unsecured senior obligations of DISH DBS Corporation (“DISH DBS”);</w:t>
      </w:r>
    </w:p>
    <w:p>
      <w:pPr>
        <w:spacing w:after="0" w:line="27"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DISH DBS’ and the guarantors’ existing and future unsecured senior debt; and</w:t>
      </w:r>
    </w:p>
    <w:p>
      <w:pPr>
        <w:ind w:left="720" w:right="119" w:hanging="319"/>
        <w:spacing w:after="0" w:line="260"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our and the guarantors’ current and future secured senior indebtedness up to the value of the collateral securing such indebtedness.</w:t>
      </w:r>
    </w:p>
    <w:p>
      <w:pPr>
        <w:spacing w:after="0" w:line="18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indentures related to our Senior Notes contain restrictive covenants that, among other things, impose limitations on the ability of DISH DBS and its restricted subsidiaries to:</w:t>
      </w:r>
    </w:p>
    <w:p>
      <w:pPr>
        <w:spacing w:after="0" w:line="162" w:lineRule="exact"/>
        <w:rPr>
          <w:sz w:val="20"/>
          <w:szCs w:val="20"/>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DISH DBS’ capital stock or repurchase DISH DBS’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0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7/8% Senior Notes due 2024</w:t>
      </w:r>
    </w:p>
    <w:p>
      <w:pPr>
        <w:spacing w:after="0" w:line="229" w:lineRule="exact"/>
        <w:rPr>
          <w:sz w:val="20"/>
          <w:szCs w:val="20"/>
          <w:color w:val="auto"/>
        </w:rPr>
      </w:pPr>
    </w:p>
    <w:p>
      <w:pPr>
        <w:jc w:val="both"/>
        <w:ind w:left="60" w:right="619"/>
        <w:spacing w:after="0" w:line="266" w:lineRule="auto"/>
        <w:rPr>
          <w:sz w:val="20"/>
          <w:szCs w:val="20"/>
          <w:color w:val="auto"/>
        </w:rPr>
      </w:pPr>
      <w:r>
        <w:rPr>
          <w:rFonts w:ascii="Times New Roman" w:cs="Times New Roman" w:eastAsia="Times New Roman" w:hAnsi="Times New Roman"/>
          <w:sz w:val="18"/>
          <w:szCs w:val="18"/>
          <w:color w:val="auto"/>
        </w:rPr>
        <w:t>On November 20, 2014, we issued $2.0 billion aggregate principal amount of our ten-year 5 7/8% Senior Notes due November 15, 2024. Interest accrues at an annual rate of 5 7/8% and is payable semi-annually in cash, in arrears on May 15 and November 15 of each year.</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5 7/8% Senior Notes due 2024 are redeemable, in whole or in part, at any time at a redemption price equal to 100% of the principal amount plus a “make-whole” premium, as defined in the related indenture, together with accrued and unpaid interest.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3/4% Senior Notes due 2026</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June 13, 2016, we issued $2.0 billion aggregate principal amount of our ten-year 7 3/4% Senior Notes due July 1, 2026. Interest accrues at an annual rate of 7 3/4% and is payable semi-annually in cash, in arrears on January 1 and July 1 of each year.</w:t>
      </w:r>
    </w:p>
    <w:p>
      <w:pPr>
        <w:spacing w:after="0" w:line="1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7 3/4% Senior Notes are redeemable, in whole or in part, at any time at a redemption price equal to 100% of the principal amount plus a “make-whole” premium, as defined in the related indenture, together with accrued and unpaid interest.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3/8% Senior Notes due 2028</w:t>
      </w:r>
    </w:p>
    <w:p>
      <w:pPr>
        <w:spacing w:after="0" w:line="229" w:lineRule="exact"/>
        <w:rPr>
          <w:sz w:val="20"/>
          <w:szCs w:val="20"/>
          <w:color w:val="auto"/>
        </w:rPr>
      </w:pPr>
    </w:p>
    <w:p>
      <w:pPr>
        <w:jc w:val="both"/>
        <w:ind w:left="60" w:right="259"/>
        <w:spacing w:after="0" w:line="312" w:lineRule="auto"/>
        <w:rPr>
          <w:sz w:val="20"/>
          <w:szCs w:val="20"/>
          <w:color w:val="auto"/>
        </w:rPr>
      </w:pPr>
      <w:r>
        <w:rPr>
          <w:rFonts w:ascii="Times New Roman" w:cs="Times New Roman" w:eastAsia="Times New Roman" w:hAnsi="Times New Roman"/>
          <w:sz w:val="17"/>
          <w:szCs w:val="17"/>
          <w:color w:val="auto"/>
        </w:rPr>
        <w:t>On July 1, 2020, we issued $1.0 billion aggregate principal amount of our 7 3/8% Senior Notes due July 1, 2028. Interest accrues at an annual rate of 7 3/8% and is payable semi-annually in cash, in arrears on January 1 and July 1 of each year.</w:t>
      </w:r>
    </w:p>
    <w:p>
      <w:pPr>
        <w:spacing w:after="0" w:line="140"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The 7 3/8% Senior Notes are redeemable, in whole or in part, at any time prior to July 1, 2023 at a redemption price equal to 100% of the principal amount plus a “make-whole” premium, as defined in the related indenture, together with accrued and unpaid interest. On or after July 1, 2023, we may redeem the Notes, in whole or in part, at any time at the redemption prices specified under the related indenture, together with accrued and unpaid interest.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Prior to July 1, 2023, we may also redeem up to 35% of the 7 3/8% Senior Notes at a specified premium with the net cash proceeds from certain equity offerings or capital contributions.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1/8% Senior Notes due 2029</w:t>
      </w:r>
    </w:p>
    <w:p>
      <w:pPr>
        <w:spacing w:after="0" w:line="229"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On May 24, 2021, we issued $1.5 billion aggregate principal amount of our 5 1/8% Senior Notes due June 1, 2029. Interest accrues at an annual rate of 5 1/8% and is payable semi-annually in cash, in arrears on June 1 and December 1 of each year.</w:t>
      </w:r>
    </w:p>
    <w:p>
      <w:pPr>
        <w:spacing w:after="0" w:line="14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5 1/8% Senior Notes are redeemable, in whole or in part, at any time at a redemption price equal to 100% of the principal amount plus a “make-whole” premium, as defined in the related indenture, together with accrued and unpaid interest. Prior to June 1, 2024, we may also redeem up to 35% of the 5 1/8% Senior Notes at a specified premium with the net cash proceeds from certain equity offerings or capital contributions.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HSSC Unsecured Senior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6 5/8% Unsecured Senior Notes due 2026</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July 27, 2016, our subsidiary Hughes Satellite Systems Corporation (“HSSC”) issued $750 million aggregate principal amount of 6 5/8% Senior Unsecured Notes due 2026 (the “2026 Senior Unsecured Notes”) at an issue price of 100.0%, pursuant to an indenture dated July 27, 2016 (together with the 2016 Secured Indenture, the “Indentures”). The 2026 Senior Unsecured Notes mature on August 1, 2026. Interest on the 2026 Senior Unsecured Notes accrues at an annual rate of 6 5/8% and is payable semi-annually in cash, in arrears, on February 1 and August 1 of each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Senior Notes due 2026 are:</w:t>
      </w:r>
    </w:p>
    <w:p>
      <w:pPr>
        <w:spacing w:after="0" w:line="225" w:lineRule="exact"/>
        <w:rPr>
          <w:sz w:val="20"/>
          <w:szCs w:val="20"/>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senior obligations of HSSC;</w:t>
      </w:r>
    </w:p>
    <w:p>
      <w:pPr>
        <w:spacing w:after="0" w:line="27"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with all existing and future unsubordinated indebtedness and effectively junior to any secured indebtedness up to the value of the assets securing such indebtedness;</w:t>
      </w:r>
    </w:p>
    <w:p>
      <w:pPr>
        <w:ind w:left="720" w:right="19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HSSC’s obligations that are secured to the extent of the value of the collateral securing such obligations;</w:t>
      </w:r>
    </w:p>
    <w:p>
      <w:pPr>
        <w:ind w:left="720" w:right="35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existing and future obligations of HSSC that are expressly subordinated to the 2026 Senior Unsecured Notes;</w:t>
      </w:r>
    </w:p>
    <w:p>
      <w:pPr>
        <w:ind w:left="720" w:right="23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any existing and future obligations of any of HSSC’s subsidiaries that do not guarantee the 2026 Senior Unsecured Notes; and</w:t>
      </w:r>
    </w:p>
    <w:p>
      <w:pPr>
        <w:ind w:left="720" w:right="379" w:hanging="319"/>
        <w:spacing w:after="0" w:line="253"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guaranteed, jointly and severally, on a general senior secured basis by certain of HSSC’s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 to certain exceptions, the Indentures contain restrictive covenants that, among other things, impose limitations 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HSSC’s ability and, in certain instances, the ability of certain of HSSC’s subsidiaries to:</w:t>
      </w:r>
    </w:p>
    <w:p>
      <w:pPr>
        <w:spacing w:after="0" w:line="207" w:lineRule="exact"/>
        <w:rPr>
          <w:sz w:val="20"/>
          <w:szCs w:val="20"/>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HSSC’s or their capital stock or repurchase HSSC’s or their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 and</w:t>
      </w:r>
    </w:p>
    <w:p>
      <w:pPr>
        <w:spacing w:after="0" w:line="9" w:lineRule="exact"/>
        <w:rPr>
          <w:rFonts w:ascii="Times New Roman" w:cs="Times New Roman" w:eastAsia="Times New Roman" w:hAnsi="Times New Roman"/>
          <w:sz w:val="18"/>
          <w:szCs w:val="18"/>
          <w:color w:val="auto"/>
        </w:rPr>
      </w:pPr>
    </w:p>
    <w:p>
      <w:pPr>
        <w:ind w:left="720" w:right="99" w:hanging="319"/>
        <w:spacing w:after="0" w:line="260"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its or their ability to pay dividends, make distributions, make other payments, or transfer assets.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left="60" w:right="179"/>
        <w:spacing w:after="0" w:line="257" w:lineRule="auto"/>
        <w:rPr>
          <w:sz w:val="20"/>
          <w:szCs w:val="20"/>
          <w:color w:val="auto"/>
        </w:rPr>
      </w:pPr>
      <w:r>
        <w:rPr>
          <w:rFonts w:ascii="Times New Roman" w:cs="Times New Roman" w:eastAsia="Times New Roman" w:hAnsi="Times New Roman"/>
          <w:sz w:val="18"/>
          <w:szCs w:val="18"/>
          <w:color w:val="auto"/>
        </w:rPr>
        <w:t>In the event of a Change of Control, as defined in the respective Indentures, HSSC would be required to make an offer to repurchase all or any part of a holder’s 2026 Senior Unsecured Notes at a purchase price equal to 101.0% of the aggregate principal amount thereof, together with accrued and unpaid interest to the date of repurchase.</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Indentures provide for customary events of default for each series of the 2026 Senior Unsecured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2026 Senior Unsecured Notes, the trustee or the holders of at least 25.0% in principal amount of the then outstanding 2026 Senior Unsecured Notes of such series may declare all the 2026 Senior Unsecured Notes of such series to be due and payable immediately, together with any accrued and unpaid interest.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 with DISH Network</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of the Merger, on December 31, 2023, at the Effective Time, the right of the holders of the Convertible Notes that were outstanding as of the completion of the Merger to convert each $1,000 principal amount of such Convertible Notes into shares of DISH Class A Common Stock was changed into a right to convert such principal amount of Convertible Notes into the number of shares of EchoStar Class A Common Stock that a holder of a number of shares of DISH Class A Common Stock equal to the applicable initial conversion rate (as defined in the applicable Indenture) would have been entitled to receive upon the completion of the Merger. Upon the completion of the Merger, each then-outstanding share of DISH Class A Common Stock was converted into the right to receive 0.350877 shares of EchoStar Common Stock, resulting in an adjusted initial conversion rate of 4.2677 for the 2 3/8% Convertible Notes due 2024, 8.5657 for the 0% Convertible Notes due 2025 and 5.3835 for the 3 3/8% Convertible Notes due 2026 for each $1,000 principal amount. All amounts below represent the adjusted conversion rate.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 3/8% Convertible Notes due 2024</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March 17, 2017, we issued $1.0 billion aggregate principal amount of the Convertible Notes due March 15, 2024 in a private placement. Interest accrues at an annual rate of 2 3/8% and is payable semi-annually in cash, in arrears on March 15 and September 15 of each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Convertible Notes due 2024 are:</w:t>
      </w:r>
    </w:p>
    <w:p>
      <w:pPr>
        <w:spacing w:after="0" w:line="225" w:lineRule="exact"/>
        <w:rPr>
          <w:sz w:val="20"/>
          <w:szCs w:val="20"/>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unsecured obligations;</w:t>
      </w:r>
    </w:p>
    <w:p>
      <w:pPr>
        <w:spacing w:after="0" w:line="27"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any future indebtedness that is expressly subordinated in right of payment to the Convertible Notes due 2024;</w:t>
      </w: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our existing and future unsecured senior indebtedness;</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structurally junior to all indebtedness and other liabilities of our subsidiaries;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guaranteed by our subsidiaries.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may not redeem the Convertible Notes due 2024 prior to the maturity date. If a “fundamental change” (as defined in the related indenture) occurs prior to the maturity date of the Convertible Notes due 2024, holders may require us to repurchase for cash all or part of their Convertible Notes due 2024 at a repurchase price equal to 100% of the principal amount of such Convertible Notes due 2024, plus accrued and unpaid interest to, but not including, the fundamental change repurchase date.</w:t>
      </w:r>
    </w:p>
    <w:p>
      <w:pPr>
        <w:spacing w:after="0" w:line="183"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indenture related to the Convertible Notes due 2024 does not contain any financial covenants and does not restrict us from paying dividends, issuing or repurchasing our other securities, issuing new debt (including secured debt) or repaying or repurchasing our debt.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Subject to the terms of the related indenture, the Convertible Notes due 2024 may be converted at an initial conversion rate of 4.268 shares of our Class A common stock per $1,000 principal amount of Convertible Notes due 2024 (equivalent to an initial conversion price of approximately $234.33 per share of our Class A common stock) (the “Initial Conversion Rate”), at any time on or after October 15, 2023 through the second scheduled trading day preceding the maturity date. Holders of the Convertible Notes due 2024 will also have the right to convert the Convertible Notes due 2024 at the Initial Conversion Rate prior to October 15, 2023,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0% Convertible Notes due 2025</w:t>
      </w:r>
    </w:p>
    <w:p>
      <w:pPr>
        <w:spacing w:after="0" w:line="229" w:lineRule="exact"/>
        <w:rPr>
          <w:sz w:val="20"/>
          <w:szCs w:val="20"/>
          <w:color w:val="auto"/>
        </w:rPr>
      </w:pPr>
    </w:p>
    <w:p>
      <w:pPr>
        <w:jc w:val="both"/>
        <w:ind w:left="60" w:right="439"/>
        <w:spacing w:after="0" w:line="266" w:lineRule="auto"/>
        <w:rPr>
          <w:sz w:val="20"/>
          <w:szCs w:val="20"/>
          <w:color w:val="auto"/>
        </w:rPr>
      </w:pPr>
      <w:r>
        <w:rPr>
          <w:rFonts w:ascii="Times New Roman" w:cs="Times New Roman" w:eastAsia="Times New Roman" w:hAnsi="Times New Roman"/>
          <w:sz w:val="18"/>
          <w:szCs w:val="18"/>
          <w:color w:val="auto"/>
        </w:rPr>
        <w:t>On December 21, 2020, we issued $2.0 billion aggregate principal amount of the Convertible Notes due December 15, 2025 in a private placement. These notes will not bear interest, and the principal amount of the Notes will not accrete. The Convertible Notes due 2025 are:</w:t>
      </w:r>
    </w:p>
    <w:p>
      <w:pPr>
        <w:spacing w:after="0" w:line="176" w:lineRule="exact"/>
        <w:rPr>
          <w:sz w:val="20"/>
          <w:szCs w:val="20"/>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unsecured obligations;</w:t>
      </w:r>
    </w:p>
    <w:p>
      <w:pPr>
        <w:spacing w:after="0" w:line="27"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our existing and future unsecured senior indebtedness;</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structurally junior to all indebtedness and other liabilities of our subsidiaries;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guaranteed by our subsidiaries.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83"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Subject to the terms of the related indenture, the Convertible Notes due 2025 may be converted at an initial conversion rate of 8.566 shares of our Class A common stock per $1,000 principal amount of the Convertible Notes due 2025 (equivalent to an initial conversion price of approximately $116.74 per share of our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 3/8% Convertible Notes due 2026</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August 8, 2016, we issued $3.0 billion aggregate principal amount of the Convertible Notes due August 15, 2026 in a private offering. Interest accrues at an annual rate of 3 3/8% and is payable semi-annually in cash, in arrears on February 15 and August 15 of each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Convertible Notes due 2026 are:</w:t>
      </w:r>
    </w:p>
    <w:p>
      <w:pPr>
        <w:spacing w:after="0" w:line="225" w:lineRule="exact"/>
        <w:rPr>
          <w:sz w:val="20"/>
          <w:szCs w:val="20"/>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unsecured obligations;</w:t>
      </w:r>
    </w:p>
    <w:p>
      <w:pPr>
        <w:spacing w:after="0" w:line="27"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our existing and future unsecured senior indebtedness;</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structurally junior to all indebtedness and other liabilities of our subsidiaries;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guaranteed by our subsidiaries.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83"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 Hedge and Warrant Transactions</w:t>
      </w:r>
    </w:p>
    <w:p>
      <w:pPr>
        <w:spacing w:after="0" w:line="225"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Merger with DISH Network</w:t>
      </w:r>
      <w:r>
        <w:rPr>
          <w:rFonts w:ascii="Times New Roman" w:cs="Times New Roman" w:eastAsia="Times New Roman" w:hAnsi="Times New Roman"/>
          <w:sz w:val="18"/>
          <w:szCs w:val="18"/>
          <w:color w:val="auto"/>
        </w:rPr>
        <w:t>. In connection with the completion of the Merger, on December 31, 2023, we and DISH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w:t>
      </w:r>
    </w:p>
    <w:p>
      <w:pPr>
        <w:spacing w:after="0" w:line="18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w:t>
      </w:r>
    </w:p>
    <w:p>
      <w:pPr>
        <w:spacing w:after="0" w:line="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16 million shares of EchoStar Class A Common Stock at price ranges of approximately $185.75 to $245.33 per share. 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Consolidated Balance Sheets as of December 31, 2016.</w:t>
      </w:r>
    </w:p>
    <w:p>
      <w:pPr>
        <w:spacing w:after="0" w:line="187"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DISH DBS Senior Secured Notes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DISH DBS Senior Secured Notes are:</w:t>
      </w:r>
    </w:p>
    <w:p>
      <w:pPr>
        <w:spacing w:after="0" w:line="225" w:lineRule="exact"/>
        <w:rPr>
          <w:sz w:val="20"/>
          <w:szCs w:val="20"/>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senior secured obligations of DISH DBS Corporation (“DISH DBS”);</w:t>
      </w:r>
    </w:p>
    <w:p>
      <w:pPr>
        <w:spacing w:after="0" w:line="27" w:lineRule="exact"/>
        <w:rPr>
          <w:rFonts w:ascii="Times New Roman" w:cs="Times New Roman" w:eastAsia="Times New Roman" w:hAnsi="Times New Roman"/>
          <w:sz w:val="18"/>
          <w:szCs w:val="18"/>
          <w:color w:val="auto"/>
        </w:rPr>
      </w:pPr>
    </w:p>
    <w:p>
      <w:pPr>
        <w:ind w:left="720" w:right="279" w:hanging="319"/>
        <w:spacing w:after="0" w:line="250"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security interests in substantially all existing and future tangible and intangible assets of DISH DBS and its principal operating subsidiaries on a first priority basis, subject to certain exceptions;</w:t>
      </w: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DISH DBS’ and the guarantors’ existing and future senior debt;</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and effectively senior to any of DISH DBS’ and the guarantors’ junior lien or unsecured debt to the extent of the value of the pledged collateral that secures the Senior Secured Notes; and</w:t>
      </w:r>
    </w:p>
    <w:p>
      <w:pPr>
        <w:ind w:left="720" w:right="99" w:hanging="319"/>
        <w:spacing w:after="0" w:line="260"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DISH DBS’ and the guarantors’ obligations that are secured by assets that are not part of the pledged collateral that secures the Senior Secured Notes, to the extent of the value of such assets.</w:t>
      </w:r>
    </w:p>
    <w:p>
      <w:pPr>
        <w:spacing w:after="0" w:line="181"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indenture related to our DISH DBS Senior Secured Notes contain restrictive covenants that, among other things, impose limitations on the ability of DISH DBS and its restricted subsidiaries to:</w:t>
      </w:r>
    </w:p>
    <w:p>
      <w:pPr>
        <w:spacing w:after="0" w:line="162" w:lineRule="exact"/>
        <w:rPr>
          <w:sz w:val="20"/>
          <w:szCs w:val="20"/>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DISH DBS’ capital stock or repurchase DISH DBS’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0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as defined in the related indenture, we would be required to make an offer to repurchase all or any part of a holder’s Senior Secured Notes at a purchase price equal to 101% of the aggregate principal amount thereof, together with accrued and unpaid interest thereon,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1/4% Senior Secured Notes due 2026</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 commencing on June 1, 2022.</w:t>
      </w:r>
    </w:p>
    <w:p>
      <w:pPr>
        <w:spacing w:after="0" w:line="1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5 1/4% Senior Secured Notes due 2026 are redeemable, in whole or in part, at any time prior to June 1, 2026 (the “2026 Par Call Date”) at a redemption price equal to 100% of the principal amount plus a “make-whole” premium, as defined in the related indenture, together with accrued and unpaid interest. At any time on or after the 2026 Par Call Date, we may redeem the 5 1/4% Senior Secured Notes due 2026, in whole at any time or in part from time to time, at a price equal to 100% of the principal amount thereof, plus accrued and unpaid interest, if any, to the redemption date. Prior to December 1, 2024, we may also redeem up to 35% of the 5 1/4% Senior Secured Notes due 2026 at a specified premium with the net cash proceeds from certain equity offerings or capital contributions. At any time and from time to time during the 36-month period following the issue date of the 5 1/4% Senior Secured Notes due 2026,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3/4% Senior Secured Notes due 2028</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 commencing on June 1, 2022.</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5 3/4% Senior Secured Notes due 2028 are redeemable, in whole or in part, at any time prior to December 1, 2027 (the “2028 Par Call Date”) at a redemption price equal to 100% of the principal amount plus a “make-whole” premium, as defined in the related indenture, together with accrued and unpaid interest. At any time on or after the 2028 Par Call Date, we may redeem the 5 3/4% Senior Secured Notes due 2028, in whole at any time or in part from time to time, at a price equal to 100% of the principal amount thereof, plus accrued and unpaid interest, if any, to the redemption date. Prior to December 1, 2024, we may also redeem up to 35% of the 5 3/4% Senior Secured Notes due 2028 at a specified premium with the net cash proceeds from certain equity offerings or capital contributions. At any time and from time to time during the 36-month period following the issue date of the 5 3/4% Senior Secured Notes due 2028,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Intercompany Loan</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net proceeds from the offering of our 5 1/4% Senior Secured Notes due 2026 and our 5 3/4% Senior Secured Notes due 2028 (the “Senior Notes”) issued on November 26, 2021 were used by DISH DBS to make an intercompany loan to DISH Network pursuant to a Loan and Security Agreement dated November 26, 2021 (together with potential future advances to DISH Network, the “Intercompany Loan”) between DISH DBS and DISH Network in order to finance the purchase of wireless spectrum licenses and for general corporate purposes, including our 5G Network Deployment. The Intercompany Loan will mature in two tranches, with the first tranche maturing on December 1, 2026 (the “2026 Tranche”) and the second tranche maturing on December 1, 2028 (the “2028 Tranche”). DISH DBS may make additional advances to DISH Network under the Intercompany Loan, and on February 11, 2022, DISH DBS advanced an additional $1.5 billion to DISH Network under the Intercompany Loan 2026 Tranche. Interest accrues and is payable semiannually, and interest payments with respect to the Intercompany Loan are, at our option, payable in kind for the first two years. In the third year, a minimum of 50% of each interest payment due with respect to each tranche of the Intercompany Loan must be paid in cash. Thereafter, interest payments must be paid in cash. Interest will accrue: (a) when paid in cash, at a fixed rate of 0.25% per annum in excess of the interest rate applicable to, in the case of the 2026 Tranche, the 5 1/4% Senior Secured Notes due 2026, and in the case of the 2028 Tranche, the 5 3/4% Senior Secured Notes due 2028 (each, the “Cash Accrual Rate” with respect to the applicable tranche); and (b) when paid in kind, at a rate of 0.75% per annum in excess of the Cash Accrual Rate for the applicable tranche. As of December 31, 2023, the total Intercompany Loan amount outstanding plus interest paid in kind was $7.496 billion.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2023, interest payments for the Intercompany Loan paid in cash totaled $105 million. In January 2024, the 2026 Tranche was assigned to EchoStar Intercompany Receivable Company L.L.C., our direct wholly-owned subsidiary, such that amounts owed in respect of the 2026 Tranche will now be paid by DISH Network to EchoStar Intercompany Receivable L.L.C. See Note 21 for further information.</w:t>
      </w:r>
    </w:p>
    <w:p>
      <w:pPr>
        <w:spacing w:after="0" w:line="180"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The cash proceeds of the Intercompany Loan of $6.750 billion were paid to the FCC in connection with Weminuche’s winning bids in Auction 110. As a result, the Intercompany Loan is secured by Weminuche’s interest in the wireless spectrum licenses acquired in Auction 110 with such cash proceeds up to the total loan amount outstanding including interest paid in kind.</w:t>
      </w:r>
    </w:p>
    <w:p>
      <w:pPr>
        <w:spacing w:after="0" w:line="18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remaining balance of our winning bids of approximately $455 million was paid from cash and marketable investment securities balances at that time, for a total of approximately $7.205 billion. Under certain circumstances, DISH Network wireless spectrum licenses (valued based upon a third-party valuation) may be substituted for the collateral. The Intercompany Loan is not included as collateral for the Senior Secured Notes, and the Senior Secured Notes are subordinated to DISH DBS’s existing and certain future unsecured notes with respect to certain realizations under the Intercompany Loan and any collateral pledged as security for the Intercompany Loan.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DISH Network Senior Secured Notes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DISH Network Senior Secured Notes are:</w:t>
      </w:r>
    </w:p>
    <w:p>
      <w:pPr>
        <w:spacing w:after="0" w:line="225" w:lineRule="exact"/>
        <w:rPr>
          <w:sz w:val="20"/>
          <w:szCs w:val="20"/>
          <w:color w:val="auto"/>
        </w:rPr>
      </w:pPr>
    </w:p>
    <w:p>
      <w:pPr>
        <w:ind w:left="720" w:right="579" w:hanging="319"/>
        <w:spacing w:after="0" w:line="261"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and guaranteed by certain restricted subsidiaries on a senior secured basis and certain other material subsidiaries;</w:t>
      </w:r>
    </w:p>
    <w:p>
      <w:pPr>
        <w:ind w:left="720" w:right="99" w:hanging="319"/>
        <w:spacing w:after="0" w:line="250"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on a first priority basis by security interests, in favor of the secured parties, in the collateral, which consists primarily of interests in wireless spectrum licenses within the 600 MHz band (“the Spectrum Collateral”) owned by one of the secured guarantors and any additional subsidiaries of ours that may be added as guarantors from time to time and equity interests in the Spectrum Collateral guarantor(s) and DISH DBS;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our and the guarantor’s existing and future senior indebtedness;</w:t>
      </w:r>
    </w:p>
    <w:p>
      <w:pPr>
        <w:spacing w:after="0" w:line="9"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any of our and the guarantors’ subordinated indebtedness and effectively senior to any of the Secured Guarantors unsecured indebtedness and indebtedness secured by junior liens on the collateral to the extent of the value of the collateral and effectively junior to all the existing and future obligations of any of our subsidiaries that are not Guarantors.</w:t>
      </w:r>
    </w:p>
    <w:p>
      <w:pPr>
        <w:spacing w:after="0" w:line="1" w:lineRule="exact"/>
        <w:rPr>
          <w:rFonts w:ascii="Times New Roman" w:cs="Times New Roman" w:eastAsia="Times New Roman" w:hAnsi="Times New Roman"/>
          <w:sz w:val="18"/>
          <w:szCs w:val="18"/>
          <w:color w:val="auto"/>
        </w:rPr>
      </w:pPr>
    </w:p>
    <w:p>
      <w:pPr>
        <w:ind w:left="720" w:right="119" w:hanging="319"/>
        <w:spacing w:after="0" w:line="260"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our obligations and the obligations of the guarantors that are secured by assets that do not constitute collateral to the extent of the value of such assets;</w:t>
      </w:r>
    </w:p>
    <w:p>
      <w:pPr>
        <w:spacing w:after="0" w:line="181"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indenture related to our DISH Network Senior Secured Notes contain restrictive covenants that, among other things, impose limitations on our ability and certain of our subsidiaries to:</w:t>
      </w:r>
    </w:p>
    <w:p>
      <w:pPr>
        <w:spacing w:after="0" w:line="162" w:lineRule="exact"/>
        <w:rPr>
          <w:sz w:val="20"/>
          <w:szCs w:val="20"/>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our capital stock or repurchase our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of Spectrum Collateral;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the event of a change of control, as defined in the related indenture, we would be required to make an offer to repurchase all or any part of a holder’s DISH Senior Secured Notes at a purchase price equal to 101% of the aggregate principal amount thereof, together with accrued and unpaid interest thereon, to the date of repurchase.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11 3/4% Senior Secured Notes due 2027</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On November 15, 2022 and January 26, 2023, we issued $2.0 billion and $1.5 billion, respectively, aggregate principal amount of our 11 3/4% Senior Secured Notes due November 15, 2027. Interest accrues at an annual rate of 11 3/4% and is payable semi-annually in cash, in arrears on May 15 and November 15 of each year, commencing on May 15, 2023.</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11 3/4% Senior Secured Notes due 2027 are redeemable, in whole or in part, at any time prior to May 15, 2025 at a redemption price equal to 100% of their principal amount plus a “make-whole” premium, as defined in the related indenture, together with accrued and unpaid interest. At any time on or after May 15, 2025, we may redeem the 11 3/4% Senior Secured Notes due 2027, in whole at any time or in part from time to time, at the redemption prices specified in the related indenture, together with accrued and unpaid interest, if any, to the redemption date.</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Prior to May 15, 2025, we may also redeem up to 40% of the 11 3/4% Senior Secured Notes due 2027 at a redemption price equal to 111.750% of the aggregate principal amount of the 11 3/4% Senior Secured Notes due 2027 redeemed, together with accrued and unpaid interest to such redemption date, with the net cash proceeds from certain equity offerings or capital contributions.</w:t>
      </w:r>
    </w:p>
    <w:p>
      <w:pPr>
        <w:spacing w:after="0" w:line="180"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Pursuant to the related indenture, we are required to obtain an initial appraisal of the Spectrum Collateral by an independent appraiser (the “Initial Appraisal”) within 120 days following the issue date of the 11 3/4% Senior Secured Notes due 2027. As of January 17, 2023, the Initial Appraisal certified we had satisfied the requirements under the loan-to-value ratio (as defined in the Indenture). Based on the independent appraisal, the loan-to-value ratio was not greater than</w:t>
      </w:r>
    </w:p>
    <w:p>
      <w:pPr>
        <w:spacing w:after="0" w:line="3"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0.35 to 1.00 and the fair market value of the Spectrum Collateral was $10.04 billion. We will also be required to obtain a second appraisal of the Spectrum Collateral (a “Second Appraisal”) within 120 days of the date if wireless spectrum licenses that form part of the Spectrum Collateral accounting for more than 10% of the aggregate MHz-POPs of all such licenses constituting the Spectrum Collateral are forfeited to the Federal Communications Commission as a result of our failure to meet its buildout milestones with respect to such forfeited licenses. If we fail to deliver the Initial Appraisal or a Second Appraisal, as applicable, within 120 days following the issue date of the 11 3/4% Senior Secured Notes due 2027 or the date of forfeiture, respectively, then we will be required to redeem all of the 11 3/4% Senior Secured Notes due 2027 at a redemption price equal to 102% of their principal amount, plus accrued and unpaid interest to, but excluding, the redemption date.</w:t>
      </w:r>
    </w:p>
    <w:p>
      <w:pPr>
        <w:spacing w:after="0" w:line="19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If the loan-to-value ratio with respect to the Spectrum Collateral as of the date of the Initial Appraisal or the Second Appraisal, as applicable, is greater than 0.35 to 1.00, then within 60 days following the date of the delivery of the Initial Appraisal, or within 90 days following the date of the delivery of the Second Appraisal, as applicable, we will be required to add additional Spectrum Collateral guarantors and/or pledge (or cause to be pledged) cash or interests in additional wireless spectrum licenses as Spectrum Collateral to comply with the required loan-to-value ratio of 0.35 to 1.00. If we fail to add such additional Spectrum Collateral and/or pledge (or cause to be pledged) cash or interests in additional wireless spectrum licenses, we will be required to redeem an amount of 11 3/4% Senior Secured Notes due 2027 such that immediately after giving effect to such redemption, the loan-to-value ratio shall not be greater than 0.35 to 1.00 at a redemption price equal to 102% of their principal amount, plus accrued and unpaid interest to, but excluding, the redemption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HSSC Secured Senior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1/4% Senior Secured Notes due 2026</w:t>
      </w:r>
    </w:p>
    <w:p>
      <w:pPr>
        <w:spacing w:after="0" w:line="229"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On July 27, 2016, our subsidiary Hughes Satellite Systems Corporation (“HSSC”) issued $750.0 million aggregate principal amount of 5 1/4% Senior Secured Notes due 2026 (the “2026 Senior Secured Notes”) at an issue price of 100.0%, pursuant to an indenture dated July 27, 2016 (the “2016 Secured Indenture”). The 2026 Senior Secured Notes mature on August 1, 2026. Interest on the 2026 Senior Secured Notes accrues at an annual rate of 5 1/4% and is payable semi-annually in cash, in arrears, on February 1 and August 1 of each year. Our Senior Notes due 2026 are:</w:t>
      </w:r>
    </w:p>
    <w:p>
      <w:pPr>
        <w:spacing w:after="0" w:line="206" w:lineRule="exact"/>
        <w:rPr>
          <w:sz w:val="20"/>
          <w:szCs w:val="20"/>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obligations of HSSC;</w:t>
      </w:r>
    </w:p>
    <w:p>
      <w:pPr>
        <w:spacing w:after="0" w:line="9" w:lineRule="exact"/>
        <w:rPr>
          <w:rFonts w:ascii="Times New Roman" w:cs="Times New Roman" w:eastAsia="Times New Roman" w:hAnsi="Times New Roman"/>
          <w:sz w:val="18"/>
          <w:szCs w:val="18"/>
          <w:color w:val="auto"/>
        </w:rPr>
      </w:pPr>
    </w:p>
    <w:p>
      <w:pPr>
        <w:ind w:left="720" w:right="339" w:hanging="319"/>
        <w:spacing w:after="0" w:line="250"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security interests in substantially all existing and future tangible and intangible assets of HSSC and certain of its subsidiaries on a first priority basis, subject to certain exceptions;</w:t>
      </w:r>
    </w:p>
    <w:p>
      <w:pPr>
        <w:ind w:left="720" w:right="299" w:hanging="319"/>
        <w:spacing w:after="0" w:line="250"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HSSC’s obligations that are secured by assets that are not part of the collateral that secures the 2026 Senior Secured Notes to the extent of the value of the collateral securing such obligations;</w:t>
      </w:r>
    </w:p>
    <w:p>
      <w:pPr>
        <w:ind w:left="720" w:right="219" w:hanging="319"/>
        <w:spacing w:after="0" w:line="250"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HSSC’s existing and future unsecured obligations to the extent of the value of the collateral securing the 2026 Senior Secured Notes, after giving effect to permitted liens as provided in the 2016 Secured Indenture;</w:t>
      </w:r>
    </w:p>
    <w:p>
      <w:pPr>
        <w:spacing w:after="0" w:line="1" w:lineRule="exact"/>
        <w:rPr>
          <w:rFonts w:ascii="Times New Roman" w:cs="Times New Roman" w:eastAsia="Times New Roman" w:hAnsi="Times New Roman"/>
          <w:sz w:val="18"/>
          <w:szCs w:val="18"/>
          <w:color w:val="auto"/>
        </w:rPr>
      </w:pPr>
    </w:p>
    <w:p>
      <w:pPr>
        <w:ind w:left="720" w:right="359" w:hanging="319"/>
        <w:spacing w:after="0" w:line="260"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existing and future obligations of HSSC that are expressly subordinated to the 2026 Senior Secured Notes;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720" w:right="239" w:hanging="319"/>
        <w:spacing w:after="0" w:line="261"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any existing and future obligations of any of HSSC’s subsidiaries that do not guarantee the 2026 Senior Secured Notes; and</w:t>
      </w:r>
    </w:p>
    <w:p>
      <w:pPr>
        <w:ind w:left="720" w:right="79" w:hanging="319"/>
        <w:spacing w:after="0" w:line="253"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guaranteed, jointly and severally, on a general senior secured basis by certain of our HSSC’s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 to certain exceptions, the Indentures contain restrictive covenants that, among other things, impose limitations 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HSSC’s ability and, in certain instances, the ability of certain of HSSC’s subsidiaries to:</w:t>
      </w:r>
    </w:p>
    <w:p>
      <w:pPr>
        <w:spacing w:after="0" w:line="207" w:lineRule="exact"/>
        <w:rPr>
          <w:sz w:val="20"/>
          <w:szCs w:val="20"/>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HSSC’s or their capital stock or repurchase HSSC’s or their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 and</w:t>
      </w:r>
    </w:p>
    <w:p>
      <w:pPr>
        <w:spacing w:after="0" w:line="9" w:lineRule="exact"/>
        <w:rPr>
          <w:rFonts w:ascii="Times New Roman" w:cs="Times New Roman" w:eastAsia="Times New Roman" w:hAnsi="Times New Roman"/>
          <w:sz w:val="18"/>
          <w:szCs w:val="18"/>
          <w:color w:val="auto"/>
        </w:rPr>
      </w:pPr>
    </w:p>
    <w:p>
      <w:pPr>
        <w:ind w:left="720" w:right="99" w:hanging="319"/>
        <w:spacing w:after="0" w:line="260"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its or their ability to pay dividends, make distributions, make other payments, or transfer assets.</w:t>
      </w:r>
    </w:p>
    <w:p>
      <w:pPr>
        <w:spacing w:after="0" w:line="181"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color w:val="auto"/>
        </w:rPr>
        <w:t>In the event of a Change of Control, as defined in the respective Indentures, HSSC would be required to make an offer to repurchase all or any part of a holder’s 2026 Senior Secured Notes at a purchase price equal to 101.0% of the aggregate principal amount thereof, together with accrued and unpaid interest to the date of repurchase.</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Indentures provide for customary events of default for each series of the 2026 Senior Secured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2026 Senior Secured Notes, the trustee or the holders of at least 25.0% in principal amount of the then outstanding 2026 Senior Secured Notes of such series may declare all the 2026 Senior Secured Notes of such series to be due and payable immediately, together with any accrued and unpaid interest.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on Long-Term Debt</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Semi-Annual</w:t>
            </w:r>
          </w:p>
        </w:tc>
        <w:tc>
          <w:tcPr>
            <w:tcW w:w="18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Debt Service</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18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2</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 Convertible Notes due 2024 (1)</w:t>
            </w: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DISH</w:t>
            </w:r>
          </w:p>
        </w:tc>
        <w:tc>
          <w:tcPr>
            <w:tcW w:w="2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15 and September 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7/8% Senior Notes due 2024 (2)</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DDBS</w:t>
            </w:r>
          </w:p>
        </w:tc>
        <w:tc>
          <w:tcPr>
            <w:tcW w:w="2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and November 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7</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 due 2026</w:t>
            </w:r>
          </w:p>
        </w:tc>
        <w:tc>
          <w:tcPr>
            <w:tcW w:w="10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DDBS</w:t>
            </w:r>
          </w:p>
        </w:tc>
        <w:tc>
          <w:tcPr>
            <w:tcW w:w="2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January 1 and July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 Senior Secured Notes due 2026</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HSSC</w:t>
            </w:r>
          </w:p>
        </w:tc>
        <w:tc>
          <w:tcPr>
            <w:tcW w:w="2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February 1 and August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6</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 Senior Notes due 2026</w:t>
            </w: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HSSC</w:t>
            </w:r>
          </w:p>
        </w:tc>
        <w:tc>
          <w:tcPr>
            <w:tcW w:w="2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February 1 and August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3</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 Convertible Notes due 2026</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DISH</w:t>
            </w:r>
          </w:p>
        </w:tc>
        <w:tc>
          <w:tcPr>
            <w:tcW w:w="2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and August 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Senior Secured Notes due 2026</w:t>
            </w:r>
          </w:p>
        </w:tc>
        <w:tc>
          <w:tcPr>
            <w:tcW w:w="10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DDBS</w:t>
            </w:r>
          </w:p>
        </w:tc>
        <w:tc>
          <w:tcPr>
            <w:tcW w:w="2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June 1 and December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 3/4% Senior Secured Notes due 2027</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DISH</w:t>
            </w:r>
          </w:p>
        </w:tc>
        <w:tc>
          <w:tcPr>
            <w:tcW w:w="2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and November 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7</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 Senior Notes due 2028</w:t>
            </w:r>
          </w:p>
        </w:tc>
        <w:tc>
          <w:tcPr>
            <w:tcW w:w="10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DDBS</w:t>
            </w:r>
          </w:p>
        </w:tc>
        <w:tc>
          <w:tcPr>
            <w:tcW w:w="2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January 1 and July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3/4% Senior Secured Notes due 2028</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DDBS</w:t>
            </w:r>
          </w:p>
        </w:tc>
        <w:tc>
          <w:tcPr>
            <w:tcW w:w="2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June 1 and December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 Senior Notes due 2029</w:t>
            </w:r>
          </w:p>
        </w:tc>
        <w:tc>
          <w:tcPr>
            <w:tcW w:w="10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DDBS</w:t>
            </w:r>
          </w:p>
        </w:tc>
        <w:tc>
          <w:tcPr>
            <w:tcW w:w="2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June 1 and December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19" w:hanging="330"/>
        <w:spacing w:after="0" w:line="257"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 3/8% Convertible Notes due 2024 mature on March 15, 2024 and have been reclassified to “Current portion of long-term debt and finance lease obligations” on our Consolidated Balance Sheets as of December 31, 2023. As of the year ended December 31, 2023, there is only one remaining interest payment due on March 15, 2024.</w:t>
      </w:r>
    </w:p>
    <w:p>
      <w:pPr>
        <w:spacing w:after="0" w:line="10" w:lineRule="exact"/>
        <w:rPr>
          <w:rFonts w:ascii="Times New Roman" w:cs="Times New Roman" w:eastAsia="Times New Roman" w:hAnsi="Times New Roman"/>
          <w:sz w:val="18"/>
          <w:szCs w:val="18"/>
          <w:color w:val="auto"/>
        </w:rPr>
      </w:pPr>
    </w:p>
    <w:p>
      <w:pPr>
        <w:ind w:left="380" w:right="299" w:hanging="330"/>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 7/8% Senior Notes due 2024 mature on November 15, 2024 and have been reclassified to “Current portion of long-term debt and finance lease obligations” on our Consolidated Balance Sheets as of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Materially all of our interest expense is being capitalized, including the interest expense associated with the amortization of the debt discounts on our Convertible Notes. See Note 2 for further information.</w:t>
      </w:r>
    </w:p>
    <w:p>
      <w:pPr>
        <w:spacing w:after="0" w:line="16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Our ability to meet our debt service requirements will depend on, among other factors, the successful execution of our business strategy, which is subject to uncertainties and contingencies beyond our control.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 and Finance Lease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long-term debt and finance lease obligations consisted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8"/>
        </w:trPr>
        <w:tc>
          <w:tcPr>
            <w:tcW w:w="64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128"/>
        </w:trPr>
        <w:tc>
          <w:tcPr>
            <w:tcW w:w="6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Satellites and other finance lease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123,353</w:t>
            </w:r>
          </w:p>
        </w:tc>
        <w:tc>
          <w:tcPr>
            <w:tcW w:w="40" w:type="dxa"/>
            <w:vAlign w:val="bottom"/>
            <w:shd w:val="clear" w:color="auto" w:fill="CCEEFF"/>
          </w:tcPr>
          <w:p>
            <w:pPr>
              <w:spacing w:after="0"/>
              <w:rPr>
                <w:sz w:val="18"/>
                <w:szCs w:val="18"/>
                <w:color w:val="auto"/>
              </w:rPr>
            </w:pPr>
          </w:p>
        </w:tc>
      </w:tr>
      <w:tr>
        <w:trPr>
          <w:trHeight w:val="198"/>
        </w:trPr>
        <w:tc>
          <w:tcPr>
            <w:tcW w:w="6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Notes payable related to satellite vendor financing and other debt payable in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installments through 2032 with interest rates ranging from approximately 0% to</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160,158</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188,509</w:t>
            </w:r>
          </w:p>
        </w:tc>
        <w:tc>
          <w:tcPr>
            <w:tcW w:w="40" w:type="dxa"/>
            <w:vAlign w:val="bottom"/>
            <w:tcBorders>
              <w:bottom w:val="single" w:sz="8" w:color="CCEEFF"/>
            </w:tcBorders>
          </w:tcPr>
          <w:p>
            <w:pPr>
              <w:spacing w:after="0"/>
              <w:rPr>
                <w:sz w:val="20"/>
                <w:szCs w:val="20"/>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311,862</w:t>
            </w: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(112,942)</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(109,380)</w:t>
            </w:r>
          </w:p>
        </w:tc>
      </w:tr>
      <w:tr>
        <w:trPr>
          <w:trHeight w:val="209"/>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debt and finance lease obligations, net of current portion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Finance Lease Obligations</w:t>
      </w:r>
    </w:p>
    <w:p>
      <w:pPr>
        <w:spacing w:after="0" w:line="22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Anik F3. </w:t>
      </w:r>
      <w:r>
        <w:rPr>
          <w:rFonts w:ascii="Times New Roman" w:cs="Times New Roman" w:eastAsia="Times New Roman" w:hAnsi="Times New Roman"/>
          <w:sz w:val="18"/>
          <w:szCs w:val="18"/>
          <w:color w:val="auto"/>
        </w:rPr>
        <w:t>Anik F3, an FSS satellite, was launched and commenced commercial operation in April 2007. This satellite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accounted for as a finance lease and depreciated over the term of the satellite service agreement. We leased 100% of the Ku-band capacity on Anik F3 for an initial period of 15 years. During April 2022, we extended the Anik F3 lease and as a result it is currently accounted for as an operating lease.</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i w:val="1"/>
          <w:iCs w:val="1"/>
          <w:color w:val="auto"/>
        </w:rPr>
        <w:t>Nimiq 5</w:t>
      </w:r>
      <w:r>
        <w:rPr>
          <w:rFonts w:ascii="Times New Roman" w:cs="Times New Roman" w:eastAsia="Times New Roman" w:hAnsi="Times New Roman"/>
          <w:sz w:val="18"/>
          <w:szCs w:val="18"/>
          <w:color w:val="auto"/>
        </w:rPr>
        <w:t>. On May 19, 2019, we entered into a Master Transaction Agreement pursuant to which, on September 10,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satellite service agreement for Nimiq 5 was transferred to us. Nimiq 5 was launched in September 2009 and commenced commercial operation at the 72.7 degree west longitude orbital location during October 2009. This satellite is accounted for as a finance lease and depreciated over the term of the satellite service agreement. We lease 100% of the capacity on Nimiq 5, and this lease expires in September 2024.</w:t>
      </w:r>
    </w:p>
    <w:p>
      <w:pPr>
        <w:spacing w:after="0" w:line="183"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i w:val="1"/>
          <w:iCs w:val="1"/>
          <w:color w:val="auto"/>
        </w:rPr>
        <w:t>Ciel II</w:t>
      </w:r>
      <w:r>
        <w:rPr>
          <w:rFonts w:ascii="Times New Roman" w:cs="Times New Roman" w:eastAsia="Times New Roman" w:hAnsi="Times New Roman"/>
          <w:sz w:val="18"/>
          <w:szCs w:val="18"/>
          <w:color w:val="auto"/>
        </w:rPr>
        <w:t>. Ciel II, a Canadian DBS satellite, was launched in December 2008 and commenced commercial operation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2009. This satellite was previously accounted for as a finance lease and depreciated over the term of the satellite service agreement, however, as a result of an amendment, which was effective during the first quarter 2019, Ciel II is now accounted for as an operating lease. We lease 100% of the capacity on Ciel II. The initial ten-year term expired in January 2019 and as a result of an amendment, we renewed this lease through July 2023. As of July 2023, we no longer lease the Ciel II satellite.</w:t>
      </w:r>
    </w:p>
    <w:p>
      <w:pPr>
        <w:spacing w:after="0" w:line="182"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Dell Finance Lease. </w:t>
      </w:r>
      <w:r>
        <w:rPr>
          <w:rFonts w:ascii="Times New Roman" w:cs="Times New Roman" w:eastAsia="Times New Roman" w:hAnsi="Times New Roman"/>
          <w:sz w:val="18"/>
          <w:szCs w:val="18"/>
          <w:color w:val="auto"/>
        </w:rPr>
        <w:t>On July 17, 2020, we entered into a master agreement with Dell to lease certain components of our 5G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Deployment infrastructure, including certain equipment.</w:t>
      </w:r>
    </w:p>
    <w:p>
      <w:pPr>
        <w:spacing w:after="0" w:line="160"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The summary of future maturities of our outstanding long-term debt as of December 31, 2023 is included in the commitments table in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Taxes and Accounting for Uncertainty in Income Taxes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17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file consolidated tax returns in the United States. The income taxes of domestic and foreign subsidiaries not included in the United States tax group are presented in our consolidated financial statements on a separate return basis for each tax paying entity.</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As of December 31, 2023, we had $267 million net operating loss carryforwards (“NOLs”) for federal income tax purposes, $292 million of NOL carryforwards for state income tax purposes and $219 million of foreign NOL carryfowards which are partially offset by a valuation allowance. In addition, there are $287 million of tax benefits related to credit carryforwards which are partially offset by a valuation allowance. Portions of the state NOL and credit carryforwards expired in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the (benefit from) provision for income taxes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80" w:type="dxa"/>
            <w:vAlign w:val="bottom"/>
            <w:tcBorders>
              <w:bottom w:val="single" w:sz="8" w:color="auto"/>
            </w:tcBorders>
          </w:tcPr>
          <w:p>
            <w:pPr>
              <w:spacing w:after="0"/>
              <w:rPr>
                <w:sz w:val="19"/>
                <w:szCs w:val="19"/>
                <w:color w:val="auto"/>
              </w:rPr>
            </w:pPr>
          </w:p>
        </w:tc>
      </w:tr>
      <w:tr>
        <w:trPr>
          <w:trHeight w:val="203"/>
        </w:trPr>
        <w:tc>
          <w:tcPr>
            <w:tcW w:w="4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(benefit) provision: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(7,484)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(1,283)</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135,759</w:t>
            </w: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70,707</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47,115</w:t>
            </w: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(601)</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w:t>
            </w:r>
          </w:p>
        </w:tc>
      </w:tr>
      <w:tr>
        <w:trPr>
          <w:trHeight w:val="19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(benefit) provision</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40,362</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68,823</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188,729</w:t>
            </w:r>
          </w:p>
        </w:tc>
      </w:tr>
      <w:tr>
        <w:trPr>
          <w:trHeight w:val="196"/>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(benefit) provision: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(308,917)</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638,077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538,979</w:t>
            </w: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(150,108)</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87,319</w:t>
            </w: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(45,006)</w:t>
            </w:r>
          </w:p>
        </w:tc>
        <w:tc>
          <w:tcPr>
            <w:tcW w:w="16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(20,965)</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(34,809)</w:t>
            </w: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valuation allowance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166,809</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18,720</w:t>
            </w:r>
          </w:p>
        </w:tc>
        <w:tc>
          <w:tcPr>
            <w:tcW w:w="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48,219</w:t>
            </w:r>
          </w:p>
        </w:tc>
      </w:tr>
      <w:tr>
        <w:trPr>
          <w:trHeight w:val="19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(benefit) provision</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(337,222)</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729,587</w:t>
            </w:r>
          </w:p>
        </w:tc>
        <w:tc>
          <w:tcPr>
            <w:tcW w:w="2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639,708</w:t>
            </w:r>
          </w:p>
        </w:tc>
      </w:tr>
      <w:tr>
        <w:trPr>
          <w:trHeight w:val="19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(benefit) provision</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(296,860)</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798,410</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828,437</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Our $1.932 billion loss of “Income (loss) before income taxes” on our Consolidated Statements of Operations and Comprehensive Income (Loss) included a loss of $172 million related to our foreign operations.</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following table shows the principal reasons for the difference between the effective income tax rate and the statutory federal tax rate: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308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2"/>
        </w:trPr>
        <w:tc>
          <w:tcPr>
            <w:tcW w:w="58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7"/>
                <w:szCs w:val="17"/>
                <w:color w:val="auto"/>
              </w:rPr>
            </w:pPr>
          </w:p>
        </w:tc>
      </w:tr>
      <w:tr>
        <w:trPr>
          <w:trHeight w:val="183"/>
        </w:trPr>
        <w:tc>
          <w:tcPr>
            <w:tcW w:w="5820" w:type="dxa"/>
            <w:vAlign w:val="bottom"/>
          </w:tcPr>
          <w:p>
            <w:pPr>
              <w:spacing w:after="0"/>
              <w:rPr>
                <w:sz w:val="15"/>
                <w:szCs w:val="15"/>
                <w:color w:val="auto"/>
              </w:rPr>
            </w:pPr>
          </w:p>
        </w:tc>
        <w:tc>
          <w:tcPr>
            <w:tcW w:w="2160" w:type="dxa"/>
            <w:vAlign w:val="bottom"/>
            <w:gridSpan w:val="4"/>
          </w:tcPr>
          <w:p>
            <w:pPr>
              <w:ind w:left="660"/>
              <w:spacing w:after="0" w:line="183" w:lineRule="exact"/>
              <w:rPr>
                <w:sz w:val="20"/>
                <w:szCs w:val="20"/>
                <w:color w:val="auto"/>
              </w:rPr>
            </w:pPr>
            <w:r>
              <w:rPr>
                <w:rFonts w:ascii="Times New Roman" w:cs="Times New Roman" w:eastAsia="Times New Roman" w:hAnsi="Times New Roman"/>
                <w:sz w:val="16"/>
                <w:szCs w:val="16"/>
                <w:color w:val="auto"/>
                <w:w w:val="86"/>
              </w:rPr>
              <w:t>% of pre-tax income/(loss)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rate</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40" w:type="dxa"/>
            <w:vAlign w:val="bottom"/>
            <w:shd w:val="clear" w:color="auto" w:fill="CCEEFF"/>
          </w:tcPr>
          <w:p>
            <w:pPr>
              <w:spacing w:after="0"/>
              <w:rPr>
                <w:sz w:val="17"/>
                <w:szCs w:val="17"/>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benefit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7"/>
                <w:szCs w:val="17"/>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Rates different than statutory</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valuation allowance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r>
      <w:tr>
        <w:trPr>
          <w:trHeight w:val="20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17"/>
                <w:szCs w:val="17"/>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shd w:val="clear" w:color="auto" w:fill="CCEEFF"/>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(benefit) provision for income taxes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4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Deferred taxes arise because of the differences in the book and tax bases of certain assets and liabilities. Significant components of deferred tax assets and liabilities were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3"/>
        </w:trPr>
        <w:tc>
          <w:tcPr>
            <w:tcW w:w="22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22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NOL, interest, credit and other carryforwards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1,322,706</w:t>
            </w:r>
          </w:p>
        </w:tc>
        <w:tc>
          <w:tcPr>
            <w:tcW w:w="280" w:type="dxa"/>
            <w:vAlign w:val="bottom"/>
          </w:tcPr>
          <w:p>
            <w:pPr>
              <w:spacing w:after="0"/>
              <w:rPr>
                <w:sz w:val="17"/>
                <w:szCs w:val="17"/>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prepaid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966,445</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759,981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(gains) losses on available for sale and other investments (1)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222,769</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on convertible notes and convertible note hedge transaction,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46,636</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10,748</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2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r>
      <w:tr>
        <w:trPr>
          <w:trHeight w:val="19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2,608,787</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1,537,528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(492,340)</w:t>
            </w:r>
          </w:p>
        </w:tc>
        <w:tc>
          <w:tcPr>
            <w:tcW w:w="4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(306,703)</w:t>
            </w:r>
          </w:p>
        </w:tc>
        <w:tc>
          <w:tcPr>
            <w:tcW w:w="40" w:type="dxa"/>
            <w:vAlign w:val="bottom"/>
          </w:tcPr>
          <w:p>
            <w:pPr>
              <w:spacing w:after="0"/>
              <w:rPr>
                <w:sz w:val="17"/>
                <w:szCs w:val="17"/>
                <w:color w:val="auto"/>
              </w:rPr>
            </w:pPr>
          </w:p>
        </w:tc>
      </w:tr>
      <w:tr>
        <w:trPr>
          <w:trHeight w:val="196"/>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 after valuation allowance</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2,116,447</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1,230,825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(1,961,227)</w:t>
            </w:r>
          </w:p>
        </w:tc>
        <w:tc>
          <w:tcPr>
            <w:tcW w:w="4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(1,784,018)</w:t>
            </w:r>
          </w:p>
        </w:tc>
        <w:tc>
          <w:tcPr>
            <w:tcW w:w="40" w:type="dxa"/>
            <w:vAlign w:val="bottom"/>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(gains) losses on available for sale and other investments (1)</w:t>
            </w: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(241,297)</w:t>
            </w:r>
          </w:p>
        </w:tc>
        <w:tc>
          <w:tcPr>
            <w:tcW w:w="4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Regulatory authorizations and other intangible amortization</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(3,960,608)</w:t>
            </w:r>
          </w:p>
        </w:tc>
        <w:tc>
          <w:tcPr>
            <w:tcW w:w="4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(3,491,625)</w:t>
            </w:r>
          </w:p>
        </w:tc>
        <w:tc>
          <w:tcPr>
            <w:tcW w:w="40" w:type="dxa"/>
            <w:vAlign w:val="bottom"/>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Bases differences in partnerships and cost method investments (2)</w:t>
            </w: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(1,179,418)</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(1,041,790)</w:t>
            </w:r>
          </w:p>
        </w:tc>
        <w:tc>
          <w:tcPr>
            <w:tcW w:w="4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(21,227)</w:t>
            </w:r>
          </w:p>
        </w:tc>
        <w:tc>
          <w:tcPr>
            <w:tcW w:w="4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(18,840)</w:t>
            </w:r>
          </w:p>
        </w:tc>
        <w:tc>
          <w:tcPr>
            <w:tcW w:w="40" w:type="dxa"/>
            <w:vAlign w:val="bottom"/>
          </w:tcPr>
          <w:p>
            <w:pPr>
              <w:spacing w:after="0"/>
              <w:rPr>
                <w:sz w:val="17"/>
                <w:szCs w:val="17"/>
                <w:color w:val="auto"/>
              </w:rPr>
            </w:pPr>
          </w:p>
        </w:tc>
      </w:tr>
      <w:tr>
        <w:trPr>
          <w:trHeight w:val="196"/>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(7,122,480)</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(6,577,570)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19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tax asset (liability) (3)</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(5,006,033)</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(5,346,745)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76" w:lineRule="exact"/>
        <w:rPr>
          <w:sz w:val="20"/>
          <w:szCs w:val="20"/>
          <w:color w:val="auto"/>
        </w:rPr>
      </w:pPr>
    </w:p>
    <w:p>
      <w:pPr>
        <w:ind w:left="380" w:right="179" w:hanging="330"/>
        <w:spacing w:after="0" w:line="276" w:lineRule="auto"/>
        <w:tabs>
          <w:tab w:leader="none" w:pos="3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this line item are deferred taxes related to, among other things, changes in the probability weighted fair value of our option to purchase certain of T-Mobile’s 800 MHz spectrum licenses. See Note 6 for further information.</w:t>
      </w:r>
    </w:p>
    <w:p>
      <w:pPr>
        <w:ind w:left="380" w:right="79" w:hanging="330"/>
        <w:spacing w:after="0" w:line="250"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this line item are deferred taxes related to, among other things, our noncontrolling investments in Northstar Spectrum and SNR HoldCo, including deferred taxes created by the tax amortization of the Northstar Licenses and SNR Licenses. See Note 2 for further information.</w:t>
      </w:r>
    </w:p>
    <w:p>
      <w:pPr>
        <w:spacing w:after="0" w:line="1" w:lineRule="exact"/>
        <w:rPr>
          <w:rFonts w:ascii="Times New Roman" w:cs="Times New Roman" w:eastAsia="Times New Roman" w:hAnsi="Times New Roman"/>
          <w:sz w:val="18"/>
          <w:szCs w:val="18"/>
          <w:color w:val="auto"/>
        </w:rPr>
      </w:pPr>
    </w:p>
    <w:p>
      <w:pPr>
        <w:ind w:left="380" w:right="179" w:hanging="330"/>
        <w:spacing w:after="0" w:line="253"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presentation of net deferred tax liability </w:t>
      </w:r>
      <w:r>
        <w:rPr>
          <w:rFonts w:ascii="Times New Roman" w:cs="Times New Roman" w:eastAsia="Times New Roman" w:hAnsi="Times New Roman"/>
          <w:sz w:val="18"/>
          <w:szCs w:val="18"/>
          <w:color w:val="222222"/>
        </w:rPr>
        <w:t>includes both deferred tax liabilities and deferred tax assets.</w:t>
      </w:r>
      <w:r>
        <w:rPr>
          <w:rFonts w:ascii="Times New Roman" w:cs="Times New Roman" w:eastAsia="Times New Roman" w:hAnsi="Times New Roman"/>
          <w:sz w:val="18"/>
          <w:szCs w:val="18"/>
          <w:color w:val="auto"/>
        </w:rPr>
        <w:t xml:space="preserve"> Certain foreign deferred tax assets are presented as part of “Other noncurrent assets, net” on our Consolidated Balance Sheets and our deferred tax liabilities related to all other jurisdictions are reported separately as “Deferred tax liabilities, net” on our Consolidated Balance Sheets.</w:t>
      </w:r>
    </w:p>
    <w:p>
      <w:pPr>
        <w:spacing w:after="0" w:line="18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of December 31, 2023,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addition to filing federal income tax returns, we and one or more of our subsidiaries file income tax returns in all states that impose an income tax. We are subject to United States federal, state and local income tax examinations by tax authorities for the years as early as tax year 2008. We are currently under a federal income tax examination for years 2008 through 2011, 2013 through 2016, and 2018 through 2019. We also file income tax returns in the United Kingdom, Germany, Brazil, India and a number of other foreign jurisdictions. We generally are open to income tax examination in these foreign jurisdictions for taxable years beginning in 2004.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included in “Long-term deferred revenue and other long-term liabilities” on our Consolidated Balance Sheets was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r>
      <w:tr>
        <w:trPr>
          <w:trHeight w:val="203"/>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Unrecognized tax benefit</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(In thousands)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beginning of period</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569,601</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539,113</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528,527</w:t>
            </w:r>
          </w:p>
        </w:tc>
        <w:tc>
          <w:tcPr>
            <w:tcW w:w="4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4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prior years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4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Reductions based on tax positions related to prior years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4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Reductions based on tax positions related to settlements with taxing authorities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Reductions based on tax positions related to the lapse of the statute of limitations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40" w:type="dxa"/>
            <w:vAlign w:val="bottom"/>
            <w:tcBorders>
              <w:bottom w:val="single" w:sz="8" w:color="CCEEFF"/>
            </w:tcBorders>
          </w:tcPr>
          <w:p>
            <w:pPr>
              <w:spacing w:after="0"/>
              <w:rPr>
                <w:sz w:val="17"/>
                <w:szCs w:val="17"/>
                <w:color w:val="auto"/>
              </w:rPr>
            </w:pPr>
          </w:p>
        </w:tc>
      </w:tr>
      <w:tr>
        <w:trPr>
          <w:trHeight w:val="196"/>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609,543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569,601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539,113</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$539 million in unrecognized tax benefits that, if recognized, could favorably affect our effective tax rate. We do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expect any material portion of this amount to be paid or settled within the next 12 months. Accrued interest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penalties on uncertain tax positions are recorded as a component of “Interest expense, net of amounts capitalized”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net,” respectively, on our Consolidated Statements of Operations and Comprehensive Income (Loss). During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years ended December 31, 2023, 2022 and 2021, we recorded $39 million, $22 million and $16 million in net interest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penalty expense to earnings, respectively. Accrued interest and penalties were $165 million and $126 million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respectively. The above table excludes these amounts.</w:t>
      </w:r>
    </w:p>
    <w:p>
      <w:pPr>
        <w:spacing w:after="0" w:line="216"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 (Deficit)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 with DISH Network</w:t>
      </w:r>
    </w:p>
    <w:p>
      <w:pPr>
        <w:spacing w:after="0" w:line="229" w:lineRule="exact"/>
        <w:rPr>
          <w:sz w:val="20"/>
          <w:szCs w:val="20"/>
          <w:color w:val="auto"/>
        </w:rPr>
      </w:pPr>
    </w:p>
    <w:p>
      <w:pPr>
        <w:ind w:left="60" w:right="399"/>
        <w:spacing w:after="0" w:line="272" w:lineRule="auto"/>
        <w:rPr>
          <w:sz w:val="20"/>
          <w:szCs w:val="20"/>
          <w:color w:val="auto"/>
        </w:rPr>
      </w:pPr>
      <w:r>
        <w:rPr>
          <w:rFonts w:ascii="Times New Roman" w:cs="Times New Roman" w:eastAsia="Times New Roman" w:hAnsi="Times New Roman"/>
          <w:sz w:val="17"/>
          <w:szCs w:val="17"/>
          <w:color w:val="auto"/>
        </w:rPr>
        <w:t>At the Effective Time of the Merger, (1) each share of DISH Network Class A Common Stock issued and outstanding immediately prior to the Effective Time, other than shares held directly by DISH Network as treasury shares or held by EchoStar or Merger Sub, was converted automatically into 0.350877 shares of EchoStar Class A Common Stock, and</w:t>
      </w:r>
    </w:p>
    <w:p>
      <w:pPr>
        <w:spacing w:after="0" w:line="2" w:lineRule="exact"/>
        <w:rPr>
          <w:sz w:val="20"/>
          <w:szCs w:val="20"/>
          <w:color w:val="auto"/>
        </w:rPr>
      </w:pPr>
    </w:p>
    <w:p>
      <w:pPr>
        <w:ind w:left="60" w:right="59" w:hanging="10"/>
        <w:spacing w:after="0" w:line="251" w:lineRule="auto"/>
        <w:tabs>
          <w:tab w:leader="none" w:pos="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DISH Network Class B Common Stock issued and outstanding immediately prior to the Effective Time, other than shares held directly by DISH Network as treasury shares or held by EchoStar or Merger Sub, was converted automatically into 0.350877 shares of EchoStar Class B Common Stock, resulting in the issuance of 104 million shares of EchoStar Class A Common Stock, which includes 23 million shares of treasury stock that were reissued, and 84 million shares of EchoStar Class B Common Stock. At the Effective Time, each share of EchoStar Class A Common Stock outstanding and each share of EchoStar Class B Common Stock issued and outstanding immediately prior to the Effective Time, remained an outstanding share of EchoStar Class A Common Stock and an issued and outstanding share of EchoStar Class B Common Stock, respectively, and was not affected by the Merger. At the Effective Time, each share of EchoStar Class A Common Stock held directly by EchoStar as treasury shares immediately prior to the Effective Time, were reissued as part of the Merger.</w:t>
      </w:r>
    </w:p>
    <w:p>
      <w:pPr>
        <w:spacing w:after="0" w:line="193"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Our certificate of incorporation authorizes the following capital stock: (i) 1,600,000,000 shares of Class A common stock, par value $0.001 per share; (ii) 800,000,000 shares of Class B common stock, par value $0.001 per share; (iii) 800,000,000 shares of Class C common stock, par value $0.001 per share; (iv) 800,000,000 shares of Class D common stock, par value $0.001 per share; and (v) 20,000,000 shares of preferred stock, par value $0.001 per share. As of December 31, 2023 and 2022, there were no outstanding shares of Class C common stock, Class D common stock or preferred stock.</w:t>
      </w:r>
    </w:p>
    <w:p>
      <w:pPr>
        <w:spacing w:after="0" w:line="168"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Our Board of Directors is authorized to issue preferred stock and may divide such preferred stock into series and, with respect to each series, to determine the preferences and rights and the qualifications, limitations or restrictions of the series, including, but not limited to, the dividend rights, conversion rights, voting rights, redemption rights and terms, liquidation preferences, sinking fund provisions, the number of shares constituting the series and the designation of such series.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176" w:lineRule="exact"/>
        <w:rPr>
          <w:sz w:val="20"/>
          <w:szCs w:val="20"/>
          <w:color w:val="auto"/>
        </w:rPr>
      </w:pPr>
    </w:p>
    <w:p>
      <w:pPr>
        <w:ind w:left="60" w:right="239"/>
        <w:spacing w:after="0" w:line="269" w:lineRule="auto"/>
        <w:rPr>
          <w:sz w:val="20"/>
          <w:szCs w:val="20"/>
          <w:color w:val="auto"/>
        </w:rPr>
      </w:pPr>
      <w:r>
        <w:rPr>
          <w:rFonts w:ascii="Times New Roman" w:cs="Times New Roman" w:eastAsia="Times New Roman" w:hAnsi="Times New Roman"/>
          <w:sz w:val="17"/>
          <w:szCs w:val="17"/>
          <w:color w:val="auto"/>
        </w:rPr>
        <w:t>Our Class A, Class B, and Class C common stock are equivalent except for voting rights. Holders of Class A and Class C common stock are entitled to one vote per share and holders of Class B common stock are entitled to 10 votes per share. Each share of Class B and Class C common stock is convertible, at the option of the holder, into one share of Class A common stock. Our Class A common stock is publicly traded on the Nasdaq Global Select Market under the symbol “SATS.” Upon a change in control of EchoStar, each holder of outstanding shares of Class C common stock is entitled to</w:t>
      </w:r>
    </w:p>
    <w:p>
      <w:pPr>
        <w:spacing w:after="0" w:line="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10 votes for each share of Class C common stock held. Charles W. Ergen, our Chairman, and certain entities established for the benefit of his family beneficially own all outstanding Class B common stock. Our principal stockholder and certain entities established by him for the benefit of his family beneficially own all outstanding Class B common stock. Together with all other stockholders, he also owns outstanding Class A common stock. There are no shares of Class C common stock outstanding.</w:t>
      </w:r>
    </w:p>
    <w:p>
      <w:pPr>
        <w:spacing w:after="0" w:line="18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Any holder of Class D common stock is not entitled to a vote on any matter or to convert the shares of Class D common stock into any other class of common stock.</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Each share of common stock is entitled to receive its pro rata share, based upon the number of shares of common stock held, of dividends and distributions upon liquidation.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Our Board of Directors previously authorized stock repurchases of up to $500 million of our outstanding Class A common stock. On October 20, 2022, our Board of Directors extended this authorization to repurchase up to $500 million of our outstanding Class A common stock through and including December 31, 2023. This program expired December 31, 2023. During the year ended December 31, 2023 there were no repurchases of our Class A common stock.</w:t>
      </w:r>
    </w:p>
    <w:p>
      <w:pPr>
        <w:spacing w:after="0" w:line="189"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employees may participate in the EchoStar employee stock purchase plan (the “ESPP”), in which we are authorized to issue up to 5.0 million shares of Class A common stock. At December 31, 2023, we had 0.5 million shares of Class A common stock which remain available for issuance under the ESPP. Substantially all full-time employees who have been employed by us for at least one calendar quarter are eligible to participate in the ESPP. Employee stock purchases are made through payroll deductions. Under the terms of the ESPP, employees may not deduct an amount which would permit such employee to purchase our capital stock under all of our stock purchase plans at a rate which would exceed $25,000 in fair value of capital stock in any one year. The purchase price of the stock is 85% of the closing price of the Class A common stock on the last business day of each calendar quarter in which such shares of Class A common stock are deemed sold to an employee under the ESPP.</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401(k) Employee Savings Plans</w:t>
      </w:r>
    </w:p>
    <w:p>
      <w:pPr>
        <w:spacing w:after="0" w:line="22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We sponsor the DISH Network 401(k) Employee Savings Plan (the “DISH Network 401(k) Plan”) and the EchoStar 401(k) Employee Savings Plan (the “EchoStar 401(k) Plan”) (collectively referred to as the “401(k) Plans”) for eligible employees. Voluntary employee contributions to the 401(k) Plans may be matched 50% by us and under the EchoStar 401(k) Plan, subject to a maximum annual contribution of $7,500 per employee participating in the EchoStar 401(k) Plan and $2,500 per employee participating in the DISH Network 401(k) Plan. Forfeitures of unvested participant balances which are retained by the 401(k) Plans may be used to fund matching and discretionary contributions. Our Board of Directors may also authorize an annual discretionary contribution to the 401(k) plans, subject to the maximum deductible limit provided by the Internal Revenue Code of 1986, as amended. These contributions may be made in cash or in our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expense associated with our matching contributions and discretionary contributions: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 Recognized Related to the 401(k) Plan</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Matching contributions, net of forfeitures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20,379</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Discretionary stock contributions, net of forfeitures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21,606</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 with DISH Network</w:t>
      </w:r>
    </w:p>
    <w:p>
      <w:pPr>
        <w:spacing w:after="0" w:line="229" w:lineRule="exact"/>
        <w:rPr>
          <w:sz w:val="20"/>
          <w:szCs w:val="20"/>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Upon the completion of the Merger with DISH Network, we adopted all of DISH Network’s stock compensation plans. In addition, in connection with the Merger, EchoStar assumed the share reserve under each of the DISH Network Corporation 2019 Stock Incentive Plan and the Amended and Restated DISH Network Corporation 2001 Nonemployee Director Stock Option Plan to employees and directors who were employed by, or provided services to, DISH Network immediately prior to the effective time of the Merger.</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At the Effective Time, each DISH Network stock option outstanding immediately prior to the Effective Time was converted automatically into an EchoStar stock option on substantially the same terms and conditions (including, if applicable, with respect to any performance-based vesting, subject to certain adjustments that may be made pursuant to the terms of the Amended Merger Agreement and to the extent necessary to reflect the consummation of the Merger and the other transactions contemplated by the Amended Merger Agreement), with respect to a number of shares of EchoStar Class A Common Stock equal to (i) the number of shares of DISH Network Common Stock subject to the corresponding DISH Network stock option immediately prior to the Effective Time, multiplied by (ii) the Exchange Ratio (with the resulting number rounded down to the nearest whole share), at an exercise price (rounded up to the nearest whole cent) equal to the exercise price of the corresponding DISH Network stock option immediately prior to the Effective Time divided by the Exchange Ratio.</w:t>
      </w:r>
    </w:p>
    <w:p>
      <w:pPr>
        <w:spacing w:after="0" w:line="149" w:lineRule="exact"/>
        <w:rPr>
          <w:sz w:val="20"/>
          <w:szCs w:val="20"/>
          <w:color w:val="auto"/>
        </w:rPr>
      </w:pPr>
    </w:p>
    <w:p>
      <w:pPr>
        <w:ind w:left="60" w:right="399"/>
        <w:spacing w:after="0" w:line="272" w:lineRule="auto"/>
        <w:rPr>
          <w:sz w:val="20"/>
          <w:szCs w:val="20"/>
          <w:color w:val="auto"/>
        </w:rPr>
      </w:pPr>
      <w:r>
        <w:rPr>
          <w:rFonts w:ascii="Times New Roman" w:cs="Times New Roman" w:eastAsia="Times New Roman" w:hAnsi="Times New Roman"/>
          <w:sz w:val="18"/>
          <w:szCs w:val="18"/>
          <w:color w:val="auto"/>
        </w:rPr>
        <w:t>At the Effective Time, each DISH Network restricted stock unit award outstanding immediately prior to the Effective Time was converted automatically into an EchoStar restricted stock unit award on substantially the same terms and conditions, with respect to a number of shares of EchoStar Class A Common Stock equal to (i) the number of shares of DISH Network Common Stock subject to the corresponding DISH Network restricted stock unit award immediately prior to the Effective Time, multiplied by (ii) the Exchange Ratio (with the resulting number rounded to the nearest whole share).</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information below includes the Merger conversion discussed above.</w:t>
      </w:r>
    </w:p>
    <w:p>
      <w:pPr>
        <w:spacing w:after="0" w:line="22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maintain stock incentive plans to attract and retain officers, directors and key employees. Stock awards under these plans include both performance/market and non-performance based stock incentives. As of December 31, 2023, we had outstanding under these plans stock options to acquire 16.1 million shares of our Class A common stock and 49 thousand restricted stock units and awards. Stock options granted on or prior to December 31, 2023 were granted with exercise prices equal to or greater than the market value of our Class A common stock at the date of grant and with a maximum term of approximately ten years. We account for forfeitures as they are incurred. While historically we have issued stock awards subject to vesting, typically at the rate of 20% per year, certain stock awards have been granted with immediate vesting and certain other stock awards vest only upon the achievement of certain company-specific subscriber, operational and/or financial goals. In addition, the Ergen 2020 Performance Award is subject to the achievement of specified stock price targets. As of December 31, 2023, we had 3.4 million shares of our Class A common stock available for future grant under the EchoStar stock incentive plans. As of December 31, 2023, we had 17.2 million shares of our Class A common stock available for future grant under the DISH Network stock incentive plans.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On June 24, 2022, we commenced a tender offer to eligible employees (which excludes our co-founders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independent members of our Board of Directors) to exchange eligible stock options (which excludes the Ergen 2020 Performance Award) for new options as detailed in our Schedule TO filed June 23, 2022 with the Securities and Exchange Commission (the “Exchange Offer”), to, among other things, further align employee incentives with the current market. The Exchange Offer expired on July 22, 2022. As a result of the Exchange Offer, the exercise price of approximately 13 million stock options, affecting approximately 700 eligible employees, was adjusted during the third quarter of 2022 to $20.00.</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stock option activity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20" w:type="dxa"/>
            <w:vAlign w:val="bottom"/>
            <w:tcBorders>
              <w:bottom w:val="single" w:sz="8" w:color="auto"/>
            </w:tcBorders>
            <w:gridSpan w:val="8"/>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10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10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options outstanding, beginning of period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16,887,454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1,653,280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Forfeited and cancelled (1)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(2,453,588)</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 outstanding, end of period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16,087,146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Performance/market based options outstanding, end of period</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4,631,083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w:t>
            </w:r>
          </w:p>
        </w:tc>
        <w:tc>
          <w:tcPr>
            <w:tcW w:w="2460" w:type="dxa"/>
            <w:vAlign w:val="bottom"/>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Exercisable at end of period</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6,332,074</w:t>
            </w: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cancellation of the 2013 LTIP. See discussion below.</w:t>
      </w:r>
    </w:p>
    <w:p>
      <w:pPr>
        <w:spacing w:after="0" w:line="27" w:lineRule="exact"/>
        <w:rPr>
          <w:rFonts w:ascii="Times New Roman" w:cs="Times New Roman" w:eastAsia="Times New Roman" w:hAnsi="Times New Roman"/>
          <w:sz w:val="18"/>
          <w:szCs w:val="18"/>
          <w:color w:val="auto"/>
        </w:rPr>
      </w:pPr>
    </w:p>
    <w:p>
      <w:pPr>
        <w:ind w:left="380" w:right="179" w:hanging="330"/>
        <w:spacing w:after="0" w:line="255"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are included in the caption “Total options outstanding, end of period.” See discussion of the 2017 LTIP, 2019 LTIP, 2022 Incentive Plan, Ergen 2020 Performance Award and Other Employee Performance Awards below.</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realized tax benefits from stock awards exercised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42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3"/>
        </w:trPr>
        <w:tc>
          <w:tcPr>
            <w:tcW w:w="4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benefit from stock awards exercised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3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restricted stock unit and award activity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25"/>
        </w:trPr>
        <w:tc>
          <w:tcPr>
            <w:tcW w:w="6160" w:type="dxa"/>
            <w:vAlign w:val="bottom"/>
          </w:tcPr>
          <w:p>
            <w:pPr>
              <w:spacing w:after="0"/>
              <w:rPr>
                <w:sz w:val="19"/>
                <w:szCs w:val="19"/>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r>
      <w:tr>
        <w:trPr>
          <w:trHeight w:val="203"/>
        </w:trPr>
        <w:tc>
          <w:tcPr>
            <w:tcW w:w="6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6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Units/Awards</w:t>
            </w: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restricted stock units/awards outstanding, beginning of period</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802,804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60" w:type="dxa"/>
            <w:vAlign w:val="bottom"/>
          </w:tcPr>
          <w:p>
            <w:pPr>
              <w:spacing w:after="0"/>
              <w:rPr>
                <w:sz w:val="17"/>
                <w:szCs w:val="17"/>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(525,100)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60" w:type="dxa"/>
            <w:vAlign w:val="bottom"/>
            <w:shd w:val="clear" w:color="auto" w:fill="CCEEFF"/>
          </w:tcPr>
          <w:p>
            <w:pPr>
              <w:spacing w:after="0"/>
              <w:rPr>
                <w:sz w:val="17"/>
                <w:szCs w:val="17"/>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and cancelled</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(234,835)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160" w:type="dxa"/>
            <w:vAlign w:val="bottom"/>
          </w:tcPr>
          <w:p>
            <w:pPr>
              <w:spacing w:after="0"/>
              <w:rPr>
                <w:sz w:val="17"/>
                <w:szCs w:val="17"/>
                <w:color w:val="auto"/>
              </w:rPr>
            </w:pPr>
          </w:p>
        </w:tc>
      </w:tr>
      <w:tr>
        <w:trPr>
          <w:trHeight w:val="196"/>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restricted stock units/awards outstanding, end of period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our stock options and restricted stock units and awards: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5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3"/>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260"/>
              <w:spacing w:after="0" w:line="183" w:lineRule="exact"/>
              <w:rPr>
                <w:sz w:val="20"/>
                <w:szCs w:val="20"/>
                <w:color w:val="auto"/>
              </w:rPr>
            </w:pPr>
            <w:r>
              <w:rPr>
                <w:rFonts w:ascii="Times New Roman" w:cs="Times New Roman" w:eastAsia="Times New Roman" w:hAnsi="Times New Roman"/>
                <w:sz w:val="16"/>
                <w:szCs w:val="16"/>
                <w:color w:val="auto"/>
                <w:w w:val="85"/>
              </w:rPr>
              <w:t>(In thousands,</w:t>
            </w:r>
          </w:p>
        </w:tc>
        <w:tc>
          <w:tcPr>
            <w:tcW w:w="1260" w:type="dxa"/>
            <w:vAlign w:val="bottom"/>
            <w:gridSpan w:val="3"/>
          </w:tcPr>
          <w:p>
            <w:pPr>
              <w:ind w:left="140"/>
              <w:spacing w:after="0" w:line="183" w:lineRule="exact"/>
              <w:rPr>
                <w:sz w:val="20"/>
                <w:szCs w:val="20"/>
                <w:color w:val="auto"/>
              </w:rPr>
            </w:pPr>
            <w:r>
              <w:rPr>
                <w:rFonts w:ascii="Times New Roman" w:cs="Times New Roman" w:eastAsia="Times New Roman" w:hAnsi="Times New Roman"/>
                <w:sz w:val="16"/>
                <w:szCs w:val="16"/>
                <w:color w:val="auto"/>
              </w:rPr>
              <w:t>except per share</w:t>
            </w:r>
          </w:p>
        </w:tc>
        <w:tc>
          <w:tcPr>
            <w:tcW w:w="10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amounts)</w:t>
            </w:r>
          </w:p>
        </w:tc>
        <w:tc>
          <w:tcPr>
            <w:tcW w:w="40" w:type="dxa"/>
            <w:vAlign w:val="bottom"/>
          </w:tcPr>
          <w:p>
            <w:pPr>
              <w:spacing w:after="0"/>
              <w:rPr>
                <w:sz w:val="15"/>
                <w:szCs w:val="15"/>
                <w:color w:val="auto"/>
              </w:rPr>
            </w:pPr>
          </w:p>
        </w:tc>
      </w:tr>
      <w:tr>
        <w:trPr>
          <w:trHeight w:val="20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4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options granted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84.84</w:t>
            </w:r>
          </w:p>
        </w:tc>
        <w:tc>
          <w:tcPr>
            <w:tcW w:w="40" w:type="dxa"/>
            <w:vAlign w:val="bottom"/>
            <w:tcBorders>
              <w:bottom w:val="single" w:sz="8" w:color="CCEEFF"/>
            </w:tcBorders>
          </w:tcPr>
          <w:p>
            <w:pPr>
              <w:spacing w:after="0"/>
              <w:rPr>
                <w:sz w:val="21"/>
                <w:szCs w:val="21"/>
                <w:color w:val="auto"/>
              </w:rPr>
            </w:pPr>
          </w:p>
        </w:tc>
      </w:tr>
      <w:tr>
        <w:trPr>
          <w:trHeight w:val="18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 (1)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and awards: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4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units and awards granted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40" w:type="dxa"/>
            <w:vAlign w:val="bottom"/>
            <w:tcBorders>
              <w:bottom w:val="single" w:sz="8" w:color="CCEEFF"/>
            </w:tcBorders>
          </w:tcPr>
          <w:p>
            <w:pPr>
              <w:spacing w:after="0"/>
              <w:rPr>
                <w:sz w:val="21"/>
                <w:szCs w:val="21"/>
                <w:color w:val="auto"/>
              </w:rPr>
            </w:pPr>
          </w:p>
        </w:tc>
      </w:tr>
      <w:tr>
        <w:trPr>
          <w:trHeight w:val="18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units and rewards vested (1)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0" w:lineRule="exact"/>
        <w:rPr>
          <w:sz w:val="20"/>
          <w:szCs w:val="20"/>
          <w:color w:val="auto"/>
        </w:rPr>
      </w:pPr>
    </w:p>
    <w:p>
      <w:pPr>
        <w:ind w:left="380" w:right="499" w:hanging="330"/>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Intrinsic value and fair value is based on the closing market price of our Class A common stock on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Performance-Based Plans</w:t>
      </w:r>
    </w:p>
    <w:p>
      <w:pPr>
        <w:spacing w:after="0" w:line="225"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2013 LTIP. </w:t>
      </w:r>
      <w:r>
        <w:rPr>
          <w:rFonts w:ascii="Times New Roman" w:cs="Times New Roman" w:eastAsia="Times New Roman" w:hAnsi="Times New Roman"/>
          <w:sz w:val="18"/>
          <w:szCs w:val="18"/>
          <w:color w:val="auto"/>
        </w:rPr>
        <w:t>During 2013, we adopted a long-term, performance-based stock incentive plan (the “2013 LTIP”). The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LTIP provides stock options and restricted stock units in combination, which vest based on certain company-specific subscriber and financial performance conditions. Exercise of the stock awards is contingent on achieving these performance conditions by September 30, 2022. This plan expired on January 1, 2023 which resulted in the cancellation of 276,147 stock options and 137,449 restricted stock units and awards.</w:t>
      </w:r>
    </w:p>
    <w:p>
      <w:pPr>
        <w:spacing w:after="0" w:line="179"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2017 LTIP. </w:t>
      </w:r>
      <w:r>
        <w:rPr>
          <w:rFonts w:ascii="Times New Roman" w:cs="Times New Roman" w:eastAsia="Times New Roman" w:hAnsi="Times New Roman"/>
          <w:sz w:val="18"/>
          <w:szCs w:val="18"/>
          <w:color w:val="auto"/>
        </w:rPr>
        <w:t>On December 2, 2016, we adopted a long-term, performance-based stock incentive plan (the “2017 LTIP”).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2017 LTIP provided stock options, which were subject to vesting based on certain company-specific subscriber and financial performance conditions. Awards were initially granted under the 2017 LTIP as of January 1, 2017. Exercise of the stock awards was contingent on achieving these performance conditions by December 31, 2020, however, none of the performance conditions were achieved. This plan will expire on January 1, 2027 which as of December 31, 2023, would result in the cancellation of 471,727 stock options.</w:t>
      </w:r>
    </w:p>
    <w:p>
      <w:pPr>
        <w:spacing w:after="0" w:line="182" w:lineRule="exact"/>
        <w:rPr>
          <w:sz w:val="20"/>
          <w:szCs w:val="20"/>
          <w:color w:val="auto"/>
        </w:rPr>
      </w:pPr>
    </w:p>
    <w:p>
      <w:pPr>
        <w:ind w:left="6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2019 LTIP. </w:t>
      </w:r>
      <w:r>
        <w:rPr>
          <w:rFonts w:ascii="Times New Roman" w:cs="Times New Roman" w:eastAsia="Times New Roman" w:hAnsi="Times New Roman"/>
          <w:sz w:val="17"/>
          <w:szCs w:val="17"/>
          <w:color w:val="auto"/>
        </w:rPr>
        <w:t>On August 17, 2018, we adopted a long-term, performance-based stock incentive plan (the “2019 LTIP”).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2019 LTIP provides stock options, which vest based on certain company-specific subscriber, operational and/or financial performance conditions. Vesting of the stock awards is contingent on achieving these conditions by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Although no awards vest until the Company attains the performance conditions described above, compensation related to the 2019 LTIP will be recorded based on management’s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8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2022 and 2021, we determined that 85%, 89% and 90%, respectively, of the 2019 LTIP performance conditions were probable of achievement. As a result, non-cash, stock-based compensation expense was recorded for the years ended December 31, 2023, 2022 and 2021, as indicated in the table below titled “Non-Cash, Stock-Based Compensation Expense Recognized.” As of December 31, 2023, 2022 and 2021, approximately 78%, 75% and 69%, respectively, of the 2019 LTIP awards had vested. No additional awards will vest in future periods for the 2019 LTIP.</w:t>
      </w:r>
    </w:p>
    <w:p>
      <w:pPr>
        <w:spacing w:after="0" w:line="183"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2022 Incentive Plan. </w:t>
      </w:r>
      <w:r>
        <w:rPr>
          <w:rFonts w:ascii="Times New Roman" w:cs="Times New Roman" w:eastAsia="Times New Roman" w:hAnsi="Times New Roman"/>
          <w:sz w:val="18"/>
          <w:szCs w:val="18"/>
          <w:color w:val="auto"/>
        </w:rPr>
        <w:t>On December 30, 2021, we adopted a performance-based incentive plan (the “2022 Incentive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2022 Incentive Plan provides stock options, which vest based on certain company-specific operational and/or financial performance conditions. Awards were initially granted under the 2022 Incentive Plan as of February 1, 2022. Exercise of the stock awards is contingent on achieving these conditions by December 31, 2026.</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Although no awards vest until the Company attains the performance conditions described above, compensation related to the 2022 Incentive Plan will be recorded based on management’s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8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determined that 100% of the 2022 Incentive Plan performance conditions were probable of achievement. As a result, non-cash, stock-based compensation expense was recorded for the years ended December 31, 2023 as indicated in the table below titled “Non-Cash, Stock-Based Compensation Expense Recognized.” As of December 31, 2023 and 2022, approximately 17% and 33%, respectively, of the 2022 Incentive Plan awards had vested.</w:t>
      </w:r>
    </w:p>
    <w:p>
      <w:pPr>
        <w:spacing w:after="0" w:line="179"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Ergen 2020 Performance Award. </w:t>
      </w:r>
      <w:r>
        <w:rPr>
          <w:rFonts w:ascii="Times New Roman" w:cs="Times New Roman" w:eastAsia="Times New Roman" w:hAnsi="Times New Roman"/>
          <w:sz w:val="18"/>
          <w:szCs w:val="18"/>
          <w:color w:val="auto"/>
        </w:rPr>
        <w:t>On November 4, 2020, our Executive Compensation Committee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approved an award to Charles W. Ergen, our Chairman, of long-term performance-based options (the “Ergen 2020 Performance Award”) to purchase up to 4,385,962 shares of EchoStar’s Class A common stock. The award is subject to the achievement of specified EchoStar Class A common stock price targets during the approximate ten-year period following the date of grant. The award was granted on November 6, 2020 and will expire on February 6, 2031.</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Although no awards will vest until the market conditions are satisfied, as of December 31, 2020, we began recording non-cash, stock-based compensation expense for each vesting tranche based on the estimated achievement date of the specified stock price target. The valuation and probability of achievement for each tranche is determined using a Monte Carlo simulation. The same Monte Carlo simulation is used as the basis for determining the expected achievement date. As the probability of achievement is factored in as part of the Monte Carlo simulation, the expense for these tranches will be recognized concurrently over each tranche’s estimated achievement date even if some or all of the options never vest. If the related milestone for a tranche is achieved earlier than is expected, all unamortized expense for such tranche will be recognized immediately. Non-cash, stock-based compensation expense was recorded for the years ended December 31, 2023, 2022 and 2021, as indicated in the table below titled “Non-Cash, Stock-Based Compensation Expense Recognized.” As of December 31, 2023, 2022 and 2021, approximately 20% of the Ergen 2020 Performance Award awards had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Employee Performance Awards. </w:t>
      </w:r>
      <w:r>
        <w:rPr>
          <w:rFonts w:ascii="Times New Roman" w:cs="Times New Roman" w:eastAsia="Times New Roman" w:hAnsi="Times New Roman"/>
          <w:sz w:val="18"/>
          <w:szCs w:val="18"/>
          <w:color w:val="auto"/>
        </w:rPr>
        <w:t>In addition to the above long-term, performance stock incentive plans,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stock awards that vest based on certain other company-specific subscriber, operational and/or financial performance conditions. Exercise of these stock awards is contingent on achieving certain performance conditions.</w:t>
      </w:r>
    </w:p>
    <w:p>
      <w:pPr>
        <w:spacing w:after="0" w:line="17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Additional compensation related to these awards will be recorded based on management’s assessment of the probability of meeting the remaining performance conditions. If the remaining performance conditions are probable of being achieved, we will begin recognizing the associated non-cash, stock-based compensation expense on our Consolidated Statements of Operations and Comprehensive Income (Loss) over the estimated period to achieve the performance condition. See the table below titled “Estimated Remaining Non-Cash, Stock-Based Compensation Expense.”</w:t>
      </w:r>
    </w:p>
    <w:p>
      <w:pPr>
        <w:spacing w:after="0" w:line="18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Although no awards vest until the performance conditions are attained, we determined that certain performance conditions described above were probable of achievement and, as a result, recorded non-cash, stock-based compensation expense for the years ended December 31, 2023, 2022 and 2021, as indicated in the table below titled “Non-Cash, Stock-Based Compensation Expense Recognized.”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non-cash, stock-based compensation expense associated with these awards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Non-Cash, Stock-Based Compensation Expense Recognized (1)</w:t>
            </w:r>
          </w:p>
        </w:tc>
        <w:tc>
          <w:tcPr>
            <w:tcW w:w="26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Incentive Plan</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2019 LTIP</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2013 LTIP</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(13,610)</w:t>
            </w:r>
          </w:p>
        </w:tc>
        <w:tc>
          <w:tcPr>
            <w:tcW w:w="0" w:type="dxa"/>
            <w:vAlign w:val="bottom"/>
          </w:tcPr>
          <w:p>
            <w:pPr>
              <w:spacing w:after="0"/>
              <w:rPr>
                <w:sz w:val="1"/>
                <w:szCs w:val="1"/>
                <w:color w:val="auto"/>
              </w:rPr>
            </w:pPr>
          </w:p>
        </w:tc>
      </w:tr>
      <w:tr>
        <w:trPr>
          <w:trHeight w:val="202"/>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Ergen 2020 Performance Award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employee performance awards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92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Total non-cash, stock-based compensation expense recognized for</w:t>
            </w:r>
          </w:p>
        </w:tc>
        <w:tc>
          <w:tcPr>
            <w:tcW w:w="2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18,213</w:t>
            </w:r>
          </w:p>
        </w:tc>
        <w:tc>
          <w:tcPr>
            <w:tcW w:w="2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35,801</w:t>
            </w:r>
          </w:p>
        </w:tc>
        <w:tc>
          <w:tcPr>
            <w:tcW w:w="240" w:type="dxa"/>
            <w:vAlign w:val="bottom"/>
          </w:tcPr>
          <w:p>
            <w:pPr>
              <w:spacing w:after="0"/>
              <w:rPr>
                <w:sz w:val="14"/>
                <w:szCs w:val="14"/>
                <w:color w:val="auto"/>
              </w:rPr>
            </w:pPr>
          </w:p>
        </w:tc>
        <w:tc>
          <w:tcPr>
            <w:tcW w:w="4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based awards</w:t>
            </w: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“Non-Cash, Stock-Based Compensation Expense Recognized” includes actual forfeitures.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Ergen 2020</w:t>
            </w: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Remaining Non-Cash, Stock-</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2022 Incentive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Performance</w:t>
            </w:r>
          </w:p>
        </w:tc>
        <w:tc>
          <w:tcPr>
            <w:tcW w:w="0" w:type="dxa"/>
            <w:vAlign w:val="bottom"/>
          </w:tcPr>
          <w:p>
            <w:pPr>
              <w:spacing w:after="0"/>
              <w:rPr>
                <w:sz w:val="1"/>
                <w:szCs w:val="1"/>
                <w:color w:val="auto"/>
              </w:rPr>
            </w:pPr>
          </w:p>
        </w:tc>
      </w:tr>
      <w:tr>
        <w:trPr>
          <w:trHeight w:val="212"/>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Based Compensation Expense</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Plan</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2019 LTIP</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 estimated to be recognized during 2024</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Estimated contingent expense subsequent to 2024</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8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Total estimated remaining expense over the term of</w:t>
            </w:r>
          </w:p>
        </w:tc>
        <w:tc>
          <w:tcPr>
            <w:tcW w:w="2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2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27,729</w:t>
            </w:r>
          </w:p>
        </w:tc>
        <w:tc>
          <w:tcPr>
            <w:tcW w:w="2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the plan</w:t>
            </w: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Given the competitive nature of our business, small variations in subscriber churn, gross new subscriber activation rates and certain other factors can significantly impact subscriber growth. Consequently, while it was determined that achievement of certain other company-specific subscriber, operational and/or financial performance conditions were not probable as of December 31, 2023, that assessment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Of the 16.1 million stock options and 49 thousand restricted stock units and awards outstanding under our stock incentive plans as of December 31, 2023, the following awards were outstanding pursuant to our performance-based stock incentive plans: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6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187"/>
        </w:trPr>
        <w:tc>
          <w:tcPr>
            <w:tcW w:w="3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20" w:type="dxa"/>
            <w:vAlign w:val="bottom"/>
          </w:tcPr>
          <w:p>
            <w:pPr>
              <w:spacing w:after="0"/>
              <w:rPr>
                <w:sz w:val="16"/>
                <w:szCs w:val="16"/>
                <w:color w:val="auto"/>
              </w:rPr>
            </w:pPr>
          </w:p>
        </w:tc>
      </w:tr>
      <w:tr>
        <w:trPr>
          <w:trHeight w:val="203"/>
        </w:trPr>
        <w:tc>
          <w:tcPr>
            <w:tcW w:w="3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5"/>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Based Stock Options</w:t>
            </w:r>
          </w:p>
        </w:tc>
        <w:tc>
          <w:tcPr>
            <w:tcW w:w="15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Grant Price</w:t>
            </w:r>
          </w:p>
        </w:tc>
      </w:tr>
      <w:tr>
        <w:trPr>
          <w:trHeight w:val="199"/>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2022</w:t>
            </w: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Plan</w:t>
            </w:r>
          </w:p>
        </w:tc>
        <w:tc>
          <w:tcPr>
            <w:tcW w:w="3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401,828</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2019</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LTIP</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248,758</w:t>
            </w:r>
          </w:p>
        </w:tc>
        <w:tc>
          <w:tcPr>
            <w:tcW w:w="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220" w:type="dxa"/>
            <w:vAlign w:val="bottom"/>
          </w:tcPr>
          <w:p>
            <w:pPr>
              <w:spacing w:after="0"/>
              <w:rPr>
                <w:sz w:val="17"/>
                <w:szCs w:val="17"/>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2017</w:t>
            </w:r>
          </w:p>
        </w:tc>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LTIP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471,727</w:t>
            </w:r>
          </w:p>
        </w:tc>
        <w:tc>
          <w:tcPr>
            <w:tcW w:w="6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22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Ergen 2020 Performance Award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3,508,770</w:t>
            </w:r>
          </w:p>
        </w:tc>
        <w:tc>
          <w:tcPr>
            <w:tcW w:w="66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220" w:type="dxa"/>
            <w:vAlign w:val="bottom"/>
            <w:tcBorders>
              <w:bottom w:val="single" w:sz="8" w:color="CCEEFF"/>
            </w:tcBorders>
          </w:tcPr>
          <w:p>
            <w:pPr>
              <w:spacing w:after="0"/>
              <w:rPr>
                <w:sz w:val="17"/>
                <w:szCs w:val="17"/>
                <w:color w:val="auto"/>
              </w:rPr>
            </w:pPr>
          </w:p>
        </w:tc>
      </w:tr>
      <w:tr>
        <w:trPr>
          <w:trHeight w:val="196"/>
        </w:trPr>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4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4,631,083</w:t>
            </w:r>
          </w:p>
        </w:tc>
        <w:tc>
          <w:tcPr>
            <w:tcW w:w="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Total non-cash, stock-based compensation expense for all of our employees is shown in the following table for the years ended December 31, 2023, 2022 and 2021 and was allocated to the same expense categories as the base compensation for such employees: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r>
      <w:tr>
        <w:trPr>
          <w:trHeight w:val="203"/>
        </w:trPr>
        <w:tc>
          <w:tcPr>
            <w:tcW w:w="53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40" w:type="dxa"/>
            <w:vAlign w:val="bottom"/>
            <w:shd w:val="clear" w:color="auto" w:fill="CCEEFF"/>
          </w:tcPr>
          <w:p>
            <w:pPr>
              <w:spacing w:after="0"/>
              <w:rPr>
                <w:sz w:val="17"/>
                <w:szCs w:val="17"/>
                <w:color w:val="auto"/>
              </w:rPr>
            </w:pPr>
          </w:p>
        </w:tc>
      </w:tr>
      <w:tr>
        <w:trPr>
          <w:trHeight w:val="20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48,904</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76,483</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55,014</w:t>
            </w:r>
          </w:p>
        </w:tc>
        <w:tc>
          <w:tcPr>
            <w:tcW w:w="40" w:type="dxa"/>
            <w:vAlign w:val="bottom"/>
            <w:tcBorders>
              <w:bottom w:val="single" w:sz="8" w:color="CCEEFF"/>
            </w:tcBorders>
          </w:tcPr>
          <w:p>
            <w:pPr>
              <w:spacing w:after="0"/>
              <w:rPr>
                <w:sz w:val="17"/>
                <w:szCs w:val="17"/>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non-cash, stock-based compensation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51,514</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82,994</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59,379</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As of December 31, 2023, our total unrecognized compensation cost related to our non-performance based unvested stock awards was $66 million and will be recognized over a weighted-average period of approximately 8.6 years. Share-based compensation expense is recognized based on stock awards ultimately expected to vest.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w:t>
      </w:r>
    </w:p>
    <w:p>
      <w:pPr>
        <w:spacing w:after="0" w:line="22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(excluding the Ergen 2020 Performance Award) for the years ended December 31, 2023, 2022 and 2021 was estimated at the date of the grant using a Black-Scholes option valuation model with the following assumptions: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23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4.61 %</w:t>
            </w:r>
          </w:p>
        </w:tc>
        <w:tc>
          <w:tcPr>
            <w:tcW w:w="2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4.02 %</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1.11 %</w:t>
            </w:r>
          </w:p>
        </w:tc>
        <w:tc>
          <w:tcPr>
            <w:tcW w:w="60" w:type="dxa"/>
            <w:vAlign w:val="bottom"/>
          </w:tcPr>
          <w:p>
            <w:pPr>
              <w:spacing w:after="0"/>
              <w:rPr>
                <w:sz w:val="17"/>
                <w:szCs w:val="17"/>
                <w:color w:val="auto"/>
              </w:rPr>
            </w:pPr>
          </w:p>
        </w:tc>
      </w:tr>
      <w:tr>
        <w:trPr>
          <w:trHeight w:val="20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 factor</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34.30 %</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41.25 %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34.84 %</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34.51 %</w:t>
            </w:r>
          </w:p>
        </w:tc>
        <w:tc>
          <w:tcPr>
            <w:tcW w:w="60" w:type="dxa"/>
            <w:vAlign w:val="bottom"/>
            <w:shd w:val="clear" w:color="auto" w:fill="CCEEFF"/>
          </w:tcPr>
          <w:p>
            <w:pPr>
              <w:spacing w:after="0"/>
              <w:rPr>
                <w:sz w:val="17"/>
                <w:szCs w:val="17"/>
                <w:color w:val="auto"/>
              </w:rPr>
            </w:pPr>
          </w:p>
        </w:tc>
      </w:tr>
      <w:tr>
        <w:trPr>
          <w:trHeight w:val="20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of options in years</w:t>
            </w: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6.6</w:t>
            </w: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tcPr>
          <w:p>
            <w:pPr>
              <w:spacing w:after="0"/>
              <w:rPr>
                <w:sz w:val="17"/>
                <w:szCs w:val="17"/>
                <w:color w:val="auto"/>
              </w:rPr>
            </w:pPr>
          </w:p>
        </w:tc>
      </w:tr>
      <w:tr>
        <w:trPr>
          <w:trHeight w:val="20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options granted</w:t>
            </w:r>
          </w:p>
        </w:tc>
        <w:tc>
          <w:tcPr>
            <w:tcW w:w="10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7.40</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7.77</w:t>
            </w:r>
          </w:p>
        </w:tc>
        <w:tc>
          <w:tcPr>
            <w:tcW w:w="10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5.97</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9.27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6.20</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8.32</w:t>
            </w:r>
          </w:p>
        </w:tc>
        <w:tc>
          <w:tcPr>
            <w:tcW w:w="6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While we currently do not intend to declare dividends on our Class A common stock, we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spacing w:after="0" w:line="18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will continue to evaluate the assumptions used to derive the estimated fair value of our stock options as new events or changes in circumstances become known.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As of December 31, 2023, future maturities of our long-term debt, finance lease and contractual obligations are summarized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Thereafter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debt obligations</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22,709,868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2,990,195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1,993,990</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9,177,173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3,520,219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3,505,748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1,522,543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Interest expense on long-term</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4,772,180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1,329,564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1,200,118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1,196,621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708,677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295,967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obligations (1)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Interest expense on finance</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16,969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9,614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obligations (1)</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obligations (2)</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13,602,205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2,908,585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2,218,024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1,934,515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1,178,310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1,037,835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4,324,936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obligations (1)</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5,608,209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448,503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516,143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515,022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471,980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3,170,778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obligations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2,052,715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2,022,015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48,885,804</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9,764,935</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5,959,343</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12,865,704</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5,924,802</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5,311,530</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9,059,490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for further information on leases.</w:t>
      </w:r>
    </w:p>
    <w:p>
      <w:pPr>
        <w:spacing w:after="0" w:line="27" w:lineRule="exact"/>
        <w:rPr>
          <w:rFonts w:ascii="Times New Roman" w:cs="Times New Roman" w:eastAsia="Times New Roman" w:hAnsi="Times New Roman"/>
          <w:sz w:val="18"/>
          <w:szCs w:val="18"/>
          <w:color w:val="auto"/>
        </w:rPr>
      </w:pPr>
    </w:p>
    <w:p>
      <w:pPr>
        <w:ind w:left="380" w:right="339" w:hanging="330"/>
        <w:spacing w:after="0" w:line="253"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contractual commitments related to communication tower obligations, certain 5G Network Deployment commitments, obligations under the NSA with AT&amp;T and the MNSA with T-Mobile, certain wireless device purchases and marketing obligations, radios, software and integration services and satellite related and other obligations.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certain circumstances the dates on which we are obligated to make these payments could be delayed.</w:t>
      </w:r>
    </w:p>
    <w:p>
      <w:pPr>
        <w:spacing w:after="0" w:line="27" w:lineRule="exact"/>
        <w:rPr>
          <w:sz w:val="20"/>
          <w:szCs w:val="20"/>
          <w:color w:val="auto"/>
        </w:rPr>
      </w:pPr>
    </w:p>
    <w:p>
      <w:pPr>
        <w:jc w:val="both"/>
        <w:ind w:left="60" w:right="119"/>
        <w:spacing w:after="0" w:line="255" w:lineRule="auto"/>
        <w:rPr>
          <w:sz w:val="20"/>
          <w:szCs w:val="20"/>
          <w:color w:val="auto"/>
        </w:rPr>
      </w:pPr>
      <w:r>
        <w:rPr>
          <w:rFonts w:ascii="Times New Roman" w:cs="Times New Roman" w:eastAsia="Times New Roman" w:hAnsi="Times New Roman"/>
          <w:sz w:val="18"/>
          <w:szCs w:val="18"/>
          <w:color w:val="auto"/>
        </w:rPr>
        <w:t>The table above does not include $610 million of liabilities associated with unrecognized tax benefits that were accrued, as discussed in Note 11 and are included on our Consolidated Balance Sheets as of December 31, 2023. We do not expect any portion of this amount to be paid or settled within the next 12 months.</w:t>
      </w:r>
    </w:p>
    <w:p>
      <w:pPr>
        <w:spacing w:after="0" w:line="18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table above does not include all potential expenses we expect to incur for our 5G Network Deployment. We currently expect capital expenditures, excluding capitalized interest, for our 5G Network Deployment to be approximately $10 billion, including amounts incurred in 2021, 2022 and 2023, of which approximately $1.557 billion is included in the table above in “Other long-term obligations.”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Agreements in Connection with the Asset Purchase Agreement</w:t>
      </w:r>
    </w:p>
    <w:p>
      <w:pPr>
        <w:spacing w:after="0" w:line="22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 xml:space="preserve">On July 1, 2020, we completed the Boost Mobile Acquisition. In connection with the closing of the Boost Mobile Acquisition, we and T-Mobile entered into, among other things, a spectrum purchase agreement for the option to purchase all of Sprint’s 800 MHz spectrum licenses for approximately $3.59 billion (“License Purchase Agreement”). The $3.59 billion is not </w:t>
      </w:r>
      <w:r>
        <w:rPr>
          <w:rFonts w:ascii="Times New Roman" w:cs="Times New Roman" w:eastAsia="Times New Roman" w:hAnsi="Times New Roman"/>
          <w:sz w:val="18"/>
          <w:szCs w:val="18"/>
          <w:color w:val="222222"/>
        </w:rPr>
        <w:t>included in “Other long-term obligations” above.</w:t>
      </w:r>
      <w:r>
        <w:rPr>
          <w:rFonts w:ascii="Times New Roman" w:cs="Times New Roman" w:eastAsia="Times New Roman" w:hAnsi="Times New Roman"/>
          <w:sz w:val="18"/>
          <w:szCs w:val="18"/>
          <w:color w:val="auto"/>
        </w:rPr>
        <w:t xml:space="preserve"> If we elect to not exercise the option to purchase the 800 MHz spectrum licenses pursuant to the License Purchase Agreement or it expires, we were potentially subject to pay T-Mobile a fee of approximately $72 million per the License Purchase Agreement, under certain circumstances. In conjunction with the Amendment that modifies the License Purchase Agreement, discussed below, the $72 million fee has been superseded by the Upfront Payment.</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On June 30, 2023, the DOJ provided notice to the District Court that, pursuant to its discretion under the Final Judgment, it granted a 60-day extension of the deadline for T-Mobile to divest the 800 MHz spectrum licenses, which expired on August 30, 2023.</w:t>
      </w:r>
    </w:p>
    <w:p>
      <w:pPr>
        <w:spacing w:after="0" w:line="1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 August 17, 2023, we filed a petition with the District Court seeking an extension of the deadline for T-Mobile to divest the 800 MHz spectrum licenses.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October 15, 2023, we and T-Mobile entered into the Amendment that, among other things, provides the Extension. In connection with the Extension, we agreed to make an Upfront Payment of $100 million to T-Mobile. The Amendment also resolves all outstanding disputes between the parties with respect to the License Purchase Agreement. On October 25, 2023, we paid the $100 million Upfront Payment to T-Mobile.</w:t>
      </w:r>
    </w:p>
    <w:p>
      <w:pPr>
        <w:spacing w:after="0" w:line="18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Amendment has been approved by the DOJ in accordance with the Stipulation and Order filed in the District Court on July 26, 2019 and the Final Judgment entered by the District Court on April 1, 2020. The Amendment became effective upon the District Court entering the Amended Final Judgment on October 23, 2023.</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Upfront Payment is fully creditable against the purchase price in the event we exercise our option to purchase the 800 MHz spectrum licenses from T-Mobile. T-Mobile has the right (but not the obligation) to pursue an alternative offer between now and April 1, 2024 provided that we retain the first right to purchase the spectrum before April 1, 2024. If we elect to not exercise the option to purchase the 800 MHz spectrum licenses pursuant to the License Purchase Agreement or it expires, T-Mobile will retain the $100 million Upfront Payment per the Amendment.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Wireless – 5G Network Deployment</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for further information on capitalized interest.</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Wireless Spectrum Licenses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These Wireless spectrum licenses are subject to certain build-out requirements, as well as certain renewal requirements that are summarized in the table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Build-Out Deadlines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02"/>
        </w:trPr>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Interim</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96"/>
        </w:trPr>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(In thousands)</w:t>
            </w:r>
          </w:p>
        </w:tc>
        <w:tc>
          <w:tcPr>
            <w:tcW w:w="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0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DBS Licenses (1)</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677,409</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700 MHz Licenses (2)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711,871</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June 14, 2025 (3)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2033</w:t>
            </w: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AWS-4 Licenses (2)</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1,940,000</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June 14, 2025 (3)</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2033</w:t>
            </w: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 Block Licenses (2)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1,671,506</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June 14, 2025 (4)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2033</w:t>
            </w: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600 MHz Licenses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6,213,335</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June 14, 2025 (5)</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2029</w:t>
            </w: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MVDDS Licenses (1)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2024</w:t>
            </w: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LMDS Licenses (1)</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2028</w:t>
            </w: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28 GHz Licenses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 2029 (6)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2029</w:t>
            </w: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24 GHz Licenses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11, 2029 (6)</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2029</w:t>
            </w: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37 GHz, 39 GHz and 47 GHz Licenses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202,533</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June 4, 2030 (6)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2030</w:t>
            </w: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3550-3650 MHz Licenses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912,939</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12, 2031 (6)</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2031</w:t>
            </w: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3.7-3.98 GHz Licenses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23, 2029 (6)</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23, 2033 (6)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2036</w:t>
            </w:r>
          </w:p>
        </w:tc>
      </w:tr>
      <w:tr>
        <w:trPr>
          <w:trHeight w:val="203"/>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3.45–3.55 GHz Licenses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7,327,989</w:t>
            </w:r>
          </w:p>
        </w:tc>
        <w:tc>
          <w:tcPr>
            <w:tcW w:w="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4, 2026 (6)</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May 4, 2030 (6)</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2037</w:t>
            </w:r>
          </w:p>
        </w:tc>
      </w:tr>
      <w:tr>
        <w:trPr>
          <w:trHeight w:val="203"/>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1695-1710 MHz, 1755-1780 MHz, and 2155-2180 MHz (2)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2026</w:t>
            </w:r>
          </w:p>
        </w:tc>
      </w:tr>
      <w:tr>
        <w:trPr>
          <w:trHeight w:val="203"/>
        </w:trPr>
        <w:tc>
          <w:tcPr>
            <w:tcW w:w="4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AWS-3 (8)</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5,618,930</w:t>
            </w:r>
          </w:p>
        </w:tc>
        <w:tc>
          <w:tcPr>
            <w:tcW w:w="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October 2025 (7)</w:t>
            </w: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October 2025 (7)</w:t>
            </w: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Subtotal</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25,319,108</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Investments: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4"/>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SNR (9)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4,271,459</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2025 (7)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2025 (7)</w:t>
            </w:r>
          </w:p>
        </w:tc>
      </w:tr>
      <w:tr>
        <w:trPr>
          <w:trHeight w:val="203"/>
        </w:trPr>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 (10)</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8,523,682</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 of December 31, 2023</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38,114,249</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6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build-out deadlines for these licenses have been met.</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build-out deadlines for these licenses are in the past.</w:t>
      </w:r>
    </w:p>
    <w:p>
      <w:pPr>
        <w:spacing w:after="0" w:line="9" w:lineRule="exact"/>
        <w:rPr>
          <w:rFonts w:ascii="Times New Roman" w:cs="Times New Roman" w:eastAsia="Times New Roman" w:hAnsi="Times New Roman"/>
          <w:sz w:val="18"/>
          <w:szCs w:val="18"/>
          <w:color w:val="auto"/>
        </w:rPr>
      </w:pPr>
    </w:p>
    <w:p>
      <w:pPr>
        <w:ind w:left="380" w:right="159" w:hanging="330"/>
        <w:spacing w:after="0" w:line="250"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 xml:space="preserve">In a July 14, 2023 filing to the FCC, we certified that we were offering 5G broadband service to at least 70% of the United States population as of June 14, 2023, and certified to meeting other FCC related commitments. </w:t>
      </w:r>
      <w:r>
        <w:rPr>
          <w:rFonts w:ascii="Times New Roman" w:cs="Times New Roman" w:eastAsia="Times New Roman" w:hAnsi="Times New Roman"/>
          <w:sz w:val="18"/>
          <w:szCs w:val="18"/>
          <w:color w:val="000000"/>
        </w:rPr>
        <w:t>As a result of</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us providing 5G broadband service to over 50% of the U.S. population by June 14, 2023, the final build-out deadlines have been extended automatically to June 14, 2025. </w:t>
      </w:r>
      <w:r>
        <w:rPr>
          <w:rFonts w:ascii="Times New Roman" w:cs="Times New Roman" w:eastAsia="Times New Roman" w:hAnsi="Times New Roman"/>
          <w:sz w:val="18"/>
          <w:szCs w:val="18"/>
          <w:color w:val="222222"/>
        </w:rPr>
        <w:t>For these licenses, we must offer 5G broadband service to at least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70% of the population in each Economic Area (which is a service area established by the FCC). </w:t>
      </w:r>
      <w:r>
        <w:rPr>
          <w:rFonts w:ascii="Times New Roman" w:cs="Times New Roman" w:eastAsia="Times New Roman" w:hAnsi="Times New Roman"/>
          <w:sz w:val="18"/>
          <w:szCs w:val="18"/>
          <w:color w:val="000000"/>
        </w:rPr>
        <w:t>On September 29,</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w:t>
      </w:r>
    </w:p>
    <w:p>
      <w:pPr>
        <w:spacing w:after="0" w:line="3" w:lineRule="exact"/>
        <w:rPr>
          <w:rFonts w:ascii="Times New Roman" w:cs="Times New Roman" w:eastAsia="Times New Roman" w:hAnsi="Times New Roman"/>
          <w:sz w:val="18"/>
          <w:szCs w:val="18"/>
          <w:color w:val="auto"/>
        </w:rPr>
      </w:pPr>
    </w:p>
    <w:p>
      <w:pPr>
        <w:ind w:left="380" w:right="159" w:hanging="330"/>
        <w:spacing w:after="0" w:line="251"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 xml:space="preserve">In a July 14, 2023 filing to the FCC, we certified that we were offering </w:t>
      </w:r>
      <w:r>
        <w:rPr>
          <w:rFonts w:ascii="Times New Roman" w:cs="Times New Roman" w:eastAsia="Times New Roman" w:hAnsi="Times New Roman"/>
          <w:sz w:val="18"/>
          <w:szCs w:val="18"/>
          <w:color w:val="000000"/>
        </w:rPr>
        <w:t>5G broadband service</w:t>
      </w:r>
      <w:r>
        <w:rPr>
          <w:rFonts w:ascii="Times New Roman" w:cs="Times New Roman" w:eastAsia="Times New Roman" w:hAnsi="Times New Roman"/>
          <w:sz w:val="18"/>
          <w:szCs w:val="18"/>
          <w:color w:val="222222"/>
        </w:rPr>
        <w:t xml:space="preserve"> to at least 70% of the United States population as of June 14, 2023, and certified to meeting other FCC related commitments. </w:t>
      </w:r>
      <w:r>
        <w:rPr>
          <w:rFonts w:ascii="Times New Roman" w:cs="Times New Roman" w:eastAsia="Times New Roman" w:hAnsi="Times New Roman"/>
          <w:sz w:val="18"/>
          <w:szCs w:val="18"/>
          <w:color w:val="000000"/>
        </w:rPr>
        <w:t>As a result of</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us providing 5G broadband service to over 50% of the U.S. population by June 14, 2023, the final build-out deadlines have been extended automatically to June 14, 2025. For these licenses, we must offer 5G broadband service to at least 75% of the population in each Economic Area (which is a service area established by the FCC).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right="179" w:hanging="330"/>
        <w:spacing w:after="0" w:line="272" w:lineRule="auto"/>
        <w:tabs>
          <w:tab w:leader="none" w:pos="3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these licenses, we must offer 5G broadband service to at least 75% of the population in each Partial Economic Area (which is a service area established by the FCC) by this date. We have also acquired certain additional 600 MHz licenses through private transactions. These licenses are currently subject to their original FCC buildout deadlines.</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variety of build-out options and associated build-out metrics associated with these licenses.</w:t>
      </w:r>
    </w:p>
    <w:p>
      <w:pPr>
        <w:spacing w:after="0" w:line="9"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licenses, we must provide reliable signal coverage and offer service to at least 75% of the population of each license area by this date. The AWS-3 interim build-out requirement was not met and as a result, the AWS-3 expiration date and the AWS-3 final build-out requirement have been accelerated by two years (from October 2027 to October 2025) for each AWS-3 License area for which we did not meet the requirement.</w:t>
      </w:r>
    </w:p>
    <w:p>
      <w:pPr>
        <w:spacing w:after="0" w:line="1"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12, 2023, the FCC consented to the sale of Northstar Manager’s ownership interests in Northstar Spectrum, which we purchased for a total of approximately $109 million. This purchase resulted in the elimination of all of our noncontrolling investment as it related to Northstar Spectrum as of the purchase date and we continue to consolidate the Northstar Entities as wholly-owned subsidiaries.</w:t>
      </w:r>
    </w:p>
    <w:p>
      <w:pPr>
        <w:spacing w:after="0" w:line="1"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2023, the FCC consented to the sale of SNR Wireless Management’s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for further information.</w:t>
      </w:r>
    </w:p>
    <w:p>
      <w:pPr>
        <w:spacing w:after="0" w:line="20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Commercialization of Our Wireless Spectrum Licenses and Related Assets. </w:t>
      </w:r>
      <w:r>
        <w:rPr>
          <w:rFonts w:ascii="Times New Roman" w:cs="Times New Roman" w:eastAsia="Times New Roman" w:hAnsi="Times New Roman"/>
          <w:sz w:val="18"/>
          <w:szCs w:val="18"/>
          <w:color w:val="auto"/>
        </w:rPr>
        <w:t>We plan to commercialize our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spectrum licenses through our 5G Network Deployment. We have committed to deploy our 5G Network capable of serving increasingly larger portions of the U.S. population at different deadlines, including 20% of the U.S. population by</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 xml:space="preserve">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will be confirmed using the drive test methodology agreed to and approved by the FCC. We have six months from September 29, 2023 to complete this drive test. </w:t>
      </w:r>
      <w:r>
        <w:rPr>
          <w:rFonts w:ascii="Times New Roman" w:cs="Times New Roman" w:eastAsia="Times New Roman" w:hAnsi="Times New Roman"/>
          <w:sz w:val="18"/>
          <w:szCs w:val="18"/>
          <w:color w:val="0A0A0A"/>
        </w:rPr>
        <w:t>We now have the largest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deployment of 5G VoNR in the world reaching approximately 200 million Americans and </w:t>
      </w:r>
      <w:r>
        <w:rPr>
          <w:rFonts w:ascii="Times New Roman" w:cs="Times New Roman" w:eastAsia="Times New Roman" w:hAnsi="Times New Roman"/>
          <w:sz w:val="18"/>
          <w:szCs w:val="18"/>
          <w:color w:val="000000"/>
        </w:rPr>
        <w:t>5G broadband service</w:t>
      </w:r>
      <w:r>
        <w:rPr>
          <w:rFonts w:ascii="Times New Roman" w:cs="Times New Roman" w:eastAsia="Times New Roman" w:hAnsi="Times New Roman"/>
          <w:sz w:val="18"/>
          <w:szCs w:val="18"/>
          <w:color w:val="0A0A0A"/>
        </w:rPr>
        <w:t xml:space="preserve"> reaching approximately 250 million Americans. </w:t>
      </w:r>
      <w:r>
        <w:rPr>
          <w:rFonts w:ascii="Times New Roman" w:cs="Times New Roman" w:eastAsia="Times New Roman" w:hAnsi="Times New Roman"/>
          <w:sz w:val="18"/>
          <w:szCs w:val="18"/>
          <w:color w:val="000000"/>
        </w:rPr>
        <w:t>We currently expect capital expenditures, excluding capitalized interest, for our 5G</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Network Deployment to be approximately $10 billion, including amounts incurred in 2021, 2022 and 2023. See Note 2 for further information.</w:t>
      </w:r>
    </w:p>
    <w:p>
      <w:pPr>
        <w:spacing w:after="0" w:line="19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w:t>
      </w:r>
    </w:p>
    <w:p>
      <w:pPr>
        <w:spacing w:after="0" w:line="180"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right="579"/>
        <w:spacing w:after="0" w:line="284" w:lineRule="auto"/>
        <w:rPr>
          <w:sz w:val="20"/>
          <w:szCs w:val="20"/>
          <w:color w:val="auto"/>
        </w:rPr>
      </w:pPr>
      <w:r>
        <w:rPr>
          <w:rFonts w:ascii="Times New Roman" w:cs="Times New Roman" w:eastAsia="Times New Roman" w:hAnsi="Times New Roman"/>
          <w:sz w:val="18"/>
          <w:szCs w:val="18"/>
          <w:i w:val="1"/>
          <w:iCs w:val="1"/>
          <w:color w:val="auto"/>
        </w:rPr>
        <w:t>DISH Network Noncontrolling Investments in the Northstar Entities and the SNR Entities Related to AWS-3 Wireless Spectrum Licenses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Investments</w:t>
      </w:r>
    </w:p>
    <w:p>
      <w:pPr>
        <w:spacing w:after="0" w:line="22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Recent Developments. </w:t>
      </w:r>
      <w:r>
        <w:rPr>
          <w:rFonts w:ascii="Times New Roman" w:cs="Times New Roman" w:eastAsia="Times New Roman" w:hAnsi="Times New Roman"/>
          <w:sz w:val="18"/>
          <w:szCs w:val="18"/>
          <w:color w:val="auto"/>
        </w:rPr>
        <w:t>On October 12, 2023, the FCC consented to the sale of Northstar Manager’s ownership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Management’s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2015, through our wholly-owned subsidiaries American II and American III, we initially made over $10 billion in certain noncontrolling investments in Northstar Spectrum, the parent company of Northstar Wireless, and in SNR HoldCo, the parent company of SNR Wireless, respectively. Under the applicable accounting guidance in ASC 810, Northstar Spectrum and SNR HoldCo are considered VIEs and, based on the characteristics of the structure of these entities and in accordance with the applicable accounting guidance, we consolidate these entities into our financial statements. See Note 2 for further information.</w:t>
      </w:r>
    </w:p>
    <w:p>
      <w:pPr>
        <w:spacing w:after="0" w:line="18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i w:val="1"/>
          <w:iCs w:val="1"/>
          <w:color w:val="auto"/>
        </w:rPr>
        <w:t>Northstar Investment</w:t>
      </w:r>
      <w:r>
        <w:rPr>
          <w:rFonts w:ascii="Times New Roman" w:cs="Times New Roman" w:eastAsia="Times New Roman" w:hAnsi="Times New Roman"/>
          <w:sz w:val="18"/>
          <w:szCs w:val="18"/>
          <w:color w:val="auto"/>
        </w:rPr>
        <w:t>. As of 2015, through American II, we owned a noncontrolling interest in Northstar Spectrum,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comprised of 85% of the Class B Common Interests and 100% of the Class A Preferred Interests of Northstar Spectrum. Northstar Manager is the sole manager of Northstar Spectrum and owns a controlling interest in Northstar Spectrum, which was comprised of 15% of the Class B Common Interests of Northstar Spectrum. As of March 31, 2018, the total equity contributions from American II and Northstar Manager to Northstar Spectrum were approximately $7.621 billion and $133 million, respectively. As of March 31, 2018, the total loans from American II to Northstar Wireless under the Northstar Credit Agreement (as defined below) for payments to the FCC related to the Northstar Licenses (as defined below) were approximately $500 million. See below for further information.</w:t>
      </w:r>
    </w:p>
    <w:p>
      <w:pPr>
        <w:spacing w:after="0" w:line="18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i w:val="1"/>
          <w:iCs w:val="1"/>
          <w:color w:val="auto"/>
        </w:rPr>
        <w:t>Northstar Purchase Agreement</w:t>
      </w:r>
      <w:r>
        <w:rPr>
          <w:rFonts w:ascii="Times New Roman" w:cs="Times New Roman" w:eastAsia="Times New Roman" w:hAnsi="Times New Roman"/>
          <w:sz w:val="18"/>
          <w:szCs w:val="18"/>
          <w:color w:val="auto"/>
        </w:rPr>
        <w:t>. On December 30, 2020, through our wholly-owned subsidiary American II, we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Purchase Agreement (the “Northstar Purchase Agreement”) with Northstar Manager and Northstar Spectrum, pursuant to which American II purchased 80% of Northstar Manager’s Class B Common Interests in Northstar Spectrum (the “Northstar Transaction”) for a purchase price of approximately $312 million. As a result of the Northstar Transaction, through American II, we hold 97% of the Class B Common Interests in Northstar Spectrum and Northstar Manager holds 3% of the Class B Common Interests in Northstar Spectrum. Other than the change in ownership percentage of Northstar Spectrum, the Northstar Transaction did not modify or amend in any way the existing arrangements between or among the Northstar parties.</w:t>
      </w:r>
    </w:p>
    <w:p>
      <w:pPr>
        <w:spacing w:after="0" w:line="18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SNR Investment. </w:t>
      </w:r>
      <w:r>
        <w:rPr>
          <w:rFonts w:ascii="Times New Roman" w:cs="Times New Roman" w:eastAsia="Times New Roman" w:hAnsi="Times New Roman"/>
          <w:sz w:val="18"/>
          <w:szCs w:val="18"/>
          <w:color w:val="auto"/>
        </w:rPr>
        <w:t>As of 2015, through American III, we own a noncontrolling interest in SNR HoldCo, which is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85% of the Class B Common Interests and 100% of the Class A Preferred Interests of SNR HoldCo. SNR Management is the sole manager of SNR HoldCo and owns a controlling interest in SNR HoldCo, which is comprised of 15% of the Class B Common Interests of SNR HoldCo. As of March 31, 2018, the total equity contributions from American III and SNR Management to SNR HoldCo were approximately $5.590 billion and $93 million, respectively. As of March 31, 2018, the total loans from American III to SNR Wireless under the SNR Credit Agreement (as defined below) for payments to the FCC related to the SNR Licenses (as defined below) were approximately $500 million. See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AWS-3 Auction</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 Northstar Wireless was the winning bidder for AWS-3 Licenses with gross winning bid amounts totaling approximately $7.845 billion, which after taking into account a 25% bidding credit, was approximately $5.884 billion. SNR Wireless was the winning bidder for AWS-3 Licenses with gross winning bid amounts totaling approximately $5.482 billion, which after taking into account a 25% bidding credit, was approximately $4.112 billion. In addition to the net winning bids, SNR Wireless made a bid withdrawal payment of approximately $8 million.</w:t>
      </w:r>
    </w:p>
    <w:p>
      <w:pPr>
        <w:spacing w:after="0" w:line="19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FCC Order and October 2015 Arrangements. </w:t>
      </w:r>
      <w:r>
        <w:rPr>
          <w:rFonts w:ascii="Times New Roman" w:cs="Times New Roman" w:eastAsia="Times New Roman" w:hAnsi="Times New Roman"/>
          <w:sz w:val="18"/>
          <w:szCs w:val="18"/>
          <w:color w:val="auto"/>
        </w:rPr>
        <w:t>On August 18, 2015, the FCC released a</w:t>
      </w:r>
      <w:r>
        <w:rPr>
          <w:rFonts w:ascii="Times New Roman" w:cs="Times New Roman" w:eastAsia="Times New Roman" w:hAnsi="Times New Roman"/>
          <w:sz w:val="18"/>
          <w:szCs w:val="18"/>
          <w:i w:val="1"/>
          <w:iCs w:val="1"/>
          <w:color w:val="auto"/>
        </w:rPr>
        <w:t xml:space="preserve"> Memorandum Opinion and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 </w:t>
      </w:r>
      <w:r>
        <w:rPr>
          <w:rFonts w:ascii="Times New Roman" w:cs="Times New Roman" w:eastAsia="Times New Roman" w:hAnsi="Times New Roman"/>
          <w:sz w:val="18"/>
          <w:szCs w:val="18"/>
          <w:color w:val="auto"/>
        </w:rPr>
        <w:t>control. Northstar Wireless and SNR Wireless have appealed the FCC’s order to the D.C. Circuit Court of Appeals.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Letters Exchanged between Northstar Wireless and the FCC Wireless Bureau. </w:t>
      </w:r>
      <w:r>
        <w:rPr>
          <w:rFonts w:ascii="Times New Roman" w:cs="Times New Roman" w:eastAsia="Times New Roman" w:hAnsi="Times New Roman"/>
          <w:sz w:val="18"/>
          <w:szCs w:val="18"/>
          <w:color w:val="auto"/>
        </w:rPr>
        <w:t>As outlined in letters exchanged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Northstar Wireless and the Wireless Telecommunications Bureau of the FCC (the “FCC Wireless Bureau”), Northstar Wireless paid the gross winning bid amounts for 261 AWS-3 Licenses (the “Northstar Licenses”) totaling approximately $5.619 billion through the application of funds already on deposit with the FCC. Northstar Wireless also notified the FCC that it would not be paying the gross winning bid amounts for 84 AWS-3 Licenses totaling approximately $2.226 billion. As a result of the nonpayment of those gross winning bid amounts, the FCC retained those licenses and Northstar Wireless owed the FCC an additional interim payment of approximately $334 million (the “Northstar Interim Payment”), which is equal to 15% of $2.226 billion. The Northstar Interim Payment was recorded as an expense during the fourth quarter of 2015. Northstar Wireless immediately satisfied the Northstar Interim Payment through the application of funds already on deposit with the FCC and an additional loan from American II of approximately $69 million. As a result, the FCC will not deem Northstar Wireless to be a “current defaulter” under applicable FCC rules.</w:t>
      </w:r>
    </w:p>
    <w:p>
      <w:pPr>
        <w:spacing w:after="0" w:line="19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the FCC Wireless Bureau acknowledged that Northstar Wireless’ nonpayment of those gross winning bid amounts does not constitute action involving gross misconduct, misrepresentation or bad faith. Therefore, the FCC concluded that such nonpayment will not affect the eligibility of Northstar Wireless, its investors (including DISH Network) or their respective affiliates to participate in future spectrum auctions (including Auction 1000 and any re-auction of the AWS-3 licenses retained by the FCC). At this time, DISH Network (through itself, a subsidiary or another entity in which it may hold a direct or indirect interest) expects to participate in any re-auction of those AWS-3 licenses.</w:t>
      </w:r>
    </w:p>
    <w:p>
      <w:pPr>
        <w:spacing w:after="0" w:line="187"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If the winning bids from re-auction or other award of the AWS-3 licenses retained by the FCC are greater than or equal to the winning bids of Northstar Wireless, no additional amounts will be owed to the FCC. However, if those winning bids are less than the winning bids of Northstar Wireless, then Northstar Wireless will be responsible for the difference less any overpayment of the Northstar Interim Payment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 As discussed above, at this time, DISH Network (through itself, a subsidiary or another entity in which it may hold a direct or indirect interest) expects to participate in any re-auction. We cannot predict with any degree of certainty the timing or outcome of any re-auction or the amount of any Northstar Re-Auction Payment.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DISH Network Guaranty in Favor of the FCC for Certain Northstar Wireless Obligations</w:t>
      </w:r>
      <w:r>
        <w:rPr>
          <w:rFonts w:ascii="Times New Roman" w:cs="Times New Roman" w:eastAsia="Times New Roman" w:hAnsi="Times New Roman"/>
          <w:sz w:val="18"/>
          <w:szCs w:val="18"/>
          <w:color w:val="auto"/>
        </w:rPr>
        <w:t>. On October 1, 2015, DISH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entered into a guaranty in favor of the FCC (the “FCC Northstar Guaranty”) with respect to the Northstar Interim Payment (which was satisfied on October 1, 2015) and any Northstar Re-Auction Payment. The FCC Northstar Guaranty provides, among other things, that during the period between the due date for the payments guaranteed under the FCC Northstar Guaranty and the date such guaranteed payments are paid: (i) Northstar Wireless’ payment obligations to American II under the Northstar Credit Agreement will be subordinated to such guaranteed payments; and (ii) DISH Network or American II will withhold exercising certain rights as a creditor of Northstar Wireless.</w:t>
      </w:r>
    </w:p>
    <w:p>
      <w:pPr>
        <w:spacing w:after="0" w:line="183" w:lineRule="exact"/>
        <w:rPr>
          <w:sz w:val="20"/>
          <w:szCs w:val="20"/>
          <w:color w:val="auto"/>
        </w:rPr>
      </w:pPr>
    </w:p>
    <w:p>
      <w:pPr>
        <w:ind w:left="60" w:right="25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Letters Exchanged between SNR Wireless and the FCC Wireless Bureau. </w:t>
      </w:r>
      <w:r>
        <w:rPr>
          <w:rFonts w:ascii="Times New Roman" w:cs="Times New Roman" w:eastAsia="Times New Roman" w:hAnsi="Times New Roman"/>
          <w:sz w:val="17"/>
          <w:szCs w:val="17"/>
          <w:color w:val="auto"/>
        </w:rPr>
        <w:t>As outlined in letters exchanged between SNR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Wireless and the FCC Wireless Bureau, SNR Wireless paid the gross winning bid amounts for 244 AWS-3 Licenses (the “SNR Licenses”) totaling approximately $4.271 billion through the application of funds already on deposit with the FCC and a portion of an additional loan from American III in an aggregate amount of approximately $344 million (which included an additional bid withdrawal payment of approximately $3 million). SNR Wireless also notified the FCC that it would not be paying the gross winning bid amounts for 113 AWS-3 Licenses totaling approximately $1.211 billion.</w:t>
      </w:r>
    </w:p>
    <w:p>
      <w:pPr>
        <w:spacing w:after="0" w:line="17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 a result of the nonpayment of those gross winning bid amounts, the FCC retained those licenses and SNR Wireless owed the FCC an additional interim payment of approximately $182 million (the “SNR Interim Payment”), which is equal to 15% of $1.211 billion. The SNR Interim Payment was recorded as an expense during the fourth quarter of 2015. SNR Wireless immediately satisfied the SNR Interim Payment through a portion of an additional loan from American III in an aggregate amount of approximately $344 million. As a result, the FCC will not deem SNR Wireless to be a “current defaulter” under applicable FCC rules.</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the FCC Wireless Bureau acknowledged that SNR Wireless’ nonpayment of those gross winning bid amounts does not constitute action involving gross misconduct, misrepresentation or bad faith. Therefore, the FCC concluded that such nonpayment will not affect the eligibility of SNR Wireless, its investors (including DISH Network) or their respective affiliates to participate in future spectrum auctions (including Auction 1000 and any re-auction of the AWS-3 licenses retained by the FCC). At this time, DISH Network (through itself, a subsidiary or another entity in which it may hold a direct or indirect interest) expects to participate in any re-auction of those AWS-3 licenses.</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If the winning bids from re-auction or other award of the AWS-3 licenses retained by the FCC are greater than or equal to the winning bids of SNR Wireless, no additional amounts will be owed to the FCC. However, if those winning bids are less than the winning bids of SNR Wireless, then SNR Wireless will be responsible for the difference less any overpayment of the SNR Interim Payment (which will be recalculated as 15% of the winning bids from re-auction or other award) (the “SNR Re-Auction Payment”). For example, if the winning bids in a re-auction are $1, the SNR Re-Auction Payment would be approximately $1.029 billion, which is calculated as the difference between $1.211 billion (the SNR winning bid amounts) and $1 (the winning bids from re-auction) less the resulting $182 million overpayment of the SNR Interim Payment. As discussed above, at this time, DISH Network (through itself, a subsidiary or another entity in which it may hold a direct or indirect interest) expects to participate in any re-auction. We cannot predict with any degree of certainty the timing or outcome of any re-auction or the amount of any SNR Re-Auction Payment.</w:t>
      </w:r>
    </w:p>
    <w:p>
      <w:pPr>
        <w:spacing w:after="0" w:line="19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DISH Network Guaranty in Favor of the FCC for Certain SNR Wireless Obligations. </w:t>
      </w:r>
      <w:r>
        <w:rPr>
          <w:rFonts w:ascii="Times New Roman" w:cs="Times New Roman" w:eastAsia="Times New Roman" w:hAnsi="Times New Roman"/>
          <w:sz w:val="18"/>
          <w:szCs w:val="18"/>
          <w:color w:val="auto"/>
        </w:rPr>
        <w:t>On October 1, 2015, DISH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guaranty in favor of the FCC (the “FCC SNR Guaranty”) with respect to the SNR Interim Payment (which was satisfied on October 1, 2015) and any SNR Re-Auction Payment. The FCC SNR Guaranty provides, among other things, that during the period between the due date for the payments guaranteed under the FCC SNR Guaranty and the date such guaranteed payments are paid: (i) SNR Wireless’ payment obligations to American III under the SNR Credit Agreement will be subordinated to such guaranteed payments; and (ii) DISH Network or American III will withhold exercising certain rights as a creditor of SNR Wireless.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FCC Licenses. </w:t>
      </w:r>
      <w:r>
        <w:rPr>
          <w:rFonts w:ascii="Times New Roman" w:cs="Times New Roman" w:eastAsia="Times New Roman" w:hAnsi="Times New Roman"/>
          <w:sz w:val="18"/>
          <w:szCs w:val="18"/>
          <w:color w:val="auto"/>
        </w:rPr>
        <w:t>On October 27, 2015, the FCC granted the Northstar Licenses to Northstar Wireless and the SNR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SNR Wireless, respectively, which are recorded in “Regulatory authorizations, net” on our Consolidated Balance Sheets. The AWS-3 Licenses are subject to certain interim and final build-out requirements. By October 2021, Northstar Wireless and SNR Wireless must provide reliable signal coverage and offer service to at least 40% of the population in each area covered by an individual AWS-3 License (the “AWS-3 Interim Build-Out Requirement”). By October 2027, Northstar Wireless and SNR Wireless must provide reliable signal coverage and offer service to at least 75% of the population in each area covered by an individual AWS-3 License (the “AWS-3 Final Build-Out Requirement”). The AWS-3 Interim Build-Out Requirement was not met and as a result, the AWS-3 License term and the AWS-3 Final Build-Out Requirement have been accelerated by two years (from October 2027 to October 2025) for each AWS-3 License area in which Northstar Wireless and SNR Wireless did not meet the requirement.</w:t>
      </w:r>
    </w:p>
    <w:p>
      <w:pPr>
        <w:spacing w:after="0" w:line="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If the AWS-3 Final Build-Out Requirement is not met, the authorization for each AWS-3 License area in which Northstar Wireless and SNR Wireless do not meet the requirement may terminate. These wireless spectrum licenses expire in October 2027 unless they are renewed by the FCC. There can be no assurance that the FCC will renew these wireless spectrum licenses.</w:t>
      </w:r>
    </w:p>
    <w:p>
      <w:pPr>
        <w:spacing w:after="0" w:line="187"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On September 23, 2016, the United States District Court for the District of Columbia unsealed a qui tam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 that was filed by Vermont National Telephone Company (“Vermont National”) against us; our wholly-owned subsidiaries,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See “</w:t>
      </w:r>
      <w:r>
        <w:rPr>
          <w:rFonts w:ascii="Times New Roman" w:cs="Times New Roman" w:eastAsia="Times New Roman" w:hAnsi="Times New Roman"/>
          <w:sz w:val="18"/>
          <w:szCs w:val="18"/>
          <w:i w:val="1"/>
          <w:iCs w:val="1"/>
          <w:color w:val="auto"/>
        </w:rPr>
        <w:t>Contingencies – Litigation – Vermont National Telephone Company”</w:t>
      </w:r>
      <w:r>
        <w:rPr>
          <w:rFonts w:ascii="Times New Roman" w:cs="Times New Roman" w:eastAsia="Times New Roman" w:hAnsi="Times New Roman"/>
          <w:sz w:val="18"/>
          <w:szCs w:val="18"/>
          <w:color w:val="auto"/>
        </w:rPr>
        <w:t xml:space="preserve"> for further information.</w:t>
      </w:r>
    </w:p>
    <w:p>
      <w:pPr>
        <w:spacing w:after="0" w:line="18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i w:val="1"/>
          <w:iCs w:val="1"/>
          <w:color w:val="auto"/>
        </w:rPr>
        <w:t>D.C. Circuit Court Opinion</w:t>
      </w:r>
      <w:r>
        <w:rPr>
          <w:rFonts w:ascii="Times New Roman" w:cs="Times New Roman" w:eastAsia="Times New Roman" w:hAnsi="Times New Roman"/>
          <w:sz w:val="18"/>
          <w:szCs w:val="18"/>
          <w:color w:val="auto"/>
        </w:rPr>
        <w:t>. On August 29, 2017, the United States Court of Appeals for the District of Columbia Circuit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“D.C. Circuit”) in </w:t>
      </w:r>
      <w:r>
        <w:rPr>
          <w:rFonts w:ascii="Times New Roman" w:cs="Times New Roman" w:eastAsia="Times New Roman" w:hAnsi="Times New Roman"/>
          <w:sz w:val="18"/>
          <w:szCs w:val="18"/>
          <w:i w:val="1"/>
          <w:iCs w:val="1"/>
          <w:color w:val="auto"/>
        </w:rPr>
        <w:t>SNR Wireless LicenseCo, LLC, et al. v. Federal Communications Commission</w:t>
      </w:r>
      <w:r>
        <w:rPr>
          <w:rFonts w:ascii="Times New Roman" w:cs="Times New Roman" w:eastAsia="Times New Roman" w:hAnsi="Times New Roman"/>
          <w:sz w:val="18"/>
          <w:szCs w:val="18"/>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Order on Remand. </w:t>
      </w:r>
      <w:r>
        <w:rPr>
          <w:rFonts w:ascii="Times New Roman" w:cs="Times New Roman" w:eastAsia="Times New Roman" w:hAnsi="Times New Roman"/>
          <w:sz w:val="18"/>
          <w:szCs w:val="18"/>
          <w:color w:val="auto"/>
        </w:rPr>
        <w:t>On January 24, 2018, the FCC released an Order on Remand, DA 18-70 (the “Order on Remand”)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Northstar Operative Agreements</w:t>
      </w:r>
    </w:p>
    <w:p>
      <w:pPr>
        <w:spacing w:after="0" w:line="22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Northstar LLC Agreement. </w:t>
      </w:r>
      <w:r>
        <w:rPr>
          <w:rFonts w:ascii="Times New Roman" w:cs="Times New Roman" w:eastAsia="Times New Roman" w:hAnsi="Times New Roman"/>
          <w:sz w:val="18"/>
          <w:szCs w:val="18"/>
          <w:color w:val="auto"/>
        </w:rPr>
        <w:t>Northstar Spectrum is governed by a limited liability company agreement by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II and Northstar Manager (the “Northstar Spectrum LLC Agreement”). Pursuant to the Northstar Spectrum LLC Agreement, American II and Northstar Manager made pro-rata equity contributions in Northstar Spectrum.</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On March 31, 2018, American II, Northstar Spectrum, and Northstar Manager amended and restated the Northstar Spectrum LLC Agreement, to, among other things: (i) exchange $6.870 billion of the amounts outstanding and owed by Northstar Wireless to American II pursuant to the Northstar Credit Agreement (as defined below) for 6,870,493 Class A Preferred Interests in Northstar Spectrum (the “Northstar Preferred Interests”); (ii) replace the existing investor protection provisions with the investor protections described by the FCC in Baker Creek Communications, LLC, Memorandum Opinion and Order, 13 FCC Rcd 18709, 18715 (1998); (iii) delete the obligation of Northstar Manager to consult with American II regarding budgets and business plans; and (iv) remove the requirement that Northstar Spectrum’s systems be interoperable with ours. The Northstar Preferred Interests: (a) are non-voting; (b) have a 12 percent mandatory quarterly distribution, which can be paid in cash or additional face amount of Northstar Preferred Interests at the sole discretion of Northstar Manager; and (c) have a liquidation preference equal to the then-current face amount of the Northstar Preferred Interests plus accrued and unpaid mandatory quarterly distributions in the event of certain liquidation events or deemed liquidation events (e.g., a merger or dissolution of Northstar Spectrum, or a sale of substantially all of Northstar Spectrum’s assets). As a result of the exchange noted in (i) above, a principal amount of $500 million of debt remains under the Northstar Credit Agreement, as described below.</w:t>
      </w:r>
    </w:p>
    <w:p>
      <w:pPr>
        <w:spacing w:after="0" w:line="19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On June 7, 2018, American II, Northstar Spectrum, and Northstar Manager amended and restated the Second Amended and Restated Limited Liability Company Agreement, dated March 31, 2018, by and among American II, Northstar Spectrum, and Northstar Manager, to, among other things: (i) reduce the mandatory quarterly distribution for the Northstar Preferred Interests from 12 percent to eight percent from and after June 7, 2018; (ii) increase the window for Northstar Manager to “put” its interest in Northstar Spectrum to Northstar Spectrum after October 27, 2020 from 30 days to 90 days; (iii) provide an additional 90-day window for Northstar Manager to put its interest in Northstar Spectrum to Northstar Spectrum commencing on October 27, 2021; (iv) provide a right for Northstar Manager to require an appraisal of the fair market value of its interest in Northstar Spectrum at any time from October 27, 2022 through October 27, 2024, coupled with American II having the right to accept the offer to sell from Northstar Manager; (v) allow Northstar Manager to sell its interest in Northstar Spectrum without American II’s consent any time after October 27, 2020 (previously October 27, 2025); (vi) allow Northstar Spectrum to conduct an initial public offering without American II’s consent any time after October 27, 2022 (previously October 27, 2029); (vii) remove American II’s rights of first refusal with respect to Northstar Manager’s sale of its interest in Northstar Spectrum or Northstar Spectrum’s sale of any AWS-3 Licenses; and</w:t>
      </w:r>
    </w:p>
    <w:p>
      <w:pPr>
        <w:spacing w:after="0" w:line="1" w:lineRule="exact"/>
        <w:rPr>
          <w:sz w:val="20"/>
          <w:szCs w:val="20"/>
          <w:color w:val="auto"/>
        </w:rPr>
      </w:pPr>
    </w:p>
    <w:p>
      <w:pPr>
        <w:ind w:left="60" w:right="179" w:hanging="10"/>
        <w:spacing w:after="0" w:line="277" w:lineRule="auto"/>
        <w:tabs>
          <w:tab w:leader="none" w:pos="46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American II’s tag along rights with respect to Northstar Manager’s sale of its interest in Northstar Spectrum. Northstar Manager had the right to put its interest in Northstar Spectrum to Northstar Spectrum for a 90-day period beginning October 27, 2020, which Northstar Manager waived in connection with the Northstar Purchase Agreement.</w:t>
      </w:r>
    </w:p>
    <w:p>
      <w:pPr>
        <w:spacing w:after="0" w:line="169"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On January 24, 2022, American II, Northstar Spectrum, and Northstar Manager amended and restated the Third Amended and Restated Limited Liability Company Agreement, dated June 7, 2018, by and among American II, Northstar Spectrum, and Northstar Manager, to, among other things: (i) increase the second window for Northstar Manager to “put” its interest in Northstar Spectrum to Northstar Spectrum after October 27, 2021 from 90 days to 270 days.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On July 22, 2022, American II, Northstar Spectrum, and Northstar Manager amended and restated the Third Amended and Restated Limited Liability Company Agreement, dated June 7, 2018, by and among American II, Northstar Spectrum, and Northstar Manager, to, among other things, increase the second window for Northstar Manager to “put” its interest in Northstar Spectrum to Northstar Spectrum after July 24, 2022 from 270 days to 360 days. On October 21, 2022, we, through our wholly-owned subsidiary American II received notice that Northstar Manager exercised the Northstar Put Right effective as of October 21, 2022.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8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Northstar Wireless Credit Agreement. </w:t>
      </w:r>
      <w:r>
        <w:rPr>
          <w:rFonts w:ascii="Times New Roman" w:cs="Times New Roman" w:eastAsia="Times New Roman" w:hAnsi="Times New Roman"/>
          <w:sz w:val="18"/>
          <w:szCs w:val="18"/>
          <w:color w:val="auto"/>
        </w:rPr>
        <w:t>On October 1, 2015, American II, Northstar Wireless and Northstar Spectrum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the First Amended and Restated Credit Agreement dated October 13, 2014, by and among American II, as Lender, Northstar Wireless, as Borrower, and Northstar Spectrum, as Guarantor (as amended, the “Northstar Credit Agreement”), to provide, among other things, that: (i) the Northstar Interim Payment and any Northstar Re-Auction Payment will be made by American II directly to the FCC and will be deemed as loans under the Northstar Credit Agreement; (ii) the FCC is a third-party beneficiary with respect to American II’s obligation to pay the Northstar Interim Payment and any Northstar Re-Auction Payment; (iii) in the event that the winning bids from re-auction or other award of the AWS-3 licenses retained by the FCC are less than the winning bids of Northstar Wireless, the purchaser, assignee or transferee of any AWS-3 Licenses from Northstar Wireless is obligated to pay its pro-rata share of the difference (and Northstar Wireless remains jointly and severally liable for such pro-rata share); and (iv) during the period between the due date for the payments guaranteed under the FCC Northstar Guaranty (as discussed below) and the date such guaranteed payments are paid, Northstar Wireless’ payment obligations to American II under the Northstar Credit Agreement will be subordinated to such guaranteed payments.</w:t>
      </w:r>
    </w:p>
    <w:p>
      <w:pPr>
        <w:spacing w:after="0" w:line="18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March 31, 2018, American II, Northstar Wireless, and Northstar Spectrum amended and restated the Northstar Credit Agreement, to, among other things: (i) lower the interest rate on the remaining $500 million principal balance under the Northstar Credit Agreement from 12 percent per annum to six percent per annum; (ii) eliminate the higher interest rate that would apply in the case of an event of default; and (iii) modify and/or remove certain obligations of Northstar Wireless to prepay the outstanding loan amounts.</w:t>
      </w:r>
    </w:p>
    <w:p>
      <w:pPr>
        <w:spacing w:after="0" w:line="183" w:lineRule="exact"/>
        <w:rPr>
          <w:sz w:val="20"/>
          <w:szCs w:val="20"/>
          <w:color w:val="auto"/>
        </w:rPr>
      </w:pPr>
    </w:p>
    <w:p>
      <w:pPr>
        <w:ind w:left="60" w:right="499"/>
        <w:spacing w:after="0" w:line="276" w:lineRule="auto"/>
        <w:rPr>
          <w:sz w:val="20"/>
          <w:szCs w:val="20"/>
          <w:color w:val="auto"/>
        </w:rPr>
      </w:pPr>
      <w:r>
        <w:rPr>
          <w:rFonts w:ascii="Times New Roman" w:cs="Times New Roman" w:eastAsia="Times New Roman" w:hAnsi="Times New Roman"/>
          <w:sz w:val="17"/>
          <w:szCs w:val="17"/>
          <w:color w:val="auto"/>
        </w:rPr>
        <w:t>On June 7, 2018, American II, Northstar Wireless, and Northstar Spectrum amended and restated the Northstar Credit Agreement to, among other things: (i) extend the maturity date on the remaining loan balance from seven years to</w:t>
      </w:r>
    </w:p>
    <w:p>
      <w:pPr>
        <w:spacing w:after="0" w:line="1"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ten years; and (ii) remove the obligation of Northstar Wireless to obtain American II’s consent for unsecured financing and equipment financing in excess of $25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SNR Operative Agreements</w:t>
      </w:r>
    </w:p>
    <w:p>
      <w:pPr>
        <w:spacing w:after="0" w:line="22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SNR LLC Agreement</w:t>
      </w:r>
      <w:r>
        <w:rPr>
          <w:rFonts w:ascii="Times New Roman" w:cs="Times New Roman" w:eastAsia="Times New Roman" w:hAnsi="Times New Roman"/>
          <w:sz w:val="18"/>
          <w:szCs w:val="18"/>
          <w:color w:val="auto"/>
        </w:rPr>
        <w:t>. SNR HoldCo is governed by a limited liability company agreement by and between American III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SNR Management (the “SNR HoldCo LLC Agreement”). Pursuant to the SNR HoldCo LLC Agreement, American III and SNR Management made pro-rata equity contributions in SNR HoldCo.</w:t>
      </w:r>
    </w:p>
    <w:p>
      <w:pPr>
        <w:spacing w:after="0" w:line="175" w:lineRule="exact"/>
        <w:rPr>
          <w:sz w:val="20"/>
          <w:szCs w:val="20"/>
          <w:color w:val="auto"/>
        </w:rPr>
      </w:pPr>
    </w:p>
    <w:p>
      <w:pPr>
        <w:ind w:left="60" w:right="239"/>
        <w:spacing w:after="0" w:line="267" w:lineRule="auto"/>
        <w:rPr>
          <w:sz w:val="20"/>
          <w:szCs w:val="20"/>
          <w:color w:val="auto"/>
        </w:rPr>
      </w:pPr>
      <w:r>
        <w:rPr>
          <w:rFonts w:ascii="Times New Roman" w:cs="Times New Roman" w:eastAsia="Times New Roman" w:hAnsi="Times New Roman"/>
          <w:sz w:val="17"/>
          <w:szCs w:val="17"/>
          <w:color w:val="auto"/>
        </w:rPr>
        <w:t>On March 31, 2018, American III, SNR Holdco, SNR Wireless Management, and John Muleta amended and restated the SNR HoldCo LLC Agreement, to, among other things: (i) exchange $5.065 billion of the amounts outstanding and owed by SNR Wireless to American III pursuant to the SNR Credit Agreement (as defined below) for 5,065,415 Class A Preferred Interests in SNR Holdco (the “SNR Preferred Interests”); (ii) replace the existing investor protection provisions with the investor protections described by the FCC in Baker Creek Communications, LLC, Memorandum Opinion and Order, 13 FCC Rcd 18709, 18715 (1998); (iii) delete the obligation of SNR Management to consult with American III regarding budgets and business plans; and (iv) remove the requirement that SNR Management’s systems be interoperable with ours. The SNR Preferred Interests: (a) are non-voting; (b) have a 12 percent mandatory quarterly distribution, which can be paid in cash or additional face amount of SNR Preferred Interests at the sole discretion of SNR Management; and</w:t>
      </w:r>
    </w:p>
    <w:p>
      <w:pPr>
        <w:spacing w:after="0" w:line="5" w:lineRule="exact"/>
        <w:rPr>
          <w:sz w:val="20"/>
          <w:szCs w:val="20"/>
          <w:color w:val="auto"/>
        </w:rPr>
      </w:pPr>
    </w:p>
    <w:p>
      <w:pPr>
        <w:ind w:left="60" w:right="359" w:hanging="10"/>
        <w:spacing w:after="0" w:line="253" w:lineRule="auto"/>
        <w:tabs>
          <w:tab w:leader="none" w:pos="3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liquidation preference equal to the then-current face amount of the SNR Preferred Interests plus accrued and unpaid mandatory quarterly distributions in the event of certain liquidation events or deemed liquidation events (e.g., a merger or dissolution of SNR Holdco, or a sale of substantially all of SNR Holdco’s assets). As a result of the exchange noted in (i) above, a principal amount of $500 million of debt remains under the SNR Credit Agreement, as described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June 7, 2018, American III, SNR Holdco, SNR Management, and John Muleta amended and restated the Second Amended and Restated Limited Liability Company Agreement, dated March 31, 2018, by and among American III, SNR Holdco, SNR Management and John Muleta, to, among other things: (i) reduce the mandatory quarterly distribution for the SNR Preferred Interests from 12 percent to eight percent from and after June 7, 2018; (ii) increase the window for SNR Management to “put” its interest in SNR Holdco to SNR Holdco after October 27, 2020 from 30 days to 90 days;</w:t>
      </w:r>
    </w:p>
    <w:p>
      <w:pPr>
        <w:spacing w:after="0" w:line="3" w:lineRule="exact"/>
        <w:rPr>
          <w:sz w:val="20"/>
          <w:szCs w:val="20"/>
          <w:color w:val="auto"/>
        </w:rPr>
      </w:pPr>
    </w:p>
    <w:p>
      <w:pPr>
        <w:ind w:left="60" w:right="219" w:hanging="10"/>
        <w:spacing w:after="0" w:line="251" w:lineRule="auto"/>
        <w:tabs>
          <w:tab w:leader="none" w:pos="3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additional 90-day window for SNR Management to put its interest in SNR Holdco to SNR Holdco commencing on October 27, 2021; (iv) provide a right for SNR Management to require an appraisal of the fair market value of its interest in SNR Holdco at any time from October 27, 2022 through October 27, 2024, coupled with American III having the right to accept the offer to sell from SNR Management; (v) allow SNR Management to sell its interest in SNR Holdco without American III’s consent any time after October 27, 2020 (previously October 27, 2025); (vi) allow SNR Holdco to conduct an initial public offering without American III’s consent any time after October 27, 2022 (previously October 27, 2029); (vii) remove American III’s rights of first refusal with respect to SNR Management’s sale of its interest in SNR Holdco or SNR Holdco’s sale of any AWS-3 Licenses; and (viii) remove American III’s tag along rights with respect to SNR Management’s sale of its interest in SNR Holdco. SNR Management had the right to put its interest in SNR Holdco to SNR Holdco for a 90-day period from October 27, 2020. The First SNR Put Window closed in the first quarter of 2021, was not exercised and expired in January 2021.</w:t>
      </w:r>
    </w:p>
    <w:p>
      <w:pPr>
        <w:spacing w:after="0" w:line="19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November 15, 2021, we, through our wholly-owned subsidiary American III received notice that SNR Management exercised the SNR Put Right effective as of November 15, 2021. Subsequent to December 31, 2023, the FCC consented to the sale of SNR Management’s ownership interests in SNR HoldCo, which was purchased by our direct wholly-owned subsidiary EchoStar SNR HoldCo LLC for a total of approximately $442 million on February 16, 2024. This purchase resulted in the elimination of all of our redeemable noncontrolling interest as it related to SNR HoldCo as of the purchase date and we continue to consolidate the SNR Entities as wholly-owned subsidiaries.</w:t>
      </w:r>
    </w:p>
    <w:p>
      <w:pPr>
        <w:spacing w:after="0" w:line="18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i w:val="1"/>
          <w:iCs w:val="1"/>
          <w:color w:val="auto"/>
        </w:rPr>
        <w:t>SNR Credit Agreement</w:t>
      </w:r>
      <w:r>
        <w:rPr>
          <w:rFonts w:ascii="Times New Roman" w:cs="Times New Roman" w:eastAsia="Times New Roman" w:hAnsi="Times New Roman"/>
          <w:sz w:val="18"/>
          <w:szCs w:val="18"/>
          <w:color w:val="auto"/>
        </w:rPr>
        <w:t>. On October 1, 2015, American III, SNR Wireless and SNR HoldCo amended the First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dated October 13, 2014, by and among American III, as Lender, SNR Wireless, as Borrower, and SNR HoldCo, as Guarantor (as amended, the “SNR Credit Agreement”), to provide, among other things, that: (i) the SNR Interim Payment and any SNR Re-Auction Payment will be made by American III directly to the FCC and will be deemed as loans under the SNR Credit Agreement; (ii) the FCC is a third-party beneficiary with respect to American III’s obligation to pay the SNR Interim Payment and any SNR Re-Auction Payment; (iii) in the event that the winning bids from re-auction or other award of the AWS-3 licenses retained by the FCC are less than the winning bids of SNR Wireless, the purchaser, assignee or transferee of any AWS-3 Licenses from SNR Wireless is obligated to pay its pro-rata share of the difference (and SNR Wireless remains jointly and severally liable for such pro-rata share); and (iv) during the period between the due date for the payments guaranteed under the FCC SNR Guaranty (as discussed below) and the date such guaranteed payments are paid, SNR Wireless’ payment obligations to American III under the SNR Credit Agreement will be subordinated to such guaranteed payments.</w:t>
      </w:r>
    </w:p>
    <w:p>
      <w:pPr>
        <w:spacing w:after="0" w:line="19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On March 31, 2018, American III, SNR Wireless, and SNR Holdco amended and restated the SNR Credit Agreement, to, among other things: (i) lower the interest rate on the remaining $500 million principal balance under the SNR Credit Agreement from 12 percent per annum to six percent per annum; (ii) eliminate the higher interest rate that would apply in the case of an event of default; and (iii) modify and/or remove certain obligations of SNR Wireless to prepay the outstanding loan amounts.</w:t>
      </w:r>
    </w:p>
    <w:p>
      <w:pPr>
        <w:spacing w:after="0" w:line="183"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On June 7, 2018, American III, SNR Wireless, and SNR Holdco amended and restated the SNR Credit Agreement to, among other things: (i) extend the maturity date on the remaining loan balance from seven years to ten years; and</w:t>
      </w:r>
    </w:p>
    <w:p>
      <w:pPr>
        <w:ind w:left="60" w:right="639" w:hanging="10"/>
        <w:spacing w:after="0" w:line="260" w:lineRule="auto"/>
        <w:tabs>
          <w:tab w:leader="none" w:pos="3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obligation of SNR Wireless to obtain American III’s consent for unsecured financing and equipment financing in excess of $25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 Insurance</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generally do not carry commercial launch or in-orbit insurance on any of the satellites we own. We generally do not use commercial insurance to mitigate the potential financial impact of launch or in-orbit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Our 2023 purchase obligations primarily consist of binding purchase orders for certain fixed contractual commitments to purchase programming content, receiver systems and related equipment, broadband equipment, digital broadcast operations, transmission costs, streaming delivery technology and infrastructure, engineering services, and other products and services. In addition, our 2023 purchase obligations also include wireless devices related to our Retail Wireless business. Our purchase obligations may fluctuate significantly from period to period due to, among other things, management’s timing of payments and inventory purchases, which can materially impact our future operating asset and liability balances, and our future working capital requirements. Furthermore, our 2023 purchase obligations related to certain 5G Network Deployment commitments are included in “Other long-term obligations” in the “Commitments” table above.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Programming Contracts</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contracts to purchase programming content in which our payment obligations are generally contingent on the number of Pay-TV subscribers to whom we provide the respective content. These programming commitments are not included in the “Commitments” table above. The terms of our contracts typically range from one to ten years 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Patents and Intellectual Property</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w:t>
      </w:r>
    </w:p>
    <w:p>
      <w:pPr>
        <w:spacing w:after="0" w:line="18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60" w:right="279"/>
        <w:spacing w:after="0" w:line="274" w:lineRule="auto"/>
        <w:rPr>
          <w:sz w:val="20"/>
          <w:szCs w:val="20"/>
          <w:color w:val="auto"/>
        </w:rPr>
      </w:pPr>
      <w:r>
        <w:rPr>
          <w:rFonts w:ascii="Times New Roman" w:cs="Times New Roman" w:eastAsia="Times New Roman" w:hAnsi="Times New Roman"/>
          <w:sz w:val="17"/>
          <w:szCs w:val="17"/>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ClearPlay, Inc.</w:t>
      </w:r>
    </w:p>
    <w:p>
      <w:pPr>
        <w:spacing w:after="0" w:line="227" w:lineRule="exact"/>
        <w:rPr>
          <w:sz w:val="20"/>
          <w:szCs w:val="20"/>
          <w:color w:val="auto"/>
        </w:rPr>
      </w:pPr>
    </w:p>
    <w:p>
      <w:pPr>
        <w:jc w:val="both"/>
        <w:ind w:left="60" w:right="259"/>
        <w:spacing w:after="0" w:line="272" w:lineRule="auto"/>
        <w:rPr>
          <w:sz w:val="20"/>
          <w:szCs w:val="20"/>
          <w:color w:val="auto"/>
        </w:rPr>
      </w:pPr>
      <w:r>
        <w:rPr>
          <w:rFonts w:ascii="Times New Roman" w:cs="Times New Roman" w:eastAsia="Times New Roman" w:hAnsi="Times New Roman"/>
          <w:sz w:val="17"/>
          <w:szCs w:val="17"/>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Nos.</w:t>
      </w:r>
    </w:p>
    <w:p>
      <w:pPr>
        <w:spacing w:after="0" w:line="2"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94"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87"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Data Breach Class Actions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May 9, 2023, Susan Owen-Brooks, an alleged customer, filed a putative class action complaint against our wholly-owned subsidiary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On behalf of the nationwide class, she alleges claims for contractual breaches, negligence and unjust enrichment (and, on behalf of the North Carolina subclass only, violation of the North Carolina Deceptive Trade Practices Act), and seeks monetary damages, injunctive relief and a declaratory judgment.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the plaintiffs filed a consolidated amended class action complaint.</w:t>
      </w:r>
    </w:p>
    <w:p>
      <w:pPr>
        <w:spacing w:after="0" w:line="192"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We intend to vigorously defend this case. We cannot predict with any degree of certainty the outcome of the suit or determine the extent of any potential liability or damages.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Digital Broadcasting Solutions, LLC</w:t>
      </w:r>
    </w:p>
    <w:p>
      <w:pPr>
        <w:spacing w:after="0" w:line="22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8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222222"/>
        </w:rPr>
        <w:t xml:space="preserve">In May 2023, DISH Network L.L.C. and DISH Technologies L.L.C. </w:t>
      </w:r>
      <w:r>
        <w:rPr>
          <w:rFonts w:ascii="Times New Roman" w:cs="Times New Roman" w:eastAsia="Times New Roman" w:hAnsi="Times New Roman"/>
          <w:sz w:val="18"/>
          <w:szCs w:val="18"/>
          <w:color w:val="000000"/>
        </w:rPr>
        <w:t>filed petitions with the United States Patent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Trademark Office challenging the validity of all claims of the 710 patent and the 122 patent and, on December 11, 2023, the United States Patent and Trademark Office entered decisions instituting each petition.</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Entropic Communications, LLC (first action)</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On March 9, 2022, Entropic Communications, LLC (“Entropic”) filed a complaint against our wholly-owned subsidiaries DISH Network, DISH Network L.L.C. and Dish Network Service L.L.C. in the United States District Court for the Eastern District of Texas. The complaint alleges infringement of U.S. Patent No. 7,130,576 (the “576 patent”),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w:t>
      </w:r>
    </w:p>
    <w:p>
      <w:pPr>
        <w:spacing w:after="0" w:line="18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October 24, 2022, this case was ordered to be transferred to the United States District Court for the Central District of California. A companion case against DirecTV was also ordered transferred to the United States District Court for the Central District of California.</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222222"/>
        </w:rPr>
        <w:t xml:space="preserve">In January and February of 2023, DISH Network L.L.C. and Dish Network Service L.L.C. </w:t>
      </w:r>
      <w:r>
        <w:rPr>
          <w:rFonts w:ascii="Times New Roman" w:cs="Times New Roman" w:eastAsia="Times New Roman" w:hAnsi="Times New Roman"/>
          <w:sz w:val="18"/>
          <w:szCs w:val="18"/>
          <w:color w:val="000000"/>
        </w:rPr>
        <w:t>filed petitions with the United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States Patent and Trademark Office challenging the validity of all claims of the 715 patent, all claims of the 008 patent, and 25 claims of the 576 patent, which includes all of its asserted claims.</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Entropic Communications, LLC (second action)</w:t>
      </w:r>
    </w:p>
    <w:p>
      <w:pPr>
        <w:spacing w:after="0" w:line="22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w:t>
      </w:r>
    </w:p>
    <w:p>
      <w:pPr>
        <w:spacing w:after="0" w:line="5"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 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w:t>
      </w:r>
    </w:p>
    <w:p>
      <w:pPr>
        <w:spacing w:after="0" w:line="19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Freedom Patents</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7, 2023, Freedom Patents LLC filed a complaint against our wholly-owned subsidiaries DISH Network,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w:t>
      </w:r>
    </w:p>
    <w:p>
      <w:pPr>
        <w:spacing w:after="0" w:line="188"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1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Jones 401(k) Litigation</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Times New Roman" w:cs="Times New Roman" w:eastAsia="Times New Roman" w:hAnsi="Times New Roman"/>
          <w:sz w:val="18"/>
          <w:szCs w:val="18"/>
          <w:color w:val="222222"/>
        </w:rPr>
        <w:t>On February 1, 2023, a Magistrate Judge issued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w:t>
      </w:r>
    </w:p>
    <w:p>
      <w:pPr>
        <w:spacing w:after="0" w:line="192"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We intend to vigorously defend this case. We cannot predict with any degree of certainty the outcome of the suit or determine the extent of any potential liability or damages.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Fee Dispute with Government of India, Department of Telecommunications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9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December 31, 2023 the gross amount of fees, penalties and interest owed was approximately $90 million with $62 million </w:t>
      </w:r>
      <w:r>
        <w:rPr>
          <w:rFonts w:ascii="Times New Roman" w:cs="Times New Roman" w:eastAsia="Times New Roman" w:hAnsi="Times New Roman"/>
          <w:sz w:val="18"/>
          <w:szCs w:val="18"/>
          <w:color w:val="222222"/>
        </w:rPr>
        <w:t>remaining outstanding as a result of historical payments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Pursuant to the Contribution and Membership Interest Purchase Agreement (the “Purchase Agreement”) dated December 3, 2004 between The DirecTV Group, Inc. (“DirecTV”) and certain other entities relating to the spinoff by DirecTV of certain of its subsidiaries, including HCIPL, DirecTV undertook indemnification obligations to HCIPL, and HCIPL has pursued indemnification claims in the United States District Court for the Southern District of New York against DirecTV under the Purchase Agreement in connection with the license fees assessed in this proceeding. On June 22, 2023, the United States Court of Appeals for the Second Circuit ruled that, under the Purchase Agreement, HCIPL, is entitled to indemnification from DirecTV, with the amount of indemnification to be determined in further proceedings before the district court in New York.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Lingam Securities Class Action (formerly Jaramillo)</w:t>
      </w:r>
    </w:p>
    <w:p>
      <w:pPr>
        <w:spacing w:after="0" w:line="22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On March 23, 2023, a securities fraud class action complaint was filed against our wholly-owned subsidiary DISH Network and Messrs. Ergen, Carlson and Orban in the United States District Court for the District of Colorado. The complaint is brought on behalf of a putative class of purchasers of our securities during the February 22, 2021 to February 27, 2023 class period. In general, the complaint alleges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adds as individual defendants James S. Allen, DISH Network’s Senior Vice President and Chief Accounting Officer; John Swieringa, our President, Technology and Chief Operating Officer; Dave Mayo, DISH Network’s former Executive Vice President of Network Development; Marc Rouanne, DISH Network’s Executive Vice President and Chief Network Officer; and Stephen Bye, DISH Network’s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94"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We intend to vigorously defend this case. We cannot predict with any degree of certainty the outcome of the suit or determine the extent of any potential liability or damages.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Realtime Data LLC and Realtime Adaptive Streaming LLC</w:t>
      </w:r>
    </w:p>
    <w:p>
      <w:pPr>
        <w:spacing w:after="0" w:line="227"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On June 6, 2017, Realtime Data LLC d/b/a IXO (“Realtime”) filed an amended complaint in the United States District Court for the Eastern District of Texas (the “Original Texas Action”) against us and our wholly-owned subsidiaries DISH Network, DISH Network L.L.C., DISH Technologies L.L.C. (then known as EchoStar Technologies L.L.C.), Sling TV L.L.C., Sling Media L.L.C. and Hughes Network Systems, L.L.C. (“HNS”); and Arris Group, Inc. Realtime’s initial complaint in the Original Texas Action, filed on February 14, 2017, had named only us and our wholly-owned subsidiary HNS as defendants.</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200" w:lineRule="exact"/>
        <w:rPr>
          <w:sz w:val="20"/>
          <w:szCs w:val="20"/>
          <w:color w:val="auto"/>
        </w:rPr>
      </w:pPr>
    </w:p>
    <w:p>
      <w:pPr>
        <w:spacing w:after="0" w:line="204"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94"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7"/>
          <w:szCs w:val="17"/>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7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we and HNS were dismissed from the Original Texas Action in February 2019, and Arris Group, Inc. was dismissed from the Colorado Action in March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8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w:t>
      </w:r>
    </w:p>
    <w:p>
      <w:pPr>
        <w:spacing w:after="0" w:line="189"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21, 2022, the District Court granted the motion by DISH Network L.L.C., DISH Technologies L.L.C., Sling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TV L.L.C. and Sling Media L.L.C. to have the case declared “exceptional,” and on September 20, 2022, awarded them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$3.9 million in attorneys’ fees. Realtime Adaptive Streaming filed a notice of appeal to the United States Court of Appeals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Federal Circuit from the exceptionality and fee award orders, and that appeal is now fully briefed and scheduled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oral argument on April 2, 2024.</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SafeCast Limited</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June 27, 2022, SafeCast Limited filed a complaint against our wholly-owned subsidiary DISH Network in the United States District Court for the Western District of Texas. The complaint alleges that DISH Network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 On December 1, 2022, SafeCast filed an amended complaint naming our wholly-owned subsidiaries DISH Network L.L.C. and DISH Technologies L.L.C. as defendants and withdrawing the allegations as to DISH Network. On June 22, 2023, DISH Network L.L.C. and DISH Technologies L.L.C. filed a petition with the United States Patent and Trademark Office challenging the validity of the asserted claims of the 302 patent. On August 28, 2023, the Court stayed the case pending resolution of the petition.</w:t>
      </w:r>
    </w:p>
    <w:p>
      <w:pPr>
        <w:spacing w:after="0" w:line="19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Sound View Innovations, LLC</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w:t>
      </w:r>
    </w:p>
    <w:p>
      <w:pPr>
        <w:spacing w:after="0" w:line="194"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7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State of Illinois ex rel. Rodriguez</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w:t>
      </w:r>
    </w:p>
    <w:p>
      <w:pPr>
        <w:spacing w:after="0" w:line="190"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We intend to vigorously defend this case. We cannot predict with any degree of certainty the outcome of the suit or determine the extent of any potential liability or damages.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TQ Delta, LLC</w:t>
      </w:r>
    </w:p>
    <w:p>
      <w:pPr>
        <w:spacing w:after="0" w:line="227" w:lineRule="exact"/>
        <w:rPr>
          <w:sz w:val="20"/>
          <w:szCs w:val="20"/>
          <w:color w:val="auto"/>
        </w:rPr>
      </w:pPr>
    </w:p>
    <w:p>
      <w:pPr>
        <w:ind w:left="60" w:right="259"/>
        <w:spacing w:after="0" w:line="270" w:lineRule="auto"/>
        <w:rPr>
          <w:sz w:val="20"/>
          <w:szCs w:val="20"/>
          <w:color w:val="auto"/>
        </w:rPr>
      </w:pPr>
      <w:r>
        <w:rPr>
          <w:rFonts w:ascii="Times New Roman" w:cs="Times New Roman" w:eastAsia="Times New Roman" w:hAnsi="Times New Roman"/>
          <w:sz w:val="17"/>
          <w:szCs w:val="17"/>
          <w:color w:val="auto"/>
        </w:rPr>
        <w:t>On July 17, 2015, TQ Delta, LLC (“TQ Delta”) filed a complaint against our wholly-owned subsidiaries DISH Network,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w:t>
      </w:r>
    </w:p>
    <w:p>
      <w:pPr>
        <w:spacing w:after="0" w:line="3"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w:t>
      </w:r>
    </w:p>
    <w:p>
      <w:pPr>
        <w:spacing w:after="0" w:line="3"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No. 8,611,404 (the “404 patent”), which is entitled “Multicarrier Transmission System with Low Power Sleep Mode and Rapid-On Capability.”</w:t>
      </w:r>
    </w:p>
    <w:p>
      <w:pPr>
        <w:spacing w:after="0" w:line="18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us Corporation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87" w:lineRule="exact"/>
        <w:rPr>
          <w:sz w:val="20"/>
          <w:szCs w:val="20"/>
          <w:color w:val="auto"/>
        </w:rPr>
      </w:pPr>
    </w:p>
    <w:p>
      <w:pPr>
        <w:ind w:left="60" w:right="439"/>
        <w:spacing w:after="0" w:line="257" w:lineRule="auto"/>
        <w:rPr>
          <w:sz w:val="20"/>
          <w:szCs w:val="20"/>
          <w:color w:val="auto"/>
        </w:rPr>
      </w:pPr>
      <w:r>
        <w:rPr>
          <w:rFonts w:ascii="Times New Roman" w:cs="Times New Roman" w:eastAsia="Times New Roman" w:hAnsi="Times New Roman"/>
          <w:sz w:val="18"/>
          <w:szCs w:val="18"/>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February 9, 2017, the United States Patent and Trademark Office agreed to institute proceedings on DISH Network’s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petition related to the 404 patent, and on February 13, 2017, the United States Patent and Trademark Office agreed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institute proceedings on our petition related to the 268 patent. On February 27, 2017, the United States Patent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 Office granted DISH Network’s motions to join the instituted petitions on the 243 and 412 patents.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26, 2017, the United States Patent and Trademark Office issued final written decisions on the petitions challenging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158 patent, the 243 patent, the 412 patent and the 430 patent, and it invalidated all of the asserted claims of those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patents.</w:t>
      </w:r>
    </w:p>
    <w:p>
      <w:pPr>
        <w:spacing w:after="0" w:line="207"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the United States Patent and Trademark Office confirmed the challenged claims of the 243 patent. In a proposed supplemental report, TQ Delta’s damages expert contends that TQ Delta is entitled to $251 million in damages.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Uniloc 2017 LLC</w:t>
      </w:r>
    </w:p>
    <w:p>
      <w:pPr>
        <w:spacing w:after="0" w:line="227"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w:t>
      </w:r>
    </w:p>
    <w:p>
      <w:pPr>
        <w:spacing w:after="0" w:line="5" w:lineRule="exact"/>
        <w:rPr>
          <w:sz w:val="20"/>
          <w:szCs w:val="20"/>
          <w:color w:val="auto"/>
        </w:rPr>
      </w:pPr>
    </w:p>
    <w:p>
      <w:pPr>
        <w:ind w:left="60" w:right="559"/>
        <w:spacing w:after="0" w:line="250" w:lineRule="auto"/>
        <w:rPr>
          <w:sz w:val="20"/>
          <w:szCs w:val="20"/>
          <w:color w:val="auto"/>
        </w:rPr>
      </w:pPr>
      <w:r>
        <w:rPr>
          <w:rFonts w:ascii="Times New Roman" w:cs="Times New Roman" w:eastAsia="Times New Roman" w:hAnsi="Times New Roman"/>
          <w:sz w:val="18"/>
          <w:szCs w:val="18"/>
          <w:color w:val="auto"/>
        </w:rPr>
        <w:t>No. 8,407,609 (the “609 patent”), which is entitled “System and Method for Providing and Tracking the Provision of Audio and Visual Presentations Via a Computer Network.”</w:t>
      </w:r>
    </w:p>
    <w:p>
      <w:pPr>
        <w:spacing w:after="0" w:line="1"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8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On November 9, 2022, Uniloc filed a notice of appeal of that revised final written decision, and briefing was completed on August 11, 2023.</w:t>
      </w:r>
    </w:p>
    <w:p>
      <w:pPr>
        <w:spacing w:after="0" w:line="189"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Uniloc is an entity that seeks to license an acquired patent portfolio without itself practicing any of the claims recited therein.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Vermont National Telephone Company</w:t>
      </w:r>
    </w:p>
    <w:p>
      <w:pPr>
        <w:spacing w:after="0" w:line="22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Times New Roman" w:cs="Times New Roman" w:eastAsia="Times New Roman" w:hAnsi="Times New Roman"/>
          <w:sz w:val="18"/>
          <w:szCs w:val="18"/>
          <w:i w:val="1"/>
          <w:iCs w:val="1"/>
          <w:color w:val="auto"/>
        </w:rPr>
        <w:t>SNR Wireless LicenseCo, LLC, et al. v. F.C.C.</w:t>
      </w:r>
      <w:r>
        <w:rPr>
          <w:rFonts w:ascii="Times New Roman" w:cs="Times New Roman" w:eastAsia="Times New Roman" w:hAnsi="Times New Roman"/>
          <w:sz w:val="18"/>
          <w:szCs w:val="18"/>
          <w:color w:val="auto"/>
        </w:rPr>
        <w:t xml:space="preserve"> The D.C. Circuit issued its opinion on August 29, 2017 and remanded the matter to the FCC for further proceedings. See </w:t>
      </w:r>
      <w:r>
        <w:rPr>
          <w:rFonts w:ascii="Times New Roman" w:cs="Times New Roman" w:eastAsia="Times New Roman" w:hAnsi="Times New Roman"/>
          <w:sz w:val="18"/>
          <w:szCs w:val="18"/>
          <w:i w:val="1"/>
          <w:iCs w:val="1"/>
          <w:color w:val="auto"/>
        </w:rPr>
        <w:t>“Commitments – DISH Network Noncontrolling 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the Northstar Entities and the SNR Entities Related to AWS-3 Wireless Spectrum Licenses” </w:t>
      </w:r>
      <w:r>
        <w:rPr>
          <w:rFonts w:ascii="Times New Roman" w:cs="Times New Roman" w:eastAsia="Times New Roman" w:hAnsi="Times New Roman"/>
          <w:sz w:val="18"/>
          <w:szCs w:val="18"/>
          <w:color w:val="auto"/>
        </w:rPr>
        <w:t>above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w:t>
      </w:r>
    </w:p>
    <w:p>
      <w:pPr>
        <w:spacing w:after="0" w:line="194"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We intend to vigorously defend this case. We cannot predict with any degree of certainty the outcome of this proceeding or determine the extent of any potential liability or damages.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Operating segments are components of an enterprise for which separate financial information is available and regularly evaluated by the chief operating decision maker(s) of an enterprise. Operating income is the primary measure used by our chief operating decision maker to evaluate segment operating performance. We currently operate four primary business segments: (1) Pay-TV; (2) Retail Wireless; (3) 5G Network Deployment; and (4) Broadband and Satellite Services. See Note 1 for further information.</w:t>
      </w:r>
    </w:p>
    <w:p>
      <w:pPr>
        <w:spacing w:after="0" w:line="183"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All other and eliminations primarily include intersegment eliminations related to intercompany debt and the related interest income and interest expense, which are eliminated in consolidation.</w:t>
      </w:r>
    </w:p>
    <w:p>
      <w:pPr>
        <w:spacing w:after="0" w:line="162"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The total assets, revenue and operating income, and purchases of property and equipment, net of refunds, (including capitalized interest related to Regulatory authorizations) by segment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5"/>
                <w:szCs w:val="15"/>
                <w:color w:val="auto"/>
              </w:rPr>
            </w:pPr>
          </w:p>
        </w:tc>
      </w:tr>
      <w:tr>
        <w:trPr>
          <w:trHeight w:val="148"/>
        </w:trPr>
        <w:tc>
          <w:tcPr>
            <w:tcW w:w="5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28"/>
        </w:trPr>
        <w:tc>
          <w:tcPr>
            <w:tcW w:w="5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40" w:type="dxa"/>
            <w:vAlign w:val="bottom"/>
            <w:gridSpan w:val="3"/>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11"/>
                <w:szCs w:val="11"/>
                <w:color w:val="auto"/>
              </w:rPr>
            </w:pPr>
          </w:p>
        </w:tc>
      </w:tr>
      <w:tr>
        <w:trPr>
          <w:trHeight w:val="149"/>
        </w:trPr>
        <w:tc>
          <w:tcPr>
            <w:tcW w:w="5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Pay-TV</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49,437,958</w:t>
            </w:r>
          </w:p>
        </w:tc>
        <w:tc>
          <w:tcPr>
            <w:tcW w:w="320" w:type="dxa"/>
            <w:vAlign w:val="bottom"/>
          </w:tcPr>
          <w:p>
            <w:pPr>
              <w:spacing w:after="0"/>
              <w:rPr>
                <w:sz w:val="12"/>
                <w:szCs w:val="12"/>
                <w:color w:val="auto"/>
              </w:rPr>
            </w:pPr>
          </w:p>
        </w:tc>
        <w:tc>
          <w:tcPr>
            <w:tcW w:w="60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46,295,495</w:t>
            </w:r>
          </w:p>
        </w:tc>
      </w:tr>
      <w:tr>
        <w:trPr>
          <w:trHeight w:val="148"/>
        </w:trPr>
        <w:tc>
          <w:tcPr>
            <w:tcW w:w="5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Retail Wireless</w:t>
            </w: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777,957</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2,798,561</w:t>
            </w: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5G Network Deployment (1)</w:t>
            </w:r>
          </w:p>
        </w:tc>
        <w:tc>
          <w:tcPr>
            <w:tcW w:w="3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46,793,378</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43,462,442</w:t>
            </w:r>
          </w:p>
        </w:tc>
      </w:tr>
      <w:tr>
        <w:trPr>
          <w:trHeight w:val="148"/>
        </w:trPr>
        <w:tc>
          <w:tcPr>
            <w:tcW w:w="5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Broadband and Satellite Services</w:t>
            </w: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5,811,553</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6,254,050</w:t>
            </w:r>
          </w:p>
        </w:tc>
      </w:tr>
      <w:tr>
        <w:trPr>
          <w:trHeight w:val="149"/>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Eliminations (1)</w:t>
            </w:r>
          </w:p>
        </w:tc>
        <w:tc>
          <w:tcPr>
            <w:tcW w:w="380" w:type="dxa"/>
            <w:vAlign w:val="bottom"/>
          </w:tcPr>
          <w:p>
            <w:pPr>
              <w:spacing w:after="0"/>
              <w:rPr>
                <w:sz w:val="12"/>
                <w:szCs w:val="12"/>
                <w:color w:val="auto"/>
              </w:rPr>
            </w:pPr>
          </w:p>
        </w:tc>
        <w:tc>
          <w:tcPr>
            <w:tcW w:w="16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(45,711,952)</w:t>
            </w:r>
          </w:p>
        </w:tc>
        <w:tc>
          <w:tcPr>
            <w:tcW w:w="6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(40,062,267)</w:t>
            </w:r>
          </w:p>
        </w:tc>
      </w:tr>
      <w:tr>
        <w:trPr>
          <w:trHeight w:val="142"/>
        </w:trPr>
        <w:tc>
          <w:tcPr>
            <w:tcW w:w="51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57,108,894</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58,748,281</w:t>
            </w:r>
          </w:p>
        </w:tc>
      </w:tr>
      <w:tr>
        <w:trPr>
          <w:trHeight w:val="20"/>
        </w:trPr>
        <w:tc>
          <w:tcPr>
            <w:tcW w:w="5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0" w:lineRule="exact"/>
        <w:rPr>
          <w:sz w:val="20"/>
          <w:szCs w:val="20"/>
          <w:color w:val="auto"/>
        </w:rPr>
      </w:pPr>
    </w:p>
    <w:p>
      <w:pPr>
        <w:ind w:left="380" w:right="579" w:hanging="330"/>
        <w:spacing w:after="0" w:line="282"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primarily resulted from intercompany advances for capital expenditures related to our 5G Network Deployment.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Pay-TV</w:t>
            </w:r>
          </w:p>
        </w:tc>
        <w:tc>
          <w:tcPr>
            <w:tcW w:w="120" w:type="dxa"/>
            <w:vAlign w:val="bottom"/>
            <w:vMerge w:val="restart"/>
          </w:tcPr>
          <w:p>
            <w:pPr>
              <w:spacing w:after="0"/>
              <w:rPr>
                <w:sz w:val="13"/>
                <w:szCs w:val="13"/>
                <w:color w:val="auto"/>
              </w:rPr>
            </w:pPr>
          </w:p>
        </w:tc>
        <w:tc>
          <w:tcPr>
            <w:tcW w:w="9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Retail Wireless</w:t>
            </w:r>
          </w:p>
        </w:tc>
        <w:tc>
          <w:tcPr>
            <w:tcW w:w="16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5G Network</w:t>
            </w:r>
          </w:p>
        </w:tc>
        <w:tc>
          <w:tcPr>
            <w:tcW w:w="160" w:type="dxa"/>
            <w:vAlign w:val="bottom"/>
          </w:tcPr>
          <w:p>
            <w:pPr>
              <w:spacing w:after="0"/>
              <w:rPr>
                <w:sz w:val="13"/>
                <w:szCs w:val="13"/>
                <w:color w:val="auto"/>
              </w:rPr>
            </w:pP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Broadband and</w:t>
            </w:r>
          </w:p>
        </w:tc>
        <w:tc>
          <w:tcPr>
            <w:tcW w:w="60" w:type="dxa"/>
            <w:vAlign w:val="bottom"/>
          </w:tcPr>
          <w:p>
            <w:pPr>
              <w:spacing w:after="0"/>
              <w:rPr>
                <w:sz w:val="13"/>
                <w:szCs w:val="13"/>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All Other &amp;</w:t>
            </w:r>
          </w:p>
        </w:tc>
        <w:tc>
          <w:tcPr>
            <w:tcW w:w="10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Deployment</w:t>
            </w:r>
          </w:p>
        </w:tc>
        <w:tc>
          <w:tcPr>
            <w:tcW w:w="160" w:type="dxa"/>
            <w:vAlign w:val="bottom"/>
          </w:tcPr>
          <w:p>
            <w:pPr>
              <w:spacing w:after="0"/>
              <w:rPr>
                <w:sz w:val="15"/>
                <w:szCs w:val="15"/>
                <w:color w:val="auto"/>
              </w:rPr>
            </w:pP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Satellite Services</w:t>
            </w:r>
          </w:p>
        </w:tc>
        <w:tc>
          <w:tcPr>
            <w:tcW w:w="6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tcPr>
          <w:p>
            <w:pPr>
              <w:ind w:left="220"/>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11,571,159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3,692,372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1,755,559</w:t>
            </w:r>
          </w:p>
        </w:tc>
        <w:tc>
          <w:tcPr>
            <w:tcW w:w="10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(95,420)</w:t>
            </w:r>
          </w:p>
        </w:tc>
        <w:tc>
          <w:tcPr>
            <w:tcW w:w="2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17,015,598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2,699,810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(643,184)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(1,881,369)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2,604,599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(2,506,023)</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(1,290,099)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(1,186,468)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2,506,445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(1,770,792)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Income tax (provision) benefit,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(578,739)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201,091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3,509,685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(2,338,088)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12,505,392</w:t>
            </w:r>
          </w:p>
        </w:tc>
        <w:tc>
          <w:tcPr>
            <w:tcW w:w="12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4,135,129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1,998,093</w:t>
            </w:r>
          </w:p>
        </w:tc>
        <w:tc>
          <w:tcPr>
            <w:tcW w:w="10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(70,136)</w:t>
            </w:r>
          </w:p>
        </w:tc>
        <w:tc>
          <w:tcPr>
            <w:tcW w:w="2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18,634,246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2,933,898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(810,968)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1,872,645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(1,830,310)</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(1,036,829)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(766,703)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1,830,607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1,088,441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Income tax (provision) benefit,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(911,955)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2,859,023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2,536,892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12,928,707</w:t>
            </w:r>
          </w:p>
        </w:tc>
        <w:tc>
          <w:tcPr>
            <w:tcW w:w="12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4,897,205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1,985,720</w:t>
            </w:r>
          </w:p>
        </w:tc>
        <w:tc>
          <w:tcPr>
            <w:tcW w:w="10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(66,843)</w:t>
            </w:r>
          </w:p>
        </w:tc>
        <w:tc>
          <w:tcPr>
            <w:tcW w:w="2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19,818,678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(21,089)</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3,075,579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(216,330)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(1,335,406)</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 net of amounts capitalized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(819,510)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(530,525)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1,335,705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Income tax (provision) benefit,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(853,363)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(95,982)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2,746,291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2,521,435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Broadband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5G Network</w:t>
            </w:r>
          </w:p>
        </w:tc>
        <w:tc>
          <w:tcPr>
            <w:tcW w:w="16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and Satellite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Pay-TV</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Retail Wireless</w:t>
            </w:r>
          </w:p>
        </w:tc>
        <w:tc>
          <w:tcPr>
            <w:tcW w:w="160" w:type="dxa"/>
            <w:vAlign w:val="bottom"/>
          </w:tcPr>
          <w:p>
            <w:pPr>
              <w:spacing w:after="0"/>
              <w:rPr>
                <w:sz w:val="18"/>
                <w:szCs w:val="18"/>
                <w:color w:val="auto"/>
              </w:rPr>
            </w:pPr>
          </w:p>
        </w:tc>
        <w:tc>
          <w:tcPr>
            <w:tcW w:w="8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Deployment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Purchases of property and equipment,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 refunds, (including capitalized interest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related to regulatory authorizations)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$ 242,736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3,748,624</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233,423</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8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Purchases of property and equipment, net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 refunds, (including capitalized interest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to regulatory authorizations)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$ 131,093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3,580,518</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325,891</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4,034,781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Purchases of property and equipment,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 refunds, (including capitalized interest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related to regulatory authorizations)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$ 173,485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1,790,042</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438,430</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(4,760)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7" w:name="page218"/>
    <w:bookmarkEnd w:id="2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Geographic Information. </w:t>
      </w:r>
      <w:r>
        <w:rPr>
          <w:rFonts w:ascii="Times New Roman" w:cs="Times New Roman" w:eastAsia="Times New Roman" w:hAnsi="Times New Roman"/>
          <w:sz w:val="18"/>
          <w:szCs w:val="18"/>
          <w:color w:val="auto"/>
        </w:rPr>
        <w:t>Revenue is attributed to geographic regions based upon the customer billing location. Long-lived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are associated with the geographic regions based upon the location where the asset resides. Geographic regions consist of: (i) North America, including the U.S. and its territories, Mexico, and Canada; (ii) Foreign, including South and Central America, Asia, Africa, Australia, Europe, India, and the Middle East.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revenue by geographic region: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7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right"/>
              <w:ind w:right="677"/>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615"/>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6"/>
        </w:trPr>
        <w:tc>
          <w:tcPr>
            <w:tcW w:w="2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16,670,377</w:t>
            </w:r>
          </w:p>
        </w:tc>
        <w:tc>
          <w:tcPr>
            <w:tcW w:w="6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18,244,417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19,479,649</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345,221</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389,829</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339,029</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17,015,598</w:t>
            </w: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18,634,246</w:t>
            </w:r>
          </w:p>
        </w:tc>
        <w:tc>
          <w:tcPr>
            <w:tcW w:w="3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19,818,678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long-lived assets by geographic region:</w:t>
      </w: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gridSpan w:val="3"/>
          </w:tcPr>
          <w:p>
            <w:pPr>
              <w:jc w:val="right"/>
              <w:ind w:right="21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50,965,318</w:t>
            </w:r>
          </w:p>
        </w:tc>
        <w:tc>
          <w:tcPr>
            <w:tcW w:w="9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234,944</w:t>
            </w: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51,200,262</w:t>
            </w: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48,124,395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revenue from external customers disaggregated by major revenue source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00" w:type="dxa"/>
            <w:vAlign w:val="bottom"/>
          </w:tcPr>
          <w:p>
            <w:pPr>
              <w:spacing w:after="0"/>
              <w:rPr>
                <w:sz w:val="17"/>
                <w:szCs w:val="17"/>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196"/>
        </w:trPr>
        <w:tc>
          <w:tcPr>
            <w:tcW w:w="4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Pay-TV subscriber and related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11,385,961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12,360,601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12,787,485</w:t>
            </w:r>
          </w:p>
        </w:tc>
        <w:tc>
          <w:tcPr>
            <w:tcW w:w="80" w:type="dxa"/>
            <w:vAlign w:val="bottom"/>
            <w:shd w:val="clear" w:color="auto" w:fill="CCEEFF"/>
          </w:tcPr>
          <w:p>
            <w:pPr>
              <w:spacing w:after="0"/>
              <w:rPr>
                <w:sz w:val="18"/>
                <w:szCs w:val="18"/>
                <w:color w:val="auto"/>
              </w:rPr>
            </w:pPr>
          </w:p>
        </w:tc>
      </w:tr>
      <w:tr>
        <w:trPr>
          <w:trHeight w:val="21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Retail wireless services and related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3,337,240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3,653,909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4,142,883</w:t>
            </w:r>
          </w:p>
        </w:tc>
        <w:tc>
          <w:tcPr>
            <w:tcW w:w="80" w:type="dxa"/>
            <w:vAlign w:val="bottom"/>
          </w:tcPr>
          <w:p>
            <w:pPr>
              <w:spacing w:after="0"/>
              <w:rPr>
                <w:sz w:val="18"/>
                <w:szCs w:val="18"/>
                <w:color w:val="auto"/>
              </w:rPr>
            </w:pPr>
          </w:p>
        </w:tc>
      </w:tr>
      <w:tr>
        <w:trPr>
          <w:trHeight w:val="21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and satellite services and other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1,443,616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1,611,069</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1,702,288</w:t>
            </w:r>
          </w:p>
        </w:tc>
        <w:tc>
          <w:tcPr>
            <w:tcW w:w="80" w:type="dxa"/>
            <w:vAlign w:val="bottom"/>
            <w:shd w:val="clear" w:color="auto" w:fill="CCEEFF"/>
          </w:tcPr>
          <w:p>
            <w:pPr>
              <w:spacing w:after="0"/>
              <w:rPr>
                <w:sz w:val="19"/>
                <w:szCs w:val="19"/>
                <w:color w:val="auto"/>
              </w:rPr>
            </w:pPr>
          </w:p>
        </w:tc>
      </w:tr>
      <w:tr>
        <w:trPr>
          <w:trHeight w:val="21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Pay-TV equipment sales and other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141,222</w:t>
            </w:r>
          </w:p>
        </w:tc>
        <w:tc>
          <w:tcPr>
            <w:tcW w:w="80" w:type="dxa"/>
            <w:vAlign w:val="bottom"/>
          </w:tcPr>
          <w:p>
            <w:pPr>
              <w:spacing w:after="0"/>
              <w:rPr>
                <w:sz w:val="18"/>
                <w:szCs w:val="18"/>
                <w:color w:val="auto"/>
              </w:rPr>
            </w:pPr>
          </w:p>
        </w:tc>
      </w:tr>
      <w:tr>
        <w:trPr>
          <w:trHeight w:val="21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wireless equipment sales and other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355,132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481,220</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754,322</w:t>
            </w:r>
          </w:p>
        </w:tc>
        <w:tc>
          <w:tcPr>
            <w:tcW w:w="80" w:type="dxa"/>
            <w:vAlign w:val="bottom"/>
            <w:shd w:val="clear" w:color="auto" w:fill="CCEEFF"/>
          </w:tcPr>
          <w:p>
            <w:pPr>
              <w:spacing w:after="0"/>
              <w:rPr>
                <w:sz w:val="19"/>
                <w:szCs w:val="19"/>
                <w:color w:val="auto"/>
              </w:rPr>
            </w:pPr>
          </w:p>
        </w:tc>
      </w:tr>
      <w:tr>
        <w:trPr>
          <w:trHeight w:val="21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5G network deployment equipment sales and other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73,889</w:t>
            </w:r>
          </w:p>
        </w:tc>
        <w:tc>
          <w:tcPr>
            <w:tcW w:w="80" w:type="dxa"/>
            <w:vAlign w:val="bottom"/>
          </w:tcPr>
          <w:p>
            <w:pPr>
              <w:spacing w:after="0"/>
              <w:rPr>
                <w:sz w:val="18"/>
                <w:szCs w:val="18"/>
                <w:color w:val="auto"/>
              </w:rPr>
            </w:pPr>
          </w:p>
        </w:tc>
      </w:tr>
      <w:tr>
        <w:trPr>
          <w:trHeight w:val="21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Broadband equipment and other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387,024</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283,432</w:t>
            </w:r>
          </w:p>
        </w:tc>
        <w:tc>
          <w:tcPr>
            <w:tcW w:w="80" w:type="dxa"/>
            <w:vAlign w:val="bottom"/>
            <w:shd w:val="clear" w:color="auto" w:fill="CCEEFF"/>
          </w:tcPr>
          <w:p>
            <w:pPr>
              <w:spacing w:after="0"/>
              <w:rPr>
                <w:sz w:val="19"/>
                <w:szCs w:val="19"/>
                <w:color w:val="auto"/>
              </w:rPr>
            </w:pPr>
          </w:p>
        </w:tc>
      </w:tr>
      <w:tr>
        <w:trPr>
          <w:trHeight w:val="21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(95,420)</w:t>
            </w: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(70,136)</w:t>
            </w: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(66,843)</w:t>
            </w:r>
          </w:p>
        </w:tc>
      </w:tr>
      <w:tr>
        <w:trPr>
          <w:trHeight w:val="199"/>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17,015,598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18,634,246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19,818,678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valuation and qualifying accounts as of December 31, 2023, 2022 and 2021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5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87,665</w:t>
            </w: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 for expected credit losses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76,674</w:t>
            </w: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(87,113)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(109,856)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19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74,390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59,790</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53,122</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8" w:name="page219"/>
    <w:bookmarkEnd w:id="2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contract asset balances: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Borders>
              <w:bottom w:val="single" w:sz="8" w:color="auto"/>
            </w:tcBorders>
          </w:tcPr>
          <w:p>
            <w:pPr>
              <w:spacing w:after="0"/>
              <w:rPr>
                <w:sz w:val="19"/>
                <w:szCs w:val="19"/>
                <w:color w:val="auto"/>
              </w:rPr>
            </w:pPr>
          </w:p>
        </w:tc>
      </w:tr>
      <w:tr>
        <w:trPr>
          <w:trHeight w:val="187"/>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rPr>
              <w:t>(In thousands)</w:t>
            </w:r>
          </w:p>
        </w:tc>
        <w:tc>
          <w:tcPr>
            <w:tcW w:w="1520" w:type="dxa"/>
            <w:vAlign w:val="bottom"/>
          </w:tcPr>
          <w:p>
            <w:pPr>
              <w:spacing w:after="0"/>
              <w:rPr>
                <w:sz w:val="16"/>
                <w:szCs w:val="16"/>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66,103</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73,435</w:t>
            </w:r>
          </w:p>
        </w:tc>
      </w:tr>
    </w:tbl>
    <w:p>
      <w:pPr>
        <w:spacing w:after="0" w:line="198"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Consolidated Balance Sheets.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contract liability balances: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Borders>
              <w:bottom w:val="single" w:sz="8" w:color="auto"/>
            </w:tcBorders>
          </w:tcPr>
          <w:p>
            <w:pPr>
              <w:spacing w:after="0"/>
              <w:rPr>
                <w:sz w:val="19"/>
                <w:szCs w:val="19"/>
                <w:color w:val="auto"/>
              </w:rPr>
            </w:pPr>
          </w:p>
        </w:tc>
      </w:tr>
      <w:tr>
        <w:trPr>
          <w:trHeight w:val="187"/>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rPr>
              <w:t>(In thousands)</w:t>
            </w:r>
          </w:p>
        </w:tc>
        <w:tc>
          <w:tcPr>
            <w:tcW w:w="1520" w:type="dxa"/>
            <w:vAlign w:val="bottom"/>
          </w:tcPr>
          <w:p>
            <w:pPr>
              <w:spacing w:after="0"/>
              <w:rPr>
                <w:sz w:val="16"/>
                <w:szCs w:val="16"/>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710,456</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802,823</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beginning of period contract liability recorded as customer contract revenue during 2023 was $730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Pay-TV and Retail Wireless Segments</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Broadband and Satellite Services Segment</w:t>
      </w:r>
    </w:p>
    <w:p>
      <w:pPr>
        <w:spacing w:after="0" w:line="22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 of December 31, 2023, the remaining performance obligations for our customer contracts was approximately $1.740 billion. Performance obligations expected to be satisfied within one year and greater than one year are 27% and 73%, respectively. This amount and percentages exclude agreements with consumer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activity in our contract acquisition costs, net:</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r>
      <w:tr>
        <w:trPr>
          <w:trHeight w:val="203"/>
        </w:trPr>
        <w:tc>
          <w:tcPr>
            <w:tcW w:w="54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83"/>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567,789</w:t>
            </w:r>
          </w:p>
        </w:tc>
        <w:tc>
          <w:tcPr>
            <w:tcW w:w="60" w:type="dxa"/>
            <w:vAlign w:val="bottom"/>
            <w:shd w:val="clear" w:color="auto" w:fill="CCEEFF"/>
          </w:tcPr>
          <w:p>
            <w:pPr>
              <w:spacing w:after="0"/>
              <w:rPr>
                <w:sz w:val="17"/>
                <w:szCs w:val="17"/>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460,573</w:t>
            </w:r>
          </w:p>
        </w:tc>
        <w:tc>
          <w:tcPr>
            <w:tcW w:w="6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(431,181)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(495,456)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(471,571)</w:t>
            </w: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(1,177)</w:t>
            </w:r>
          </w:p>
        </w:tc>
      </w:tr>
      <w:tr>
        <w:trPr>
          <w:trHeight w:val="19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352,114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460,876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9" w:name="page220"/>
    <w:bookmarkEnd w:id="2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Quarterly Financial Data (Unaudited)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quarterly results of operations are summarized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60" w:type="dxa"/>
            <w:vAlign w:val="bottom"/>
            <w:gridSpan w:val="7"/>
          </w:tcPr>
          <w:p>
            <w:pPr>
              <w:jc w:val="right"/>
              <w:spacing w:after="0" w:line="183" w:lineRule="exact"/>
              <w:rPr>
                <w:sz w:val="20"/>
                <w:szCs w:val="20"/>
                <w:color w:val="auto"/>
              </w:rPr>
            </w:pPr>
            <w:r>
              <w:rPr>
                <w:rFonts w:ascii="Times New Roman" w:cs="Times New Roman" w:eastAsia="Times New Roman" w:hAnsi="Times New Roman"/>
                <w:sz w:val="16"/>
                <w:szCs w:val="16"/>
                <w:color w:val="auto"/>
              </w:rPr>
              <w:t>(In thousands, except per share data)</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4,387,666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4,356,462</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4,108,874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(31,349)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(118,737)</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(2,021,624)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EchoStar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(138,371)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 attributable to EchoStar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(0.51)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 attributable to EchoStar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(0.51)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4,820,832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4,698,483</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4,581,914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594,440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550,094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EchoStar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433,608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 attributable to EchoStar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 attributable to EchoStar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Acquisitions and Deconsolidations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India Joint Venture</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results of operations related to the India JV have been included in these Consolidated Financial Statements from the date of formation. The costs associated with the closing of the India JV were not material and were expensed as incurred. The fair value of the consideration has been assigned to customer relationship intangibles and goodwill that are recorded in “Intangible assets, net”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0" w:name="page221"/>
    <w:bookmarkEnd w:id="2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Hughes Systique Corporation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contract with Hughes Systique Corporation (“Hughes Systique”) for software development services. In addition to our approximately 42% ownership in Hughes Systique, Mr. Pradman Kaul, the former President of our subsidiary Hughes Communications and former Vice-Chair of our Board of Directors (effective January 1, 2023), and his brother, who is the Chief Executive Officer and President of Hughes Systique, own in the aggregate approximately 25%, on an undiluted basis, of Hughes Systique’s outstanding shares as of December 31, 2023. Furthermore, Mr. Pradman Kaul serves on the board of directors of Hughes Systique. Historically, Hughes Systique was considered a variable interest entity and we were considered the primary beneficiary of Hughes Systique due to, among other factors, our ability to direct the activities that most significantly impact the economic performance of Hughes Systique. As a result, we consolidated Hughes Systique’s financial statements in these Consolidated Financial Statements. Upon the consummation of the Merger, Mr. Pradman Kaul will no longer remain on our Board of Directors which was a reconsideration event. Based on the entity’s ability to now fund itself, among other things, we determined that Hughes Systique is no longer a variable interest entity. As a result, we have deconsolidated the Hughes Systique results from our Consolidated Financial Statements as of December 31, 2023 and recorded the investment as a cost method investment in “Other investments, net” on our Consolidated Balance Sheets. No gain or loss was recognized upon deconsolidation as the fair value of our investment in Hughes Systique approximated its carrying value. We determined the fair value of our investment in Hughes Systique based on the market approach using the guideline public company method.</w:t>
      </w:r>
    </w:p>
    <w:p>
      <w:pPr>
        <w:spacing w:after="0" w:line="191"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TerreStar Solutions</w:t>
      </w:r>
    </w:p>
    <w:p>
      <w:pPr>
        <w:spacing w:after="0" w:line="22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We own 40% of TSI. In May 2018, we and TSI entered into an equipment and services agreement pursuant to which we design, manufacture and install upgraded ground communications network equipment for TSI’s network and provide, among other things, warranty and support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our transactions with TSI:</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80" w:type="dxa"/>
            <w:vAlign w:val="bottom"/>
            <w:tcBorders>
              <w:bottom w:val="single" w:sz="8" w:color="auto"/>
            </w:tcBorders>
          </w:tcPr>
          <w:p>
            <w:pPr>
              <w:spacing w:after="0"/>
              <w:rPr>
                <w:sz w:val="19"/>
                <w:szCs w:val="19"/>
                <w:color w:val="auto"/>
              </w:rPr>
            </w:pPr>
          </w:p>
        </w:tc>
      </w:tr>
      <w:tr>
        <w:trPr>
          <w:trHeight w:val="203"/>
        </w:trPr>
        <w:tc>
          <w:tcPr>
            <w:tcW w:w="44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4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3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TSI</w:t>
            </w: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r>
      <w:tr>
        <w:trPr>
          <w:trHeight w:val="20"/>
        </w:trPr>
        <w:tc>
          <w:tcPr>
            <w:tcW w:w="4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r>
      <w:tr>
        <w:trPr>
          <w:trHeight w:val="383"/>
        </w:trPr>
        <w:tc>
          <w:tcPr>
            <w:tcW w:w="4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9"/>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3"/>
        </w:trPr>
        <w:tc>
          <w:tcPr>
            <w:tcW w:w="4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center"/>
              <w:ind w:left="63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Pr>
          <w:p>
            <w:pPr>
              <w:spacing w:after="0"/>
              <w:rPr>
                <w:sz w:val="15"/>
                <w:szCs w:val="15"/>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receivable from TSI</w:t>
            </w:r>
          </w:p>
        </w:tc>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
        </w:trPr>
        <w:tc>
          <w:tcPr>
            <w:tcW w:w="4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Deluxe/EchoStar LLC</w:t>
      </w:r>
    </w:p>
    <w:p>
      <w:pPr>
        <w:spacing w:after="0" w:line="229"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We own 50% of Deluxe, a joint venture that we entered into in 2010 to build an advanced digital cinema satellite distribution network targeting delivery to digitally equipped theaters in the U.S. and Canada.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our transactions with Deluxe: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4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83"/>
        </w:trPr>
        <w:tc>
          <w:tcPr>
            <w:tcW w:w="4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Deluxe</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w:t>
            </w:r>
          </w:p>
        </w:tc>
        <w:tc>
          <w:tcPr>
            <w:tcW w:w="60" w:type="dxa"/>
            <w:vAlign w:val="bottom"/>
            <w:shd w:val="clear" w:color="auto" w:fill="CCEEFF"/>
          </w:tcPr>
          <w:p>
            <w:pPr>
              <w:spacing w:after="0"/>
              <w:rPr>
                <w:sz w:val="17"/>
                <w:szCs w:val="17"/>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gridSpan w:val="6"/>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2"/>
        </w:trPr>
        <w:tc>
          <w:tcPr>
            <w:tcW w:w="440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CCEEFF"/>
              <w:bottom w:val="single" w:sz="8" w:color="CCEEFF"/>
            </w:tcBorders>
          </w:tcPr>
          <w:p>
            <w:pPr>
              <w:spacing w:after="0"/>
              <w:rPr>
                <w:sz w:val="17"/>
                <w:szCs w:val="17"/>
                <w:color w:val="auto"/>
              </w:rPr>
            </w:pPr>
          </w:p>
        </w:tc>
        <w:tc>
          <w:tcPr>
            <w:tcW w:w="46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CCEEFF"/>
              <w:bottom w:val="single" w:sz="8" w:color="CCEEFF"/>
            </w:tcBorders>
          </w:tcPr>
          <w:p>
            <w:pPr>
              <w:spacing w:after="0"/>
              <w:rPr>
                <w:sz w:val="17"/>
                <w:szCs w:val="17"/>
                <w:color w:val="auto"/>
              </w:rPr>
            </w:pPr>
          </w:p>
        </w:tc>
      </w:tr>
      <w:tr>
        <w:trPr>
          <w:trHeight w:val="183"/>
        </w:trPr>
        <w:tc>
          <w:tcPr>
            <w:tcW w:w="4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0" w:type="dxa"/>
            <w:vAlign w:val="bottom"/>
            <w:gridSpan w:val="4"/>
            <w:shd w:val="clear" w:color="auto" w:fill="CCEEFF"/>
          </w:tcPr>
          <w:p>
            <w:pPr>
              <w:jc w:val="center"/>
              <w:ind w:left="61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receivable from Deluxe</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60" w:type="dxa"/>
            <w:vAlign w:val="bottom"/>
          </w:tcPr>
          <w:p>
            <w:pPr>
              <w:spacing w:after="0"/>
              <w:rPr>
                <w:sz w:val="21"/>
                <w:szCs w:val="21"/>
                <w:color w:val="auto"/>
              </w:rPr>
            </w:pPr>
          </w:p>
        </w:tc>
      </w:tr>
      <w:tr>
        <w:trPr>
          <w:trHeight w:val="183"/>
        </w:trPr>
        <w:tc>
          <w:tcPr>
            <w:tcW w:w="4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1" w:name="page222"/>
    <w:bookmarkEnd w:id="2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Broadband Connectivity Solutions (Restricted) Limited</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We own 20% of BCS, a joint venture that we entered into in 2018 to provide commercial Ka-band satellite broadband services across Africa, the Middle East and southwest Asia operating over Yahsat’s Al Yah 2 and Al Yah 3 Ka-band satellites.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our transactions with BCS: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4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BCS</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60" w:type="dxa"/>
            <w:vAlign w:val="bottom"/>
            <w:shd w:val="clear" w:color="auto" w:fill="CCEEFF"/>
          </w:tcPr>
          <w:p>
            <w:pPr>
              <w:spacing w:after="0"/>
              <w:rPr>
                <w:sz w:val="17"/>
                <w:szCs w:val="17"/>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40" w:type="dxa"/>
            <w:vAlign w:val="bottom"/>
            <w:gridSpan w:val="6"/>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3"/>
        </w:trPr>
        <w:tc>
          <w:tcPr>
            <w:tcW w:w="440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CCEEFF"/>
              <w:bottom w:val="single" w:sz="8" w:color="CCEEFF"/>
            </w:tcBorders>
          </w:tcPr>
          <w:p>
            <w:pPr>
              <w:spacing w:after="0"/>
              <w:rPr>
                <w:sz w:val="17"/>
                <w:szCs w:val="17"/>
                <w:color w:val="auto"/>
              </w:rPr>
            </w:pPr>
          </w:p>
        </w:tc>
        <w:tc>
          <w:tcPr>
            <w:tcW w:w="46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CCEEFF"/>
              <w:bottom w:val="single" w:sz="8" w:color="CCEEFF"/>
            </w:tcBorders>
          </w:tcPr>
          <w:p>
            <w:pPr>
              <w:spacing w:after="0"/>
              <w:rPr>
                <w:sz w:val="17"/>
                <w:szCs w:val="17"/>
                <w:color w:val="auto"/>
              </w:rPr>
            </w:pPr>
          </w:p>
        </w:tc>
      </w:tr>
      <w:tr>
        <w:trPr>
          <w:trHeight w:val="196"/>
        </w:trPr>
        <w:tc>
          <w:tcPr>
            <w:tcW w:w="4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4"/>
          </w:tcPr>
          <w:p>
            <w:pPr>
              <w:jc w:val="center"/>
              <w:ind w:left="619"/>
              <w:spacing w:after="0"/>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receivable from BCS</w:t>
            </w:r>
          </w:p>
        </w:tc>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Hughes Systique</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own 42% of Hughes Systique and contract with Hughes Systique for software development services. Prior to December 31, 2023, we consolidated Hughes Systique’s financial statements into our Consolidated Financial Statements, see Note 19 for further information. As of December 31, 2023, we have deconsolidated the Hughes Systique results from our Consolidated Financial Statements and recorded the investment as a cost method investment in “Other investments, net” on our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our transactions with Hughes Systique: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0" w:type="dxa"/>
            <w:vAlign w:val="bottom"/>
          </w:tcPr>
          <w:p>
            <w:pPr>
              <w:spacing w:after="0"/>
              <w:rPr>
                <w:sz w:val="1"/>
                <w:szCs w:val="1"/>
                <w:color w:val="auto"/>
              </w:rPr>
            </w:pPr>
          </w:p>
        </w:tc>
      </w:tr>
      <w:tr>
        <w:trPr>
          <w:trHeight w:val="225"/>
        </w:trPr>
        <w:tc>
          <w:tcPr>
            <w:tcW w:w="6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3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(In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from Hughes Systique</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0"/>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3"/>
        </w:trPr>
        <w:tc>
          <w:tcPr>
            <w:tcW w:w="6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(In thousands)</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Amounts Payable:</w:t>
            </w: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payable to Hughes Systique</w:t>
            </w:r>
          </w:p>
        </w:tc>
        <w:tc>
          <w:tcPr>
            <w:tcW w:w="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2" w:name="page223"/>
    <w:bookmarkEnd w:id="2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NagraStar L.L.C.</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on our Consolidated Balance Sheets. Our investment in NagraStar is accounted for using the equity method.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our transactions with NagraStar:</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3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83"/>
        </w:trPr>
        <w:tc>
          <w:tcPr>
            <w:tcW w:w="3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w w:val="99"/>
              </w:rPr>
              <w:t>(In thousands)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Purchases (including fees):</w:t>
            </w: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Purchases from NagraStar</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43,416</w:t>
            </w:r>
          </w:p>
        </w:tc>
        <w:tc>
          <w:tcPr>
            <w:tcW w:w="28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45,944</w:t>
            </w: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3"/>
        </w:trPr>
        <w:tc>
          <w:tcPr>
            <w:tcW w:w="4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183"/>
        </w:trPr>
        <w:tc>
          <w:tcPr>
            <w:tcW w:w="4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Payable and Commitments:</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Amounts payable to NagraStar</w:t>
            </w:r>
          </w:p>
        </w:tc>
        <w:tc>
          <w:tcPr>
            <w:tcW w:w="1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9,821</w:t>
            </w:r>
          </w:p>
        </w:tc>
        <w:tc>
          <w:tcPr>
            <w:tcW w:w="6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60" w:type="dxa"/>
            <w:vAlign w:val="bottom"/>
          </w:tcPr>
          <w:p>
            <w:pPr>
              <w:spacing w:after="0"/>
              <w:rPr>
                <w:sz w:val="21"/>
                <w:szCs w:val="21"/>
                <w:color w:val="auto"/>
              </w:rPr>
            </w:pPr>
          </w:p>
        </w:tc>
      </w:tr>
      <w:tr>
        <w:trPr>
          <w:trHeight w:val="18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to NagraStar</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21.</w:t>
        <w:tab/>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22222"/>
        </w:rPr>
        <w:t>Asset Transfers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January 10, 2024, DISH Network transferred certain of its wireless spectrum licenses, including AWS-4, H-Block, CBRS, C-Band - Cheyenne, 12GHz, LMDS, 24 GHz, 28 GHz, 37GHz, 39GHz and 47GHz to EchoStar Wireless Holding L.L.C., our direct wholly-owned subsidiary (the “Spectrum Transfer”). DISH Network retained ownership of certain other wireless spectrum licenses, including 600 MHz, 700 MHz, 3.45 GHz and AWS-3, of which 700 MHz and AWS-3 remain unencumbered, and DISH DBS. Prior to the Spectrum Transfer, DISH DBS designated a newly formed subsidiary of DISH Network LLC (the "DBS Subscriber Subsidiary") as an unrestricted subsidiary. DBS Subscriber Subsidiary holds approximately 3.0 million DISH TV subscribers immediately following the unrestricting of the entity.</w:t>
      </w:r>
    </w:p>
    <w:p>
      <w:pPr>
        <w:spacing w:after="0" w:line="189" w:lineRule="exact"/>
        <w:rPr>
          <w:sz w:val="20"/>
          <w:szCs w:val="20"/>
          <w:color w:val="auto"/>
        </w:rPr>
      </w:pPr>
    </w:p>
    <w:p>
      <w:pPr>
        <w:jc w:val="both"/>
        <w:ind w:left="60" w:right="399"/>
        <w:spacing w:after="0" w:line="270" w:lineRule="auto"/>
        <w:rPr>
          <w:sz w:val="20"/>
          <w:szCs w:val="20"/>
          <w:color w:val="auto"/>
        </w:rPr>
      </w:pPr>
      <w:r>
        <w:rPr>
          <w:rFonts w:ascii="Times New Roman" w:cs="Times New Roman" w:eastAsia="Times New Roman" w:hAnsi="Times New Roman"/>
          <w:sz w:val="17"/>
          <w:szCs w:val="17"/>
          <w:color w:val="auto"/>
        </w:rPr>
        <w:t>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to DBS Intercompany Receivable L.L.C. DBS Intercompany Receivable L.L.C. has subsequently assigned its rights as lender thereunder</w:t>
      </w:r>
    </w:p>
    <w:p>
      <w:pPr>
        <w:spacing w:after="0" w:line="3" w:lineRule="exact"/>
        <w:rPr>
          <w:sz w:val="20"/>
          <w:szCs w:val="20"/>
          <w:color w:val="auto"/>
        </w:rPr>
      </w:pPr>
    </w:p>
    <w:p>
      <w:pPr>
        <w:ind w:left="60" w:right="319"/>
        <w:spacing w:after="0" w:line="260" w:lineRule="auto"/>
        <w:rPr>
          <w:sz w:val="20"/>
          <w:szCs w:val="20"/>
          <w:color w:val="auto"/>
        </w:rPr>
      </w:pPr>
      <w:r>
        <w:rPr>
          <w:rFonts w:ascii="Times New Roman" w:cs="Times New Roman" w:eastAsia="Times New Roman" w:hAnsi="Times New Roman"/>
          <w:sz w:val="18"/>
          <w:szCs w:val="18"/>
          <w:color w:val="auto"/>
        </w:rPr>
        <w:t>to EchoStar Intercompany Receivable Company L.L.C., our direct wholly-owned subsidiary, such that amounts owed in respect of the 2026 Tranche will now be paid by DISH Network to EchoStar Intercompany Receivable L.L.C.</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22222"/>
        </w:rPr>
        <w:t>DISH Network Exchange Offers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On January 12, 2023, we </w:t>
      </w:r>
      <w:r>
        <w:rPr>
          <w:rFonts w:ascii="Times New Roman" w:cs="Times New Roman" w:eastAsia="Times New Roman" w:hAnsi="Times New Roman"/>
          <w:sz w:val="18"/>
          <w:szCs w:val="18"/>
          <w:color w:val="222222"/>
        </w:rPr>
        <w:t>commenced offers (“the DISH Network Exchange Offers”) to exchange the 0%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Notes due 2025 and the 3 3/8% Convertible Notes due 2026 issued by our subsidiary DISH Network, each for 10.00% Senior Secured Notes due 2030 to be issued by </w:t>
      </w:r>
      <w:r>
        <w:rPr>
          <w:rFonts w:ascii="Times New Roman" w:cs="Times New Roman" w:eastAsia="Times New Roman" w:hAnsi="Times New Roman"/>
          <w:sz w:val="18"/>
          <w:szCs w:val="18"/>
          <w:color w:val="000000"/>
        </w:rPr>
        <w:t>us,</w:t>
      </w:r>
      <w:r>
        <w:rPr>
          <w:rFonts w:ascii="Times New Roman" w:cs="Times New Roman" w:eastAsia="Times New Roman" w:hAnsi="Times New Roman"/>
          <w:sz w:val="18"/>
          <w:szCs w:val="18"/>
          <w:color w:val="222222"/>
        </w:rPr>
        <w:t xml:space="preserve"> in each case, pursuant to the terms described in a preliminary prospectus and consent solicitation statement, dated </w:t>
      </w:r>
      <w:r>
        <w:rPr>
          <w:rFonts w:ascii="Times New Roman" w:cs="Times New Roman" w:eastAsia="Times New Roman" w:hAnsi="Times New Roman"/>
          <w:sz w:val="18"/>
          <w:szCs w:val="18"/>
          <w:color w:val="000000"/>
        </w:rPr>
        <w:t>January 12, 2024. On February 12, 2024, we</w:t>
      </w:r>
      <w:r>
        <w:rPr>
          <w:rFonts w:ascii="Times New Roman" w:cs="Times New Roman" w:eastAsia="Times New Roman" w:hAnsi="Times New Roman"/>
          <w:sz w:val="18"/>
          <w:szCs w:val="18"/>
          <w:color w:val="222222"/>
        </w:rPr>
        <w:t xml:space="preserve"> announced the expiration and termination of the DISH Exchange Offers.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3" w:name="page224"/>
    <w:bookmarkEnd w:id="2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22222"/>
        </w:rPr>
        <w:t>DISH DBS Exchange Offers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January 16, 2024, we announced our wholly-owned subsidiary DISH DBS Issuer LLC (“DBS Issuer”) commenced offers (“the DISH DBS Exchange Offers”) to eligible holders to exchange the 5 7/8% Senior Notes due 2024 (the "DBS 2024 Notes"), the 7 3/4% Senior Notes due 2026, the 7 3/8% Senior Notes due 2028 (the "DBS 2028 Notes") and the 5 1/8% Senior Notes due 2029 (the "DBS 2029 Notes," and together with the DBS 2024 Notes, the DBS 2026 Notes and the DBS 2028 Notes, the "DISH DBS Unsecured Senior Notes" issued by DISH DBS), in the amounts and subject to the terms, in each case, described in the exchange offer memorandum and consent solicitation statement, dated January 16, 2024 (the "Exchange Offer Memorandum"). On January 29, 2024, we announced our wholly-owned subsidiary DISH DBS Issuer elected in its sole discretion to terminate the DBS Exchange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4" w:name="page225"/>
    <w:bookmarkEnd w:id="22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EHOSTAR CORPORATION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LIST OF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December 31, 2023</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 or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Name Doing Business As</w:t>
            </w:r>
          </w:p>
        </w:tc>
      </w:tr>
      <w:tr>
        <w:trPr>
          <w:trHeight w:val="202"/>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DISH Network Corporation</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Nevada</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DISH</w:t>
            </w: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DISH DBS Corporation</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DDBS</w:t>
            </w:r>
          </w:p>
        </w:tc>
      </w:tr>
      <w:tr>
        <w:trPr>
          <w:trHeight w:val="20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DISH Network L.L.C.</w:t>
            </w:r>
          </w:p>
        </w:tc>
        <w:tc>
          <w:tcPr>
            <w:tcW w:w="12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DNLLC</w:t>
            </w: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DISH Wireless Holding L.L.C.</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DISH Wireless Holding</w:t>
            </w:r>
          </w:p>
        </w:tc>
      </w:tr>
      <w:tr>
        <w:trPr>
          <w:trHeight w:val="20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DISH Wireless L.L.C.</w:t>
            </w:r>
          </w:p>
        </w:tc>
        <w:tc>
          <w:tcPr>
            <w:tcW w:w="12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DISH Wireless</w:t>
            </w: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Hughes Satellite Systems Corporation</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Colorado</w:t>
            </w:r>
          </w:p>
        </w:tc>
        <w:tc>
          <w:tcPr>
            <w:tcW w:w="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HSSC</w:t>
            </w:r>
          </w:p>
        </w:tc>
      </w:tr>
      <w:tr>
        <w:trPr>
          <w:trHeight w:val="20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Hughes Communications, Inc.</w:t>
            </w:r>
          </w:p>
        </w:tc>
        <w:tc>
          <w:tcPr>
            <w:tcW w:w="1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Delaware</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Hughes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4" w:lineRule="exact"/>
        <w:rPr>
          <w:sz w:val="20"/>
          <w:szCs w:val="20"/>
          <w:color w:val="auto"/>
        </w:rPr>
      </w:pPr>
    </w:p>
    <w:p>
      <w:pPr>
        <w:ind w:left="700" w:hanging="332"/>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subsidiary of DISH Network Corporation</w:t>
      </w:r>
    </w:p>
    <w:p>
      <w:pPr>
        <w:spacing w:after="0" w:line="2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subsidiary of DISH DBS Corporation</w:t>
      </w:r>
    </w:p>
    <w:p>
      <w:pPr>
        <w:spacing w:after="0" w:line="9"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subsidiary of DISH Wireless Holding L.L.C.</w:t>
      </w:r>
    </w:p>
    <w:p>
      <w:pPr>
        <w:spacing w:after="0" w:line="9"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subsidiary of Hughes Satellite Systems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5" w:name="page226"/>
    <w:bookmarkEnd w:id="2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333-274837, 333-276339, 333-218658, 333-218657, 333-162339, 333-148416) on Form S-8 and (Nos. 333-276368, 333-276338) on Form S-3ASR of our report dated February 29, 2024, with respect to the consolidated financial statements of EchoStar Corporation and the effectiveness of internal control over financial reporting.</w:t>
      </w:r>
    </w:p>
    <w:p>
      <w:pPr>
        <w:spacing w:after="0" w:line="3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2023,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Power of Attorney has been signed by the following persons in the capacities and on the date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20" w:type="dxa"/>
            <w:vAlign w:val="bottom"/>
          </w:tcPr>
          <w:p>
            <w:pPr>
              <w:spacing w:after="0"/>
              <w:rPr>
                <w:sz w:val="20"/>
                <w:szCs w:val="20"/>
                <w:color w:val="auto"/>
              </w:rPr>
            </w:pPr>
          </w:p>
        </w:tc>
        <w:tc>
          <w:tcPr>
            <w:tcW w:w="31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64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Charles W. Ergen</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 Ergen</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Kathleen Q. Abernathy</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Q. Abernathy</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George R. Brokaw</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R. Brokaw</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Stephen J. Bye</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J. Bye</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James DeFranco</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DeFranco</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R. Stanton Dodge</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Stanton Dodge</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Cantey M. Ergen</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Cantey M. Ergen</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Lisa W. Hershman</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W. Hershman</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Tom A. Ortolf</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 A. Ortolf</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63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William D. Wade</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February 29, 2024</w:t>
            </w:r>
          </w:p>
        </w:tc>
      </w:tr>
      <w:tr>
        <w:trPr>
          <w:trHeight w:val="22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D. Wade</w:t>
            </w: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1001"/>
        </w:trPr>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27" w:name="page228"/>
    <w:bookmarkEnd w:id="22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ARTICLES OF INCORPORATION OF</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ECHOSTAR CORPORATION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w:t>
      </w:r>
    </w:p>
    <w:p>
      <w:pPr>
        <w:spacing w:after="0" w:line="206" w:lineRule="exact"/>
        <w:rPr>
          <w:sz w:val="20"/>
          <w:szCs w:val="20"/>
          <w:color w:val="auto"/>
        </w:rPr>
      </w:pPr>
    </w:p>
    <w:p>
      <w:pPr>
        <w:ind w:left="200" w:right="1199" w:firstLine="1296"/>
        <w:spacing w:after="0" w:line="258" w:lineRule="auto"/>
        <w:rPr>
          <w:sz w:val="20"/>
          <w:szCs w:val="20"/>
          <w:color w:val="auto"/>
        </w:rPr>
      </w:pPr>
      <w:r>
        <w:rPr>
          <w:rFonts w:ascii="Times New Roman" w:cs="Times New Roman" w:eastAsia="Times New Roman" w:hAnsi="Times New Roman"/>
          <w:sz w:val="22"/>
          <w:szCs w:val="22"/>
          <w:color w:val="auto"/>
        </w:rPr>
        <w:t>The name of the corporation shall be ECHOSTAR CORPORATION (the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Period of Duration</w:t>
      </w:r>
    </w:p>
    <w:p>
      <w:pPr>
        <w:spacing w:after="0" w:line="206" w:lineRule="exact"/>
        <w:rPr>
          <w:sz w:val="20"/>
          <w:szCs w:val="20"/>
          <w:color w:val="auto"/>
        </w:rPr>
      </w:pPr>
    </w:p>
    <w:p>
      <w:pPr>
        <w:ind w:left="200" w:right="699" w:firstLine="1296"/>
        <w:spacing w:after="0" w:line="244" w:lineRule="auto"/>
        <w:rPr>
          <w:sz w:val="20"/>
          <w:szCs w:val="20"/>
          <w:color w:val="auto"/>
        </w:rPr>
      </w:pPr>
      <w:r>
        <w:rPr>
          <w:rFonts w:ascii="Times New Roman" w:cs="Times New Roman" w:eastAsia="Times New Roman" w:hAnsi="Times New Roman"/>
          <w:sz w:val="22"/>
          <w:szCs w:val="22"/>
          <w:color w:val="auto"/>
        </w:rPr>
        <w:t>The Corporation shall exist in perpetuity, from and after the date of filing of its original Articles of Incorporation with the Secretary of State of the State of Nevada unless dissolved according to law.</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Purposes</w:t>
      </w:r>
    </w:p>
    <w:p>
      <w:pPr>
        <w:spacing w:after="0" w:line="206" w:lineRule="exact"/>
        <w:rPr>
          <w:sz w:val="20"/>
          <w:szCs w:val="20"/>
          <w:color w:val="auto"/>
        </w:rPr>
      </w:pPr>
    </w:p>
    <w:p>
      <w:pPr>
        <w:jc w:val="both"/>
        <w:ind w:left="200" w:right="319" w:firstLine="1296"/>
        <w:spacing w:after="0" w:line="261" w:lineRule="auto"/>
        <w:rPr>
          <w:sz w:val="20"/>
          <w:szCs w:val="20"/>
          <w:color w:val="auto"/>
        </w:rPr>
      </w:pPr>
      <w:r>
        <w:rPr>
          <w:rFonts w:ascii="Times New Roman" w:cs="Times New Roman" w:eastAsia="Times New Roman" w:hAnsi="Times New Roman"/>
          <w:sz w:val="21"/>
          <w:szCs w:val="21"/>
          <w:color w:val="auto"/>
        </w:rPr>
        <w:t>The purpose for which this Corporation is organized is to engage in any lawful acts and activities for which corporations may be organized under the laws of the State of Nevada and to exercise any powers permitted to corporations under the laws of the State of Nevada.</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Capital</w:t>
      </w:r>
    </w:p>
    <w:p>
      <w:pPr>
        <w:spacing w:after="0" w:line="206" w:lineRule="exact"/>
        <w:rPr>
          <w:sz w:val="20"/>
          <w:szCs w:val="20"/>
          <w:color w:val="auto"/>
        </w:rPr>
      </w:pPr>
    </w:p>
    <w:p>
      <w:pPr>
        <w:ind w:left="200" w:right="319" w:firstLine="1305"/>
        <w:spacing w:after="0" w:line="239" w:lineRule="auto"/>
        <w:tabs>
          <w:tab w:leader="none" w:pos="171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Capital Stock</w:t>
      </w:r>
      <w:r>
        <w:rPr>
          <w:rFonts w:ascii="Times New Roman" w:cs="Times New Roman" w:eastAsia="Times New Roman" w:hAnsi="Times New Roman"/>
          <w:sz w:val="22"/>
          <w:szCs w:val="22"/>
          <w:color w:val="auto"/>
        </w:rPr>
        <w:t>. The total number of shares of capital stock which the Corporation is authorized to issue shall be 4,020,000,000 shares, consisting of 4,000,000,000 shares of common stock, par value $0.001 per share (“Common Stock”), and 20,000,000 shares of preferred stock, par value $0.001 per share (“Preferred Stock”).</w:t>
      </w:r>
    </w:p>
    <w:p>
      <w:pPr>
        <w:spacing w:after="0" w:line="180" w:lineRule="exact"/>
        <w:rPr>
          <w:rFonts w:ascii="Times New Roman" w:cs="Times New Roman" w:eastAsia="Times New Roman" w:hAnsi="Times New Roman"/>
          <w:sz w:val="22"/>
          <w:szCs w:val="22"/>
          <w:color w:val="auto"/>
        </w:rPr>
      </w:pPr>
    </w:p>
    <w:p>
      <w:pPr>
        <w:ind w:left="200" w:right="479" w:firstLine="1305"/>
        <w:spacing w:after="0" w:line="251" w:lineRule="auto"/>
        <w:tabs>
          <w:tab w:leader="none" w:pos="171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Of the 4,000,000,000 shares of authorized Common Stock, 1,600,000,000 shares shall be designated Class A Common Stock (“Class A Common Stock”), 800,000,000 shares shall be designated Class B Common Stock (“Class B Common Stock”), 800,000,000 shares shall be designated Class C Common Stock (“Class C Common Stock”) and 800,000,000 shares shall be designated Class D Common Stock (“Class 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724535</wp:posOffset>
            </wp:positionV>
            <wp:extent cx="545211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8" w:name="page229"/>
    <w:bookmarkEnd w:id="228"/>
    <w:p>
      <w:pPr>
        <w:ind w:left="200" w:right="299" w:firstLine="1305"/>
        <w:spacing w:after="0" w:line="234" w:lineRule="auto"/>
        <w:tabs>
          <w:tab w:leader="none" w:pos="171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The Board of Directors of the Corporation is hereby authorized to provide, by resolution or resolutions adopted by such Board, for the issuance of Preferred Stock from time to time in one or more classes and/or series, to establish the number of shares of each such class or series, and to fix the powers, designations, preferences and relative, participating, optional or other rights, if any, and the qualifications, limitations or restrictions thereof, of any of the shares of each such class or series, all to the full extent permitted by the Nevada Revised Statutes (the “NRS”), or any successor law(s) of the State of Nevada. Without limiting the generality of the foregoing, the Board of Directors is authorized to provide that shares of a class or series of Preferred Stock:</w:t>
      </w:r>
    </w:p>
    <w:p>
      <w:pPr>
        <w:spacing w:after="0" w:line="183" w:lineRule="exact"/>
        <w:rPr>
          <w:sz w:val="20"/>
          <w:szCs w:val="20"/>
          <w:color w:val="auto"/>
        </w:rPr>
      </w:pPr>
    </w:p>
    <w:p>
      <w:pPr>
        <w:ind w:left="860" w:right="359" w:firstLine="645"/>
        <w:spacing w:after="0" w:line="238" w:lineRule="auto"/>
        <w:tabs>
          <w:tab w:leader="none" w:pos="21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entitled to cumulative, partially cumulative or noncumulative dividends or other distributions payable in cash, capital stock or indebtedness of the Corporation or other property, at such times and in such amounts as are set forth in the Board resolutions establishing such class or series or as are determined in a manner specified in such resolutions;</w:t>
      </w:r>
    </w:p>
    <w:p>
      <w:pPr>
        <w:spacing w:after="0" w:line="176" w:lineRule="exact"/>
        <w:rPr>
          <w:rFonts w:ascii="Times New Roman" w:cs="Times New Roman" w:eastAsia="Times New Roman" w:hAnsi="Times New Roman"/>
          <w:sz w:val="22"/>
          <w:szCs w:val="22"/>
          <w:color w:val="auto"/>
        </w:rPr>
      </w:pPr>
    </w:p>
    <w:p>
      <w:pPr>
        <w:ind w:left="860" w:right="279" w:firstLine="645"/>
        <w:spacing w:after="0" w:line="258" w:lineRule="auto"/>
        <w:tabs>
          <w:tab w:leader="none" w:pos="21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entitled to a preference with respect to payment of dividends over one or more other classes and/or series of capital stock of the Corporation;</w:t>
      </w:r>
    </w:p>
    <w:p>
      <w:pPr>
        <w:spacing w:after="0" w:line="158" w:lineRule="exact"/>
        <w:rPr>
          <w:rFonts w:ascii="Times New Roman" w:cs="Times New Roman" w:eastAsia="Times New Roman" w:hAnsi="Times New Roman"/>
          <w:sz w:val="22"/>
          <w:szCs w:val="22"/>
          <w:color w:val="auto"/>
        </w:rPr>
      </w:pPr>
    </w:p>
    <w:p>
      <w:pPr>
        <w:ind w:left="860" w:right="259" w:firstLine="645"/>
        <w:spacing w:after="0" w:line="238" w:lineRule="auto"/>
        <w:tabs>
          <w:tab w:leader="none" w:pos="21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entitled to a preference with respect to any distribution of assets of the Corporation its liquidation, dissolution or winding up over one or more other classes and/or series of capital stock of the Corporation in such amount as is set forth in the Board resolutions establishing such class or series or as is determined in a manner specified in such resolutions;</w:t>
      </w:r>
    </w:p>
    <w:p>
      <w:pPr>
        <w:spacing w:after="0" w:line="176" w:lineRule="exact"/>
        <w:rPr>
          <w:rFonts w:ascii="Times New Roman" w:cs="Times New Roman" w:eastAsia="Times New Roman" w:hAnsi="Times New Roman"/>
          <w:sz w:val="22"/>
          <w:szCs w:val="22"/>
          <w:color w:val="auto"/>
        </w:rPr>
      </w:pPr>
    </w:p>
    <w:p>
      <w:pPr>
        <w:ind w:left="860" w:right="279" w:firstLine="645"/>
        <w:spacing w:after="0" w:line="238" w:lineRule="auto"/>
        <w:tabs>
          <w:tab w:leader="none" w:pos="21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redeemable or exchangeable at the option of the Corporation and/or on a mandatory basis for cash, capital stock or indebtedness of the Corporation or other property, at such times or upon the occurrence of such events, and at such prices, as are set forth in the Board resolutions establishing such class or series or as are determined in a manner specified in such resolutions;</w:t>
      </w:r>
    </w:p>
    <w:p>
      <w:pPr>
        <w:spacing w:after="0" w:line="176" w:lineRule="exact"/>
        <w:rPr>
          <w:rFonts w:ascii="Times New Roman" w:cs="Times New Roman" w:eastAsia="Times New Roman" w:hAnsi="Times New Roman"/>
          <w:sz w:val="22"/>
          <w:szCs w:val="22"/>
          <w:color w:val="auto"/>
        </w:rPr>
      </w:pPr>
    </w:p>
    <w:p>
      <w:pPr>
        <w:ind w:left="860" w:right="459" w:firstLine="645"/>
        <w:spacing w:after="0" w:line="244" w:lineRule="auto"/>
        <w:tabs>
          <w:tab w:leader="none" w:pos="21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entitled to the benefits of such sinking fund, if any, as is required to be established by the Corporation for the redemption and/or purchase of such shares by the Board resolutions establishing such class or series;</w:t>
      </w:r>
    </w:p>
    <w:p>
      <w:pPr>
        <w:spacing w:after="0" w:line="173" w:lineRule="exact"/>
        <w:rPr>
          <w:rFonts w:ascii="Times New Roman" w:cs="Times New Roman" w:eastAsia="Times New Roman" w:hAnsi="Times New Roman"/>
          <w:sz w:val="22"/>
          <w:szCs w:val="22"/>
          <w:color w:val="auto"/>
        </w:rPr>
      </w:pPr>
    </w:p>
    <w:p>
      <w:pPr>
        <w:jc w:val="both"/>
        <w:ind w:left="860" w:right="239" w:firstLine="645"/>
        <w:spacing w:after="0" w:line="239" w:lineRule="auto"/>
        <w:tabs>
          <w:tab w:leader="none" w:pos="215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convertible at the option of the holders thereof into shares of any other class or series of capital stock of the Corporation, at such times or upon the occurrence of such events, and upon such terms, as are set forth in the Board resolutions establishing such class or series or as are determined in a manner specified in such resolutions;</w:t>
      </w:r>
    </w:p>
    <w:p>
      <w:pPr>
        <w:spacing w:after="0" w:line="180" w:lineRule="exact"/>
        <w:rPr>
          <w:rFonts w:ascii="Times New Roman" w:cs="Times New Roman" w:eastAsia="Times New Roman" w:hAnsi="Times New Roman"/>
          <w:sz w:val="22"/>
          <w:szCs w:val="22"/>
          <w:color w:val="auto"/>
        </w:rPr>
      </w:pPr>
    </w:p>
    <w:p>
      <w:pPr>
        <w:jc w:val="both"/>
        <w:ind w:left="860" w:right="239" w:firstLine="645"/>
        <w:spacing w:after="0" w:line="255" w:lineRule="auto"/>
        <w:tabs>
          <w:tab w:leader="none" w:pos="215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exchangeable at the option of the holders thereof for cash, capital stock or indebtedness of the Corporation or other property, at such times or upon the occurrence of such events, and at such prices, as are set forth in the Board resolutions establishing such class or series or as are determined in a manner specified in such resolutions;</w:t>
      </w:r>
    </w:p>
    <w:p>
      <w:pPr>
        <w:spacing w:after="0" w:line="161" w:lineRule="exact"/>
        <w:rPr>
          <w:rFonts w:ascii="Times New Roman" w:cs="Times New Roman" w:eastAsia="Times New Roman" w:hAnsi="Times New Roman"/>
          <w:sz w:val="21"/>
          <w:szCs w:val="21"/>
          <w:color w:val="auto"/>
        </w:rPr>
      </w:pPr>
    </w:p>
    <w:p>
      <w:pPr>
        <w:ind w:left="860" w:right="499" w:firstLine="645"/>
        <w:spacing w:after="0" w:line="282" w:lineRule="auto"/>
        <w:tabs>
          <w:tab w:leader="none" w:pos="215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entitled to such voting rights, if any, as are specified in the Board resolutions establishing such class or series (including, without limiting the generality of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9" w:name="page230"/>
    <w:bookmarkEnd w:id="229"/>
    <w:p>
      <w:pPr>
        <w:ind w:left="860" w:right="239"/>
        <w:spacing w:after="0" w:line="261" w:lineRule="auto"/>
        <w:rPr>
          <w:sz w:val="20"/>
          <w:szCs w:val="20"/>
          <w:color w:val="auto"/>
        </w:rPr>
      </w:pPr>
      <w:r>
        <w:rPr>
          <w:rFonts w:ascii="Times New Roman" w:cs="Times New Roman" w:eastAsia="Times New Roman" w:hAnsi="Times New Roman"/>
          <w:sz w:val="21"/>
          <w:szCs w:val="21"/>
          <w:color w:val="auto"/>
        </w:rPr>
        <w:t>the foregoing, the right to elect one or more directors voting alone as a single class or series or together with one or more other classes and/or series of Preferred Stock, if so specified by such Board resolutions) at all times or upon the occurrence of specified events; and</w:t>
      </w:r>
    </w:p>
    <w:p>
      <w:pPr>
        <w:spacing w:after="0" w:line="157" w:lineRule="exact"/>
        <w:rPr>
          <w:sz w:val="20"/>
          <w:szCs w:val="20"/>
          <w:color w:val="auto"/>
        </w:rPr>
      </w:pPr>
    </w:p>
    <w:p>
      <w:pPr>
        <w:ind w:left="860" w:right="239" w:firstLine="645"/>
        <w:spacing w:after="0" w:line="238" w:lineRule="auto"/>
        <w:tabs>
          <w:tab w:leader="none" w:pos="21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subject to restrictions on the issuance of additional shares of Preferred Stock of such class or series or of any other class or series, or on the reissuance of shares of Preferred Stock of such class or series or of any other class or series, or on increases or decreases in the number of authorized shares of Preferred Stock of such class or series or of any other class or series.</w:t>
      </w:r>
    </w:p>
    <w:p>
      <w:pPr>
        <w:spacing w:after="0" w:line="177" w:lineRule="exact"/>
        <w:rPr>
          <w:sz w:val="20"/>
          <w:szCs w:val="20"/>
          <w:color w:val="auto"/>
        </w:rPr>
      </w:pPr>
    </w:p>
    <w:p>
      <w:pPr>
        <w:ind w:left="200" w:right="279"/>
        <w:spacing w:after="0" w:line="235" w:lineRule="auto"/>
        <w:rPr>
          <w:sz w:val="20"/>
          <w:szCs w:val="20"/>
          <w:color w:val="auto"/>
        </w:rPr>
      </w:pPr>
      <w:r>
        <w:rPr>
          <w:rFonts w:ascii="Times New Roman" w:cs="Times New Roman" w:eastAsia="Times New Roman" w:hAnsi="Times New Roman"/>
          <w:sz w:val="22"/>
          <w:szCs w:val="22"/>
          <w:color w:val="auto"/>
        </w:rPr>
        <w:t>Without limiting the generality of the foregoing authorizations, any of the voting powers, designations, preferences, rights and qualifications, limitations or restrictions of a class or series of Preferred Stock may be made dependent upon facts ascertainable outside the Board resolutions establishing such class or series, all to the full extent permitted by the NRS. Unless otherwise specified in the Board resolutions establishing a class or series of Preferred Stock, holders of a class or series of Preferred Stock shall not be entitled to cumulate their votes in any election of directors in which they are entitled to vote and shall not be entitled to any preemptive rights to acquire shares of any class or series of capital stock of the 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Voting and Conversion Rights</w:t>
      </w:r>
    </w:p>
    <w:p>
      <w:pPr>
        <w:spacing w:after="0" w:line="206" w:lineRule="exact"/>
        <w:rPr>
          <w:sz w:val="20"/>
          <w:szCs w:val="20"/>
          <w:color w:val="auto"/>
        </w:rPr>
      </w:pPr>
    </w:p>
    <w:p>
      <w:pPr>
        <w:ind w:left="1720" w:hanging="215"/>
        <w:spacing w:after="0"/>
        <w:tabs>
          <w:tab w:leader="none" w:pos="17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259" w:firstLine="1305"/>
        <w:spacing w:after="0" w:line="243" w:lineRule="auto"/>
        <w:tabs>
          <w:tab w:leader="none" w:pos="214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required by law or, in any Preferred Stock Statement and Certificate of Designations, Preferences and Rights (“Certificate of Designations”), with respect to all matters upon which stockholders are entitled to vote or to which stockholders are entitled to give consent, the holders of any outstanding shares of Class A Common Stock, Class B Common Stock, Class C Common Stock and Preferred Stock shall vote together without regard to class, and every holder of any outstanding shares of the Class A Common Stock and Class C Common Stock shall be entitled to cast one vote in person or by proxy for each share of the Class A Common Stock and Class C Common Stock held by such holder; every holder of any outstanding shares of Class B Common Stock shall be entitled to cast ten votes in person or by proxy for each share of Class B Common Stock held by such holder; and every holder of any outstanding shares of Preferred Stock shall be entitled to cast, in person or by proxy for each share of Preferred Stock held by such holder, the number of votes specified in the applicable Certificate of Designations;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in the event of a “Change in Control” of the Corporation, the holders of any outstanding shares of Class C Common Stock shall be entitled to cast ten votes in person or by proxy for each share of Class C Common Stock held by such holder. The Class D Common Stock shall be non-voting stock. As used herein, a “Change of Control” of the Corporation means: (i) any transaction or series of transactions, the result of which is that the Principals and their Related Parties (as such terms are hereinafter defined), or an entity controlled by the Principals and their Related Parties, cease to be the “beneficial owners” (as defined in Rule 13(d) (3) under the Securities Exchange Act of 1934) of at least 30% of the total equity interests of the Corporation and to have the voting power to elect at least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0" w:name="page231"/>
    <w:bookmarkEnd w:id="230"/>
    <w:p>
      <w:pPr>
        <w:ind w:left="200" w:right="399"/>
        <w:spacing w:after="0" w:line="236" w:lineRule="auto"/>
        <w:rPr>
          <w:sz w:val="20"/>
          <w:szCs w:val="20"/>
          <w:color w:val="auto"/>
        </w:rPr>
      </w:pPr>
      <w:r>
        <w:rPr>
          <w:rFonts w:ascii="Times New Roman" w:cs="Times New Roman" w:eastAsia="Times New Roman" w:hAnsi="Times New Roman"/>
          <w:sz w:val="22"/>
          <w:szCs w:val="22"/>
          <w:color w:val="auto"/>
        </w:rPr>
        <w:t>majority of the Board of Directors of the Corporation; or (ii) the first day on which a majority of the members of the Board of Directors of the Corporation are not continuing directors. “Principals” means Charles W. Ergen, James DeFranco, and David K. Moskowitz. “Related Parties” means, with respect to any Principal: (y) the spouse and each immediate family member of such Principal; and (z) each trust, corporation, partnership or other entity of which such Principal beneficially holds an 80% or more controlling interest.</w:t>
      </w:r>
    </w:p>
    <w:p>
      <w:pPr>
        <w:spacing w:after="0" w:line="181" w:lineRule="exact"/>
        <w:rPr>
          <w:sz w:val="20"/>
          <w:szCs w:val="20"/>
          <w:color w:val="auto"/>
        </w:rPr>
      </w:pPr>
    </w:p>
    <w:p>
      <w:pPr>
        <w:ind w:left="200" w:right="299" w:firstLine="1305"/>
        <w:spacing w:after="0" w:line="247" w:lineRule="auto"/>
        <w:tabs>
          <w:tab w:leader="none" w:pos="214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quorum for the purpose of shareholder meeting shall consist of a majority of the voting power of the Corporation. If a quorum is present, the effective vote of a majority of the voting power represented at the meeting and entitled to vote on the subject matter shall be the act of the shareholders, unless the vote of a greater proportion or number is required by any provisions contained in the NRS. Notwithstanding any provisions contained in the NRS requiring the vote of shares possessing two-thirds of the voting power of the Corporation to take action, absent a provision herein to the contrary, in the case of such provisions the affirmative vote of a majority of the voting power shall be the act of the shareholders.</w:t>
      </w:r>
    </w:p>
    <w:p>
      <w:pPr>
        <w:spacing w:after="0" w:line="171" w:lineRule="exact"/>
        <w:rPr>
          <w:rFonts w:ascii="Times New Roman" w:cs="Times New Roman" w:eastAsia="Times New Roman" w:hAnsi="Times New Roman"/>
          <w:sz w:val="21"/>
          <w:szCs w:val="21"/>
          <w:color w:val="auto"/>
        </w:rPr>
      </w:pPr>
    </w:p>
    <w:p>
      <w:pPr>
        <w:ind w:left="200" w:right="219" w:firstLine="1305"/>
        <w:spacing w:after="0" w:line="235"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Holders of Common Stock shall not be entitled to cumulate their votes in the election of directors and shall not be entitled to any preemptive rights to acquire shares of any class or series of capital stock of the Corporation. Subject to any preferential rights of holders of Preferred Stock, holders of Common Stock shall be entitled to receive their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shares, based upon the number of shares of Common Stock held by them, of such dividends or other distributions as may be declared by the Board of Directors from time to time and of any distribution of the assets of the Corporation upon its liquidation, dissolution or winding up, whether voluntary or involuntary.</w:t>
      </w:r>
    </w:p>
    <w:p>
      <w:pPr>
        <w:spacing w:after="0" w:line="178" w:lineRule="exact"/>
        <w:rPr>
          <w:sz w:val="20"/>
          <w:szCs w:val="20"/>
          <w:color w:val="auto"/>
        </w:rPr>
      </w:pPr>
    </w:p>
    <w:p>
      <w:pPr>
        <w:ind w:left="1720" w:hanging="215"/>
        <w:spacing w:after="0"/>
        <w:tabs>
          <w:tab w:leader="none" w:pos="17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219" w:firstLine="1305"/>
        <w:spacing w:after="0" w:line="232"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share of Class B Common Stock and Class C Common Stock shall be convertible at the option of the holder thereof into Class A Common Stock of the Corporation in accordance with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In order to exercise the conversion privilege, a holder of Class B Common Stock or Class C Common Stock shall surrender the certificate evidencing such Class B Common Stock or Class C Common Stock to the Corporation at its principal office, duly endorsed to the Corporation or, in the case of uncertificated shares, instruct the Corporation’s transfer agent to surrender such shares to the Corporation and, in either case, accompanied by written notice to the Corporation that the holder thereof elects to convert a specified portion or all of such shares. Class B Common Stock or Class C Common Stock converted at the option of the holder shall be deemed to have been converted on the day of surrender of the certificate representing such shares for conversion in accordance with the foregoing provisions or, in the case of uncertificated shares, on the day in which the Corporation’s transfer agent receives instruction to effect a book entry transfer to the Corporation, and at such time the rights of the holder of such Class B Common Stock or Class C Common Stock, as such holder, shall cease and such holder shall be treated for all purposes as the record holder of Class A Common Stock issuable upon conversion. As promptly as practicable on or after the conversion date, the Corporation shall issue and mail or deliver to such holder a certificate or certificates for the number of Class A Common Stock issuable upon conversion or shall instruct the Corporation’s transfer agent to effect a book entry transfer to reflect such Class A Common Stock issuable upon conversion, computed to the nearest one hundredth of a full share, and a certificate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1" w:name="page232"/>
    <w:bookmarkEnd w:id="231"/>
    <w:p>
      <w:pPr>
        <w:ind w:left="200" w:right="419"/>
        <w:spacing w:after="0" w:line="258" w:lineRule="auto"/>
        <w:rPr>
          <w:sz w:val="20"/>
          <w:szCs w:val="20"/>
          <w:color w:val="auto"/>
        </w:rPr>
      </w:pPr>
      <w:r>
        <w:rPr>
          <w:rFonts w:ascii="Times New Roman" w:cs="Times New Roman" w:eastAsia="Times New Roman" w:hAnsi="Times New Roman"/>
          <w:sz w:val="22"/>
          <w:szCs w:val="22"/>
          <w:color w:val="auto"/>
        </w:rPr>
        <w:t>certificates or book entry transfer for the balance of Class B Common Stock or Class C Common Stock surrendered, if any, not so converted into Class A Common Stock.</w:t>
      </w:r>
    </w:p>
    <w:p>
      <w:pPr>
        <w:spacing w:after="0" w:line="158" w:lineRule="exact"/>
        <w:rPr>
          <w:sz w:val="20"/>
          <w:szCs w:val="20"/>
          <w:color w:val="auto"/>
        </w:rPr>
      </w:pPr>
    </w:p>
    <w:p>
      <w:pPr>
        <w:ind w:left="200" w:right="339" w:firstLine="1305"/>
        <w:spacing w:after="0" w:line="234" w:lineRule="auto"/>
        <w:tabs>
          <w:tab w:leader="none" w:pos="21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B Common Stock and Class C Common Stock shall be convertible into one share of Class A Common Stock for each share of Class B Common Stock or Class C Common Stock so converted (the “Conversion Rate”). In the event the Corporation shall at any time subdivide or split its outstanding Class A Common Stock, into a greater number of shares or declare any dividend payable in Class A Common Stock, the Conversion Rate in effect immediately prior to such subdivision, split or dividend shall be proportionately increased, and conversely, in case the outstanding Class A Common Stock of the Corporation shall be combined into a smaller number of shares, the Conversion Rate in effect immediately prior to such combination shall be proportionately decreased.</w:t>
      </w:r>
    </w:p>
    <w:p>
      <w:pPr>
        <w:spacing w:after="0" w:line="183" w:lineRule="exact"/>
        <w:rPr>
          <w:rFonts w:ascii="Times New Roman" w:cs="Times New Roman" w:eastAsia="Times New Roman" w:hAnsi="Times New Roman"/>
          <w:sz w:val="22"/>
          <w:szCs w:val="22"/>
          <w:color w:val="auto"/>
        </w:rPr>
      </w:pPr>
    </w:p>
    <w:p>
      <w:pPr>
        <w:ind w:left="200" w:right="319" w:firstLine="1305"/>
        <w:spacing w:after="0" w:line="235" w:lineRule="auto"/>
        <w:tabs>
          <w:tab w:leader="none" w:pos="21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adjustment of the Conversion Rate then and in each such case the Corporation shall give written notice thereof, by first-class mail, postage prepaid, addressed to the registered holders of Class B Common Stock and Class C Common Stock at the addresses of such holders as shown on the books of the Corporation, which notice shall state the Conversion Rate resulting from such adjustment and the increase or decrease, if any, in the number of shares receivable at such price upon the conversion of Class B Common Stock or Class C Common Stock, setting forth in reasonable detail the method of calculation and the facts upon which such calculation is based.</w:t>
      </w:r>
    </w:p>
    <w:p>
      <w:pPr>
        <w:spacing w:after="0" w:line="178" w:lineRule="exact"/>
        <w:rPr>
          <w:rFonts w:ascii="Times New Roman" w:cs="Times New Roman" w:eastAsia="Times New Roman" w:hAnsi="Times New Roman"/>
          <w:sz w:val="22"/>
          <w:szCs w:val="22"/>
          <w:color w:val="auto"/>
        </w:rPr>
      </w:pPr>
    </w:p>
    <w:p>
      <w:pPr>
        <w:ind w:left="200" w:right="379" w:firstLine="1305"/>
        <w:spacing w:after="0" w:line="282" w:lineRule="auto"/>
        <w:tabs>
          <w:tab w:leader="none" w:pos="214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holders of Class B Common Stock and Class C Common Stock shall have the following rights to certain properties received by the holders of Class A Common Stock:</w:t>
      </w:r>
    </w:p>
    <w:p>
      <w:pPr>
        <w:spacing w:after="0" w:line="134" w:lineRule="exact"/>
        <w:rPr>
          <w:rFonts w:ascii="Times New Roman" w:cs="Times New Roman" w:eastAsia="Times New Roman" w:hAnsi="Times New Roman"/>
          <w:sz w:val="21"/>
          <w:szCs w:val="21"/>
          <w:color w:val="auto"/>
        </w:rPr>
      </w:pPr>
    </w:p>
    <w:p>
      <w:pPr>
        <w:ind w:left="1500" w:right="239" w:firstLine="653"/>
        <w:spacing w:after="0" w:line="233" w:lineRule="auto"/>
        <w:tabs>
          <w:tab w:leader="none" w:pos="279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the Corporation shall declare a dividend or distribution upon Class A Common Stock payable other than in cash out of earnings or surplus or other than in Class A Common Stock, then thereafter each holder of Class B Common Stock or Class C Common Stock upon the conversion thereof will be entitled to receive the number of shares of Class A Common Stock into which such Class B Common Stock or Class C Common Stock shall be converted, and, in addition and without payment therefor, the property which such holder would have received as a dividend if continuously since the record date for any such dividend or distribution such holder: (A) had been the record holder of the number of Class A Common Stock then received; and (B) had retained all dividends or distributions originating directly or indirectly from such Class A Common Stock.</w:t>
      </w:r>
    </w:p>
    <w:p>
      <w:pPr>
        <w:spacing w:after="0" w:line="187" w:lineRule="exact"/>
        <w:rPr>
          <w:rFonts w:ascii="Times New Roman" w:cs="Times New Roman" w:eastAsia="Times New Roman" w:hAnsi="Times New Roman"/>
          <w:sz w:val="22"/>
          <w:szCs w:val="22"/>
          <w:color w:val="auto"/>
        </w:rPr>
      </w:pPr>
    </w:p>
    <w:p>
      <w:pPr>
        <w:ind w:left="1500" w:right="259" w:firstLine="653"/>
        <w:spacing w:after="0" w:line="235" w:lineRule="auto"/>
        <w:tabs>
          <w:tab w:leader="none" w:pos="279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capital reorganization or reclassification of the capital stock of the Corporation, or consolidation or merger of the Corporation with another corporation, or the sale of all or substantially all of its assets to another corporation shall be effected in such a way that holders of Class A Common Stock shall be entitled to receive stock, securities or assets with respect to or in exchange for a Class A Common, then, as a condition of such reorganization, reclassification, consolidation, merger or sale, lawful and adequate provision shall be made whereby the holders of Class B Common Stock and Class C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2" w:name="page233"/>
    <w:bookmarkEnd w:id="232"/>
    <w:p>
      <w:pPr>
        <w:ind w:left="1500" w:right="239"/>
        <w:spacing w:after="0" w:line="232" w:lineRule="auto"/>
        <w:rPr>
          <w:sz w:val="20"/>
          <w:szCs w:val="20"/>
          <w:color w:val="auto"/>
        </w:rPr>
      </w:pPr>
      <w:r>
        <w:rPr>
          <w:rFonts w:ascii="Times New Roman" w:cs="Times New Roman" w:eastAsia="Times New Roman" w:hAnsi="Times New Roman"/>
          <w:sz w:val="22"/>
          <w:szCs w:val="22"/>
          <w:color w:val="auto"/>
        </w:rPr>
        <w:t xml:space="preserve">Stock shall thereafter have the right to receive, </w:t>
      </w:r>
      <w:r>
        <w:rPr>
          <w:rFonts w:ascii="Times New Roman" w:cs="Times New Roman" w:eastAsia="Times New Roman" w:hAnsi="Times New Roman"/>
          <w:sz w:val="22"/>
          <w:szCs w:val="22"/>
          <w:u w:val="single" w:color="auto"/>
          <w:color w:val="auto"/>
        </w:rPr>
        <w:t>in lieu</w:t>
      </w:r>
      <w:r>
        <w:rPr>
          <w:rFonts w:ascii="Times New Roman" w:cs="Times New Roman" w:eastAsia="Times New Roman" w:hAnsi="Times New Roman"/>
          <w:sz w:val="22"/>
          <w:szCs w:val="22"/>
          <w:color w:val="auto"/>
        </w:rPr>
        <w:t xml:space="preserve"> of Class A Common Stock of the Corporation immediately theretofore receivable upon the conversion of such Class B Common Stock and Class C Common Stock, such shares of stock, securities or assets as may be issued or payable with respect to or in exchange for a number of outstanding Class A Common Stock equal to the number of Class A Common Stock immediately theretofore receivable upon the conversion or such Class B Common Stock and Class C Common Stock had such reorganization, reclassification, consolidation, merger or sale not taken place, and in any such case appropriate provision shall be made with respect to the rights and interests of the holders of the Class B Common Stock and Class C Common Stock to the end that the provisions hereof (including without limitation provisions for adjustments of the Conversion Rate and of the number of shares receivable upon the conversion of such Class B Common Stock and Class C Common Stock) shall thereafter be applicable, as nearly as may be, in relation to any shares of stock, securities or assets thereafter receivable upon the conversion of such Class B Common Stock and Class C Common Stock. The Corporation shall not effect any such reorganization, reclassification, consolidation, merger or sale, unless prior to the consummation thereof the surviving corporation (if other than the Corporation), the corporation resulting from such consolidation or the corporation purchasing such assets shall assume by written instrument executed and mailed to the registered holders of the Class B Common Stock and Class C Common Stock at the last address of such holders appearing on the books of the Corporation, the obligation to deliver to such holders such shares of stock, securities or assets as, in accordance with the foregoing provisions, such holders may be entitled to receive.</w:t>
      </w:r>
    </w:p>
    <w:p>
      <w:pPr>
        <w:spacing w:after="0" w:line="179" w:lineRule="exact"/>
        <w:rPr>
          <w:sz w:val="20"/>
          <w:szCs w:val="20"/>
          <w:color w:val="auto"/>
        </w:rPr>
      </w:pPr>
    </w:p>
    <w:p>
      <w:pPr>
        <w:ind w:left="2160" w:hanging="655"/>
        <w:spacing w:after="0"/>
        <w:tabs>
          <w:tab w:leader="none" w:pos="21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at any time:</w:t>
      </w:r>
    </w:p>
    <w:p>
      <w:pPr>
        <w:spacing w:after="0" w:line="206" w:lineRule="exact"/>
        <w:rPr>
          <w:rFonts w:ascii="Times New Roman" w:cs="Times New Roman" w:eastAsia="Times New Roman" w:hAnsi="Times New Roman"/>
          <w:sz w:val="22"/>
          <w:szCs w:val="22"/>
          <w:color w:val="auto"/>
        </w:rPr>
      </w:pPr>
    </w:p>
    <w:p>
      <w:pPr>
        <w:ind w:left="1500" w:right="239" w:firstLine="653"/>
        <w:spacing w:after="0" w:line="244" w:lineRule="auto"/>
        <w:tabs>
          <w:tab w:leader="none" w:pos="279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pay any dividend payable in stock upon Class A Common Stock or make any distribution (other than regular cash dividends to the holders of Class A Common Stock); or</w:t>
      </w:r>
    </w:p>
    <w:p>
      <w:pPr>
        <w:spacing w:after="0" w:line="173" w:lineRule="exact"/>
        <w:rPr>
          <w:rFonts w:ascii="Times New Roman" w:cs="Times New Roman" w:eastAsia="Times New Roman" w:hAnsi="Times New Roman"/>
          <w:sz w:val="22"/>
          <w:szCs w:val="22"/>
          <w:color w:val="auto"/>
        </w:rPr>
      </w:pPr>
    </w:p>
    <w:p>
      <w:pPr>
        <w:jc w:val="both"/>
        <w:ind w:left="1500" w:right="319" w:firstLine="653"/>
        <w:spacing w:after="0" w:line="244" w:lineRule="auto"/>
        <w:tabs>
          <w:tab w:leader="none" w:pos="279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offer for subscription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the holders of Class A Common Stock any additional shares of stock of any class or other rights; or</w:t>
      </w:r>
    </w:p>
    <w:p>
      <w:pPr>
        <w:spacing w:after="0" w:line="173" w:lineRule="exact"/>
        <w:rPr>
          <w:rFonts w:ascii="Times New Roman" w:cs="Times New Roman" w:eastAsia="Times New Roman" w:hAnsi="Times New Roman"/>
          <w:sz w:val="22"/>
          <w:szCs w:val="22"/>
          <w:color w:val="auto"/>
        </w:rPr>
      </w:pPr>
    </w:p>
    <w:p>
      <w:pPr>
        <w:ind w:left="1500" w:right="219" w:firstLine="653"/>
        <w:spacing w:after="0" w:line="248" w:lineRule="auto"/>
        <w:tabs>
          <w:tab w:leader="none" w:pos="279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any capital reorganization, reclassification of the capital stock of the Corporation, or consolidation or merger of the Corporation with, or sale of all or substantially all of its assets, to another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provision shall not be applicable to the merger or consolidation of the Corporation with or into another corporation if, following such merger or consolidation, the shareholders of the Corporation immediately prior to such merger or consolidation own at least 80% of the equity of the combined entity); or</w:t>
      </w:r>
    </w:p>
    <w:p>
      <w:pPr>
        <w:spacing w:after="0" w:line="170" w:lineRule="exact"/>
        <w:rPr>
          <w:rFonts w:ascii="Times New Roman" w:cs="Times New Roman" w:eastAsia="Times New Roman" w:hAnsi="Times New Roman"/>
          <w:sz w:val="21"/>
          <w:szCs w:val="21"/>
          <w:color w:val="auto"/>
        </w:rPr>
      </w:pPr>
    </w:p>
    <w:p>
      <w:pPr>
        <w:ind w:left="1500" w:right="479" w:firstLine="653"/>
        <w:spacing w:after="0" w:line="258" w:lineRule="auto"/>
        <w:tabs>
          <w:tab w:leader="none" w:pos="279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 voluntary or involuntary dissolution, liquidation or winding up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3" w:name="page234"/>
    <w:bookmarkEnd w:id="233"/>
    <w:p>
      <w:pPr>
        <w:ind w:left="200" w:right="279"/>
        <w:spacing w:after="0" w:line="233" w:lineRule="auto"/>
        <w:rPr>
          <w:sz w:val="20"/>
          <w:szCs w:val="20"/>
          <w:color w:val="auto"/>
        </w:rPr>
      </w:pPr>
      <w:r>
        <w:rPr>
          <w:rFonts w:ascii="Times New Roman" w:cs="Times New Roman" w:eastAsia="Times New Roman" w:hAnsi="Times New Roman"/>
          <w:sz w:val="22"/>
          <w:szCs w:val="22"/>
          <w:color w:val="auto"/>
        </w:rPr>
        <w:t>then, in any one or more of the aforesaid cases, the Corporation shall give written notice, by first-class mail, postage prepaid, addressed to the holders of Class B Common Stock and Class C Common Stock at the addresses of such holders as shown on the books of the Corporation, of the date on which: (A) the books of the Corporation shall close or a record shall be taken for such dividend, distribution or subscription rights; or (B) such reorganization, reclassification, consolidation, merger, sale, dissolution, liquidation or winding up shall take place, as the case may be. Such notice shall also specify the date as of which the holders of Class A Common Stock of record shall participate in such dividend, distribution, or subscription rights, or shall be entitled to exchange their Class A Common Stock for securities or other property deliverable upon such reorganization, reclassification, consolidation, merger, sale, dissolution, liquidation or winding up, as the case may be. Such written notice shall be given at least 20 days prior to the action in question and not less than 20 days prior to the record date or the date on which the Corporation’s transfer books are closed in respect thereto.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Board of Directors</w:t>
      </w:r>
    </w:p>
    <w:p>
      <w:pPr>
        <w:spacing w:after="0" w:line="206" w:lineRule="exact"/>
        <w:rPr>
          <w:sz w:val="20"/>
          <w:szCs w:val="20"/>
          <w:color w:val="auto"/>
        </w:rPr>
      </w:pPr>
    </w:p>
    <w:p>
      <w:pPr>
        <w:ind w:left="200" w:right="439" w:firstLine="1296"/>
        <w:spacing w:after="0" w:line="258" w:lineRule="auto"/>
        <w:rPr>
          <w:sz w:val="20"/>
          <w:szCs w:val="20"/>
          <w:color w:val="auto"/>
        </w:rPr>
      </w:pPr>
      <w:r>
        <w:rPr>
          <w:rFonts w:ascii="Times New Roman" w:cs="Times New Roman" w:eastAsia="Times New Roman" w:hAnsi="Times New Roman"/>
          <w:sz w:val="22"/>
          <w:szCs w:val="22"/>
          <w:color w:val="auto"/>
        </w:rPr>
        <w:t>The name and addresses of the first board of directors, which shall be seven (7) in number, are as follows:</w:t>
      </w:r>
    </w:p>
    <w:p>
      <w:pPr>
        <w:spacing w:after="0" w:line="135" w:lineRule="exact"/>
        <w:rPr>
          <w:sz w:val="20"/>
          <w:szCs w:val="20"/>
          <w:color w:val="auto"/>
        </w:rPr>
      </w:pPr>
    </w:p>
    <w:tbl>
      <w:tblPr>
        <w:tblLayout w:type="fixed"/>
        <w:tblInd w:w="1600" w:type="dxa"/>
        <w:tblCellMar>
          <w:top w:w="0" w:type="dxa"/>
          <w:left w:w="0" w:type="dxa"/>
          <w:bottom w:w="0" w:type="dxa"/>
          <w:right w:w="0" w:type="dxa"/>
        </w:tblCellMar>
      </w:tblPr>
      <w:tr>
        <w:trPr>
          <w:trHeight w:val="253"/>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ADDRESS</w:t>
            </w:r>
          </w:p>
        </w:tc>
      </w:tr>
      <w:tr>
        <w:trPr>
          <w:trHeight w:val="20"/>
        </w:trPr>
        <w:tc>
          <w:tcPr>
            <w:tcW w:w="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79"/>
        </w:trPr>
        <w:tc>
          <w:tcPr>
            <w:tcW w:w="2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Charles W. Ergen</w:t>
            </w:r>
          </w:p>
        </w:tc>
        <w:tc>
          <w:tcPr>
            <w:tcW w:w="41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43"/>
        </w:trPr>
        <w:tc>
          <w:tcPr>
            <w:tcW w:w="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2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Michael T. Dugan</w:t>
            </w:r>
          </w:p>
        </w:tc>
        <w:tc>
          <w:tcPr>
            <w:tcW w:w="41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43"/>
        </w:trPr>
        <w:tc>
          <w:tcPr>
            <w:tcW w:w="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2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David K. Moskowitz</w:t>
            </w:r>
          </w:p>
        </w:tc>
        <w:tc>
          <w:tcPr>
            <w:tcW w:w="41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43"/>
        </w:trPr>
        <w:tc>
          <w:tcPr>
            <w:tcW w:w="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2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Carl E. Vogel</w:t>
            </w:r>
          </w:p>
        </w:tc>
        <w:tc>
          <w:tcPr>
            <w:tcW w:w="41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43"/>
        </w:trPr>
        <w:tc>
          <w:tcPr>
            <w:tcW w:w="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2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Stephen R. Goodbarn</w:t>
            </w:r>
          </w:p>
        </w:tc>
        <w:tc>
          <w:tcPr>
            <w:tcW w:w="41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43"/>
        </w:trPr>
        <w:tc>
          <w:tcPr>
            <w:tcW w:w="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2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Tom A. Ortolf</w:t>
            </w:r>
          </w:p>
        </w:tc>
        <w:tc>
          <w:tcPr>
            <w:tcW w:w="41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43"/>
        </w:trPr>
        <w:tc>
          <w:tcPr>
            <w:tcW w:w="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2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 Michael Schroeder</w:t>
            </w:r>
          </w:p>
        </w:tc>
        <w:tc>
          <w:tcPr>
            <w:tcW w:w="41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90 Inverness Circle East, Englewood, CO</w:t>
            </w:r>
          </w:p>
        </w:tc>
      </w:tr>
      <w:tr>
        <w:trPr>
          <w:trHeight w:val="282"/>
        </w:trPr>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80112</w:t>
            </w:r>
          </w:p>
        </w:tc>
        <w:tc>
          <w:tcPr>
            <w:tcW w:w="264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00" w:right="919" w:firstLine="1296"/>
        <w:spacing w:after="0" w:line="258" w:lineRule="auto"/>
        <w:rPr>
          <w:sz w:val="20"/>
          <w:szCs w:val="20"/>
          <w:color w:val="auto"/>
        </w:rPr>
      </w:pPr>
      <w:r>
        <w:rPr>
          <w:rFonts w:ascii="Times New Roman" w:cs="Times New Roman" w:eastAsia="Times New Roman" w:hAnsi="Times New Roman"/>
          <w:sz w:val="22"/>
          <w:szCs w:val="22"/>
          <w:color w:val="auto"/>
        </w:rPr>
        <w:t>The number of directors shall be increased or decreased as prescribed by the Bylaws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Right of Directors to Contract with Corporation</w:t>
      </w:r>
    </w:p>
    <w:p>
      <w:pPr>
        <w:spacing w:after="0" w:line="206" w:lineRule="exact"/>
        <w:rPr>
          <w:sz w:val="20"/>
          <w:szCs w:val="20"/>
          <w:color w:val="auto"/>
        </w:rPr>
      </w:pPr>
    </w:p>
    <w:p>
      <w:pPr>
        <w:ind w:left="200" w:right="479" w:firstLine="1296"/>
        <w:spacing w:after="0" w:line="244" w:lineRule="auto"/>
        <w:rPr>
          <w:sz w:val="20"/>
          <w:szCs w:val="20"/>
          <w:color w:val="auto"/>
        </w:rPr>
      </w:pPr>
      <w:r>
        <w:rPr>
          <w:rFonts w:ascii="Times New Roman" w:cs="Times New Roman" w:eastAsia="Times New Roman" w:hAnsi="Times New Roman"/>
          <w:sz w:val="22"/>
          <w:szCs w:val="22"/>
          <w:color w:val="auto"/>
        </w:rPr>
        <w:t>The following provisions are inserted for the management of the business and for the conduct of the affairs of the Corporation, and the same are in furtherance of and not in limitation of the powers conferred by law.</w:t>
      </w:r>
    </w:p>
    <w:p>
      <w:pPr>
        <w:spacing w:after="0" w:line="173" w:lineRule="exact"/>
        <w:rPr>
          <w:sz w:val="20"/>
          <w:szCs w:val="20"/>
          <w:color w:val="auto"/>
        </w:rPr>
      </w:pPr>
    </w:p>
    <w:p>
      <w:pPr>
        <w:ind w:left="200" w:right="319" w:firstLine="1305"/>
        <w:spacing w:after="0" w:line="236" w:lineRule="auto"/>
        <w:tabs>
          <w:tab w:leader="none" w:pos="171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contract or other transaction between this Corporation and one or more of its directors or any other corporation, firm, association, or entity in which one or more of its directors are directors or officers or are financially interested shall be either void or voidable solely because of such relationship or interest or solely because such directors are present at the meeting of the Board of Directors or a committee thereof which authorizes, approves or ratifies such contract or transaction or solely because their votes are counted for such purpose if:</w:t>
      </w:r>
    </w:p>
    <w:p>
      <w:pPr>
        <w:spacing w:after="0" w:line="181" w:lineRule="exact"/>
        <w:rPr>
          <w:sz w:val="20"/>
          <w:szCs w:val="20"/>
          <w:color w:val="auto"/>
        </w:rPr>
      </w:pPr>
    </w:p>
    <w:p>
      <w:pPr>
        <w:ind w:left="860" w:right="279" w:firstLine="645"/>
        <w:spacing w:after="0" w:line="238" w:lineRule="auto"/>
        <w:tabs>
          <w:tab w:leader="none" w:pos="215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such relationship or interest and as to the contract or transaction are disclosed or are otherwise known to the Board of Directors or committee and the Board or committee authorizes, approves, or ratifies such contract or transaction by the affirmative vote of a majority of the disinterested directors, even though such directors are less than a quorum; or</w:t>
      </w:r>
    </w:p>
    <w:p>
      <w:pPr>
        <w:spacing w:after="0" w:line="176" w:lineRule="exact"/>
        <w:rPr>
          <w:rFonts w:ascii="Times New Roman" w:cs="Times New Roman" w:eastAsia="Times New Roman" w:hAnsi="Times New Roman"/>
          <w:sz w:val="22"/>
          <w:szCs w:val="22"/>
          <w:color w:val="auto"/>
        </w:rPr>
      </w:pPr>
    </w:p>
    <w:p>
      <w:pPr>
        <w:ind w:left="860" w:right="279" w:firstLine="645"/>
        <w:spacing w:after="0" w:line="239" w:lineRule="auto"/>
        <w:tabs>
          <w:tab w:leader="none" w:pos="215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of such relationship or interest and as to the contract or transaction are disclosed or are otherwise known to the shareholders entitled to vote thereon and they authorize, approve or ratify such contract or transaction by vote or written consent; or</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and reasonable to the Corporation.</w:t>
      </w:r>
    </w:p>
    <w:p>
      <w:pPr>
        <w:spacing w:after="0" w:line="206" w:lineRule="exact"/>
        <w:rPr>
          <w:sz w:val="20"/>
          <w:szCs w:val="20"/>
          <w:color w:val="auto"/>
        </w:rPr>
      </w:pPr>
    </w:p>
    <w:p>
      <w:pPr>
        <w:jc w:val="both"/>
        <w:ind w:left="200" w:right="299" w:firstLine="1305"/>
        <w:spacing w:after="0" w:line="244" w:lineRule="auto"/>
        <w:tabs>
          <w:tab w:leader="none" w:pos="171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or interested directors may be counted in determining the presence of a quorum at a meeting of the Board of Directors or a committee thereof which authorizes, approves or ratifies such contract or transaction.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Corporate Opportunity</w:t>
      </w:r>
    </w:p>
    <w:p>
      <w:pPr>
        <w:spacing w:after="0" w:line="206" w:lineRule="exact"/>
        <w:rPr>
          <w:sz w:val="20"/>
          <w:szCs w:val="20"/>
          <w:color w:val="auto"/>
        </w:rPr>
      </w:pPr>
    </w:p>
    <w:p>
      <w:pPr>
        <w:ind w:left="200" w:right="239" w:firstLine="1305"/>
        <w:spacing w:after="0" w:line="233" w:lineRule="auto"/>
        <w:tabs>
          <w:tab w:leader="none" w:pos="171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Acknowledgements; Definitions</w:t>
      </w:r>
      <w:r>
        <w:rPr>
          <w:rFonts w:ascii="Times New Roman" w:cs="Times New Roman" w:eastAsia="Times New Roman" w:hAnsi="Times New Roman"/>
          <w:sz w:val="22"/>
          <w:szCs w:val="22"/>
          <w:color w:val="auto"/>
        </w:rPr>
        <w:t>. The provisions of this Article VIII shall, to the fullest extent permitted by law, delineate the doctrine of “corporate opportunities,” as it applies to the Corporation, define the conduct of certain affairs of the Corporation and its Subsidiaries and the Corporation’s and its Subsidiaries’ directors and officers as they may involve EchoStar Communications Corporation (“EchoStar”) and its Subsidiaries, and the powers, rights, duties and liabilities of the Corporation and its Subsidiaries and the Corporation’s and its Subsidiaries’ directors, officers and employees in connection therewith. In recognition and anticipation that (a) directors and officers of the Corporation and its Subsidiaries may serve as directors, officers and employees of EchoStar and its Subsidiaries, (b) the Corporation and its Subsidiaries, directly or indirectly, may engage and are expected to continue to engage in the same, similar or related lines of business as those engaged in by EchoStar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5" w:name="page236"/>
    <w:bookmarkEnd w:id="235"/>
    <w:p>
      <w:pPr>
        <w:ind w:left="200" w:right="219"/>
        <w:spacing w:after="0" w:line="231" w:lineRule="auto"/>
        <w:rPr>
          <w:sz w:val="20"/>
          <w:szCs w:val="20"/>
          <w:color w:val="auto"/>
        </w:rPr>
      </w:pPr>
      <w:r>
        <w:rPr>
          <w:rFonts w:ascii="Times New Roman" w:cs="Times New Roman" w:eastAsia="Times New Roman" w:hAnsi="Times New Roman"/>
          <w:sz w:val="22"/>
          <w:szCs w:val="22"/>
          <w:color w:val="auto"/>
        </w:rPr>
        <w:t>and other business activities that overlap with or compete with those in which EchoStar and its Subsidiaries may engage, (c) the Corporation and its Subsidiaries may have an interest in the same areas of business opportunity as EchoStar and its Subsidiaries, (d) the Corporation and its Subsidiaries may engage in material business transactions with EchoStar and its Subsidiaries, including, without limitation, receiving services from, providing services to or being a significant customer or supplier to EchoStar and its Subsidiaries, and that the Corporation, EchoStar and/or one or more of their respective Subsidiaries may benefit from such transactions, and (e) as a consequence of the foregoing, it is in the best interests of the Corporation that the rights of the Corporation and its Subsidiaries, and the duties of any directors or officers of the Corporation or any of its Subsidiaries, be determined and delineated in respect of (x) any transactions between the Corporation and its Subsidiaries, on the one hand, and EchoStar and its Subsidiaries, on the other hand, and (y) any potential transactions or matters that may be presented to officers and directors or the Corporation and its Subsidiaries, or of which such officers or directors may otherwise become aware, which potential transactions or matters may constitute business opportunities of the Corporation or any of its Subsidiaries, and in recognition of the benefits to be derived by the Corporation and its Subsidiaries through its continued contractual, corporate and business relations with EchoStar and its Subsidiaries and of the benefits to be derived by the Corporation and its Subsidiaries by the possible service as directors or officers of the Corporation and its Subsidiaries of persons who may also serve from time to time as directors, officers and employees of EchoStar or any of its Subsidiaries, the provisions of this Article VIII shall, to the fullest extent permitted by law, regulate and define the conduct of the business and affairs of the Corporation and its Subsidiaries in relation to EchoStar and its Subsidiaries, and as such conduct and affairs may involve EchoStar’s and its Subsidiaries directors, officers and employees, and the powers, rights, duties and liabilities of the Corporation and its Subsidiaries and their respective officers and directors in connection therewith and in connection with any potential business opportunities of the Corporation and its Subsidiaries. Any person purchasing or otherwise acquiring any shares of capital stock of the Corporation, or any interest therein, shall be deemed to have notice of and to have consented to the provisions of this Article VIII. For purposes of this Article VIII, “Control” and derivative terms means the possession of the power to direct or cause the direction of the management and policies of a person, whether through the possession of voting securities, by contract or otherwise; and “Subsidiary” means, with respect to any person, any other person that such first person directly or indirectly Controls. References in this Article VIII to “directors,” “officers” or “employees” of any person shall be deemed to include those persons who hold similar positions or exercise similar powers and authority with respect to any such person that is a limited liability company, partnership, joint venture or other non-corporate entity or any close corporation governed directly by its stockholders.</w:t>
      </w:r>
    </w:p>
    <w:p>
      <w:pPr>
        <w:spacing w:after="0" w:line="198" w:lineRule="exact"/>
        <w:rPr>
          <w:sz w:val="20"/>
          <w:szCs w:val="20"/>
          <w:color w:val="auto"/>
        </w:rPr>
      </w:pPr>
    </w:p>
    <w:p>
      <w:pPr>
        <w:ind w:left="200" w:right="359" w:firstLine="1305"/>
        <w:spacing w:after="0" w:line="246" w:lineRule="auto"/>
        <w:tabs>
          <w:tab w:leader="none" w:pos="171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Agreements and Transactions Permitted</w:t>
      </w:r>
      <w:r>
        <w:rPr>
          <w:rFonts w:ascii="Times New Roman" w:cs="Times New Roman" w:eastAsia="Times New Roman" w:hAnsi="Times New Roman"/>
          <w:sz w:val="21"/>
          <w:szCs w:val="21"/>
          <w:color w:val="auto"/>
        </w:rPr>
        <w:t>. No contract, agreement, arrangement or transaction (or any amendment, modification or termination thereof) entered into between the Corporation and/or any of its Subsidiaries, on the one hand, and EchoStar and/or any of its Subsidiaries, on the other hand, before the Corporation ceased to be a wholly-owned subsidiary of EchoStar shall be void or voidable or be considered unfair to the Corporation or any of its Subsidiaries for the reason that EchoStar or any of its Subsidiaries is a party thereto, or because any directors, officers or employees of EchoStar or a Subsidiary of EchoStar are a party thereto, or because any directors, officers or employees of EchoStar or a Subsidiary of EchoStar were present at or participated in any meeting of the board of directors, or committee thereof,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6" w:name="page237"/>
    <w:bookmarkEnd w:id="236"/>
    <w:p>
      <w:pPr>
        <w:ind w:left="200" w:right="219"/>
        <w:spacing w:after="0" w:line="231" w:lineRule="auto"/>
        <w:rPr>
          <w:sz w:val="20"/>
          <w:szCs w:val="20"/>
          <w:color w:val="auto"/>
        </w:rPr>
      </w:pPr>
      <w:r>
        <w:rPr>
          <w:rFonts w:ascii="Times New Roman" w:cs="Times New Roman" w:eastAsia="Times New Roman" w:hAnsi="Times New Roman"/>
          <w:sz w:val="22"/>
          <w:szCs w:val="22"/>
          <w:color w:val="auto"/>
        </w:rPr>
        <w:t>the Corporation, or the board of directors, or committee thereof, of any Subsidiary of the Corporation, that authorized the contract, agreement, arrangement or transaction (or any amendment, modification or termination thereof), or because his, her or their votes were counted for such purpose. The Corporation may from time to time enter into and perform, and cause or permit any of its Subsidiaries to enter into and perform, one or more contracts, agreements, arrangements or transactions (or amendments, modifications or supplements thereto) with EchoStar or any Subsidiary thereof pursuant to which the Corporation or a Subsidiary thereof, on the one hand, and EchoStar or a Subsidiary thereof, on the other hand, agree to engage in contracts, agreements, arrangements or transactions of any kind or nature with each other, or agree to compete, or to refrain from competing or to limit or restrict their competition, with each other, including to allocate and cause their respective directors, officers and employees (including any such persons who are directors, officers or employees of both) to allocate opportunities between, or to refer opportunities to, each other. To the fullest extent permitted by law, no such contract, agreement, arrangement or transaction (nor any such amendments, modifications or supplements), nor the performance thereof by the Corporation, EchoStar or any Subsidiary of the Corporation or EchoStar, shall be considered contrary to any fiduciary duty owed to the Corporation (or to any Subsidiary of the Corporation, or to any stockholder of the Corporation or any of its Subsidiaries) by any director or officer of the Corporation (or by any director or officer of any Subsidiary of the Corporation) who is also a director, officer or employee of EchoStar or any Subsidiary thereof. To the fullest extent permitted by law, no director or officer of the Corporation or any Subsidiary of the Corporation who is also a director, officer or employee of EchoStar or any Subsidiary thereof shall have or be under any fiduciary duty to the Corporation (or to any Subsidiary of the Corporation, or to any stockholder of the Corporation of any of its Subsidiaries) to refrain from acting on behalf of the Corporation or EchoStar, or any of their respective Subsidiaries, in respect of any such contract, agreement, arrangement or transaction or performing any such contract, agreement, arrangement or transaction in accordance with its terms and each such director or officer of the Corporation or any Subsidiary of the Corporation who is also a director, officer or employee of EchoStar or any Subsidiary thereof shall be deemed to have acted in good faith and in a manner such person reasonably believed to be in or not opposed to the best interests of the Corporation, and shall be deemed not to have breached his or her duties of loyalty to the Corporation and their respective stockholders, and not to have derived an improper personal benefit therefrom.</w:t>
      </w:r>
    </w:p>
    <w:p>
      <w:pPr>
        <w:spacing w:after="0" w:line="200" w:lineRule="exact"/>
        <w:rPr>
          <w:sz w:val="20"/>
          <w:szCs w:val="20"/>
          <w:color w:val="auto"/>
        </w:rPr>
      </w:pPr>
    </w:p>
    <w:p>
      <w:pPr>
        <w:ind w:left="200" w:right="239" w:firstLine="1305"/>
        <w:spacing w:after="0" w:line="233" w:lineRule="auto"/>
        <w:tabs>
          <w:tab w:leader="none" w:pos="198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Directors and Officers Regarding Potential Business Opportunities; No Liability for Certain Acts or Omissions</w:t>
      </w:r>
      <w:r>
        <w:rPr>
          <w:rFonts w:ascii="Times New Roman" w:cs="Times New Roman" w:eastAsia="Times New Roman" w:hAnsi="Times New Roman"/>
          <w:sz w:val="22"/>
          <w:szCs w:val="22"/>
          <w:color w:val="auto"/>
        </w:rPr>
        <w:t>. If a director or officer of the Corporation or any Subsidiary of the Corporation is offered, or otherwise acquires knowledge of, a potential transaction or matter that may constitute or present a business opportunity for the Corporation or any of its Subsidiaries (any such transaction or matter, and any such actual or potential business opportunity, a "Potential Business Opportunity"), such director or officer shall, to the fullest extent permitted by law, have no duty or obligation to refer such Potential Business Opportunity to the Corporation or any of its Subsidiaries, or to refrain from referring such Potential Business Opportunity to any other person, or to give any notice to the Corporation or any of its Subsidiaries regarding such Potential Business Opportunity (or any matter relating thereto), and such director or officer will not be liable to the Corporation or any of its Subsidiaries, as a director, officer, stockholder or otherwise, for any failure to refer such Potential Business Opportunity to the Corporation or any of its Subsidiaries, or for referring such Potential Business Opportunity to any other person, or for any failure to give any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7" w:name="page238"/>
    <w:bookmarkEnd w:id="237"/>
    <w:p>
      <w:pPr>
        <w:ind w:left="200" w:right="279"/>
        <w:spacing w:after="0" w:line="232" w:lineRule="auto"/>
        <w:rPr>
          <w:sz w:val="20"/>
          <w:szCs w:val="20"/>
          <w:color w:val="auto"/>
        </w:rPr>
      </w:pPr>
      <w:r>
        <w:rPr>
          <w:rFonts w:ascii="Times New Roman" w:cs="Times New Roman" w:eastAsia="Times New Roman" w:hAnsi="Times New Roman"/>
          <w:sz w:val="22"/>
          <w:szCs w:val="22"/>
          <w:color w:val="auto"/>
        </w:rPr>
        <w:t xml:space="preserve">Corporation or any of its Subsidiaries regarding such Potential Business Opportunity or any matter relating thereto,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all of the following conditions are satisfied: (A) the Corporation has expressed an interest in such business opportunity as determined from time to time by the Corporation’s Board of Directors as evidenced by resolutions appearing in the Corporation’s minutes; (B) such Potential Business Opportunity was expressly offered to such director or officer solely in his or her capacity as a director or officer of the Corporation or as a director or officer of any Subsidiary of the Corporation;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(C) such opportunity relates to a line of business in which the Corporation or any Subsidiary of the Corporation is then directly engaged. In the event the preceding conditions are satisfied with respect to a particular Potential Business Opportunity, then such Potential Business Opportunity shall be offered first to the Corporation. In the event the preceding conditions are satisfied and the Corporation declines to pursue such Potential Business Opportunity, the directors, officers and other members of management of the Corporation shall be free to engage in such Potential Business Opportunity on their own and this paragraph shall not limit the right of any director, officer or other member of management of the Corporation to continue a business existing prior to the time that such area of interest is designated by the Corporation. This paragraph shall not be construed to release any employee of this Corporation (other than a director, officer or member of management) from any duties which may be owed to this Corporation.</w:t>
      </w:r>
    </w:p>
    <w:p>
      <w:pPr>
        <w:spacing w:after="0" w:line="188" w:lineRule="exact"/>
        <w:rPr>
          <w:sz w:val="20"/>
          <w:szCs w:val="20"/>
          <w:color w:val="auto"/>
        </w:rPr>
      </w:pPr>
    </w:p>
    <w:p>
      <w:pPr>
        <w:ind w:left="200" w:right="359" w:firstLine="1305"/>
        <w:spacing w:after="0" w:line="241" w:lineRule="auto"/>
        <w:tabs>
          <w:tab w:leader="none" w:pos="171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Article VIII</w:t>
      </w:r>
      <w:r>
        <w:rPr>
          <w:rFonts w:ascii="Times New Roman" w:cs="Times New Roman" w:eastAsia="Times New Roman" w:hAnsi="Times New Roman"/>
          <w:sz w:val="22"/>
          <w:szCs w:val="22"/>
          <w:color w:val="auto"/>
        </w:rPr>
        <w:t>. No alteration, amendment or repeal, or adoption of any provision inconsistent with, any provision of this Article VIII shall have any effect upon</w:t>
      </w:r>
    </w:p>
    <w:p>
      <w:pPr>
        <w:spacing w:after="0" w:line="1" w:lineRule="exact"/>
        <w:rPr>
          <w:rFonts w:ascii="Times New Roman" w:cs="Times New Roman" w:eastAsia="Times New Roman" w:hAnsi="Times New Roman"/>
          <w:sz w:val="22"/>
          <w:szCs w:val="22"/>
          <w:color w:val="auto"/>
        </w:rPr>
      </w:pPr>
    </w:p>
    <w:p>
      <w:pPr>
        <w:ind w:left="200" w:right="359" w:firstLine="9"/>
        <w:spacing w:after="0" w:line="231" w:lineRule="auto"/>
        <w:tabs>
          <w:tab w:leader="none" w:pos="49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between the Corporation or a Subsidiary thereof and EchoStar or a Subsidiary thereof that was entered into before such time or any transaction entered into in connection with the performance of any such agreement, whether such transaction is entered into before or after such time, (b) any transaction entered into between the Corporation or a Subsidiary thereof and EchoStar or a Subsidiary thereof before such time, (c) the allocation of any business opportunity between the Corporation or a Subsidiary thereof and EchoStar or a Subsidiary thereof before such time, or (d) any duty or obligation owed by any director or officer of the Corporation or any Subsidiary of the Corporation (or the absence of any such duty or obligation) with respect to any potential business opportunities of the Corporation or any Subsidiary of the Corporation which such director or officer was offered, or of which such director or officer otherwise became aware, before such time.</w:t>
      </w:r>
    </w:p>
    <w:p>
      <w:pPr>
        <w:spacing w:after="0" w:line="186" w:lineRule="exact"/>
        <w:rPr>
          <w:rFonts w:ascii="Times New Roman" w:cs="Times New Roman" w:eastAsia="Times New Roman" w:hAnsi="Times New Roman"/>
          <w:sz w:val="22"/>
          <w:szCs w:val="22"/>
          <w:color w:val="auto"/>
        </w:rPr>
      </w:pPr>
    </w:p>
    <w:p>
      <w:pPr>
        <w:ind w:left="200" w:right="259" w:firstLine="1305"/>
        <w:spacing w:after="0" w:line="234" w:lineRule="auto"/>
        <w:tabs>
          <w:tab w:leader="none" w:pos="171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Renunciation</w:t>
      </w:r>
      <w:r>
        <w:rPr>
          <w:rFonts w:ascii="Times New Roman" w:cs="Times New Roman" w:eastAsia="Times New Roman" w:hAnsi="Times New Roman"/>
          <w:sz w:val="22"/>
          <w:szCs w:val="22"/>
          <w:color w:val="auto"/>
        </w:rPr>
        <w:t>. In addition to, and notwithstanding the foregoing provisions of this Article VIII, a potential transaction or business opportunity (1) that the Corporation or its Subsidiaries is not financially able, contractually permitted or legally able to undertake, or (2) that is, from its nature, not in the line of the Corporation’s or its Subsidiaries’ business, is of no practical advantage to the Corporation or its Subsidiaries or that is one in which the Corporation or its Subsidiaries has no interest or reasonable expectancy, shall not, in any such case, be deemed to constitute a corporate opportunity belonging to the Corporation, or any of its Subsidiaries, and the Corporation, on behalf of itself and each Subsidiary, to the fullest extent permitted by law, hereby renounces any interest therein.</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39" w:lineRule="auto"/>
        <w:tabs>
          <w:tab w:leader="none" w:pos="171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Notwithstanding anything in these Articles of Incorporation to the contrary, the provisions of Sections 2 and 4(a)-(c) of this Article VIII shall automatically terminate, expire and have no further force and effect from and after the date on which no the Corporation director or officer is also an EchoStar director, officer 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8" w:name="page239"/>
    <w:bookmarkEnd w:id="238"/>
    <w:p>
      <w:pPr>
        <w:ind w:left="200" w:right="259" w:firstLine="1305"/>
        <w:spacing w:after="0" w:line="244" w:lineRule="auto"/>
        <w:tabs>
          <w:tab w:leader="none" w:pos="171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Notice</w:t>
      </w:r>
      <w:r>
        <w:rPr>
          <w:rFonts w:ascii="Times New Roman" w:cs="Times New Roman" w:eastAsia="Times New Roman" w:hAnsi="Times New Roman"/>
          <w:sz w:val="22"/>
          <w:szCs w:val="22"/>
          <w:color w:val="auto"/>
        </w:rPr>
        <w:t>. Any person or entity purchasing or otherwise acquiring or obtaining any interest in any capital stock of the Corporation shall be deemed to have notice and to have consented to the provisions of this Article VIII.</w:t>
      </w:r>
    </w:p>
    <w:p>
      <w:pPr>
        <w:spacing w:after="0" w:line="173" w:lineRule="exact"/>
        <w:rPr>
          <w:rFonts w:ascii="Times New Roman" w:cs="Times New Roman" w:eastAsia="Times New Roman" w:hAnsi="Times New Roman"/>
          <w:sz w:val="22"/>
          <w:szCs w:val="22"/>
          <w:color w:val="auto"/>
        </w:rPr>
      </w:pPr>
    </w:p>
    <w:p>
      <w:pPr>
        <w:ind w:left="200" w:right="399" w:firstLine="1305"/>
        <w:spacing w:after="0" w:line="255" w:lineRule="auto"/>
        <w:tabs>
          <w:tab w:leader="none" w:pos="1712"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particular provision, or part of any provision, of this Article VIII shall not affect the other provisions or parts hereof, and this Article VIII shall be enforced to the maximum extent permissible, and the remaining provisions of this Article VIII shall be unaffected thereby and will remain in full force and effect.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Indemnification of Officers, Directors and Others</w:t>
      </w:r>
    </w:p>
    <w:p>
      <w:pPr>
        <w:spacing w:after="0" w:line="206" w:lineRule="exact"/>
        <w:rPr>
          <w:sz w:val="20"/>
          <w:szCs w:val="20"/>
          <w:color w:val="auto"/>
        </w:rPr>
      </w:pPr>
    </w:p>
    <w:p>
      <w:pPr>
        <w:ind w:left="200" w:right="259" w:firstLine="1305"/>
        <w:spacing w:after="0" w:line="232" w:lineRule="auto"/>
        <w:tabs>
          <w:tab w:leader="none" w:pos="171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 extent permitted by the NRS, the Corporation shall indemnify any person who was or is a party or is threatened to be made a party to any threatened, pending or completed action, suit in proceeding, whether civil, criminal, administrative or investigative and whether formal or informal (other than an action by or in the right of the Corporation) by reason of the fact that he is or was a director, officer, employee, fiduciary or agent of the Corporation, or is or was serving at the request of the Corporation as a director, officer, employee, fiduciary or agent of another corporation, partnership, joint venture, trust, employee benefit plan or other enterprise, against expenses (including attorneys’ fees), judgments, fines an amounts paid in settlement actually and reasonably incurred by him in connection with such action, suit or proceeding, if he conducted himself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or conviction, or upon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no reasonable cause to believe that his conduct was unlawful.</w:t>
      </w:r>
    </w:p>
    <w:p>
      <w:pPr>
        <w:spacing w:after="0" w:line="189" w:lineRule="exact"/>
        <w:rPr>
          <w:rFonts w:ascii="Times New Roman" w:cs="Times New Roman" w:eastAsia="Times New Roman" w:hAnsi="Times New Roman"/>
          <w:sz w:val="22"/>
          <w:szCs w:val="22"/>
          <w:color w:val="auto"/>
        </w:rPr>
      </w:pPr>
    </w:p>
    <w:p>
      <w:pPr>
        <w:ind w:left="200" w:right="239" w:firstLine="1305"/>
        <w:spacing w:after="0" w:line="233" w:lineRule="auto"/>
        <w:tabs>
          <w:tab w:leader="none" w:pos="171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fiduciary or agent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for negligence or misconduct in the performance of his duty to the Corporation unless and only to the extent that the court in which such action or suit was brought shall determine upon application that, despite the adjudication of liability but in view of all circumstances of the case, such person is fairly and reasonably entitled to indemnity for such expenses which such court shall deem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9" w:name="page240"/>
    <w:bookmarkEnd w:id="239"/>
    <w:p>
      <w:pPr>
        <w:ind w:left="200" w:right="239" w:firstLine="1305"/>
        <w:spacing w:after="0" w:line="238" w:lineRule="auto"/>
        <w:tabs>
          <w:tab w:leader="none" w:pos="171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 director, officer, employee, fiduciary or agent of a corporation has been wholly successful on the merits or otherwise in defense of any action, suit or proceeding referred to in paragraphs 1 and 2 of this Article, or in defense of any claim, issue or matter therein, he shall be indemnified against expenses (including attorneys fees) actually and reasonably incurred by him in connection therewith.</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47" w:lineRule="auto"/>
        <w:tabs>
          <w:tab w:leader="none" w:pos="171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indemnification under paragraphs 1 and 2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(unless ordered by a court) shall be made by the Corporation only as authorized in the specific case upon a determination that indemnification of the director, officer, employee, fiduciary or agent is proper in the circumstances because he has met the applicable standard of conduct set forth in paragraphs 1 and 2. Such determination shall be made: (1) 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the shareholders.</w:t>
      </w:r>
    </w:p>
    <w:p>
      <w:pPr>
        <w:spacing w:after="0" w:line="171" w:lineRule="exact"/>
        <w:rPr>
          <w:rFonts w:ascii="Times New Roman" w:cs="Times New Roman" w:eastAsia="Times New Roman" w:hAnsi="Times New Roman"/>
          <w:sz w:val="21"/>
          <w:szCs w:val="21"/>
          <w:color w:val="auto"/>
        </w:rPr>
      </w:pPr>
    </w:p>
    <w:p>
      <w:pPr>
        <w:ind w:left="200" w:right="219" w:firstLine="1305"/>
        <w:spacing w:after="0" w:line="235" w:lineRule="auto"/>
        <w:tabs>
          <w:tab w:leader="none" w:pos="171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(including attorneys fees) incurred in defending a civil or criminal action, suit or proceeding may be paid by the Corporation as they are incurred and in advance of the final disposition of such action, suit or proceeding as authorized in the manner provided in paragraph 4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upon receipt of an undertaking by or on behalf of the director, officer, employee or agent to repay such amount if it shall ultimately be determined by a final order of a court of competent jurisdiction that he or she is not entitled to be indemnified by the Corporation.</w:t>
      </w:r>
    </w:p>
    <w:p>
      <w:pPr>
        <w:spacing w:after="0" w:line="183" w:lineRule="exact"/>
        <w:rPr>
          <w:rFonts w:ascii="Times New Roman" w:cs="Times New Roman" w:eastAsia="Times New Roman" w:hAnsi="Times New Roman"/>
          <w:sz w:val="22"/>
          <w:szCs w:val="22"/>
          <w:color w:val="auto"/>
        </w:rPr>
      </w:pPr>
    </w:p>
    <w:p>
      <w:pPr>
        <w:ind w:left="200" w:right="399" w:firstLine="1305"/>
        <w:spacing w:after="0" w:line="235" w:lineRule="auto"/>
        <w:tabs>
          <w:tab w:leader="none" w:pos="171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have the power to purchase and maintain insurance on behalf of any person who is or was a director, officer, employee, fiduciary or agent of the Corporation, or is or was serving at the request of the Corporation as a director, officer, employee or agent of another corporation, partnership, joint venture, trust, employee benefit plan or other enterprise, against any liability asserted against him and incurred by him in any such capacity or arising out of his status as such, whether or not the Corporation would have the power to indemnify him against such liability under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200" w:right="559" w:firstLine="1305"/>
        <w:spacing w:after="0" w:line="282" w:lineRule="auto"/>
        <w:tabs>
          <w:tab w:leader="none" w:pos="171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forgoing, the Corporation shall have the power to indemnify current or former directors, officer, employees and agents to the fullest extent provided by law.</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Director Liability</w:t>
      </w:r>
    </w:p>
    <w:p>
      <w:pPr>
        <w:spacing w:after="0" w:line="206" w:lineRule="exact"/>
        <w:rPr>
          <w:sz w:val="20"/>
          <w:szCs w:val="20"/>
          <w:color w:val="auto"/>
        </w:rPr>
      </w:pPr>
    </w:p>
    <w:p>
      <w:pPr>
        <w:ind w:left="200" w:right="239" w:firstLine="1296"/>
        <w:spacing w:after="0" w:line="244" w:lineRule="auto"/>
        <w:rPr>
          <w:sz w:val="20"/>
          <w:szCs w:val="20"/>
          <w:color w:val="auto"/>
        </w:rPr>
      </w:pPr>
      <w:r>
        <w:rPr>
          <w:rFonts w:ascii="Times New Roman" w:cs="Times New Roman" w:eastAsia="Times New Roman" w:hAnsi="Times New Roman"/>
          <w:sz w:val="22"/>
          <w:szCs w:val="22"/>
          <w:color w:val="auto"/>
        </w:rPr>
        <w:t>To the fullest extent permitted by the NRS, as the same exists or may hereafter be amended, a director of this Corporation shall not be liable to the Corporation or its shareholders for monetary damages for breach of fiduciary duty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Incorporator</w:t>
      </w:r>
    </w:p>
    <w:p>
      <w:pPr>
        <w:spacing w:after="0" w:line="206" w:lineRule="exact"/>
        <w:rPr>
          <w:sz w:val="20"/>
          <w:szCs w:val="20"/>
          <w:color w:val="auto"/>
        </w:rPr>
      </w:pPr>
    </w:p>
    <w:p>
      <w:pPr>
        <w:ind w:left="200" w:right="679" w:firstLine="1296"/>
        <w:spacing w:after="0" w:line="244" w:lineRule="auto"/>
        <w:rPr>
          <w:sz w:val="20"/>
          <w:szCs w:val="20"/>
          <w:color w:val="auto"/>
        </w:rPr>
      </w:pPr>
      <w:r>
        <w:rPr>
          <w:rFonts w:ascii="Times New Roman" w:cs="Times New Roman" w:eastAsia="Times New Roman" w:hAnsi="Times New Roman"/>
          <w:sz w:val="22"/>
          <w:szCs w:val="22"/>
          <w:color w:val="auto"/>
        </w:rPr>
        <w:t>The name and address of the sole incorporator of the Corporation is as follows: EchoStar Satellite Operating Corporation (By: R. Stanton Dodge, Executive Vice President, General Counsel and Secretary), 9601 S. Meridian Blvd., Englewood, CO 80112.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Registered Office and Registered Agent</w:t>
      </w:r>
    </w:p>
    <w:p>
      <w:pPr>
        <w:spacing w:after="0" w:line="206" w:lineRule="exact"/>
        <w:rPr>
          <w:sz w:val="20"/>
          <w:szCs w:val="20"/>
          <w:color w:val="auto"/>
        </w:rPr>
      </w:pPr>
    </w:p>
    <w:p>
      <w:pPr>
        <w:ind w:left="200" w:right="299" w:firstLine="1296"/>
        <w:spacing w:after="0" w:line="239" w:lineRule="auto"/>
        <w:rPr>
          <w:sz w:val="20"/>
          <w:szCs w:val="20"/>
          <w:color w:val="auto"/>
        </w:rPr>
      </w:pPr>
      <w:r>
        <w:rPr>
          <w:rFonts w:ascii="Times New Roman" w:cs="Times New Roman" w:eastAsia="Times New Roman" w:hAnsi="Times New Roman"/>
          <w:sz w:val="22"/>
          <w:szCs w:val="22"/>
          <w:color w:val="auto"/>
        </w:rPr>
        <w:t>The address of the registered office of the Corporation is 502 East John Street, Carson City, Nevada 89706. The name of the Corporation’s resident agent at that address is CSC Services of Nevada, Inc. Either the registered office or the registered agent may be changed in the manner permitted by law.</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Exclusive Forum</w:t>
      </w:r>
    </w:p>
    <w:p>
      <w:pPr>
        <w:spacing w:after="0" w:line="206" w:lineRule="exact"/>
        <w:rPr>
          <w:sz w:val="20"/>
          <w:szCs w:val="20"/>
          <w:color w:val="auto"/>
        </w:rPr>
      </w:pPr>
    </w:p>
    <w:p>
      <w:pPr>
        <w:ind w:left="200" w:right="279" w:firstLine="1296"/>
        <w:spacing w:after="0" w:line="247" w:lineRule="auto"/>
        <w:rPr>
          <w:sz w:val="20"/>
          <w:szCs w:val="20"/>
          <w:color w:val="auto"/>
        </w:rPr>
      </w:pPr>
      <w:r>
        <w:rPr>
          <w:rFonts w:ascii="Times New Roman" w:cs="Times New Roman" w:eastAsia="Times New Roman" w:hAnsi="Times New Roman"/>
          <w:sz w:val="21"/>
          <w:szCs w:val="21"/>
          <w:color w:val="auto"/>
        </w:rPr>
        <w:t>To the fullest extent permitted by law, and unless the Corporation consents in writing to the selection of an alternative forum, the Eighth Judicial District Court of Clark County, Nevada shall be the sole and exclusive forum for any and all actions, suits or proceedings, whether civil, administrative or investigative or that asserts any claim or counterclaim (each, an “Action”);</w:t>
      </w:r>
    </w:p>
    <w:p>
      <w:pPr>
        <w:spacing w:after="0" w:line="2" w:lineRule="exact"/>
        <w:rPr>
          <w:sz w:val="20"/>
          <w:szCs w:val="20"/>
          <w:color w:val="auto"/>
        </w:rPr>
      </w:pPr>
    </w:p>
    <w:p>
      <w:pPr>
        <w:ind w:left="200" w:right="259" w:firstLine="9"/>
        <w:spacing w:after="0" w:line="231" w:lineRule="auto"/>
        <w:tabs>
          <w:tab w:leader="none" w:pos="50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brought in the name or right of the Corporation or on its behalf; (2) asserting a claim for breach of any fiduciary duty owed by any director, officer, employee or agent of the Corporation to the Corporation or the Corporation’s stockholders; (3) arising or asserting a claim arising pursuant to any provision of Nevada Revised Statutes Chapters 78 or 92A or any provision of the Articles of Incorporation or Bylaws of the Corporation; (4) to interpret, apply, enforce or determine the validity of the Articles of Incorporation or Bylaws of the Corporation; or (5) asserting a claim governed by the internal affairs doctrine. In the event that the Eighth Judicial District Court of Clark County, Nevada does not have jurisdiction over any such Action, then any other state district court located in the State of Nevada shall be the sole and exclusive forum for such Action. In the event that no state district court in the State of Nevada has jurisdiction over any such Action, then a federal court located within the State of Nevada shall be the sole and exclusive forum for such Action.</w:t>
      </w:r>
    </w:p>
    <w:p>
      <w:pPr>
        <w:spacing w:after="0" w:line="213" w:lineRule="exact"/>
        <w:rPr>
          <w:sz w:val="20"/>
          <w:szCs w:val="20"/>
          <w:color w:val="auto"/>
        </w:rPr>
      </w:pPr>
    </w:p>
    <w:p>
      <w:pPr>
        <w:ind w:left="200" w:right="299" w:firstLine="1296"/>
        <w:spacing w:after="0" w:line="236" w:lineRule="auto"/>
        <w:rPr>
          <w:sz w:val="20"/>
          <w:szCs w:val="20"/>
          <w:color w:val="auto"/>
        </w:rPr>
      </w:pPr>
      <w:r>
        <w:rPr>
          <w:rFonts w:ascii="Times New Roman" w:cs="Times New Roman" w:eastAsia="Times New Roman" w:hAnsi="Times New Roman"/>
          <w:sz w:val="22"/>
          <w:szCs w:val="22"/>
          <w:color w:val="auto"/>
        </w:rPr>
        <w:t>Any person or entity purchasing or otherwise acquiring or obtaining any interest in any capital stock of the Corporation shall be deemed to have notice of and to have consented to all of the provisions of the Articles of Incorporation (including without limitation, the foregoing amendment thereto) and Bylaws of the Corporation, and any amendment to the Articles of Incorporation or the Bylaws enacted or adopted in accordance with the Articles of Incorporation, the Bylaws and applicable law.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1" w:name="page242"/>
    <w:bookmarkEnd w:id="241"/>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BYLAWS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ECHOSTAR CORPORATION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(effective December 28,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Principal Office and Corporate Seal</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and place of business of EchoStar Holding Corporation (the "Corporation") is presently at 100 Inverness Terrace East, Englewood, Colorado 80112.</w:t>
      </w:r>
    </w:p>
    <w:p>
      <w:pPr>
        <w:spacing w:after="0" w:line="17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Other offices and places of business either within or outside Nevada or Colorado may be established from time to time by resolution of the Board of Directors or as the business of the Corporation may require. The registered office of the Corporation required by Title 7, Chapter 78 of the Nevada Revised Statutes to be maintained in Nevada may be changed from time to time by the Board of Directors.</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seal of the Corporation shall have inscribed thereon the name of the Corporation and the word "Seal", and shall be in such form as may be approved by the Board of Directors or Secretary, which shall have the power to alter the same at its or his pleasure. The Corporation may use the seal by causing it, or a facsimile thereof, to be impressed or affixed or in any other manner reproduced.</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Shares and Transfer Thereof</w:t>
      </w:r>
    </w:p>
    <w:p>
      <w:pPr>
        <w:spacing w:after="0" w:line="200" w:lineRule="exact"/>
        <w:rPr>
          <w:sz w:val="20"/>
          <w:szCs w:val="20"/>
          <w:color w:val="auto"/>
        </w:rPr>
      </w:pPr>
    </w:p>
    <w:p>
      <w:pPr>
        <w:spacing w:after="0" w:line="22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Stock Certificates and Uncertificated Shares</w:t>
      </w:r>
      <w:r>
        <w:rPr>
          <w:rFonts w:ascii="Times New Roman" w:cs="Times New Roman" w:eastAsia="Times New Roman" w:hAnsi="Times New Roman"/>
          <w:sz w:val="21"/>
          <w:szCs w:val="21"/>
          <w:color w:val="auto"/>
        </w:rPr>
        <w:t>. Every holder of stock in the Corporation shall be entitled to have a certificate signed by or in the name of the Corporation by the Chief Executive Officer, the President or a Vice President, and by the Secretary or an Assistant Secretary, or their designee of the Corporation, certifying the number of shares of stock owned by him in the Corporation; provided, however, that the Corporation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or transfer clerk or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646430</wp:posOffset>
            </wp:positionV>
            <wp:extent cx="545211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2" w:name="page243"/>
    <w:bookmarkEnd w:id="242"/>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If the Corporation is authorized to issue more than one class of stock or more than one series of any class, the certificate shall contain a statement setting forth the office or agency of the Corporation from which Stockholders may obtain a copy of a statement or summary of the powers, designations, preferences, participating, optional, or other special rights of each class of stock or series thereof and the qualifications, limitations or restrictions of such preferences and/or rights. Except as otherwise expressly provided by law, the rights and obligations of the Stockholders shall be identical whether or not their shares of stock are represented by certificates.</w:t>
      </w:r>
    </w:p>
    <w:p>
      <w:pPr>
        <w:spacing w:after="0" w:line="17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w:t>
      </w:r>
    </w:p>
    <w:p>
      <w:pPr>
        <w:spacing w:after="0" w:line="18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Record</w:t>
      </w:r>
      <w:r>
        <w:rPr>
          <w:rFonts w:ascii="Times New Roman" w:cs="Times New Roman" w:eastAsia="Times New Roman" w:hAnsi="Times New Roman"/>
          <w:sz w:val="22"/>
          <w:szCs w:val="22"/>
          <w:color w:val="auto"/>
        </w:rPr>
        <w:t>. A record shall be kept of the name of each person or other entity holding the stock of the Corporation issued, the number of shares held by each such person, the date thereof and, in the case of cancellation, the date of cancellation. The Corporation shall be entitled to treat the person or other entity in whose name shares of stock of the Corporation stand on the books of the Corporation as the absolute owner thereof, and thus a holder of record of such shares of stock, for all purposes as regards the Corporation, and the Corporation shall not be bound to recognize any equitable or other claim to or interest in such share or shares on the part of any other person, whether or not it shall have express or other notice thereof, except as otherwise provided by the laws of Nevada.</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Lost, Stolen or Destroyed Stock Certificates; Issuance of New Certificates</w:t>
      </w:r>
      <w:r>
        <w:rPr>
          <w:rFonts w:ascii="Times New Roman" w:cs="Times New Roman" w:eastAsia="Times New Roman" w:hAnsi="Times New Roman"/>
          <w:sz w:val="22"/>
          <w:szCs w:val="22"/>
          <w:color w:val="auto"/>
        </w:rPr>
        <w:t>.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or other security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Closing of Transfer Books - Record Date</w:t>
      </w:r>
      <w:r>
        <w:rPr>
          <w:rFonts w:ascii="Times New Roman" w:cs="Times New Roman" w:eastAsia="Times New Roman" w:hAnsi="Times New Roman"/>
          <w:sz w:val="22"/>
          <w:szCs w:val="22"/>
          <w:color w:val="auto"/>
        </w:rPr>
        <w:t>. For the purpose of determining Stockholders entitled to notice of or to vote at any meeting of Stockholders, or any adjournment thereof, or entitled to receive payment of any dividend, or in order to make a determination of Stockholders for any other proper purpose, the Board of Directors may provide that the stock</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3" w:name="page244"/>
    <w:bookmarkEnd w:id="243"/>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transfer books shall be closed for a stated period, but not to exceed in any case sixty (60) days. If the stock transfer books shall be closed for the purpose of determining Stockholders entitled to notice of, or to vote at a meeting of Stockholders, such books shall be closed for at least ten (10) days immediately preceding such meeting. In lieu of closing the stock transfer books, the Board of Directors may fix in advance a date as the record date for any such determination of Stockholders, such date in any case to be not more than sixty (60) or less than ten (10) days prior to the date on which the particular action requiring such determination of Stockholders is to be taken. If the Board of Directors does not order the stock transfer books closed, or fix in advance a record date, as above provided, then the record date for the determination of Stockholders entitled to notice of, or to vote at any meeting of Stockholders, or any adjournment thereof, or entitled to receive payment of any dividend or for the determination of Stockholders for any proper purpose shall at the close of business on the day before the day on which notice is given or, if notice is waived, at the close of business on the day prior to the date on which the particular action requiring such determination of Stockholders is to be taken.</w:t>
      </w:r>
    </w:p>
    <w:p>
      <w:pPr>
        <w:spacing w:after="0" w:line="18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Upon surrender to the Corporation or to a transfer agent of the Corporation of a certificate of stock duly endorsed or accompanied by proper evidence of succession, assignment or authority to transfer, and such documentary stamps as may be required by law, it shall be the duty of the Corporation to issue a new certificate to the person entitled thereto, and cancel the old certificate. Upon written notice to the Corporation or to a transfer agent of the Corporation from the holder of record of any uncertificated shares of stock requesting a registration of transfer of such uncertificated shares to another person, accompanied by proper evidence of succession, assignment or authority to transfer, and such documentary stamps as may be required by law, it shall be the duty of the Corporation to register such uncertificated shares of stock in the name of such other person on the books of the Corporation as the successor holder of record of such uncertificated shares of stock. Every such transfer of stock shall be entered on the stock book of the Corporation which shall be kept at its principal office or by its registrar duly appointed.</w:t>
      </w:r>
    </w:p>
    <w:p>
      <w:pPr>
        <w:spacing w:after="0" w:line="18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Transfer Agents, Registrars and Paying Agents</w:t>
      </w:r>
      <w:r>
        <w:rPr>
          <w:rFonts w:ascii="Times New Roman" w:cs="Times New Roman" w:eastAsia="Times New Roman" w:hAnsi="Times New Roman"/>
          <w:sz w:val="22"/>
          <w:szCs w:val="22"/>
          <w:color w:val="auto"/>
        </w:rPr>
        <w:t>. The Board of Directors may, at its discretion, appoint one or more transfer agents, registrars and agents for making payment upon any class of stock, bond, debenture or other security of the Corporation. Such agents and registrars may be located either within or outside Nevada. They shall have such rights and duties and shall be entitled to such compensation as may be agreed.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Stockholders and Meetings Thereof</w:t>
      </w:r>
    </w:p>
    <w:p>
      <w:pPr>
        <w:spacing w:after="0" w:line="200" w:lineRule="exact"/>
        <w:rPr>
          <w:sz w:val="20"/>
          <w:szCs w:val="20"/>
          <w:color w:val="auto"/>
        </w:rPr>
      </w:pPr>
    </w:p>
    <w:p>
      <w:pPr>
        <w:spacing w:after="0" w:line="22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Meetings of Stockholders shall be held at the principal office of the Corporation or at such other place, either within or without Nevada, as shall be determined by the Board of Directors.</w:t>
      </w:r>
    </w:p>
    <w:p>
      <w:pPr>
        <w:spacing w:after="0" w:line="17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The annual meeting of Stockholders of the Corporation for the election of directors, and for the transaction of such other business as may properly come before the meeting, shall be held as determined by resolution of the Board of Directors. If a quorum be not present, the meeting may be adjourned from time to time, but no single adjournment shall exceed sixty (60) days. If the election of directors shall not be held at the annual meeting of Stockholders, or at any adjournment thereof, the Board of Directors shall cause the election to be held at a special meeting of Stockholders as soon thereafter as convenient.</w:t>
      </w:r>
    </w:p>
    <w:p>
      <w:pPr>
        <w:spacing w:after="0" w:line="17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Stockholders, for any purpose or purposes, unless otherwise prescribed by statute, may be called by the Chairman of the Board of Directors, the Chief Executive Officer, the Board of Directors, or the holders of not less than one-third (1/3) of the voting power of the Corporation. Any holder or holders of not less than one-third (1/3) of the voting power of the Corporation who desire to call a special meeting pursuant to this Article III, Section 3.3 shall notify the Chairman of the Board of Directors in writing that a special meeting of the Stockholders shall be called and shall state the purpose of the meeting and include any information required by applicable law or these Bylaws. Within thirty (30) days after notice to the Chairman of the Board of Directors, the Chairman of the Board of Directors, the Chief Executive Officer, or the Secretary shall set the date, time and location of the Stockholders meeting. Business transacted at any special meeting shall be confined to the purposes stated in the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-1004570</wp:posOffset>
            </wp:positionV>
            <wp:extent cx="34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-850265</wp:posOffset>
            </wp:positionV>
            <wp:extent cx="342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5"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Notice of Meeting</w:t>
      </w:r>
      <w:r>
        <w:rPr>
          <w:rFonts w:ascii="Times New Roman" w:cs="Times New Roman" w:eastAsia="Times New Roman" w:hAnsi="Times New Roman"/>
          <w:sz w:val="22"/>
          <w:szCs w:val="22"/>
          <w:color w:val="auto"/>
        </w:rPr>
        <w:t>. Written notice stating the place, day and hour of any annual or special meeting of Stockholders, and the purpose or purposes for which the meeting is called, shall be given not less than ten (10) days nor more than sixty (60) days before the date of the meeting, either personally by mail, or by a form of electronic transmission permitted for such purpose by applicable law and each national securities exchange upon which the Corporation’s voting stock is then listed, by or at the direction of the Chairman of the Board of Directors, the Chief Executive Officer, the President (or in his absence by a Vice President), the Secretary, the Board of Directors, or the officer or persons calling the meeting, to each Stockholder of record entitled to vote at such meeting. If mailed, such notice shall be deemed to be given when deposited in the United States mail postage prepaid, directed to the Stockholder at such Stockholder’s address as it appears on the records of the Corporation. If sent by electronic transmission, such notice shall be deemed to be given when sent to the Stockholder at such Stockholder’s electronic address as it appears on the records of the Corporation. Failure to deliver such notice or obtain a waiver thereof shall not cause the meeting to be lost, but it shall be adjourned by the Stockholders present for a period not to exceed sixty (60) days until any deficiency to notice or waiver shall be supplied.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245" w:name="page246"/>
    <w:bookmarkEnd w:id="245"/>
    <w:p>
      <w:pPr>
        <w:jc w:val="both"/>
        <w:ind w:left="200" w:right="219" w:firstLine="648"/>
        <w:spacing w:after="0"/>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Adjournment</w:t>
      </w:r>
      <w:r>
        <w:rPr>
          <w:rFonts w:ascii="Times New Roman" w:cs="Times New Roman" w:eastAsia="Times New Roman" w:hAnsi="Times New Roman"/>
          <w:sz w:val="22"/>
          <w:szCs w:val="22"/>
          <w:color w:val="auto"/>
        </w:rPr>
        <w:t>. When a meeting is for any reason adjourned to another time, notice will not be given of the adjourned meeting if the time and place thereof are announced at the meeting at which the adjournment is taken. At the adjourned meeting any business may be transacted which might have been transacted at the original meeting.</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Meetings of Stockholders shall be presided over by the Chairman of the Board of Directors, or in the absence of the Chairman of the Board of Directors, by the Vice Chairman of the Board of Directors, or in his absence by the Chief Executive Officer, or in his absence by the President, or in his absence by a Vice President, or in the absence of the foregoing persons by a chairman designated by the Board of Directors, or in the absence of such designation by a chairman elected at the meeting by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1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8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Voting Records</w:t>
      </w:r>
      <w:r>
        <w:rPr>
          <w:rFonts w:ascii="Times New Roman" w:cs="Times New Roman" w:eastAsia="Times New Roman" w:hAnsi="Times New Roman"/>
          <w:sz w:val="22"/>
          <w:szCs w:val="22"/>
          <w:color w:val="auto"/>
        </w:rPr>
        <w:t>. The officer or agent having charge of the stock transfer books for shares of the Corporation shall make, at least ten (10) days, before each meeting of Stockholders, a complete record of the Stockholders entitled to vote at such meeting or any adjournment thereof, arranged in alphabetical order, with the address of and the number of shares held by each, which record, for a period of ten (10) days prior to such meeting, shall be kept on file at the principal office of the Corporation, whether within or without Nevada, and shall be subject to inspection by any Stockholder for any purpose germane to the meeting at any time during the whole time of the meeting. The original stock transfer books shall be prima facie evidence as to who are the Stockholders entitled to examine such record or transfer books or to vote at any meeting of Stockholders.</w:t>
      </w:r>
    </w:p>
    <w:p>
      <w:pPr>
        <w:spacing w:after="0" w:line="17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At each meeting of Stockholders, except where otherwise provided by Title 7, Chapter 78 of the Nevada Revised Statutes or the Articles of Incorporation or these Bylaws, the holders of a majority of the voting power of stock entitled to vote on a matter at the meeting, present in person or represented by proxy, shall constitute a quorum. For purposes of the foregoing, where a separate vote by class or series is required for any matter, the holders of a majority of the voting power of such class or series, present in person or represented by proxy, shall constitute a quorum to take action with respect to that vote on that matter. Two or more classes or series of stock shall be considered a single class if the holders thereof are entitled to vote together as a single class at the meeting. In the absence of a quorum of the holders of a majority of the voting power of any class of stock entitled to vote on a matter, the holders of a majority of the voting power of such class so present or represented may adjourn the meeting of such class from time to time in the manner provided by Section 3.5 of these Bylaws until a quorum of such</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6" w:name="page247"/>
    <w:bookmarkEnd w:id="246"/>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class shall be so present or represented for a period not to exceed sixty (60) days at any one adjournment. At such adjourned meeting at which a quorum shall be present or represented, any business may be transacted which might have been transacted at the meeting as originally notified. The Stockholders present at a duly organized meeting may continue to transact business until adjourned, notwithstanding the withdrawal of Stockholders so that less than a quorum remains.</w:t>
      </w:r>
    </w:p>
    <w:p>
      <w:pPr>
        <w:spacing w:after="0" w:line="169"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 Shareholder may vote either in person or by proxy executed in writing by the Shareholder or by his duly authorized attorney in fact. No proxy shall be valid after six (6) months from the date of its execution, unless otherwise provided in the proxy.</w:t>
      </w:r>
    </w:p>
    <w:p>
      <w:pPr>
        <w:spacing w:after="0" w:line="17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Unless the Articles of Incorporation or these Bylaws specifically provide otherwise, any action required or permitted to be taken at a meeting of shareholders may be taken without a meeting if, before or after the action, a written consent thereto is signed by shareholders holding at least a majority of the voting power, except that if any greater proportion of voting power is required for such action at a meeting, then such greater proportion of written consents shall be required. In no instance where action is authorized by written consent need a meeting of shareholders be called or noticed.</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Each outstanding share, regardless of class, shall be entitled to one vote, and each fractional share shall be entitled to a corresponding fractional vote on each matter submitted to a vote at a meeting of Stockholders, except as may be otherwise provided in the Articles of Incorporation. If the Articles of Incorporation provide for more or less than one vote for any class or series of shares on any matter, every reference in these Bylaws to a majority or other proportion of stock shall refer to such a majority or other proportion of the voting power of all of the shares of those classes or series of shares. In the election of directors, each record holder of stock entitled to vote at such election shall have the right to vote in person or by proxy the number of shares owned by him, for as many persons as there are directors to be elected, and for whose election he has the right to vote unless the Articles of Incorporation otherwise provide. Cumulative voting shall not be allowed.</w:t>
      </w:r>
    </w:p>
    <w:p>
      <w:pPr>
        <w:spacing w:after="0" w:line="187"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Advance Notice of Stockholder Proposals</w:t>
      </w:r>
      <w:r>
        <w:rPr>
          <w:rFonts w:ascii="Times New Roman" w:cs="Times New Roman" w:eastAsia="Times New Roman" w:hAnsi="Times New Roman"/>
          <w:sz w:val="22"/>
          <w:szCs w:val="22"/>
          <w:color w:val="auto"/>
        </w:rPr>
        <w:t>. At any annual meeting of Stockholders, proposals by Stockholders and persons nominated for election as directors by Stockholders shall be considered only if advance notice thereof has been timely given as provided herein and such proposals or nominations are otherwise proper for consideration under applicable law and the Articles of Incorporation and Bylaws of the Corporation. To be timely, a Stockholder’s notice must be delivered to, or mailed and received by, the Secretary of the Corporation at the principle office of the Corporation not less than ninety (90) nor more than one hundred twenty (120) days prior to the anniversary date of the immediately preceding annual meeting of Stockholders; provided, however that in the event the annual meeting of Stockholders is not within thirty (30) days before or after such anniversary date then notice by the Stockholder must be received not later than the tenth (10th) day following the day on which such notice of the date of the annual meeting was mailed or first publicly announced or disclosed (in a public filing or otherwise), whichever occurs first. Any Stockholder who gives notice of any such proposal shall deliver therewith the text of the proposal to be presented and a brief written statement of the reasons why such Stockholder favors the proposal and setting forth such Stockholder's name and address, the number and class of all shares of each class of stock of the Corporation beneficially owned by such Stockholder and any material interest of such Stockholder in the proposal (other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7" w:name="page248"/>
    <w:bookmarkEnd w:id="247"/>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than as a stockholder). Any Stockholder desiring to nominate any person for election as a director of the Corporation shall deliver with such notice a statement in writing setting forth the name of the person to be nominated, the number and class of all shares of each class of stock of the Corporation beneficially owned by such person, the information regarding such person required by paragraphs (a), (e) and (f) of Item 401 of Regulation S-K adopted by the Securities and Exchange Commission (or the corresponding provisions of any regulation subsequently adopted by the Securities and Exchange Commission applicable to the Corporation), such person's signed consent to serve as a director of the Corporation if elected, such Stockholder's name and address and the number and class of all shares of each class of stock of the Corporation beneficially owned by such Stockholder. The chairman presiding at the meeting, in addition to making any other determinations that may be appropriate to the conduct of the meeting, shall determine whether such notice has been duly given and shall direct that proposals and nominees not be considered if such notice has not been given.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Directors: Powers and Meetings</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its Board of Directors, except as otherwise provided in Title 7, Chapter 78 of the Nevada Revised Statutes or the Articles of Incorporation.</w:t>
      </w:r>
    </w:p>
    <w:p>
      <w:pPr>
        <w:spacing w:after="0" w:line="17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Performance of Duties</w:t>
      </w:r>
      <w:r>
        <w:rPr>
          <w:rFonts w:ascii="Times New Roman" w:cs="Times New Roman" w:eastAsia="Times New Roman" w:hAnsi="Times New Roman"/>
          <w:sz w:val="22"/>
          <w:szCs w:val="22"/>
          <w:color w:val="auto"/>
        </w:rPr>
        <w:t>. A director of the Corporation shall perform his duties as a director, including his duties as a member of any committee of the Board of Directors upon which he may serve, in good faith, in a manner he reasonably believes to be in the best interests of the Corporation, and with such care as an ordinarily prudent person in a like position would use under similar circumstances. In performing his duties, a director shall be entitled to rely on information, opinions, reports, or statements, including financial statements and other financial data, in each case prepared or presented by persons and groups listed in paragraphs (a), (b), and (c) of this Section 4.2; but he shall not be considered to be acting in good faith if he has knowledge concerning the matter in question that would cause such reliance to be unwarranted. A person who so performs his duties shall not have any liability by reason of being or having been a director of the Corporation. Those persons and groups upon whose information, opinions, reports, and statements a director is entitled to rely are:</w:t>
      </w:r>
    </w:p>
    <w:p>
      <w:pPr>
        <w:spacing w:after="0" w:line="200" w:lineRule="exact"/>
        <w:rPr>
          <w:sz w:val="20"/>
          <w:szCs w:val="20"/>
          <w:color w:val="auto"/>
        </w:rPr>
      </w:pPr>
    </w:p>
    <w:p>
      <w:pPr>
        <w:spacing w:after="0" w:line="228" w:lineRule="exact"/>
        <w:rPr>
          <w:sz w:val="20"/>
          <w:szCs w:val="20"/>
          <w:color w:val="auto"/>
        </w:rPr>
      </w:pPr>
    </w:p>
    <w:p>
      <w:pPr>
        <w:ind w:left="200" w:right="219" w:firstLine="657"/>
        <w:spacing w:after="0" w:line="258" w:lineRule="auto"/>
        <w:tabs>
          <w:tab w:leader="none" w:pos="14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officers or employees of the Corporation whom the director reasonably believes to be reliable and competent in the matters presented;</w:t>
      </w:r>
    </w:p>
    <w:p>
      <w:pPr>
        <w:spacing w:after="0" w:line="185"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Counsel, public accountants, or other persons as to matters which the director reasonably believes to be within such person's professional or expert competence; or</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committee of the Board of Directors upon which he does not serve, duly designated in accordance with the provisions of the Articles of incorporation or the Bylaws, as to matters within its designated authority, which committee the director reasonably believes to merit confidence.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8" w:name="page249"/>
    <w:bookmarkEnd w:id="248"/>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Number; Tenure; Qualification</w:t>
      </w:r>
      <w:r>
        <w:rPr>
          <w:rFonts w:ascii="Times New Roman" w:cs="Times New Roman" w:eastAsia="Times New Roman" w:hAnsi="Times New Roman"/>
          <w:sz w:val="22"/>
          <w:szCs w:val="22"/>
          <w:color w:val="auto"/>
        </w:rPr>
        <w:t>; Chairman. The number of directors which shall constitute the whole Board of Directors of the Corporation shall be fixed from time to time by resolution of the Board of Directors or Stockholders (any such resolution of the Board of Directors or Stockholders being subject to any later resolution of either of them). The number of directors of the Corporation shall be not less than three (3) nor more than eleven (11) who need not be Stockholders of the Corporation or residents of the State of Nevada and who shall be elected at the annual meeting of Stockholders or some adjournment thereof, except that there need be only as many directors as there are Stockholders in the event that the outstanding shares are held of record by fewer than three (3) persons. Directors shall hold office until the next succeeding annual meeting of Stockholders or until their successors shall have been elected and shall qualify or until his earlier resignation or removal. No provision of this section shall be restrictive upon the right of the Board of Directors to fill vacancies or upon the right of Stockholders to remove Directors as is hereinafter provided. The Board of Directors may designate one director as the Chairman of the Board of Directors.</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Director of the Corporation may resign at any time by giving written notice of his resignation to the Board of Directors, the Chief Executive Officer, the President, or the Secretary of the Corporation. Such resignation shall take effect at the date of receipt of such notice or at any later time specified therein and, unless otherwise specified therein, the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each director so appointed to hold office during the remainder of the term of office of the resigning director or directors.</w:t>
      </w:r>
    </w:p>
    <w:p>
      <w:pPr>
        <w:spacing w:after="0" w:line="17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annual meeting of the Board of Directors shall be held at the same place and on the same day as the annual meeting of Stockholders, and no notice shall be required in connection therewith. The annual meeting of the Board of Directors shall be for the purpose of electing the elective officers of the Corporation and the transaction of such other business as may come before the meeting.</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may be held at such places within or without Nevada and at such times as the Board of Directors may from time to time determine, and if so determined notice thereof need not be given.</w:t>
      </w:r>
    </w:p>
    <w:p>
      <w:pPr>
        <w:spacing w:after="0" w:line="173"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4.7.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the Board of Directors may be called at any time by the Chairman of the Board of Directors, the Vice Chairman of the Board of Directors, the Chief Executive Officer, or by any two (2) directors, and may be held within or outside the State of Nevada at such time and place as the notice or waiver thereof may specify. Notice of such meetings shall be mailed to the last known address of each director at least five (5) days, or shall be given to a director in person or by telephone, facsimile or email at least forty-eight</w:t>
      </w:r>
    </w:p>
    <w:p>
      <w:pPr>
        <w:spacing w:after="0" w:line="3" w:lineRule="exact"/>
        <w:rPr>
          <w:sz w:val="20"/>
          <w:szCs w:val="20"/>
          <w:color w:val="auto"/>
        </w:rPr>
      </w:pPr>
    </w:p>
    <w:p>
      <w:pPr>
        <w:jc w:val="both"/>
        <w:ind w:left="200" w:right="219" w:firstLine="9"/>
        <w:spacing w:after="0" w:line="234" w:lineRule="auto"/>
        <w:tabs>
          <w:tab w:leader="none" w:pos="65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hours prior to the date or time fixed for the meeting. Special meetings of the Board of Directors may be held at any time that all directors are present in person, and presence of any director at a meeting shall constitute waiver of notice of such meeting, except as otherwise provided by law. Unless specifically required by law, the Articles of Incorporation or these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49" w:name="page250"/>
    <w:bookmarkEnd w:id="249"/>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Bylaws, neither the business to be transacted at, nor the purpose of, any meeting of the Board of Directors need be specified in the notice or waiver of notice of such meeting.</w:t>
      </w:r>
    </w:p>
    <w:p>
      <w:pPr>
        <w:spacing w:after="0" w:line="15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Meetings by Telephone</w:t>
      </w:r>
      <w:r>
        <w:rPr>
          <w:rFonts w:ascii="Times New Roman" w:cs="Times New Roman" w:eastAsia="Times New Roman" w:hAnsi="Times New Roman"/>
          <w:sz w:val="22"/>
          <w:szCs w:val="22"/>
          <w:color w:val="auto"/>
        </w:rPr>
        <w:t>. Members of the Board of Directors or any committee designated by the Board of Directors may participate in a meeting of the Board of Directors or committee by means of telephone conference or similar communications equipment by which all persons participating in the meeting can hear each other at the same time. Such participation shall constitute presence in person at the meeting.</w:t>
      </w:r>
    </w:p>
    <w:p>
      <w:pPr>
        <w:spacing w:after="0" w:line="17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quorum at all meetings of the Board of Directors shall consist of a majority of the number of directors then holding office, but a smaller number may adjourn from time to time without further notice, until a quorum be secured. The act of the majority of the directors present at a meeting at which a quorum is present shall be the act of the Board of Directors, unless the act of a greater number is required by Title 7, Chapter 78 of the Nevada Revised Statutes, the Articles of Incorporation or these Bylaws.</w:t>
      </w:r>
    </w:p>
    <w:p>
      <w:pPr>
        <w:spacing w:after="0" w:line="181" w:lineRule="exact"/>
        <w:rPr>
          <w:sz w:val="20"/>
          <w:szCs w:val="20"/>
          <w:color w:val="auto"/>
        </w:rPr>
      </w:pPr>
    </w:p>
    <w:p>
      <w:pPr>
        <w:jc w:val="both"/>
        <w:ind w:left="200" w:right="2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Manner of Acting</w:t>
      </w:r>
      <w:r>
        <w:rPr>
          <w:rFonts w:ascii="Times New Roman" w:cs="Times New Roman" w:eastAsia="Times New Roman" w:hAnsi="Times New Roman"/>
          <w:sz w:val="22"/>
          <w:szCs w:val="22"/>
          <w:color w:val="auto"/>
        </w:rPr>
        <w:t>. If a quorum is present, the affirmative vote of a majority of the directors present at the meeting and entitled to vote on that particular matter shall be the act of the Board of Directors, unless the vote of a greater number is required by law or the Articles of Incorporation.</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Unless the Articles of Incorporation or these Bylaws specifically provide otherwise, any action required or permitted to be taken at a meeting of the Board of Directors, or any committee designated by such board may be taken without a meeting if the action is evidenced by one or more written consents describing the action taken, signed by each director or committee member, and delivered to the Secretary for inclusion in the minutes or for filing with the corporate records. Action taken under this section is effective when all directors or committee members have signed the consent, unless the consent specifies a different effective date. Such consents shall have the same force and effect as a unanimous vote of the directors or committee members and may be stated as such in any document.</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Any vacancy occurring in the Board of Directors may be filled by the affirmative vote of a majority of the remaining directors, though less than a quorum of the Board of Directors. A director elected or appointed to fill a vacancy shall be elected or appointed for the unexpired term of his predecessor in office, and shall hold such office until his successor is fully elected and shall qualify or until his earlier resignation or removal. Any directorship to be filled by reason of an increase in the number of directors shall be filled by the affirmative vote of a majority of the directors then in office, which may be less than a quorum, or by an election at an annual meeting, or at a special meeting, of Stockholders called for that purpose. Any director elected or appointed to fill a vacancy shall hold office until the next annual meeting of Stockholders and until his successor shall have been elected and shall qualify or until his earlier resignation or removal.</w:t>
      </w:r>
    </w:p>
    <w:p>
      <w:pPr>
        <w:spacing w:after="0" w:line="18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Unless otherwise restricted by the Articles of Incorporation or these Bylaws, directors may receive fees, compensation, and expense reimbursement as may be established by appropriate resolution of the Board of Directors for service on the Board of</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0" w:name="page251"/>
    <w:bookmarkEnd w:id="250"/>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Directors and its committees, including without limitation attendance at and travel to meetings of the Board of Directors and its committees.</w:t>
      </w:r>
    </w:p>
    <w:p>
      <w:pPr>
        <w:spacing w:after="0" w:line="157"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4.14.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of Directors may by resolution designate one or more directors to constitute one or more committees which each shall have and may exercise all authority in the management of the Corporation as the Board of Directors to the extent provided in such resolution for such committee; but no such committee shall have the authority of the Board of Directors in reference to amending the Articles of Incorporation, adopting a plan of merger or consolidation, recommending to the Stockholders the sale, lease, exchange, or other disposition of all or substantially all of the property and assets of the Corporation otherwise than in the usual and regular course of its business, recommending to the Stockholders a voluntary dissolution of the Corporation or a revocation thereof, or amending the Bylaws of the Corporation. The Board of Directors may designate one or more directors as alternate members of any committee, who may replace any absent or disqualified member at any meeting of the committee. Unless the Board of Directors appoints alternative members pursuant to this bylaw, the member or members thereof present at any meeting and not disqualified from voting, whether or not such member or members constitute a quorum, may unanimously appoint another member of the Board of Directors to act at the meeting in the place of any absent or disqualified member of the committee. The designation of such committees and the delegation thereto of authority shall not operate to relieve the Board of Directors, or any member thereof, of any responsibility imposed by law. Each member of the Board of Directors, whether or not such director is a member of such committees, shall be entitled to receive notice of each meeting of each committee of the Board of Directors and each member of the Board of Directors shall be entitled to attend each meeting of any such committee, whether or not such director is a member of such committee.</w:t>
      </w:r>
    </w:p>
    <w:p>
      <w:pPr>
        <w:spacing w:after="0" w:line="18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4.15. </w:t>
      </w:r>
      <w:r>
        <w:rPr>
          <w:rFonts w:ascii="Times New Roman" w:cs="Times New Roman" w:eastAsia="Times New Roman" w:hAnsi="Times New Roman"/>
          <w:sz w:val="21"/>
          <w:szCs w:val="21"/>
          <w:u w:val="single" w:color="auto"/>
          <w:color w:val="auto"/>
        </w:rPr>
        <w:t>Committee Rules</w:t>
      </w:r>
      <w:r>
        <w:rPr>
          <w:rFonts w:ascii="Times New Roman" w:cs="Times New Roman" w:eastAsia="Times New Roman" w:hAnsi="Times New Roman"/>
          <w:sz w:val="21"/>
          <w:szCs w:val="21"/>
          <w:color w:val="auto"/>
        </w:rPr>
        <w:t>. Unless the Board of Directors otherwise provides and subject to Section 4.1 of these Bylaws, a majority of the entire authorized number of members of such committee shall constitute a quorum for the transaction of business, the vote of a majority of the members present at a meeting at the time of such vote if a quorum is then present shall be the act of such committee, and in other respects each committee shall conduct its business in the same manner as the Board of Directors conducts its business pursuant to this Article IV of these Bylaws.</w:t>
      </w:r>
    </w:p>
    <w:p>
      <w:pPr>
        <w:spacing w:after="0" w:line="200" w:lineRule="exact"/>
        <w:rPr>
          <w:sz w:val="20"/>
          <w:szCs w:val="20"/>
          <w:color w:val="auto"/>
        </w:rPr>
      </w:pPr>
    </w:p>
    <w:p>
      <w:pPr>
        <w:spacing w:after="0" w:line="214"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The Stockholders may, at a meeting called for the express purpose of removing directors, by the vote of Stockholders representing not less than two-thirds of the voting power of the issued and outstanding stock entitled to voting power, remove the entire Board of Directors or any lesser number, with or without cause.</w:t>
      </w:r>
    </w:p>
    <w:p>
      <w:pPr>
        <w:spacing w:after="0" w:line="200" w:lineRule="exact"/>
        <w:rPr>
          <w:sz w:val="20"/>
          <w:szCs w:val="20"/>
          <w:color w:val="auto"/>
        </w:rPr>
      </w:pPr>
    </w:p>
    <w:p>
      <w:pPr>
        <w:spacing w:after="0" w:line="22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Meetings of the Board of Directors shall be presided over by the Chairman of the Board of Directors, or in his absence by the Vice Chairman of the Board of Directors, or in his absence by Chief Executive Officer, or in his absence by a chairman chosen at the meeting by a majority of the directors present at the meeting.</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Officers; Election; Term of Office</w:t>
      </w:r>
      <w:r>
        <w:rPr>
          <w:rFonts w:ascii="Times New Roman" w:cs="Times New Roman" w:eastAsia="Times New Roman" w:hAnsi="Times New Roman"/>
          <w:sz w:val="21"/>
          <w:szCs w:val="21"/>
          <w:color w:val="auto"/>
        </w:rPr>
        <w:t>. The elective officers of the Corporation shall be a Chief Executive Officer, a President, any number of Vice Presidents, a Secretary, any number of Assistant Secretaries, a Treasurer and any number of Assistant Treasurers, who shall be elected annually by the Board of Directors at its annual meeting. Unless removed in accordance with the procedures established by law and these Bylaws or unless provided in the resolution of the Board of Directors electing any officer, the said officers shall serve until the next succeeding annual meeting of the Board of Directors and until their respective successors are elected and shall qualify or until their earlier resignation or removal. Any two or more offices may be held by the same person at the same time. The officers of the Corporation shall be natural persons of the age of eighteen (18) years or older. The Board of Directors may elect or appoint such other officers and agents as it may deem advisable, who shall hold office during the pleasure of the Board of Directors, and shall be paid such compensation as may be directed by the Board of Directors.</w:t>
      </w:r>
    </w:p>
    <w:p>
      <w:pPr>
        <w:spacing w:after="0" w:line="17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Powers and Duties</w:t>
      </w:r>
      <w:r>
        <w:rPr>
          <w:rFonts w:ascii="Times New Roman" w:cs="Times New Roman" w:eastAsia="Times New Roman" w:hAnsi="Times New Roman"/>
          <w:sz w:val="22"/>
          <w:szCs w:val="22"/>
          <w:color w:val="auto"/>
        </w:rPr>
        <w:t>. The officers of the Corporation shall respectively exercise and perform the respective powers, duties and functions as are stated below, and as may be assigned to them by the Board of Directors, not inconsistent with these Bylaws.</w:t>
      </w:r>
    </w:p>
    <w:p>
      <w:pPr>
        <w:spacing w:after="0" w:line="173" w:lineRule="exact"/>
        <w:rPr>
          <w:sz w:val="20"/>
          <w:szCs w:val="20"/>
          <w:color w:val="auto"/>
        </w:rPr>
      </w:pPr>
    </w:p>
    <w:p>
      <w:pPr>
        <w:jc w:val="both"/>
        <w:ind w:left="860" w:right="219" w:firstLine="645"/>
        <w:spacing w:after="0" w:line="235" w:lineRule="auto"/>
        <w:tabs>
          <w:tab w:leader="none" w:pos="21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subject to the control of the Board of Directors, have the ultimate responsibility for the management and control of the affairs and business of the Corporation, and shall perform all duties and have all powers which are commonly incident to the office of Chief Executive Officer or which are delegated to him by the Board of Directors or as may be provided by law. In the absence of the Chairman of the Board of Directors and the Vice Chairman of the Board of Directors, he shall preside at all meetings of Stockholders and of the Board of Directors at which he shall be present.</w:t>
      </w:r>
    </w:p>
    <w:p>
      <w:pPr>
        <w:spacing w:after="0" w:line="178" w:lineRule="exact"/>
        <w:rPr>
          <w:rFonts w:ascii="Times New Roman" w:cs="Times New Roman" w:eastAsia="Times New Roman" w:hAnsi="Times New Roman"/>
          <w:sz w:val="22"/>
          <w:szCs w:val="22"/>
          <w:color w:val="auto"/>
        </w:rPr>
      </w:pPr>
    </w:p>
    <w:p>
      <w:pPr>
        <w:jc w:val="both"/>
        <w:ind w:left="860" w:right="219" w:firstLine="645"/>
        <w:spacing w:after="0" w:line="245" w:lineRule="auto"/>
        <w:tabs>
          <w:tab w:leader="none" w:pos="215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The President shall, subject to the control of the Board of Directors and the Chief Executive Officer, have general supervision, direction and control of the business and officers of the Corporation. In the absence of the Chairman of the Board of Directors, the Vice Chairman of the Board of Directors and the Chief Executive Officer, he shall preside at all meetings of the Stockholders and of the Board of Directors at which he shall be present. The Chief Executive Officer, the President, a Vice President, the Secretary or an Assistant Secretary, unless some other person is specifically authorized by the Board of Directors, shall sign all bonds, deeds, mortgages, leases and contracts of the Corporation. The President shall perform all the duties commonly incident to his office and such other duties as the Board of Directors, the Chairman of the Board of Directors or the Chief Executive Officer shall designate or as may be provided by law.</w:t>
      </w:r>
    </w:p>
    <w:p>
      <w:pPr>
        <w:spacing w:after="0" w:line="177" w:lineRule="exact"/>
        <w:rPr>
          <w:rFonts w:ascii="Times New Roman" w:cs="Times New Roman" w:eastAsia="Times New Roman" w:hAnsi="Times New Roman"/>
          <w:sz w:val="21"/>
          <w:szCs w:val="21"/>
          <w:color w:val="auto"/>
        </w:rPr>
      </w:pPr>
    </w:p>
    <w:p>
      <w:pPr>
        <w:jc w:val="both"/>
        <w:ind w:left="860" w:right="219" w:firstLine="645"/>
        <w:spacing w:after="0" w:line="238" w:lineRule="auto"/>
        <w:tabs>
          <w:tab w:leader="none" w:pos="18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 In the absence or disability of the President, or at the Chief Executive Officer’s or President’s request, the Vice President or Vice Presidents, in order of their rank as fixed by the Board of Directors, and if not ranked, the Vice Presidents in the order designated by the Board of Directors, or, in the absence of such designation, in the order designated by the Chief Executive Officer or the President, shall perform all the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2" w:name="page253"/>
    <w:bookmarkEnd w:id="252"/>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duties of the President, and when so acting, shall have all the powers of, and be subject to all the restrictions on the President. Each Vice President shall have such other powers and perform such other duties as may from time to time be assigned to him by the Board of Directors, the Chairman of the Board of Directors, the Chief Executive Officer or the President or as may be provided by law.</w:t>
      </w:r>
    </w:p>
    <w:p>
      <w:pPr>
        <w:spacing w:after="0" w:line="177" w:lineRule="exact"/>
        <w:rPr>
          <w:sz w:val="20"/>
          <w:szCs w:val="20"/>
          <w:color w:val="auto"/>
        </w:rPr>
      </w:pPr>
    </w:p>
    <w:p>
      <w:pPr>
        <w:jc w:val="both"/>
        <w:ind w:left="860" w:right="219" w:firstLine="645"/>
        <w:spacing w:after="0" w:line="233" w:lineRule="auto"/>
        <w:tabs>
          <w:tab w:leader="none" w:pos="21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keep accurate minutes of all meetings of the Stockholders, the Board of Directors and any committees. 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records and of the seal of the Corporation and shall attest the affixing of the seal of the Corporation when so authorized. The Secretary shall perform all duties commonly incident to his office and such other duties as may from time to time be assigned to him by the Board of Directors, the Chairman of the Board of Directors, the Chief Executive Officer or the President or as may be provided by law.</w:t>
      </w:r>
    </w:p>
    <w:p>
      <w:pPr>
        <w:spacing w:after="0" w:line="187" w:lineRule="exact"/>
        <w:rPr>
          <w:rFonts w:ascii="Times New Roman" w:cs="Times New Roman" w:eastAsia="Times New Roman" w:hAnsi="Times New Roman"/>
          <w:sz w:val="22"/>
          <w:szCs w:val="22"/>
          <w:color w:val="auto"/>
        </w:rPr>
      </w:pPr>
    </w:p>
    <w:p>
      <w:pPr>
        <w:jc w:val="both"/>
        <w:ind w:left="860" w:right="219" w:firstLine="645"/>
        <w:spacing w:after="0" w:line="238" w:lineRule="auto"/>
        <w:tabs>
          <w:tab w:leader="none" w:pos="21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Assistant Secretary</w:t>
      </w:r>
      <w:r>
        <w:rPr>
          <w:rFonts w:ascii="Times New Roman" w:cs="Times New Roman" w:eastAsia="Times New Roman" w:hAnsi="Times New Roman"/>
          <w:sz w:val="22"/>
          <w:szCs w:val="22"/>
          <w:color w:val="auto"/>
        </w:rPr>
        <w:t>. An Assistant Secretary may, at the request of the Secretary, or in the absence or disability of the Secretary, perform all the duties of the Secretary. He shall perform such other duties as may assigned to him by the Board of Directors, the Chairman of the Board of Directors, the Chief Executive Officer, the President or the Secretary or as may be provided by law.</w:t>
      </w:r>
    </w:p>
    <w:p>
      <w:pPr>
        <w:spacing w:after="0" w:line="176" w:lineRule="exact"/>
        <w:rPr>
          <w:rFonts w:ascii="Times New Roman" w:cs="Times New Roman" w:eastAsia="Times New Roman" w:hAnsi="Times New Roman"/>
          <w:sz w:val="22"/>
          <w:szCs w:val="22"/>
          <w:color w:val="auto"/>
        </w:rPr>
      </w:pPr>
    </w:p>
    <w:p>
      <w:pPr>
        <w:jc w:val="both"/>
        <w:ind w:left="860" w:right="219" w:firstLine="645"/>
        <w:spacing w:after="0" w:line="234" w:lineRule="auto"/>
        <w:tabs>
          <w:tab w:leader="none" w:pos="18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subject to the order of the Board of Directors, shall have the care and custody of the money, funds, securities, receipts, valuable papers and documents of the Corporation. The Treasurer shall keep accurate books of accounts of the Corporation's transactions, which shall be the property of the Corporation, and shall render financial reports and statements of condition of the Corporation when so requested by the Board of Directors, the Chairman of the Board of Directors, the Chief Executive Officer or the President. The Treasurer shall perform all duties commonly incident to his office and such other duties as may, from time to time, be assigned to him by the Board of Directors, the Chairman of the Board of Directors, the Chief Executive Officer or the President or as may be provided by law.</w:t>
      </w:r>
    </w:p>
    <w:p>
      <w:pPr>
        <w:spacing w:after="0" w:line="179" w:lineRule="exact"/>
        <w:rPr>
          <w:rFonts w:ascii="Times New Roman" w:cs="Times New Roman" w:eastAsia="Times New Roman" w:hAnsi="Times New Roman"/>
          <w:sz w:val="22"/>
          <w:szCs w:val="22"/>
          <w:color w:val="auto"/>
        </w:rPr>
      </w:pPr>
    </w:p>
    <w:p>
      <w:pPr>
        <w:jc w:val="both"/>
        <w:ind w:left="860" w:right="219" w:firstLine="645"/>
        <w:spacing w:after="0" w:line="238" w:lineRule="auto"/>
        <w:tabs>
          <w:tab w:leader="none" w:pos="18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Assistant Treasurer</w:t>
      </w:r>
      <w:r>
        <w:rPr>
          <w:rFonts w:ascii="Times New Roman" w:cs="Times New Roman" w:eastAsia="Times New Roman" w:hAnsi="Times New Roman"/>
          <w:sz w:val="22"/>
          <w:szCs w:val="22"/>
          <w:color w:val="auto"/>
        </w:rPr>
        <w:t>. An Assistant Treasurer may, at the request of the Treasurer, or in the absence or disability of the Treasurer, perform all of the duties of the Treasurer. He shall perform such other duties as may be assigned to him by the Board of Directors, the Chairman of the Board of Directors, the Chief Executive Officer, the President or the Treasurer or as may be provided by law.</w:t>
      </w:r>
    </w:p>
    <w:p>
      <w:pPr>
        <w:spacing w:after="0" w:line="176" w:lineRule="exact"/>
        <w:rPr>
          <w:rFonts w:ascii="Times New Roman" w:cs="Times New Roman" w:eastAsia="Times New Roman" w:hAnsi="Times New Roman"/>
          <w:sz w:val="22"/>
          <w:szCs w:val="22"/>
          <w:color w:val="auto"/>
        </w:rPr>
      </w:pPr>
    </w:p>
    <w:p>
      <w:pPr>
        <w:jc w:val="both"/>
        <w:ind w:left="860" w:right="219" w:firstLine="645"/>
        <w:spacing w:after="0" w:line="236" w:lineRule="auto"/>
        <w:tabs>
          <w:tab w:leader="none" w:pos="18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The other officers, if any, of the Corporation shall have such powers and duties in the management of the Corporation as shall be stated in a resolution of the Board of Directors which is not inconsistent with these Bylaws and, to the extent not so stated, as generally pertain to their respective offices, subject to the control of the Board of Directors. The Board of Directors may require any officer, agent or employee to give security for the faithful performance of his duties.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3" w:name="page254"/>
    <w:bookmarkEnd w:id="253"/>
    <w:p>
      <w:pPr>
        <w:jc w:val="both"/>
        <w:ind w:left="200" w:right="219" w:firstLine="648"/>
        <w:spacing w:after="0"/>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Salaries</w:t>
      </w:r>
      <w:r>
        <w:rPr>
          <w:rFonts w:ascii="Times New Roman" w:cs="Times New Roman" w:eastAsia="Times New Roman" w:hAnsi="Times New Roman"/>
          <w:sz w:val="22"/>
          <w:szCs w:val="22"/>
          <w:color w:val="auto"/>
        </w:rPr>
        <w:t>. All officers of the Corporation may receive salaries or other compensation if so ordered and fixed by the Board of Directors. The Board of Directors shall have the authority to fix salaries in advance for stated periods or render the same retroactive as the Board of Directors may deem advisable.</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Inability to Act</w:t>
      </w:r>
      <w:r>
        <w:rPr>
          <w:rFonts w:ascii="Times New Roman" w:cs="Times New Roman" w:eastAsia="Times New Roman" w:hAnsi="Times New Roman"/>
          <w:sz w:val="22"/>
          <w:szCs w:val="22"/>
          <w:color w:val="auto"/>
        </w:rPr>
        <w:t>. In the event of absence or inability of any officer to act, the Board of Directors may delegate the power or duties of such officer to any other officer, director or person whom it may select.</w:t>
      </w:r>
    </w:p>
    <w:p>
      <w:pPr>
        <w:spacing w:after="0" w:line="17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Resignation; Removal; Vacancies</w:t>
      </w:r>
      <w:r>
        <w:rPr>
          <w:rFonts w:ascii="Times New Roman" w:cs="Times New Roman" w:eastAsia="Times New Roman" w:hAnsi="Times New Roman"/>
          <w:sz w:val="22"/>
          <w:szCs w:val="22"/>
          <w:color w:val="auto"/>
        </w:rPr>
        <w:t>. Any officer or agent may resign at any time upon written notice to the Board of Directors, the Chief Executive Officer, the President or the Secretary of the Corporation. Such resignation shall take effect at the time specified therein, and unless otherwise specified therein no acceptance of such resignation shall be necessary to make it effective. Any officer or agent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 Any vacancy occurring in any office of the Corporation by death, resignation, removal or otherwise may be filled by the Board or Directors at any regular or special meeting.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Finance</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Reserve Fund</w:t>
      </w:r>
      <w:r>
        <w:rPr>
          <w:rFonts w:ascii="Times New Roman" w:cs="Times New Roman" w:eastAsia="Times New Roman" w:hAnsi="Times New Roman"/>
          <w:sz w:val="22"/>
          <w:szCs w:val="22"/>
          <w:color w:val="auto"/>
        </w:rPr>
        <w:t>. The Board of Directors, in its uncontrolled discretion, may set aside from time to time, out of the net profits or earned surplus of the Corporation, such sum or sums as it deems expedient as a reserve fund to meet contingencies, for equalizing dividends, for maintaining any property of the Corporation, and for any other purposes.</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Checks and Deposits</w:t>
      </w:r>
      <w:r>
        <w:rPr>
          <w:rFonts w:ascii="Times New Roman" w:cs="Times New Roman" w:eastAsia="Times New Roman" w:hAnsi="Times New Roman"/>
          <w:sz w:val="22"/>
          <w:szCs w:val="22"/>
          <w:color w:val="auto"/>
        </w:rPr>
        <w:t>. The monies of the Corporation shall be deposited in the name of the Corporation in such bank or banks or trust companies, as the Board of Directors shall designate, and may be drawn out only on checks signed in the name of the Corporation by such person or persons as the Board of Directors by appropriate resolution may direct. Notes and commercial paper, when authorized by the Board of Directors, shall be signed in the name of the Corporation by such officer or officers or agent or agents as shall thereto be authorized from time to time.</w:t>
      </w:r>
    </w:p>
    <w:p>
      <w:pPr>
        <w:spacing w:after="0" w:line="18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end on December 31 of each year or shall be as otherwise determined by resolution of the Board of Directors.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Bankruptcy/Insolvency</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Corporation shall not, without the affirmative vote of the whole Board of Directors of the Corporation, institute any proceedings to adjudicate the Corporation a bankrupt or insolvent, consent to the institution of bankruptcy or insolvency proceedings against the Corporation, file a petition seeking or consenting to reorganization or relief under any applicable federal or state law relating to bankruptcy, consent to the appointment of a receiver, liquidator, assignee, trustee, sequestrator (or other similar official) of the Corporation or a substantial part of its property or admit its inability to pay its debts generally as they become due or authorize any of the foregoing to be done or taken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Waiver of Notice</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With any notices required by law or under the Articles of Incorporation or these Bylaws to be given to any Stockholder or director of the Corporation, a waiver thereof in writing signed by the person entitled to such notice, whether before, at, or after the time stated therein</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shall be the equivalent to the giving of such notice.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Indemnification of Directors, Officers and Others</w:t>
      </w:r>
    </w:p>
    <w:p>
      <w:pPr>
        <w:spacing w:after="0" w:line="206"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9.1. To the full extent permitted by Title 7, Chapter 78 of the Nevada Revised Statutes, Section 7502, as the same may be amended from time to time, the Corporation shall indemnify any person who was or is a party or is threatened to be made a party to any threatened, pending or completed action, suit or proceeding, whether civil, criminal, administrative, or investigative and whether formal or informal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conducted himself in good faith and in a manner he reasonably believed to be in or not opposed to the best interests of the Corporation and, with respect to any criminal action or proceedings,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which he reasonably believed to be in or not opposed to the best interests of the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5" w:name="page256"/>
    <w:bookmarkEnd w:id="255"/>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Corporation and, with respect to any criminal action or proceeding, had reasonable cause to believe that his conduct was unlawful.</w:t>
      </w:r>
    </w:p>
    <w:p>
      <w:pPr>
        <w:spacing w:after="0" w:line="15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9.2.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 of the Corporation, except that no indemnification shall be made in respect of any claim, issue or matter as to which such person shall have been adjudged to be liable for negligence or misconduct in the performance of his duty to the Corporation unless and only to the extent that the Court in which such action or suit was brought shall determine upon application that, despite the adjudication of liability but in view of all circumstances of the case, such person is fairly and reasonably entitled to indemnity for such expenses which such court shall deem proper.</w:t>
      </w:r>
    </w:p>
    <w:p>
      <w:pPr>
        <w:spacing w:after="0" w:line="1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Section 9.3. To the extent that a director, officer, or employee or agent of the Corporation has been successful on the merits or otherwise in defense of any action, suit or proceeding referred to in Sections 9.1 and 9.2 of this Article IX, or in defense of any claim, issue or matter therein, he shall be indemnified against expenses (including attorneys' fees) actually and reasonably incurred by him in connection therewith.</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9.4. Any indemnification under Section 9.1 and 9.2 of this Article IX (unless ordered by a Court) shall be made by the Corporation only as authorized in the specific case upon a determination that indemnification of the office, director and employee or agent is proper in the circumstances because he has met the applicable standard of conduct set forth in Section 9.1 and 9.2 of this Article IX. Such determination shall be made (a) by the Board of Directors by a majority vote of a quorum consisting of directors who were not parties to such action, suit or proceeding, or (b) if a quorum of disinterested directors so directs, by independent legal counsel in a written opinion, or (c) by the affirmative vote of the holders of a majority of the shares entitled to vote and represented at a meeting called for such purpose.</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9.5. Expenses (including attorneys fees) incurred in defending a civil or criminal action, suit or proceeding may be paid by the Corporation as they are incurred and in advance of the final disposition of such action, suit or proceeding as authorized by the Board of Directors as provided in Section 9.4 of this Article IX upon receipt of an undertaking by or on behalf of the director, officer, employee or agent to repay such amount if it shall ultimately be determined by a final order of a court of competent jurisdiction that he or she is not entitled to be indemnified by the Corporation as authorized in this Article IX.</w:t>
      </w:r>
    </w:p>
    <w:p>
      <w:pPr>
        <w:spacing w:after="0" w:line="183"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Section 9.6. The Board of Directors may exercise the Corporation's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6" w:name="page257"/>
    <w:bookmarkEnd w:id="256"/>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of his status as such, whether or not the Corporation would have the power to indemnify him against such liability hereunder or otherwise.</w:t>
      </w:r>
    </w:p>
    <w:p>
      <w:pPr>
        <w:spacing w:after="0" w:line="15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9.7. The indemnification provided by this Article IX shall not be deemed exclusive of any other rights to which those seeking indemnification may be entitled under the Articles of Incorporation, these Bylaws, agreement, vote or shareholders or disinterested directors, Title 7, Chapter 78 of the Nevada Revised Statutes, or otherwise, both as to action in his official capacity and as to action in another capacity while holding such office, and shall continue as to a person who has ceased to be a director, officer, employee or agent and representatives of such person.</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9.8. The Corporation shall have the power to indemnify current or former directors, officers, employees and agents to the fullest extent provided by the laws of the State of Nevada.</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06"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These Bylaws may be amended or repealed, and new Bylaws may be adopted, at the annual meeting of the Board of Directors or at any regular or special meeting of the Board of Directors.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The Corporation may loan money to, guarantee the obligations of and otherwise assist directors, officers and employees of the Corporation, or directors of another corporation of which the Corporation owns a majority of the voting stock, only upon compliance with the requirements of Title 7, Chapter 78 of the Nevada Revised Statutes.</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No loans shall be contracted on behalf of the Corporation and no evidence of indebtedness shall be issued in its name unless authorized by resolution of the Board of Directors. Such activity may be general or confined to specific instances.</w:t>
      </w:r>
    </w:p>
    <w:p>
      <w:pPr>
        <w:spacing w:after="0" w:line="17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11.2.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The Board of Directors may authorize any officer or officers, agent or agents to enter into any contract or execute and deliver any instrument in the name of and on behalf of the Corporation. Such authority may be general or confined to specific instances.</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/s/ Dean A. Manson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10795</wp:posOffset>
            </wp:positionV>
            <wp:extent cx="12858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2"/>
          <w:szCs w:val="22"/>
          <w:color w:val="auto"/>
        </w:rPr>
        <w:t>Dean A. Manson</w:t>
      </w:r>
    </w:p>
    <w:p>
      <w:pPr>
        <w:ind w:left="4700"/>
        <w:spacing w:after="0" w:line="230" w:lineRule="auto"/>
        <w:rPr>
          <w:sz w:val="20"/>
          <w:szCs w:val="20"/>
          <w:color w:val="auto"/>
        </w:rPr>
      </w:pPr>
      <w:r>
        <w:rPr>
          <w:rFonts w:ascii="Times New Roman" w:cs="Times New Roman" w:eastAsia="Times New Roman" w:hAnsi="Times New Roman"/>
          <w:sz w:val="22"/>
          <w:szCs w:val="22"/>
          <w:color w:val="auto"/>
        </w:rPr>
        <w:t>Chief Legal Officer</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and Secretary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i w:val="1"/>
          <w:iCs w:val="1"/>
          <w:color w:val="auto"/>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57" w:name="page258"/>
    <w:bookmarkEnd w:id="2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EchoStar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66" w:lineRule="auto"/>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60" w:right="359" w:hanging="316"/>
        <w:spacing w:after="0" w:line="266" w:lineRule="auto"/>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66" w:lineRule="auto"/>
        <w:tabs>
          <w:tab w:leader="none" w:pos="7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32"/>
        <w:spacing w:after="0" w:line="282" w:lineRule="auto"/>
        <w:tabs>
          <w:tab w:leader="none" w:pos="7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Hamid Akhavan</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-130810</wp:posOffset>
            </wp:positionV>
            <wp:extent cx="28289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8" w:name="page259"/>
    <w:bookmarkEnd w:id="2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Paul W. Orban, certify that:</w:t>
      </w:r>
    </w:p>
    <w:p>
      <w:pPr>
        <w:spacing w:after="0" w:line="225" w:lineRule="exact"/>
        <w:rPr>
          <w:sz w:val="20"/>
          <w:szCs w:val="20"/>
          <w:color w:val="auto"/>
        </w:rPr>
      </w:pPr>
    </w:p>
    <w:p>
      <w:pPr>
        <w:ind w:left="360" w:hanging="316"/>
        <w:spacing w:after="0"/>
        <w:tabs>
          <w:tab w:leader="none" w:pos="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EchoStar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66" w:lineRule="auto"/>
        <w:tabs>
          <w:tab w:leader="none" w:pos="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60" w:right="359" w:hanging="316"/>
        <w:spacing w:after="0" w:line="266" w:lineRule="auto"/>
        <w:tabs>
          <w:tab w:leader="none" w:pos="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66" w:lineRule="auto"/>
        <w:tabs>
          <w:tab w:leader="none" w:pos="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32"/>
        <w:spacing w:after="0" w:line="282" w:lineRule="auto"/>
        <w:tabs>
          <w:tab w:leader="none" w:pos="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9" w:name="page260"/>
    <w:bookmarkEnd w:id="2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0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EchoStar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17145</wp:posOffset>
            </wp:positionV>
            <wp:extent cx="25203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18415</wp:posOffset>
            </wp:positionV>
            <wp:extent cx="25203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52"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0" w:name="page261"/>
    <w:bookmarkEnd w:id="2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0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EchoStar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17145</wp:posOffset>
            </wp:positionV>
            <wp:extent cx="25203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18415</wp:posOffset>
            </wp:positionV>
            <wp:extent cx="25203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Principal Financial Officer</w:t>
      </w:r>
    </w:p>
    <w:p>
      <w:pPr>
        <w:spacing w:after="0" w:line="252"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1" w:name="page262"/>
    <w:bookmarkEnd w:id="26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ECHOSTAR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POLICY FOR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180" w:lineRule="exact"/>
        <w:rPr>
          <w:sz w:val="20"/>
          <w:szCs w:val="20"/>
          <w:color w:val="auto"/>
        </w:rPr>
      </w:pPr>
    </w:p>
    <w:p>
      <w:pPr>
        <w:ind w:left="860" w:hanging="651"/>
        <w:spacing w:after="0"/>
        <w:tabs>
          <w:tab w:leader="none" w:pos="8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OVERVIEW</w:t>
      </w:r>
    </w:p>
    <w:p>
      <w:pPr>
        <w:spacing w:after="0" w:line="10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In accordance with the applicable rules of The Nasdaq Stock Market (the “</w:t>
      </w:r>
      <w:r>
        <w:rPr>
          <w:rFonts w:ascii="Times New Roman" w:cs="Times New Roman" w:eastAsia="Times New Roman" w:hAnsi="Times New Roman"/>
          <w:sz w:val="20"/>
          <w:szCs w:val="20"/>
          <w:b w:val="1"/>
          <w:bCs w:val="1"/>
          <w:color w:val="auto"/>
        </w:rPr>
        <w:t>Nasdaq Rules</w:t>
      </w:r>
      <w:r>
        <w:rPr>
          <w:rFonts w:ascii="Times New Roman" w:cs="Times New Roman" w:eastAsia="Times New Roman" w:hAnsi="Times New Roman"/>
          <w:sz w:val="20"/>
          <w:szCs w:val="20"/>
          <w:color w:val="auto"/>
        </w:rPr>
        <w:t>”), Section 10D and Rule 10D-1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Rule 10D-1</w:t>
      </w:r>
      <w:r>
        <w:rPr>
          <w:rFonts w:ascii="Times New Roman" w:cs="Times New Roman" w:eastAsia="Times New Roman" w:hAnsi="Times New Roman"/>
          <w:sz w:val="20"/>
          <w:szCs w:val="20"/>
          <w:color w:val="auto"/>
        </w:rPr>
        <w:t>”),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EchoStar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provide for the recovery of erroneously awarded Incentive-based Compensation from Executive Officers. All capitalized terms used and not otherwise defined herein shall have the meanings set forth in Section H, below.</w:t>
      </w:r>
    </w:p>
    <w:p>
      <w:pPr>
        <w:spacing w:after="0" w:line="156" w:lineRule="exact"/>
        <w:rPr>
          <w:sz w:val="20"/>
          <w:szCs w:val="20"/>
          <w:color w:val="auto"/>
        </w:rPr>
      </w:pPr>
    </w:p>
    <w:p>
      <w:pPr>
        <w:ind w:left="860" w:hanging="651"/>
        <w:spacing w:after="0"/>
        <w:tabs>
          <w:tab w:leader="none" w:pos="8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OF ERRONEOUSLY AWARDED COMPENSATION</w:t>
      </w:r>
    </w:p>
    <w:p>
      <w:pPr>
        <w:spacing w:after="0" w:line="107" w:lineRule="exact"/>
        <w:rPr>
          <w:rFonts w:ascii="Times New Roman" w:cs="Times New Roman" w:eastAsia="Times New Roman" w:hAnsi="Times New Roman"/>
          <w:sz w:val="20"/>
          <w:szCs w:val="20"/>
          <w:color w:val="auto"/>
        </w:rPr>
      </w:pPr>
    </w:p>
    <w:p>
      <w:pPr>
        <w:jc w:val="both"/>
        <w:ind w:left="1180" w:right="239" w:hanging="323"/>
        <w:spacing w:after="0" w:line="254" w:lineRule="auto"/>
        <w:tabs>
          <w:tab w:leader="none" w:pos="11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Accounting Restatement, the Company will reasonably promptly recover the Erroneously Awarded Compensation Received in accordance with Nasdaq Rules and Rule 10D-1, as follows:</w:t>
      </w:r>
    </w:p>
    <w:p>
      <w:pPr>
        <w:spacing w:after="0" w:line="66" w:lineRule="exact"/>
        <w:rPr>
          <w:rFonts w:ascii="Times New Roman" w:cs="Times New Roman" w:eastAsia="Times New Roman" w:hAnsi="Times New Roman"/>
          <w:sz w:val="20"/>
          <w:szCs w:val="20"/>
          <w:color w:val="auto"/>
        </w:rPr>
      </w:pPr>
    </w:p>
    <w:p>
      <w:pPr>
        <w:jc w:val="both"/>
        <w:ind w:left="1500" w:right="219" w:hanging="319"/>
        <w:spacing w:after="0" w:line="244" w:lineRule="auto"/>
        <w:tabs>
          <w:tab w:leader="none" w:pos="1500"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Accounting Restatement, the Executive Compensation Committee (if composed entirely of independent directors, or in the absence of such a committee, a majority of independent directors serving on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w:t>
      </w:r>
    </w:p>
    <w:p>
      <w:pPr>
        <w:spacing w:after="0" w:line="77" w:lineRule="exact"/>
        <w:rPr>
          <w:rFonts w:ascii="Times New Roman" w:cs="Times New Roman" w:eastAsia="Times New Roman" w:hAnsi="Times New Roman"/>
          <w:sz w:val="20"/>
          <w:szCs w:val="20"/>
          <w:color w:val="auto"/>
        </w:rPr>
      </w:pPr>
    </w:p>
    <w:p>
      <w:pPr>
        <w:jc w:val="both"/>
        <w:ind w:left="1500" w:right="21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71" w:lineRule="exact"/>
        <w:rPr>
          <w:rFonts w:ascii="Times New Roman" w:cs="Times New Roman" w:eastAsia="Times New Roman" w:hAnsi="Times New Roman"/>
          <w:sz w:val="20"/>
          <w:szCs w:val="20"/>
          <w:color w:val="auto"/>
        </w:rPr>
      </w:pPr>
    </w:p>
    <w:p>
      <w:pPr>
        <w:ind w:left="1820" w:right="379" w:hanging="315"/>
        <w:spacing w:after="0" w:line="249" w:lineRule="auto"/>
        <w:tabs>
          <w:tab w:leader="none" w:pos="1820" w:val="left"/>
        </w:tabs>
        <w:numPr>
          <w:ilvl w:val="3"/>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71" w:lineRule="exact"/>
        <w:rPr>
          <w:rFonts w:ascii="Times New Roman" w:cs="Times New Roman" w:eastAsia="Times New Roman" w:hAnsi="Times New Roman"/>
          <w:sz w:val="20"/>
          <w:szCs w:val="20"/>
          <w:color w:val="auto"/>
        </w:rPr>
      </w:pPr>
    </w:p>
    <w:p>
      <w:pPr>
        <w:ind w:left="1820" w:right="499" w:hanging="315"/>
        <w:spacing w:after="0" w:line="269" w:lineRule="auto"/>
        <w:tabs>
          <w:tab w:leader="none" w:pos="1820" w:val="left"/>
        </w:tabs>
        <w:numPr>
          <w:ilvl w:val="3"/>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maintain documentation of the determination of such reasonable estimate and provide the relevant documentation as required to Nasdaq.</w:t>
      </w:r>
    </w:p>
    <w:p>
      <w:pPr>
        <w:spacing w:after="0" w:line="51" w:lineRule="exact"/>
        <w:rPr>
          <w:rFonts w:ascii="Times New Roman" w:cs="Times New Roman" w:eastAsia="Times New Roman" w:hAnsi="Times New Roman"/>
          <w:sz w:val="20"/>
          <w:szCs w:val="20"/>
          <w:color w:val="auto"/>
        </w:rPr>
      </w:pPr>
    </w:p>
    <w:p>
      <w:pPr>
        <w:jc w:val="both"/>
        <w:ind w:left="1500" w:right="239" w:hanging="319"/>
        <w:spacing w:after="0" w:line="295" w:lineRule="auto"/>
        <w:tabs>
          <w:tab w:leader="none" w:pos="1500"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shall have discretion to determine the appropriate means of recovering Erroneously Awarded Compensation reasonably promptly based on the particular facts and</w:t>
      </w:r>
    </w:p>
    <w:p>
      <w:pPr>
        <w:spacing w:after="0" w:line="2" w:lineRule="exact"/>
        <w:rPr>
          <w:rFonts w:ascii="Times New Roman" w:cs="Times New Roman" w:eastAsia="Times New Roman" w:hAnsi="Times New Roman"/>
          <w:sz w:val="19"/>
          <w:szCs w:val="19"/>
          <w:color w:val="auto"/>
        </w:rPr>
      </w:pPr>
    </w:p>
    <w:p>
      <w:pPr>
        <w:jc w:val="both"/>
        <w:ind w:left="1500" w:right="239"/>
        <w:spacing w:after="0" w:line="27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circumstances. Notwithstanding the foregoing, except as set forth in Section B(2) below, in no event may the Company accept an amount that is less than the amount of Erroneously Awarded Compensation in satisfaction of an Executive Officer’s obligations hereunder.</w:t>
      </w:r>
    </w:p>
    <w:p>
      <w:pPr>
        <w:spacing w:after="0" w:line="48" w:lineRule="exact"/>
        <w:rPr>
          <w:rFonts w:ascii="Times New Roman" w:cs="Times New Roman" w:eastAsia="Times New Roman" w:hAnsi="Times New Roman"/>
          <w:sz w:val="19"/>
          <w:szCs w:val="19"/>
          <w:color w:val="auto"/>
        </w:rPr>
      </w:pPr>
    </w:p>
    <w:p>
      <w:pPr>
        <w:jc w:val="both"/>
        <w:ind w:left="1500" w:right="219" w:hanging="319"/>
        <w:spacing w:after="0" w:line="246" w:lineRule="auto"/>
        <w:tabs>
          <w:tab w:leader="none" w:pos="1500"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76" w:lineRule="exact"/>
        <w:rPr>
          <w:rFonts w:ascii="Times New Roman" w:cs="Times New Roman" w:eastAsia="Times New Roman" w:hAnsi="Times New Roman"/>
          <w:sz w:val="20"/>
          <w:szCs w:val="20"/>
          <w:color w:val="auto"/>
        </w:rPr>
      </w:pPr>
    </w:p>
    <w:p>
      <w:pPr>
        <w:jc w:val="both"/>
        <w:ind w:left="1500" w:right="239" w:hanging="319"/>
        <w:spacing w:after="0" w:line="254" w:lineRule="auto"/>
        <w:tabs>
          <w:tab w:leader="none" w:pos="1500"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 Executive Officer fails to repay all Erroneously Awarded Compensation to the Company when due, the Company shall take all actions reasonable and appropriate to recover such Erroneously Awarded Compensation from the applicable</w:t>
      </w:r>
    </w:p>
    <w:p>
      <w:pPr>
        <w:spacing w:after="0" w:line="171" w:lineRule="exact"/>
        <w:rPr>
          <w:sz w:val="20"/>
          <w:szCs w:val="20"/>
          <w:color w:val="auto"/>
        </w:rPr>
      </w:pPr>
    </w:p>
    <w:p>
      <w:pPr>
        <w:ind w:left="220"/>
        <w:spacing w:after="0"/>
        <w:tabs>
          <w:tab w:leader="none" w:pos="7060" w:val="left"/>
        </w:tabs>
        <w:rPr>
          <w:sz w:val="20"/>
          <w:szCs w:val="20"/>
          <w:color w:val="auto"/>
        </w:rPr>
      </w:pPr>
      <w:r>
        <w:rPr>
          <w:rFonts w:ascii="Times New Roman" w:cs="Times New Roman" w:eastAsia="Times New Roman" w:hAnsi="Times New Roman"/>
          <w:sz w:val="14"/>
          <w:szCs w:val="14"/>
          <w:color w:val="auto"/>
        </w:rPr>
        <w:t>SATS Executive Comp Committee Recovery of Erroneously Awarded Compensation 10/18/2023</w:t>
      </w:r>
      <w:r>
        <w:rPr>
          <w:sz w:val="20"/>
          <w:szCs w:val="20"/>
          <w:color w:val="auto"/>
        </w:rPr>
        <w:tab/>
      </w:r>
      <w:r>
        <w:rPr>
          <w:rFonts w:ascii="Times New Roman" w:cs="Times New Roman" w:eastAsia="Times New Roman" w:hAnsi="Times New Roman"/>
          <w:sz w:val="21"/>
          <w:szCs w:val="21"/>
          <w:b w:val="1"/>
          <w:bCs w:val="1"/>
          <w:i w:val="1"/>
          <w:iCs w:val="1"/>
          <w:color w:val="auto"/>
          <w:vertAlign w:val="superscript"/>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2" w:name="page263"/>
    <w:bookmarkEnd w:id="262"/>
    <w:p>
      <w:pPr>
        <w:ind w:left="7560"/>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00" w:lineRule="exact"/>
        <w:rPr>
          <w:sz w:val="20"/>
          <w:szCs w:val="20"/>
          <w:color w:val="auto"/>
        </w:rPr>
      </w:pPr>
    </w:p>
    <w:p>
      <w:pPr>
        <w:spacing w:after="0" w:line="342" w:lineRule="exact"/>
        <w:rPr>
          <w:sz w:val="20"/>
          <w:szCs w:val="20"/>
          <w:color w:val="auto"/>
        </w:rPr>
      </w:pPr>
    </w:p>
    <w:p>
      <w:pPr>
        <w:jc w:val="both"/>
        <w:ind w:left="1500" w:right="219"/>
        <w:spacing w:after="0" w:line="249" w:lineRule="auto"/>
        <w:rPr>
          <w:sz w:val="20"/>
          <w:szCs w:val="20"/>
          <w:color w:val="auto"/>
        </w:rPr>
      </w:pPr>
      <w:r>
        <w:rPr>
          <w:rFonts w:ascii="Times New Roman" w:cs="Times New Roman" w:eastAsia="Times New Roman" w:hAnsi="Times New Roman"/>
          <w:sz w:val="20"/>
          <w:szCs w:val="20"/>
          <w:color w:val="auto"/>
        </w:rPr>
        <w:t>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72" w:lineRule="exact"/>
        <w:rPr>
          <w:sz w:val="20"/>
          <w:szCs w:val="20"/>
          <w:color w:val="auto"/>
        </w:rPr>
      </w:pPr>
    </w:p>
    <w:p>
      <w:pPr>
        <w:jc w:val="both"/>
        <w:ind w:left="1180" w:right="239" w:hanging="323"/>
        <w:spacing w:after="0" w:line="254" w:lineRule="auto"/>
        <w:tabs>
          <w:tab w:leader="none" w:pos="118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the Company shall not be required to take the actions contemplated by Section B(1) above if the Committee determines that recovery would be impracticable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any of the following two conditions are met:</w:t>
      </w:r>
    </w:p>
    <w:p>
      <w:pPr>
        <w:spacing w:after="0" w:line="66" w:lineRule="exact"/>
        <w:rPr>
          <w:rFonts w:ascii="Times New Roman" w:cs="Times New Roman" w:eastAsia="Times New Roman" w:hAnsi="Times New Roman"/>
          <w:sz w:val="20"/>
          <w:szCs w:val="20"/>
          <w:color w:val="auto"/>
        </w:rPr>
      </w:pPr>
    </w:p>
    <w:p>
      <w:pPr>
        <w:jc w:val="both"/>
        <w:ind w:left="1500" w:right="219" w:hanging="319"/>
        <w:spacing w:after="0" w:line="246" w:lineRule="auto"/>
        <w:tabs>
          <w:tab w:leader="none" w:pos="150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 documentation to Nasdaq; or</w:t>
      </w:r>
    </w:p>
    <w:p>
      <w:pPr>
        <w:spacing w:after="0" w:line="76" w:lineRule="exact"/>
        <w:rPr>
          <w:rFonts w:ascii="Times New Roman" w:cs="Times New Roman" w:eastAsia="Times New Roman" w:hAnsi="Times New Roman"/>
          <w:sz w:val="20"/>
          <w:szCs w:val="20"/>
          <w:color w:val="auto"/>
        </w:rPr>
      </w:pPr>
    </w:p>
    <w:p>
      <w:pPr>
        <w:jc w:val="both"/>
        <w:ind w:left="1500" w:right="219" w:hanging="319"/>
        <w:spacing w:after="0" w:line="249" w:lineRule="auto"/>
        <w:tabs>
          <w:tab w:leader="none" w:pos="150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66"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REQUIREMENTS</w:t>
      </w:r>
    </w:p>
    <w:p>
      <w:pPr>
        <w:spacing w:after="0" w:line="107"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file all disclosures with respect to this Policy required by applicable U.S.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Securities and Exchange Commission (“SEC”) filings and rules.</w:t>
      </w:r>
    </w:p>
    <w:p>
      <w:pPr>
        <w:spacing w:after="0" w:line="167" w:lineRule="exact"/>
        <w:rPr>
          <w:sz w:val="20"/>
          <w:szCs w:val="20"/>
          <w:color w:val="auto"/>
        </w:rPr>
      </w:pPr>
    </w:p>
    <w:p>
      <w:pPr>
        <w:ind w:left="860" w:hanging="651"/>
        <w:spacing w:after="0"/>
        <w:tabs>
          <w:tab w:leader="none" w:pos="8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OF INDEMNIFICATION</w:t>
      </w:r>
    </w:p>
    <w:p>
      <w:pPr>
        <w:spacing w:after="0" w:line="10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72" w:lineRule="exact"/>
        <w:rPr>
          <w:sz w:val="20"/>
          <w:szCs w:val="20"/>
          <w:color w:val="auto"/>
        </w:rPr>
      </w:pPr>
    </w:p>
    <w:p>
      <w:pPr>
        <w:ind w:left="860" w:hanging="651"/>
        <w:spacing w:after="0"/>
        <w:tabs>
          <w:tab w:leader="none" w:pos="8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ADMINISTRATION AND INTERPRETATION</w:t>
      </w:r>
    </w:p>
    <w:p>
      <w:pPr>
        <w:spacing w:after="0" w:line="108"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This Policy shall be administered by the Committee, and any determinations made by the Committee shall be final and binding on all affected individuals.</w:t>
      </w:r>
    </w:p>
    <w:p>
      <w:pPr>
        <w:spacing w:after="0" w:line="15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spacing w:after="0" w:line="166" w:lineRule="exact"/>
        <w:rPr>
          <w:sz w:val="20"/>
          <w:szCs w:val="20"/>
          <w:color w:val="auto"/>
        </w:rPr>
      </w:pPr>
    </w:p>
    <w:p>
      <w:pPr>
        <w:ind w:left="860" w:hanging="651"/>
        <w:spacing w:after="0"/>
        <w:tabs>
          <w:tab w:leader="none" w:pos="8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TERMINATION</w:t>
      </w:r>
    </w:p>
    <w:p>
      <w:pPr>
        <w:spacing w:after="0" w:line="10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182" w:lineRule="exact"/>
        <w:rPr>
          <w:sz w:val="20"/>
          <w:szCs w:val="20"/>
          <w:color w:val="auto"/>
        </w:rPr>
      </w:pPr>
    </w:p>
    <w:p>
      <w:pPr>
        <w:ind w:left="220"/>
        <w:spacing w:after="0"/>
        <w:tabs>
          <w:tab w:leader="none" w:pos="7060" w:val="left"/>
        </w:tabs>
        <w:rPr>
          <w:sz w:val="20"/>
          <w:szCs w:val="20"/>
          <w:color w:val="auto"/>
        </w:rPr>
      </w:pPr>
      <w:r>
        <w:rPr>
          <w:rFonts w:ascii="Times New Roman" w:cs="Times New Roman" w:eastAsia="Times New Roman" w:hAnsi="Times New Roman"/>
          <w:sz w:val="14"/>
          <w:szCs w:val="14"/>
          <w:color w:val="auto"/>
        </w:rPr>
        <w:t>SATS Executive Comp Committee Recovery of Erroneously Awarded Compensation 10/18/2023</w:t>
      </w:r>
      <w:r>
        <w:rPr>
          <w:sz w:val="20"/>
          <w:szCs w:val="20"/>
          <w:color w:val="auto"/>
        </w:rPr>
        <w:tab/>
      </w:r>
      <w:r>
        <w:rPr>
          <w:rFonts w:ascii="Times New Roman" w:cs="Times New Roman" w:eastAsia="Times New Roman" w:hAnsi="Times New Roman"/>
          <w:sz w:val="21"/>
          <w:szCs w:val="21"/>
          <w:b w:val="1"/>
          <w:bCs w:val="1"/>
          <w:i w:val="1"/>
          <w:iCs w:val="1"/>
          <w:color w:val="auto"/>
          <w:vertAlign w:val="superscript"/>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263" w:name="page264"/>
    <w:bookmarkEnd w:id="26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22" w:lineRule="exact"/>
        <w:rPr>
          <w:sz w:val="20"/>
          <w:szCs w:val="20"/>
          <w:color w:val="auto"/>
        </w:rPr>
      </w:pPr>
    </w:p>
    <w:p>
      <w:pPr>
        <w:ind w:left="860" w:hanging="651"/>
        <w:spacing w:after="0"/>
        <w:tabs>
          <w:tab w:leader="none" w:pos="8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RECOVERY RIGHTS</w:t>
      </w:r>
    </w:p>
    <w:p>
      <w:pPr>
        <w:spacing w:after="0" w:line="108"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w:t>
      </w:r>
    </w:p>
    <w:p>
      <w:pPr>
        <w:spacing w:after="0" w:line="4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66" w:lineRule="exact"/>
        <w:rPr>
          <w:sz w:val="20"/>
          <w:szCs w:val="20"/>
          <w:color w:val="auto"/>
        </w:rPr>
      </w:pPr>
    </w:p>
    <w:p>
      <w:pPr>
        <w:ind w:left="860" w:hanging="651"/>
        <w:spacing w:after="0"/>
        <w:tabs>
          <w:tab w:leader="none" w:pos="8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w:t>
      </w:r>
    </w:p>
    <w:p>
      <w:pPr>
        <w:spacing w:after="0" w:line="107"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For purposes of this Policy, the following capitalized terms shall have the meanings set forth below.</w:t>
      </w:r>
    </w:p>
    <w:p>
      <w:pPr>
        <w:spacing w:after="0" w:line="115" w:lineRule="exact"/>
        <w:rPr>
          <w:rFonts w:ascii="Times New Roman" w:cs="Times New Roman" w:eastAsia="Times New Roman" w:hAnsi="Times New Roman"/>
          <w:sz w:val="20"/>
          <w:szCs w:val="20"/>
          <w:color w:val="auto"/>
        </w:rPr>
      </w:pPr>
    </w:p>
    <w:p>
      <w:pPr>
        <w:jc w:val="both"/>
        <w:ind w:left="1180" w:right="219" w:hanging="323"/>
        <w:spacing w:after="0" w:line="246" w:lineRule="auto"/>
        <w:tabs>
          <w:tab w:leader="none" w:pos="11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70" w:lineRule="exact"/>
        <w:rPr>
          <w:rFonts w:ascii="Times New Roman" w:cs="Times New Roman" w:eastAsia="Times New Roman" w:hAnsi="Times New Roman"/>
          <w:sz w:val="20"/>
          <w:szCs w:val="20"/>
          <w:color w:val="auto"/>
        </w:rPr>
      </w:pPr>
    </w:p>
    <w:p>
      <w:pPr>
        <w:jc w:val="both"/>
        <w:ind w:left="1180" w:right="219" w:hanging="323"/>
        <w:spacing w:after="0" w:line="266" w:lineRule="auto"/>
        <w:tabs>
          <w:tab w:leader="none" w:pos="118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Clawback Eligible Incentive Compensation</w:t>
      </w:r>
      <w:r>
        <w:rPr>
          <w:rFonts w:ascii="Times New Roman" w:cs="Times New Roman" w:eastAsia="Times New Roman" w:hAnsi="Times New Roman"/>
          <w:sz w:val="19"/>
          <w:szCs w:val="19"/>
          <w:color w:val="auto"/>
        </w:rPr>
        <w:t>” means all Incentive-based Compensation Received by an Executive Officer (i) on or after the effective date of the applicable Nasdaq rules,</w:t>
      </w:r>
    </w:p>
    <w:p>
      <w:pPr>
        <w:jc w:val="both"/>
        <w:ind w:left="1180" w:right="219" w:firstLine="1"/>
        <w:spacing w:after="0"/>
        <w:tabs>
          <w:tab w:leader="none" w:pos="1481" w:val="left"/>
        </w:tabs>
        <w:numPr>
          <w:ilvl w:val="2"/>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spacing w:after="0" w:line="79" w:lineRule="exact"/>
        <w:rPr>
          <w:rFonts w:ascii="Times New Roman" w:cs="Times New Roman" w:eastAsia="Times New Roman" w:hAnsi="Times New Roman"/>
          <w:sz w:val="20"/>
          <w:szCs w:val="20"/>
          <w:color w:val="auto"/>
        </w:rPr>
      </w:pPr>
    </w:p>
    <w:p>
      <w:pPr>
        <w:jc w:val="both"/>
        <w:ind w:left="1180" w:right="239" w:hanging="323"/>
        <w:spacing w:after="0" w:line="250" w:lineRule="auto"/>
        <w:tabs>
          <w:tab w:leader="none" w:pos="11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Period</w:t>
      </w:r>
      <w:r>
        <w:rPr>
          <w:rFonts w:ascii="Times New Roman" w:cs="Times New Roman" w:eastAsia="Times New Roman" w:hAnsi="Times New Roman"/>
          <w:sz w:val="20"/>
          <w:szCs w:val="20"/>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67" w:lineRule="exact"/>
        <w:rPr>
          <w:rFonts w:ascii="Times New Roman" w:cs="Times New Roman" w:eastAsia="Times New Roman" w:hAnsi="Times New Roman"/>
          <w:sz w:val="20"/>
          <w:szCs w:val="20"/>
          <w:color w:val="auto"/>
        </w:rPr>
      </w:pPr>
    </w:p>
    <w:p>
      <w:pPr>
        <w:jc w:val="both"/>
        <w:ind w:left="1180" w:right="219" w:hanging="323"/>
        <w:spacing w:after="0" w:line="247" w:lineRule="auto"/>
        <w:tabs>
          <w:tab w:leader="none" w:pos="11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72" w:lineRule="exact"/>
        <w:rPr>
          <w:rFonts w:ascii="Times New Roman" w:cs="Times New Roman" w:eastAsia="Times New Roman" w:hAnsi="Times New Roman"/>
          <w:sz w:val="20"/>
          <w:szCs w:val="20"/>
          <w:color w:val="auto"/>
        </w:rPr>
      </w:pPr>
    </w:p>
    <w:p>
      <w:pPr>
        <w:jc w:val="both"/>
        <w:ind w:left="1180" w:right="239" w:hanging="323"/>
        <w:spacing w:after="0" w:line="246" w:lineRule="auto"/>
        <w:tabs>
          <w:tab w:leader="none" w:pos="11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spacing w:after="0" w:line="70" w:lineRule="exact"/>
        <w:rPr>
          <w:rFonts w:ascii="Times New Roman" w:cs="Times New Roman" w:eastAsia="Times New Roman" w:hAnsi="Times New Roman"/>
          <w:sz w:val="20"/>
          <w:szCs w:val="20"/>
          <w:color w:val="auto"/>
        </w:rPr>
      </w:pPr>
    </w:p>
    <w:p>
      <w:pPr>
        <w:jc w:val="both"/>
        <w:ind w:left="1180" w:right="219" w:hanging="323"/>
        <w:spacing w:after="0" w:line="268" w:lineRule="auto"/>
        <w:tabs>
          <w:tab w:leader="none" w:pos="118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w:t>
      </w:r>
    </w:p>
    <w:p>
      <w:pPr>
        <w:sectPr>
          <w:pgSz w:w="11900" w:h="16838" w:orient="portrait"/>
          <w:cols w:equalWidth="0" w:num="1">
            <w:col w:w="9019"/>
          </w:cols>
          <w:pgMar w:left="1440" w:top="653" w:right="1440" w:bottom="1440" w:gutter="0" w:footer="0" w:header="0"/>
        </w:sectPr>
      </w:pPr>
    </w:p>
    <w:p>
      <w:pPr>
        <w:spacing w:after="0" w:line="267" w:lineRule="exact"/>
        <w:rPr>
          <w:sz w:val="20"/>
          <w:szCs w:val="20"/>
          <w:color w:val="auto"/>
        </w:rPr>
      </w:pPr>
    </w:p>
    <w:p>
      <w:pPr>
        <w:ind w:left="220"/>
        <w:spacing w:after="0"/>
        <w:tabs>
          <w:tab w:leader="none" w:pos="7060" w:val="left"/>
        </w:tabs>
        <w:rPr>
          <w:sz w:val="20"/>
          <w:szCs w:val="20"/>
          <w:color w:val="auto"/>
        </w:rPr>
      </w:pPr>
      <w:r>
        <w:rPr>
          <w:rFonts w:ascii="Times New Roman" w:cs="Times New Roman" w:eastAsia="Times New Roman" w:hAnsi="Times New Roman"/>
          <w:sz w:val="14"/>
          <w:szCs w:val="14"/>
          <w:color w:val="auto"/>
        </w:rPr>
        <w:t>SATS Executive Comp Committee Recovery of Erroneously Awarded Compensation 10/18/2023</w:t>
      </w:r>
      <w:r>
        <w:rPr>
          <w:sz w:val="20"/>
          <w:szCs w:val="20"/>
          <w:color w:val="auto"/>
        </w:rPr>
        <w:tab/>
      </w:r>
      <w:r>
        <w:rPr>
          <w:rFonts w:ascii="Times New Roman" w:cs="Times New Roman" w:eastAsia="Times New Roman" w:hAnsi="Times New Roman"/>
          <w:sz w:val="21"/>
          <w:szCs w:val="21"/>
          <w:b w:val="1"/>
          <w:bCs w:val="1"/>
          <w:i w:val="1"/>
          <w:iCs w:val="1"/>
          <w:color w:val="auto"/>
          <w:vertAlign w:val="superscript"/>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type w:val="continuous"/>
        </w:sectPr>
      </w:pPr>
    </w:p>
    <w:bookmarkStart w:id="264" w:name="page265"/>
    <w:bookmarkEnd w:id="26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330" w:lineRule="exact"/>
        <w:rPr>
          <w:sz w:val="20"/>
          <w:szCs w:val="20"/>
          <w:color w:val="auto"/>
        </w:rPr>
      </w:pPr>
    </w:p>
    <w:p>
      <w:pPr>
        <w:jc w:val="both"/>
        <w:ind w:left="1180" w:right="239"/>
        <w:spacing w:after="0" w:line="254" w:lineRule="auto"/>
        <w:rPr>
          <w:sz w:val="20"/>
          <w:szCs w:val="20"/>
          <w:color w:val="auto"/>
        </w:rPr>
      </w:pPr>
      <w:r>
        <w:rPr>
          <w:rFonts w:ascii="Times New Roman" w:cs="Times New Roman" w:eastAsia="Times New Roman" w:hAnsi="Times New Roman"/>
          <w:sz w:val="20"/>
          <w:szCs w:val="20"/>
          <w:color w:val="auto"/>
        </w:rPr>
        <w:t>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62" w:lineRule="exact"/>
        <w:rPr>
          <w:sz w:val="20"/>
          <w:szCs w:val="20"/>
          <w:color w:val="auto"/>
        </w:rPr>
      </w:pPr>
    </w:p>
    <w:p>
      <w:pPr>
        <w:ind w:left="1180" w:right="239" w:hanging="323"/>
        <w:spacing w:after="0" w:line="273" w:lineRule="auto"/>
        <w:tabs>
          <w:tab w:leader="none" w:pos="11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43"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means The Nasdaq Stock Market.</w:t>
      </w:r>
    </w:p>
    <w:p>
      <w:pPr>
        <w:spacing w:after="0" w:line="107" w:lineRule="exact"/>
        <w:rPr>
          <w:rFonts w:ascii="Times New Roman" w:cs="Times New Roman" w:eastAsia="Times New Roman" w:hAnsi="Times New Roman"/>
          <w:sz w:val="20"/>
          <w:szCs w:val="20"/>
          <w:color w:val="auto"/>
        </w:rPr>
      </w:pPr>
    </w:p>
    <w:p>
      <w:pPr>
        <w:jc w:val="both"/>
        <w:ind w:left="1180" w:right="219" w:hanging="323"/>
        <w:spacing w:after="0" w:line="247" w:lineRule="auto"/>
        <w:tabs>
          <w:tab w:leader="none" w:pos="11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72" w:lineRule="exact"/>
        <w:rPr>
          <w:rFonts w:ascii="Times New Roman" w:cs="Times New Roman" w:eastAsia="Times New Roman" w:hAnsi="Times New Roman"/>
          <w:sz w:val="20"/>
          <w:szCs w:val="20"/>
          <w:color w:val="auto"/>
        </w:rPr>
      </w:pPr>
    </w:p>
    <w:p>
      <w:pPr>
        <w:jc w:val="both"/>
        <w:ind w:left="1180" w:right="219" w:hanging="323"/>
        <w:spacing w:after="0" w:line="247" w:lineRule="auto"/>
        <w:tabs>
          <w:tab w:leader="none" w:pos="150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 Date</w:t>
      </w:r>
      <w:r>
        <w:rPr>
          <w:rFonts w:ascii="Times New Roman" w:cs="Times New Roman" w:eastAsia="Times New Roman" w:hAnsi="Times New Roman"/>
          <w:sz w:val="20"/>
          <w:szCs w:val="20"/>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3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Effective as of December 1, 2023.</w:t>
      </w:r>
    </w:p>
    <w:p>
      <w:pPr>
        <w:spacing w:after="0" w:line="212" w:lineRule="exact"/>
        <w:rPr>
          <w:sz w:val="20"/>
          <w:szCs w:val="20"/>
          <w:color w:val="auto"/>
        </w:rPr>
      </w:pPr>
    </w:p>
    <w:p>
      <w:pPr>
        <w:ind w:left="220"/>
        <w:spacing w:after="0"/>
        <w:tabs>
          <w:tab w:leader="none" w:pos="7060" w:val="left"/>
        </w:tabs>
        <w:rPr>
          <w:sz w:val="20"/>
          <w:szCs w:val="20"/>
          <w:color w:val="auto"/>
        </w:rPr>
      </w:pPr>
      <w:r>
        <w:rPr>
          <w:rFonts w:ascii="Times New Roman" w:cs="Times New Roman" w:eastAsia="Times New Roman" w:hAnsi="Times New Roman"/>
          <w:sz w:val="14"/>
          <w:szCs w:val="14"/>
          <w:color w:val="auto"/>
        </w:rPr>
        <w:t>SATS Executive Comp Committee Recovery of Erroneously Awarded Compensation 10/18/2023</w:t>
      </w:r>
      <w:r>
        <w:rPr>
          <w:sz w:val="20"/>
          <w:szCs w:val="20"/>
          <w:color w:val="auto"/>
        </w:rPr>
        <w:tab/>
      </w:r>
      <w:r>
        <w:rPr>
          <w:rFonts w:ascii="Times New Roman" w:cs="Times New Roman" w:eastAsia="Times New Roman" w:hAnsi="Times New Roman"/>
          <w:sz w:val="21"/>
          <w:szCs w:val="21"/>
          <w:b w:val="1"/>
          <w:bCs w:val="1"/>
          <w:i w:val="1"/>
          <w:iCs w:val="1"/>
          <w:color w:val="auto"/>
          <w:vertAlign w:val="superscript"/>
        </w:rPr>
        <w:t>Confidential and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lvl w:ilvl="1">
      <w:lvlJc w:val="left"/>
      <w:lvlText w:val="•"/>
      <w:numFmt w:val="bullet"/>
      <w:start w:val="1"/>
    </w:lvl>
  </w:abstractNum>
  <w:abstractNum w:abstractNumId="14">
    <w:nsid w:val="613EFDC5"/>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5">
    <w:nsid w:val="BF72B14"/>
    <w:multiLevelType w:val="hybridMultilevel"/>
    <w:lvl w:ilvl="0">
      <w:lvlJc w:val="left"/>
      <w:lvlText w:val="•"/>
      <w:numFmt w:val="bullet"/>
      <w:start w:val="1"/>
    </w:lvl>
    <w:lvl w:ilvl="1">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lvl w:ilvl="1">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decimal"/>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1)"/>
      <w:numFmt w:val="lowerRoman"/>
      <w:start w:val="1"/>
    </w:lvl>
  </w:abstractNum>
  <w:abstractNum w:abstractNumId="50">
    <w:nsid w:val="60EF0119"/>
    <w:multiLevelType w:val="hybridMultilevel"/>
    <w:lvl w:ilvl="0">
      <w:lvlJc w:val="left"/>
      <w:lvlText w:val="(%1)"/>
      <w:numFmt w:val="lowerRoman"/>
      <w:start w:val="1"/>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4"/>
    </w:lvl>
  </w:abstractNum>
  <w:abstractNum w:abstractNumId="53">
    <w:nsid w:val="49DA307D"/>
    <w:multiLevelType w:val="hybridMultilevel"/>
    <w:lvl w:ilvl="0">
      <w:lvlJc w:val="left"/>
      <w:lvlText w:val="(%1)"/>
      <w:numFmt w:val="lowerRoman"/>
      <w:start w:val="1"/>
    </w:lvl>
  </w:abstractNum>
  <w:abstractNum w:abstractNumId="54">
    <w:nsid w:val="7055A5F5"/>
    <w:multiLevelType w:val="hybridMultilevel"/>
    <w:lvl w:ilvl="0">
      <w:lvlJc w:val="left"/>
      <w:lvlText w:val="(%1)"/>
      <w:numFmt w:val="decimal"/>
      <w:start w:val="3"/>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decimal"/>
      <w:start w:val="1"/>
    </w:lvl>
  </w:abstractNum>
  <w:abstractNum w:abstractNumId="65">
    <w:nsid w:val="73A1821B"/>
    <w:multiLevelType w:val="hybridMultilevel"/>
    <w:lvl w:ilvl="0">
      <w:lvlJc w:val="left"/>
      <w:lvlText w:val="(%1)"/>
      <w:numFmt w:val="decimal"/>
      <w:start w:val="1"/>
    </w:lvl>
  </w:abstractNum>
  <w:abstractNum w:abstractNumId="66">
    <w:nsid w:val="7DE67713"/>
    <w:multiLevelType w:val="hybridMultilevel"/>
    <w:lvl w:ilvl="0">
      <w:lvlJc w:val="left"/>
      <w:lvlText w:val="(%1)"/>
      <w:numFmt w:val="decimal"/>
      <w:start w:val="1"/>
    </w:lvl>
  </w:abstractNum>
  <w:abstractNum w:abstractNumId="67">
    <w:nsid w:val="555C55B5"/>
    <w:multiLevelType w:val="hybridMultilevel"/>
    <w:lvl w:ilvl="0">
      <w:lvlJc w:val="left"/>
      <w:lvlText w:val="(%1)"/>
      <w:numFmt w:val="decimal"/>
      <w:start w:val="1"/>
    </w:lvl>
  </w:abstractNum>
  <w:abstractNum w:abstractNumId="68">
    <w:nsid w:val="3FA62ACA"/>
    <w:multiLevelType w:val="hybridMultilevel"/>
    <w:lvl w:ilvl="0">
      <w:lvlJc w:val="left"/>
      <w:lvlText w:val="(%1)"/>
      <w:numFmt w:val="decimal"/>
      <w:start w:val="1"/>
    </w:lvl>
  </w:abstractNum>
  <w:abstractNum w:abstractNumId="69">
    <w:nsid w:val="14FCE74E"/>
    <w:multiLevelType w:val="hybridMultilevel"/>
    <w:lvl w:ilvl="0">
      <w:lvlJc w:val="left"/>
      <w:lvlText w:val="(%1)"/>
      <w:numFmt w:val="decimal"/>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decimal"/>
      <w:start w:val="1"/>
    </w:lvl>
  </w:abstractNum>
  <w:abstractNum w:abstractNumId="85">
    <w:nsid w:val="415E286C"/>
    <w:multiLevelType w:val="hybridMultilevel"/>
    <w:lvl w:ilvl="0">
      <w:lvlJc w:val="left"/>
      <w:lvlText w:val="(%1)"/>
      <w:numFmt w:val="decimal"/>
      <w:start w:val="1"/>
    </w:lvl>
  </w:abstractNum>
  <w:abstractNum w:abstractNumId="86">
    <w:nsid w:val="7C58FD05"/>
    <w:multiLevelType w:val="hybridMultilevel"/>
    <w:lvl w:ilvl="0">
      <w:lvlJc w:val="left"/>
      <w:lvlText w:val="(%1)"/>
      <w:numFmt w:val="decimal"/>
      <w:start w:val="2"/>
    </w:lvl>
  </w:abstractNum>
  <w:abstractNum w:abstractNumId="87">
    <w:nsid w:val="23D86AAC"/>
    <w:multiLevelType w:val="hybridMultilevel"/>
    <w:lvl w:ilvl="0">
      <w:lvlJc w:val="left"/>
      <w:lvlText w:val="(%1)"/>
      <w:numFmt w:val="decimal"/>
      <w:start w:val="1"/>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5"/>
    </w:lvl>
  </w:abstractNum>
  <w:abstractNum w:abstractNumId="92">
    <w:nsid w:val="4BD8591A"/>
    <w:multiLevelType w:val="hybridMultilevel"/>
    <w:lvl w:ilvl="0">
      <w:lvlJc w:val="left"/>
      <w:lvlText w:val="(%1)"/>
      <w:numFmt w:val="lowerRoman"/>
      <w:start w:val="8"/>
    </w:lvl>
  </w:abstractNum>
  <w:abstractNum w:abstractNumId="93">
    <w:nsid w:val="78DF6A55"/>
    <w:multiLevelType w:val="hybridMultilevel"/>
    <w:lvl w:ilvl="0">
      <w:lvlJc w:val="left"/>
      <w:lvlText w:val="(%1)"/>
      <w:numFmt w:val="lowerLetter"/>
      <w:start w:val="3"/>
    </w:lvl>
  </w:abstractNum>
  <w:abstractNum w:abstractNumId="94">
    <w:nsid w:val="39B7AAA2"/>
    <w:multiLevelType w:val="hybridMultilevel"/>
    <w:lvl w:ilvl="0">
      <w:lvlJc w:val="left"/>
      <w:lvlText w:val="(%1)"/>
      <w:numFmt w:val="lowerRoman"/>
      <w:start w:val="3"/>
    </w:lvl>
  </w:abstractNum>
  <w:abstractNum w:abstractNumId="95">
    <w:nsid w:val="2B0D8DBE"/>
    <w:multiLevelType w:val="hybridMultilevel"/>
    <w:lvl w:ilvl="0">
      <w:lvlJc w:val="left"/>
      <w:lvlText w:val="(%1)"/>
      <w:numFmt w:val="lowerRoman"/>
      <w:start w:val="2"/>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decimal"/>
      <w:start w:val="1"/>
    </w:lvl>
  </w:abstractNum>
  <w:abstractNum w:abstractNumId="99">
    <w:nsid w:val="2C27173B"/>
    <w:multiLevelType w:val="hybridMultilevel"/>
    <w:lvl w:ilvl="0">
      <w:lvlJc w:val="left"/>
      <w:lvlText w:val="%1."/>
      <w:numFmt w:val="decimal"/>
      <w:start w:val="3"/>
    </w:lvl>
  </w:abstractNum>
  <w:abstractNum w:abstractNumId="100">
    <w:nsid w:val="4C9B0904"/>
    <w:multiLevelType w:val="hybridMultilevel"/>
    <w:lvl w:ilvl="0">
      <w:lvlJc w:val="left"/>
      <w:lvlText w:val="(%1)"/>
      <w:numFmt w:val="decimal"/>
      <w:start w:val="1"/>
    </w:lvl>
  </w:abstractNum>
  <w:abstractNum w:abstractNumId="101">
    <w:nsid w:val="6AA7B75C"/>
    <w:multiLevelType w:val="hybridMultilevel"/>
    <w:lvl w:ilvl="0">
      <w:lvlJc w:val="left"/>
      <w:lvlText w:val="(%1)"/>
      <w:numFmt w:val="decimal"/>
      <w:start w:val="9"/>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2"/>
    </w:lvl>
  </w:abstractNum>
  <w:abstractNum w:abstractNumId="105">
    <w:nsid w:val="3DB012B3"/>
    <w:multiLevelType w:val="hybridMultilevel"/>
    <w:lvl w:ilvl="0">
      <w:lvlJc w:val="left"/>
      <w:lvlText w:val="%1."/>
      <w:numFmt w:val="decimal"/>
      <w:start w:val="2"/>
    </w:lvl>
  </w:abstractNum>
  <w:abstractNum w:abstractNumId="106">
    <w:nsid w:val="2708C9AF"/>
    <w:multiLevelType w:val="hybridMultilevel"/>
    <w:lvl w:ilvl="0">
      <w:lvlJc w:val="left"/>
      <w:lvlText w:val="(%1)"/>
      <w:numFmt w:val="lowerLetter"/>
      <w:start w:val="1"/>
    </w:lvl>
  </w:abstractNum>
  <w:abstractNum w:abstractNumId="107">
    <w:nsid w:val="5B25ACE2"/>
    <w:multiLevelType w:val="hybridMultilevel"/>
    <w:lvl w:ilvl="0">
      <w:lvlJc w:val="left"/>
      <w:lvlText w:val="(%1)"/>
      <w:numFmt w:val="lowerLetter"/>
      <w:start w:val="2"/>
    </w:lvl>
    <w:lvl w:ilvl="1">
      <w:lvlJc w:val="left"/>
      <w:lvlText w:val="(%2)"/>
      <w:numFmt w:val="lowerRoman"/>
      <w:start w:val="1"/>
    </w:lvl>
  </w:abstractNum>
  <w:abstractNum w:abstractNumId="108">
    <w:nsid w:val="175DFCF0"/>
    <w:multiLevelType w:val="hybridMultilevel"/>
    <w:lvl w:ilvl="0">
      <w:lvlJc w:val="left"/>
      <w:lvlText w:val="(%1)"/>
      <w:numFmt w:val="lowerLetter"/>
      <w:start w:val="5"/>
    </w:lvl>
    <w:lvl w:ilvl="1">
      <w:lvlJc w:val="left"/>
      <w:lvlText w:val="(%2)"/>
      <w:numFmt w:val="lowerRoman"/>
      <w:start w:val="3"/>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decimal"/>
      <w:start w:val="2"/>
    </w:lvl>
  </w:abstractNum>
  <w:abstractNum w:abstractNumId="112">
    <w:nsid w:val="5915FF32"/>
    <w:multiLevelType w:val="hybridMultilevel"/>
    <w:lvl w:ilvl="0">
      <w:lvlJc w:val="left"/>
      <w:lvlText w:val="%1."/>
      <w:numFmt w:val="decimal"/>
      <w:start w:val="1"/>
    </w:lvl>
  </w:abstractNum>
  <w:abstractNum w:abstractNumId="113">
    <w:nsid w:val="56438D15"/>
    <w:multiLevelType w:val="hybridMultilevel"/>
    <w:lvl w:ilvl="0">
      <w:lvlJc w:val="left"/>
      <w:lvlText w:val="%1."/>
      <w:numFmt w:val="decimal"/>
      <w:start w:val="2"/>
    </w:lvl>
  </w:abstractNum>
  <w:abstractNum w:abstractNumId="114">
    <w:nsid w:val="519E3149"/>
    <w:multiLevelType w:val="hybridMultilevel"/>
    <w:lvl w:ilvl="0">
      <w:lvlJc w:val="left"/>
      <w:lvlText w:val="%1."/>
      <w:numFmt w:val="decimal"/>
      <w:start w:val="3"/>
    </w:lvl>
  </w:abstractNum>
  <w:abstractNum w:abstractNumId="115">
    <w:nsid w:val="2C6E4AFD"/>
    <w:multiLevelType w:val="hybridMultilevel"/>
    <w:lvl w:ilvl="0">
      <w:lvlJc w:val="left"/>
      <w:lvlText w:val="%1"/>
      <w:numFmt w:val="lowerLetter"/>
      <w:start w:val="1"/>
    </w:lvl>
    <w:lvl w:ilvl="1">
      <w:lvlJc w:val="left"/>
      <w:lvlText w:val="%2."/>
      <w:numFmt w:val="decimal"/>
      <w:start w:val="4"/>
    </w:lvl>
  </w:abstractNum>
  <w:abstractNum w:abstractNumId="116">
    <w:nsid w:val="17A1B582"/>
    <w:multiLevelType w:val="hybridMultilevel"/>
    <w:lvl w:ilvl="0">
      <w:lvlJc w:val="left"/>
      <w:lvlText w:val="(%1)"/>
      <w:numFmt w:val="lowerLetter"/>
      <w:start w:val="1"/>
    </w:lvl>
    <w:lvl w:ilvl="1">
      <w:lvlJc w:val="left"/>
      <w:lvlText w:val="%2."/>
      <w:numFmt w:val="decimal"/>
      <w:start w:val="5"/>
    </w:lvl>
  </w:abstractNum>
  <w:abstractNum w:abstractNumId="117">
    <w:nsid w:val="4DF72E4E"/>
    <w:multiLevelType w:val="hybridMultilevel"/>
    <w:lvl w:ilvl="0">
      <w:lvlJc w:val="left"/>
      <w:lvlText w:val="%1."/>
      <w:numFmt w:val="decimal"/>
      <w:start w:val="7"/>
    </w:lvl>
  </w:abstractNum>
  <w:abstractNum w:abstractNumId="118">
    <w:nsid w:val="5046B5A9"/>
    <w:multiLevelType w:val="hybridMultilevel"/>
    <w:lvl w:ilvl="0">
      <w:lvlJc w:val="left"/>
      <w:lvlText w:val="%1."/>
      <w:numFmt w:val="decimal"/>
      <w:start w:val="1"/>
    </w:lvl>
  </w:abstractNum>
  <w:abstractNum w:abstractNumId="119">
    <w:nsid w:val="5D888A08"/>
    <w:multiLevelType w:val="hybridMultilevel"/>
    <w:lvl w:ilvl="0">
      <w:lvlJc w:val="left"/>
      <w:lvlText w:val="%1."/>
      <w:numFmt w:val="decimal"/>
      <w:start w:val="3"/>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lowerLetter"/>
      <w:start w:val="1"/>
    </w:lvl>
  </w:abstractNum>
  <w:abstractNum w:abstractNumId="122">
    <w:nsid w:val="19E21BB2"/>
    <w:multiLevelType w:val="hybridMultilevel"/>
    <w:lvl w:ilvl="0">
      <w:lvlJc w:val="left"/>
      <w:lvlText w:val="(%1)"/>
      <w:numFmt w:val="decimal"/>
      <w:start w:val="48"/>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lowerLetter"/>
      <w:start w:val="4"/>
    </w:lvl>
  </w:abstractNum>
  <w:abstractNum w:abstractNumId="125">
    <w:nsid w:val="5399C654"/>
    <w:multiLevelType w:val="hybridMultilevel"/>
    <w:lvl w:ilvl="0">
      <w:lvlJc w:val="left"/>
      <w:lvlText w:val="%1."/>
      <w:numFmt w:val="decimal"/>
      <w:start w:val="1"/>
    </w:lvl>
    <w:lvl w:ilvl="1">
      <w:lvlJc w:val="left"/>
      <w:lvlText w:val="%2)"/>
      <w:numFmt w:val="lowerLetter"/>
      <w:start w:val="1"/>
    </w:lvl>
  </w:abstractNum>
  <w:abstractNum w:abstractNumId="126">
    <w:nsid w:val="20EE1348"/>
    <w:multiLevelType w:val="hybridMultilevel"/>
    <w:lvl w:ilvl="0">
      <w:lvlJc w:val="left"/>
      <w:lvlText w:val="%1."/>
      <w:numFmt w:val="decimal"/>
      <w:start w:val="1"/>
    </w:lvl>
    <w:lvl w:ilvl="1">
      <w:lvlJc w:val="left"/>
      <w:lvlText w:val="%2)"/>
      <w:numFmt w:val="lowerLetter"/>
      <w:start w:val="1"/>
    </w:lvl>
  </w:abstractNum>
  <w:abstractNum w:abstractNumId="127">
    <w:nsid w:val="4427069A"/>
    <w:multiLevelType w:val="hybridMultilevel"/>
    <w:lvl w:ilvl="0">
      <w:lvlJc w:val="left"/>
      <w:lvlText w:val="%1."/>
      <w:numFmt w:val="upperLetter"/>
      <w:start w:val="1"/>
    </w:lvl>
  </w:abstractNum>
  <w:abstractNum w:abstractNumId="128">
    <w:nsid w:val="B37E80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9">
    <w:nsid w:val="2157F6B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30">
    <w:nsid w:val="704E1DD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31">
    <w:nsid w:val="57D2F10E"/>
    <w:multiLevelType w:val="hybridMultilevel"/>
    <w:lvl w:ilvl="0">
      <w:lvlJc w:val="left"/>
      <w:lvlText w:val="%1."/>
      <w:numFmt w:val="upperLetter"/>
      <w:start w:val="4"/>
    </w:lvl>
  </w:abstractNum>
  <w:abstractNum w:abstractNumId="132">
    <w:nsid w:val="BFFAE18"/>
    <w:multiLevelType w:val="hybridMultilevel"/>
    <w:lvl w:ilvl="0">
      <w:lvlJc w:val="left"/>
      <w:lvlText w:val="%1."/>
      <w:numFmt w:val="upperLetter"/>
      <w:start w:val="5"/>
    </w:lvl>
  </w:abstractNum>
  <w:abstractNum w:abstractNumId="133">
    <w:nsid w:val="E3E47A8"/>
    <w:multiLevelType w:val="hybridMultilevel"/>
    <w:lvl w:ilvl="0">
      <w:lvlJc w:val="left"/>
      <w:lvlText w:val="%1."/>
      <w:numFmt w:val="upperLetter"/>
      <w:start w:val="6"/>
    </w:lvl>
  </w:abstractNum>
  <w:abstractNum w:abstractNumId="134">
    <w:nsid w:val="2E48F044"/>
    <w:multiLevelType w:val="hybridMultilevel"/>
    <w:lvl w:ilvl="0">
      <w:lvlJc w:val="left"/>
      <w:lvlText w:val="%1."/>
      <w:numFmt w:val="upperLetter"/>
      <w:start w:val="7"/>
    </w:lvl>
  </w:abstractNum>
  <w:abstractNum w:abstractNumId="135">
    <w:nsid w:val="49D0FEAC"/>
    <w:multiLevelType w:val="hybridMultilevel"/>
    <w:lvl w:ilvl="0">
      <w:lvlJc w:val="left"/>
      <w:lvlText w:val="%1."/>
      <w:numFmt w:val="upperLetter"/>
      <w:start w:val="8"/>
    </w:lvl>
    <w:lvl w:ilvl="1">
      <w:lvlJc w:val="left"/>
      <w:lvlText w:val="(%2)"/>
      <w:numFmt w:val="decimal"/>
      <w:start w:val="1"/>
    </w:lvl>
    <w:lvl w:ilvl="2">
      <w:lvlJc w:val="left"/>
      <w:lvlText w:val="(%3)"/>
      <w:numFmt w:val="lowerRoman"/>
      <w:start w:val="2"/>
    </w:lvl>
  </w:abstractNum>
  <w:abstractNum w:abstractNumId="136">
    <w:nsid w:val="4BEE5A5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8" Type="http://schemas.openxmlformats.org/officeDocument/2006/relationships/image" Target="media/image119.png"/><Relationship Id="rId139" Type="http://schemas.openxmlformats.org/officeDocument/2006/relationships/image" Target="media/image120.png"/><Relationship Id="rId149" Type="http://schemas.openxmlformats.org/officeDocument/2006/relationships/image" Target="media/image121.png"/><Relationship Id="rId156" Type="http://schemas.openxmlformats.org/officeDocument/2006/relationships/image" Target="media/image122.png"/><Relationship Id="rId169" Type="http://schemas.openxmlformats.org/officeDocument/2006/relationships/image" Target="media/image123.png"/><Relationship Id="rId181" Type="http://schemas.openxmlformats.org/officeDocument/2006/relationships/image" Target="media/image124.png"/><Relationship Id="rId194" Type="http://schemas.openxmlformats.org/officeDocument/2006/relationships/image" Target="media/image125.png"/><Relationship Id="rId209" Type="http://schemas.openxmlformats.org/officeDocument/2006/relationships/image" Target="media/image126.png"/><Relationship Id="rId220" Type="http://schemas.openxmlformats.org/officeDocument/2006/relationships/image" Target="media/image127.png"/><Relationship Id="rId222" Type="http://schemas.openxmlformats.org/officeDocument/2006/relationships/image" Target="media/image128.png"/><Relationship Id="rId223" Type="http://schemas.openxmlformats.org/officeDocument/2006/relationships/image" Target="media/image129.png"/><Relationship Id="rId224" Type="http://schemas.openxmlformats.org/officeDocument/2006/relationships/image" Target="media/image130.png"/><Relationship Id="rId225" Type="http://schemas.openxmlformats.org/officeDocument/2006/relationships/image" Target="media/image131.png"/><Relationship Id="rId226" Type="http://schemas.openxmlformats.org/officeDocument/2006/relationships/image" Target="media/image132.png"/><Relationship Id="rId227" Type="http://schemas.openxmlformats.org/officeDocument/2006/relationships/image" Target="media/image133.png"/><Relationship Id="rId228" Type="http://schemas.openxmlformats.org/officeDocument/2006/relationships/image" Target="media/image134.png"/><Relationship Id="rId229" Type="http://schemas.openxmlformats.org/officeDocument/2006/relationships/image" Target="media/image135.png"/><Relationship Id="rId230" Type="http://schemas.openxmlformats.org/officeDocument/2006/relationships/image" Target="media/image136.png"/><Relationship Id="rId231" Type="http://schemas.openxmlformats.org/officeDocument/2006/relationships/image" Target="media/image137.png"/><Relationship Id="rId232" Type="http://schemas.openxmlformats.org/officeDocument/2006/relationships/image" Target="media/image138.png"/><Relationship Id="rId233" Type="http://schemas.openxmlformats.org/officeDocument/2006/relationships/image" Target="media/image139.png"/><Relationship Id="rId234" Type="http://schemas.openxmlformats.org/officeDocument/2006/relationships/image" Target="media/image140.png"/><Relationship Id="rId235" Type="http://schemas.openxmlformats.org/officeDocument/2006/relationships/image" Target="media/image141.png"/><Relationship Id="rId236" Type="http://schemas.openxmlformats.org/officeDocument/2006/relationships/image" Target="media/image142.png"/><Relationship Id="rId237" Type="http://schemas.openxmlformats.org/officeDocument/2006/relationships/image" Target="media/image143.png"/><Relationship Id="rId238"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245" Type="http://schemas.openxmlformats.org/officeDocument/2006/relationships/image" Target="media/image151.png"/><Relationship Id="rId246" Type="http://schemas.openxmlformats.org/officeDocument/2006/relationships/image" Target="media/image152.png"/><Relationship Id="rId247" Type="http://schemas.openxmlformats.org/officeDocument/2006/relationships/image" Target="media/image153.png"/><Relationship Id="rId248" Type="http://schemas.openxmlformats.org/officeDocument/2006/relationships/image" Target="media/image154.png"/><Relationship Id="rId249" Type="http://schemas.openxmlformats.org/officeDocument/2006/relationships/image" Target="media/image155.png"/><Relationship Id="rId250" Type="http://schemas.openxmlformats.org/officeDocument/2006/relationships/image" Target="media/image156.png"/><Relationship Id="rId251" Type="http://schemas.openxmlformats.org/officeDocument/2006/relationships/image" Target="media/image157.png"/><Relationship Id="rId252" Type="http://schemas.openxmlformats.org/officeDocument/2006/relationships/image" Target="media/image158.png"/><Relationship Id="rId253" Type="http://schemas.openxmlformats.org/officeDocument/2006/relationships/image" Target="media/image159.png"/><Relationship Id="rId254" Type="http://schemas.openxmlformats.org/officeDocument/2006/relationships/image" Target="media/image160.png"/><Relationship Id="rId255" Type="http://schemas.openxmlformats.org/officeDocument/2006/relationships/image" Target="media/image161.png"/><Relationship Id="rId256" Type="http://schemas.openxmlformats.org/officeDocument/2006/relationships/image" Target="media/image162.png"/><Relationship Id="rId257" Type="http://schemas.openxmlformats.org/officeDocument/2006/relationships/image" Target="media/image163.png"/><Relationship Id="rId258" Type="http://schemas.openxmlformats.org/officeDocument/2006/relationships/image" Target="media/image164.png"/><Relationship Id="rId259" Type="http://schemas.openxmlformats.org/officeDocument/2006/relationships/image" Target="media/image165.png"/><Relationship Id="rId260" Type="http://schemas.openxmlformats.org/officeDocument/2006/relationships/image" Target="media/image166.png"/><Relationship Id="rId261" Type="http://schemas.openxmlformats.org/officeDocument/2006/relationships/image" Target="media/image167.png"/><Relationship Id="rId262" Type="http://schemas.openxmlformats.org/officeDocument/2006/relationships/image" Target="media/image168.png"/><Relationship Id="rId263" Type="http://schemas.openxmlformats.org/officeDocument/2006/relationships/image" Target="media/image169.png"/><Relationship Id="rId264" Type="http://schemas.openxmlformats.org/officeDocument/2006/relationships/image" Target="media/image170.png"/><Relationship Id="rId265" Type="http://schemas.openxmlformats.org/officeDocument/2006/relationships/image" Target="media/image171.png"/><Relationship Id="rId266" Type="http://schemas.openxmlformats.org/officeDocument/2006/relationships/image" Target="media/image172.png"/><Relationship Id="rId267" Type="http://schemas.openxmlformats.org/officeDocument/2006/relationships/image" Target="media/image173.png"/><Relationship Id="rId268" Type="http://schemas.openxmlformats.org/officeDocument/2006/relationships/image" Target="media/image174.png"/><Relationship Id="rId269" Type="http://schemas.openxmlformats.org/officeDocument/2006/relationships/image" Target="media/image175.png"/><Relationship Id="rId270" Type="http://schemas.openxmlformats.org/officeDocument/2006/relationships/image" Target="media/image176.png"/><Relationship Id="rId271" Type="http://schemas.openxmlformats.org/officeDocument/2006/relationships/image" Target="media/image177.png"/><Relationship Id="rId272" Type="http://schemas.openxmlformats.org/officeDocument/2006/relationships/image" Target="media/image178.png"/><Relationship Id="rId273" Type="http://schemas.openxmlformats.org/officeDocument/2006/relationships/image" Target="media/image179.png"/><Relationship Id="rId274" Type="http://schemas.openxmlformats.org/officeDocument/2006/relationships/image" Target="media/image180.png"/><Relationship Id="rId275" Type="http://schemas.openxmlformats.org/officeDocument/2006/relationships/image" Target="media/image181.png"/><Relationship Id="rId276" Type="http://schemas.openxmlformats.org/officeDocument/2006/relationships/image" Target="media/image182.png"/><Relationship Id="rId277" Type="http://schemas.openxmlformats.org/officeDocument/2006/relationships/image" Target="media/image183.png"/><Relationship Id="rId278" Type="http://schemas.openxmlformats.org/officeDocument/2006/relationships/image" Target="media/image184.png"/><Relationship Id="rId279" Type="http://schemas.openxmlformats.org/officeDocument/2006/relationships/image" Target="media/image185.png"/><Relationship Id="rId280" Type="http://schemas.openxmlformats.org/officeDocument/2006/relationships/image" Target="media/image186.png"/><Relationship Id="rId281" Type="http://schemas.openxmlformats.org/officeDocument/2006/relationships/image" Target="media/image187.png"/><Relationship Id="rId282" Type="http://schemas.openxmlformats.org/officeDocument/2006/relationships/image" Target="media/image188.png"/><Relationship Id="rId283" Type="http://schemas.openxmlformats.org/officeDocument/2006/relationships/image" Target="media/image189.png"/><Relationship Id="rId284" Type="http://schemas.openxmlformats.org/officeDocument/2006/relationships/image" Target="media/image190.png"/><Relationship Id="rId285" Type="http://schemas.openxmlformats.org/officeDocument/2006/relationships/image" Target="media/image191.png"/><Relationship Id="rId286" Type="http://schemas.openxmlformats.org/officeDocument/2006/relationships/image" Target="media/image192.png"/><Relationship Id="rId287" Type="http://schemas.openxmlformats.org/officeDocument/2006/relationships/image" Target="media/image193.png"/><Relationship Id="rId288" Type="http://schemas.openxmlformats.org/officeDocument/2006/relationships/image" Target="media/image194.png"/><Relationship Id="rId289" Type="http://schemas.openxmlformats.org/officeDocument/2006/relationships/image" Target="media/image195.png"/><Relationship Id="rId290" Type="http://schemas.openxmlformats.org/officeDocument/2006/relationships/image" Target="media/image196.png"/><Relationship Id="rId291" Type="http://schemas.openxmlformats.org/officeDocument/2006/relationships/image" Target="media/image197.png"/><Relationship Id="rId292" Type="http://schemas.openxmlformats.org/officeDocument/2006/relationships/image" Target="media/image198.png"/><Relationship Id="rId293" Type="http://schemas.openxmlformats.org/officeDocument/2006/relationships/image" Target="media/image199.png"/><Relationship Id="rId294" Type="http://schemas.openxmlformats.org/officeDocument/2006/relationships/image" Target="media/image200.png"/><Relationship Id="rId295" Type="http://schemas.openxmlformats.org/officeDocument/2006/relationships/image" Target="media/image201.png"/><Relationship Id="rId296" Type="http://schemas.openxmlformats.org/officeDocument/2006/relationships/image" Target="media/image202.png"/><Relationship Id="rId297" Type="http://schemas.openxmlformats.org/officeDocument/2006/relationships/image" Target="media/image203.png"/><Relationship Id="rId298" Type="http://schemas.openxmlformats.org/officeDocument/2006/relationships/image" Target="media/image204.png"/><Relationship Id="rId299" Type="http://schemas.openxmlformats.org/officeDocument/2006/relationships/image" Target="media/image205.png"/><Relationship Id="rId300" Type="http://schemas.openxmlformats.org/officeDocument/2006/relationships/image" Target="media/image206.png"/><Relationship Id="rId301" Type="http://schemas.openxmlformats.org/officeDocument/2006/relationships/image" Target="media/image207.png"/><Relationship Id="rId302" Type="http://schemas.openxmlformats.org/officeDocument/2006/relationships/image" Target="media/image208.png"/><Relationship Id="rId303" Type="http://schemas.openxmlformats.org/officeDocument/2006/relationships/image" Target="media/image209.png"/><Relationship Id="rId304" Type="http://schemas.openxmlformats.org/officeDocument/2006/relationships/image" Target="media/image210.png"/><Relationship Id="rId305" Type="http://schemas.openxmlformats.org/officeDocument/2006/relationships/image" Target="media/image211.png"/><Relationship Id="rId306" Type="http://schemas.openxmlformats.org/officeDocument/2006/relationships/image" Target="media/image212.png"/><Relationship Id="rId307" Type="http://schemas.openxmlformats.org/officeDocument/2006/relationships/image" Target="media/image213.png"/><Relationship Id="rId308" Type="http://schemas.openxmlformats.org/officeDocument/2006/relationships/image" Target="media/image214.png"/><Relationship Id="rId309" Type="http://schemas.openxmlformats.org/officeDocument/2006/relationships/image" Target="media/image215.png"/><Relationship Id="rId310" Type="http://schemas.openxmlformats.org/officeDocument/2006/relationships/image" Target="media/image216.png"/><Relationship Id="rId311" Type="http://schemas.openxmlformats.org/officeDocument/2006/relationships/image" Target="media/image217.png"/><Relationship Id="rId312" Type="http://schemas.openxmlformats.org/officeDocument/2006/relationships/image" Target="media/image218.png"/><Relationship Id="rId313" Type="http://schemas.openxmlformats.org/officeDocument/2006/relationships/image" Target="media/image219.png"/><Relationship Id="rId314" Type="http://schemas.openxmlformats.org/officeDocument/2006/relationships/image" Target="media/image220.png"/><Relationship Id="rId315" Type="http://schemas.openxmlformats.org/officeDocument/2006/relationships/image" Target="media/image221.png"/><Relationship Id="rId316" Type="http://schemas.openxmlformats.org/officeDocument/2006/relationships/image" Target="media/image222.png"/><Relationship Id="rId317" Type="http://schemas.openxmlformats.org/officeDocument/2006/relationships/image" Target="media/image223.png"/><Relationship Id="rId318" Type="http://schemas.openxmlformats.org/officeDocument/2006/relationships/image" Target="media/image224.png"/><Relationship Id="rId319" Type="http://schemas.openxmlformats.org/officeDocument/2006/relationships/image" Target="media/image225.png"/><Relationship Id="rId320" Type="http://schemas.openxmlformats.org/officeDocument/2006/relationships/image" Target="media/image226.png"/><Relationship Id="rId321" Type="http://schemas.openxmlformats.org/officeDocument/2006/relationships/image" Target="media/image227.png"/><Relationship Id="rId322" Type="http://schemas.openxmlformats.org/officeDocument/2006/relationships/image" Target="media/image228.png"/><Relationship Id="rId323" Type="http://schemas.openxmlformats.org/officeDocument/2006/relationships/image" Target="media/image229.png"/><Relationship Id="rId324" Type="http://schemas.openxmlformats.org/officeDocument/2006/relationships/image" Target="media/image230.png"/><Relationship Id="rId325" Type="http://schemas.openxmlformats.org/officeDocument/2006/relationships/image" Target="media/image231.png"/><Relationship Id="rId326" Type="http://schemas.openxmlformats.org/officeDocument/2006/relationships/image" Target="media/image232.png"/><Relationship Id="rId327" Type="http://schemas.openxmlformats.org/officeDocument/2006/relationships/image" Target="media/image233.png"/><Relationship Id="rId328" Type="http://schemas.openxmlformats.org/officeDocument/2006/relationships/image" Target="media/image234.png"/><Relationship Id="rId329" Type="http://schemas.openxmlformats.org/officeDocument/2006/relationships/image" Target="media/image235.png"/><Relationship Id="rId330" Type="http://schemas.openxmlformats.org/officeDocument/2006/relationships/image" Target="media/image236.png"/><Relationship Id="rId331" Type="http://schemas.openxmlformats.org/officeDocument/2006/relationships/image" Target="media/image237.png"/><Relationship Id="rId332" Type="http://schemas.openxmlformats.org/officeDocument/2006/relationships/image" Target="media/image238.png"/><Relationship Id="rId333" Type="http://schemas.openxmlformats.org/officeDocument/2006/relationships/image" Target="media/image239.png"/><Relationship Id="rId334" Type="http://schemas.openxmlformats.org/officeDocument/2006/relationships/image" Target="media/image240.png"/><Relationship Id="rId335" Type="http://schemas.openxmlformats.org/officeDocument/2006/relationships/image" Target="media/image241.png"/><Relationship Id="rId336" Type="http://schemas.openxmlformats.org/officeDocument/2006/relationships/image" Target="media/image242.png"/><Relationship Id="rId337" Type="http://schemas.openxmlformats.org/officeDocument/2006/relationships/image" Target="media/image243.png"/><Relationship Id="rId338" Type="http://schemas.openxmlformats.org/officeDocument/2006/relationships/image" Target="media/image244.png"/><Relationship Id="rId339" Type="http://schemas.openxmlformats.org/officeDocument/2006/relationships/image" Target="media/image245.png"/><Relationship Id="rId340" Type="http://schemas.openxmlformats.org/officeDocument/2006/relationships/image" Target="media/image246.png"/><Relationship Id="rId341" Type="http://schemas.openxmlformats.org/officeDocument/2006/relationships/image" Target="media/image247.png"/><Relationship Id="rId342" Type="http://schemas.openxmlformats.org/officeDocument/2006/relationships/image" Target="media/image248.png"/><Relationship Id="rId343" Type="http://schemas.openxmlformats.org/officeDocument/2006/relationships/image" Target="media/image249.png"/><Relationship Id="rId344" Type="http://schemas.openxmlformats.org/officeDocument/2006/relationships/image" Target="media/image250.png"/><Relationship Id="rId345" Type="http://schemas.openxmlformats.org/officeDocument/2006/relationships/image" Target="media/image251.png"/><Relationship Id="rId346" Type="http://schemas.openxmlformats.org/officeDocument/2006/relationships/image" Target="media/image252.png"/><Relationship Id="rId347" Type="http://schemas.openxmlformats.org/officeDocument/2006/relationships/image" Target="media/image253.png"/><Relationship Id="rId348" Type="http://schemas.openxmlformats.org/officeDocument/2006/relationships/image" Target="media/image254.png"/><Relationship Id="rId349" Type="http://schemas.openxmlformats.org/officeDocument/2006/relationships/image" Target="media/image255.png"/><Relationship Id="rId350" Type="http://schemas.openxmlformats.org/officeDocument/2006/relationships/image" Target="media/image256.png"/><Relationship Id="rId351" Type="http://schemas.openxmlformats.org/officeDocument/2006/relationships/image" Target="media/image257.png"/><Relationship Id="rId352" Type="http://schemas.openxmlformats.org/officeDocument/2006/relationships/image" Target="media/image258.png"/><Relationship Id="rId353" Type="http://schemas.openxmlformats.org/officeDocument/2006/relationships/image" Target="media/image259.png"/><Relationship Id="rId354" Type="http://schemas.openxmlformats.org/officeDocument/2006/relationships/image" Target="media/image260.png"/><Relationship Id="rId355" Type="http://schemas.openxmlformats.org/officeDocument/2006/relationships/image" Target="media/image261.png"/><Relationship Id="rId356" Type="http://schemas.openxmlformats.org/officeDocument/2006/relationships/image" Target="media/image262.png"/><Relationship Id="rId357" Type="http://schemas.openxmlformats.org/officeDocument/2006/relationships/image" Target="media/image263.png"/><Relationship Id="rId358" Type="http://schemas.openxmlformats.org/officeDocument/2006/relationships/image" Target="media/image264.png"/><Relationship Id="rId359" Type="http://schemas.openxmlformats.org/officeDocument/2006/relationships/image" Target="media/image265.png"/><Relationship Id="rId360" Type="http://schemas.openxmlformats.org/officeDocument/2006/relationships/image" Target="media/image266.png"/><Relationship Id="rId361" Type="http://schemas.openxmlformats.org/officeDocument/2006/relationships/image" Target="media/image267.png"/><Relationship Id="rId362" Type="http://schemas.openxmlformats.org/officeDocument/2006/relationships/image" Target="media/image268.png"/><Relationship Id="rId363" Type="http://schemas.openxmlformats.org/officeDocument/2006/relationships/image" Target="media/image269.png"/><Relationship Id="rId364" Type="http://schemas.openxmlformats.org/officeDocument/2006/relationships/image" Target="media/image270.png"/><Relationship Id="rId365" Type="http://schemas.openxmlformats.org/officeDocument/2006/relationships/image" Target="media/image271.png"/><Relationship Id="rId366" Type="http://schemas.openxmlformats.org/officeDocument/2006/relationships/image" Target="media/image272.png"/><Relationship Id="rId367" Type="http://schemas.openxmlformats.org/officeDocument/2006/relationships/image" Target="media/image273.png"/><Relationship Id="rId368" Type="http://schemas.openxmlformats.org/officeDocument/2006/relationships/image" Target="media/image274.png"/><Relationship Id="rId369" Type="http://schemas.openxmlformats.org/officeDocument/2006/relationships/image" Target="media/image275.png"/><Relationship Id="rId370" Type="http://schemas.openxmlformats.org/officeDocument/2006/relationships/image" Target="media/image276.png"/><Relationship Id="rId371" Type="http://schemas.openxmlformats.org/officeDocument/2006/relationships/image" Target="media/image277.png"/><Relationship Id="rId372" Type="http://schemas.openxmlformats.org/officeDocument/2006/relationships/image" Target="media/image278.png"/><Relationship Id="rId373" Type="http://schemas.openxmlformats.org/officeDocument/2006/relationships/image" Target="media/image279.png"/><Relationship Id="rId374" Type="http://schemas.openxmlformats.org/officeDocument/2006/relationships/image" Target="media/image280.png"/><Relationship Id="rId375" Type="http://schemas.openxmlformats.org/officeDocument/2006/relationships/image" Target="media/image281.png"/><Relationship Id="rId376" Type="http://schemas.openxmlformats.org/officeDocument/2006/relationships/image" Target="media/image282.png"/><Relationship Id="rId377" Type="http://schemas.openxmlformats.org/officeDocument/2006/relationships/image" Target="media/image283.png"/><Relationship Id="rId378" Type="http://schemas.openxmlformats.org/officeDocument/2006/relationships/image" Target="media/image284.png"/><Relationship Id="rId379" Type="http://schemas.openxmlformats.org/officeDocument/2006/relationships/image" Target="media/image285.png"/><Relationship Id="rId380" Type="http://schemas.openxmlformats.org/officeDocument/2006/relationships/image" Target="media/image286.png"/><Relationship Id="rId381" Type="http://schemas.openxmlformats.org/officeDocument/2006/relationships/image" Target="media/image287.png"/><Relationship Id="rId382" Type="http://schemas.openxmlformats.org/officeDocument/2006/relationships/image" Target="media/image288.png"/><Relationship Id="rId126" Type="http://schemas.openxmlformats.org/officeDocument/2006/relationships/hyperlink" Target="https://www.sec.gov/Archives/edgar/data/1001082/000155837019006461/dish-20190630ex220782796.htm" TargetMode="External"/><Relationship Id="rId127" Type="http://schemas.openxmlformats.org/officeDocument/2006/relationships/hyperlink" Target="https://www.sec.gov/Archives/edgar/data/1001082/000100108220000027/dish-20200617ex9914595c9.htm" TargetMode="External"/><Relationship Id="rId129" Type="http://schemas.openxmlformats.org/officeDocument/2006/relationships/hyperlink" Target="https://www.sec.gov/Archives/edgar/data/1415404/000110465923106152/tm2326297d1_ex2-1.htm" TargetMode="External"/><Relationship Id="rId130" Type="http://schemas.openxmlformats.org/officeDocument/2006/relationships/hyperlink" Target="https://www.sec.gov/Archives/edgar/data/1415404/000103570407000816/d50150a1exv4w1.htm" TargetMode="External"/><Relationship Id="rId131" Type="http://schemas.openxmlformats.org/officeDocument/2006/relationships/hyperlink" Target="https://www.sec.gov/Archives/edgar/data/1415404/000110465911033872/a11-14479_1ex4d1.htm" TargetMode="External"/><Relationship Id="rId132" Type="http://schemas.openxmlformats.org/officeDocument/2006/relationships/hyperlink" Target="https://www.sec.gov/Archives/edgar/data/1001082/000110465914082443/a14-24807_1ex4d1.htm" TargetMode="External"/><Relationship Id="rId133" Type="http://schemas.openxmlformats.org/officeDocument/2006/relationships/hyperlink" Target="https://www.sec.gov/Archives/edgar/data/1001082/000110465916126862/a16-13226_1ex4d1.htm" TargetMode="External"/><Relationship Id="rId134" Type="http://schemas.openxmlformats.org/officeDocument/2006/relationships/hyperlink" Target="https://www.sec.gov/Archives/edgar/data/1415404/000110465916134602/a16-15573_1ex4d1.htm" TargetMode="External"/><Relationship Id="rId135" Type="http://schemas.openxmlformats.org/officeDocument/2006/relationships/hyperlink" Target="https://www.sec.gov/Archives/edgar/data/1415404/000110465916134602/a16-15573_1ex4d2.htm" TargetMode="External"/><Relationship Id="rId136" Type="http://schemas.openxmlformats.org/officeDocument/2006/relationships/hyperlink" Target="https://www.sec.gov/Archives/edgar/data/1415404/000110465916134602/a16-15573_1ex4d4.htm" TargetMode="External"/><Relationship Id="rId137" Type="http://schemas.openxmlformats.org/officeDocument/2006/relationships/hyperlink" Target="https://www.sec.gov/Archives/edgar/data/1001082/000110465916137968/a16-16336_1ex4d1.htm" TargetMode="External"/><Relationship Id="rId138" Type="http://schemas.openxmlformats.org/officeDocument/2006/relationships/hyperlink" Target="https://www.sec.gov/Archives/edgar/data/1001082/000110465917017692/a17-8131_3ex4d1.htm" TargetMode="External"/><Relationship Id="rId140" Type="http://schemas.openxmlformats.org/officeDocument/2006/relationships/hyperlink" Target="https://www.sec.gov/Archives/edgar/data/1345840/000153375817000023/hssc_2017exchexhibit4d19.htm" TargetMode="External"/><Relationship Id="rId141" Type="http://schemas.openxmlformats.org/officeDocument/2006/relationships/hyperlink" Target="https://www.sec.gov/Archives/edgar/data/1345840/000153375817000023/hssc_2017exchexhibitx4d20.htm" TargetMode="External"/><Relationship Id="rId142" Type="http://schemas.openxmlformats.org/officeDocument/2006/relationships/hyperlink" Target="https://www.sec.gov/Archives/edgar/data/1415404/000141540418000005/exhibit424-xjoinderagr.htm" TargetMode="External"/><Relationship Id="rId143" Type="http://schemas.openxmlformats.org/officeDocument/2006/relationships/hyperlink" Target="https://www.sec.gov/Archives/edgar/data/1415404/000141540418000005/exhibit425-xhsscxsecon.htm" TargetMode="External"/><Relationship Id="rId144" Type="http://schemas.openxmlformats.org/officeDocument/2006/relationships/hyperlink" Target="https://www.sec.gov/Archives/edgar/data/1415404/000141540418000005/exhibit426-xhsscxsecon.htm" TargetMode="External"/><Relationship Id="rId145" Type="http://schemas.openxmlformats.org/officeDocument/2006/relationships/hyperlink" Target="https://www.sec.gov/Archives/edgar/data/1042642/000155837018002595/ddbs-20171231ex4152aedfc.htm" TargetMode="External"/><Relationship Id="rId146" Type="http://schemas.openxmlformats.org/officeDocument/2006/relationships/hyperlink" Target="https://www.sec.gov/Archives/edgar/data/1042642/000155837018002595/ddbs-20171231ex416308073.htm" TargetMode="External"/><Relationship Id="rId147" Type="http://schemas.openxmlformats.org/officeDocument/2006/relationships/hyperlink" Target="https://www.sec.gov/Archives/edgar/data/1415404/000141540419000033/ex41-joinderagreement.htm" TargetMode="External"/><Relationship Id="rId148" Type="http://schemas.openxmlformats.org/officeDocument/2006/relationships/hyperlink" Target="https://www.sec.gov/Archives/edgar/data/1415404/000141540419000033/ex42-thirdsupplemental.htm" TargetMode="External"/><Relationship Id="rId150" Type="http://schemas.openxmlformats.org/officeDocument/2006/relationships/hyperlink" Target="https://www.sec.gov/Archives/edgar/data/1415404/000141540419000033/ex43-thirdsupplemental.htm" TargetMode="External"/><Relationship Id="rId151" Type="http://schemas.openxmlformats.org/officeDocument/2006/relationships/hyperlink" Target="https://www.sec.gov/Archives/edgar/data/1001082/000110465920079790/tm2023759d1_ex4-1.htm" TargetMode="External"/><Relationship Id="rId152" Type="http://schemas.openxmlformats.org/officeDocument/2006/relationships/hyperlink" Target="https://www.sec.gov/Archives/edgar/data/1001082/000110465920138382/tm2039047d1_ex4-1.htm" TargetMode="External"/><Relationship Id="rId153" Type="http://schemas.openxmlformats.org/officeDocument/2006/relationships/hyperlink" Target="https://www.sec.gov/Archives/edgar/data/1415404/000110465924000089/tm2333745d3_ex4-2.htm" TargetMode="External"/><Relationship Id="rId154" Type="http://schemas.openxmlformats.org/officeDocument/2006/relationships/hyperlink" Target="https://www.sec.gov/Archives/edgar/data/1415404/000110465924000089/tm2333745d3_ex4-4.htm" TargetMode="External"/><Relationship Id="rId155" Type="http://schemas.openxmlformats.org/officeDocument/2006/relationships/hyperlink" Target="https://www.sec.gov/Archives/edgar/data/1415404/000110465924000089/tm2333745d3_ex4-6.htm" TargetMode="External"/><Relationship Id="rId157" Type="http://schemas.openxmlformats.org/officeDocument/2006/relationships/hyperlink" Target="https://www.sec.gov/Archives/edgar/data/1001082/000110465921071173/tm2117189d1_ex4-1.htm" TargetMode="External"/><Relationship Id="rId158" Type="http://schemas.openxmlformats.org/officeDocument/2006/relationships/hyperlink" Target="https://www.sec.gov/Archives/edgar/data/1001082/000110465921143897/tm2133750d1_ex4-1.htm" TargetMode="External"/><Relationship Id="rId159" Type="http://schemas.openxmlformats.org/officeDocument/2006/relationships/hyperlink" Target="https://www.sec.gov/Archives/edgar/data/1001082/000110465921143897/tm2133750d1_ex4-2.htm" TargetMode="External"/><Relationship Id="rId160" Type="http://schemas.openxmlformats.org/officeDocument/2006/relationships/hyperlink" Target="https://www.sec.gov/Archives/edgar/data/1001082/000110465921143897/tm2133750d1_ex4-3.htm" TargetMode="External"/><Relationship Id="rId161" Type="http://schemas.openxmlformats.org/officeDocument/2006/relationships/hyperlink" Target="https://www.sec.gov/Archives/edgar/data/1001082/000110465923007047/tm233537d3_ex4-1.htm" TargetMode="External"/><Relationship Id="rId162" Type="http://schemas.openxmlformats.org/officeDocument/2006/relationships/hyperlink" Target="https://www.sec.gov/Archives/edgar/data/1001082/000110465922119157/tm2229374d3_ex4-2.htm" TargetMode="External"/><Relationship Id="rId163" Type="http://schemas.openxmlformats.org/officeDocument/2006/relationships/hyperlink" Target="https://www.sec.gov/Archives/edgar/data/1415404/000141540420000005/ex425descriptionofourc.htm" TargetMode="External"/><Relationship Id="rId164" Type="http://schemas.openxmlformats.org/officeDocument/2006/relationships/hyperlink" Target="https://www.sec.gov/Archives/edgar/data/1415404/000103570407000816/d50150a1exv10w25.htm" TargetMode="External"/><Relationship Id="rId165" Type="http://schemas.openxmlformats.org/officeDocument/2006/relationships/hyperlink" Target="https://www.sec.gov/Archives/edgar/data/1415404/000110465914067061/a14-20006_2def14a.htm#Appendix1_041118" TargetMode="External"/><Relationship Id="rId166" Type="http://schemas.openxmlformats.org/officeDocument/2006/relationships/hyperlink" Target="https://www.sec.gov/Archives/edgar/data/1415404/000103570409000020/d67044ddef14a.htm#018" TargetMode="External"/><Relationship Id="rId167" Type="http://schemas.openxmlformats.org/officeDocument/2006/relationships/hyperlink" Target="https://www.sec.gov/Archives/edgar/data/1415404/000110465915076360/a15-17922_1ex10d1.htm" TargetMode="External"/><Relationship Id="rId168" Type="http://schemas.openxmlformats.org/officeDocument/2006/relationships/hyperlink" Target="https://www.sec.gov/Archives/edgar/data/1415404/000110465916099355/a15-23459_3ex10d39.htm" TargetMode="External"/><Relationship Id="rId170" Type="http://schemas.openxmlformats.org/officeDocument/2006/relationships/hyperlink" Target="https://www.sec.gov/Archives/edgar/data/1415404/000110465916099355/a15-23459_3ex10d40.htm" TargetMode="External"/><Relationship Id="rId171" Type="http://schemas.openxmlformats.org/officeDocument/2006/relationships/hyperlink" Target="https://www.sec.gov/Archives/edgar/data/1415404/000110465916099355/a15-23459_3ex10d41.htm" TargetMode="External"/><Relationship Id="rId172" Type="http://schemas.openxmlformats.org/officeDocument/2006/relationships/hyperlink" Target="https://www.sec.gov/Archives/edgar/data/1415404/000110465916099355/a15-23459_3ex10d42.htm" TargetMode="External"/><Relationship Id="rId173" Type="http://schemas.openxmlformats.org/officeDocument/2006/relationships/hyperlink" Target="https://www.sec.gov/Archives/edgar/data/1415404/000110465916099355/a15-23459_3ex10d43.htm" TargetMode="External"/><Relationship Id="rId174" Type="http://schemas.openxmlformats.org/officeDocument/2006/relationships/hyperlink" Target="https://www.sec.gov/Archives/edgar/data/1415404/000110465916099355/a15-23459_3ex10d44.htm" TargetMode="External"/><Relationship Id="rId175" Type="http://schemas.openxmlformats.org/officeDocument/2006/relationships/hyperlink" Target="https://www.sec.gov/Archives/edgar/data/1415404/000110465916099355/a15-23459_3ex10d45.htm" TargetMode="External"/><Relationship Id="rId176" Type="http://schemas.openxmlformats.org/officeDocument/2006/relationships/hyperlink" Target="https://www.sec.gov/Archives/edgar/data/1415404/000141540417000022/sats2017proxystatement.htm" TargetMode="External"/><Relationship Id="rId177" Type="http://schemas.openxmlformats.org/officeDocument/2006/relationships/hyperlink" Target="https://www.sec.gov/Archives/edgar/data/1415404/000141540422000080/sats093022-ex105xamendedan.htm" TargetMode="External"/><Relationship Id="rId178" Type="http://schemas.openxmlformats.org/officeDocument/2006/relationships/hyperlink" Target="https://www.sec.gov/Archives/edgar/data/1415404/000141540417000045/a101echostarnon-qualifiedp.htm" TargetMode="External"/><Relationship Id="rId179" Type="http://schemas.openxmlformats.org/officeDocument/2006/relationships/hyperlink" Target="https://www.sec.gov/Archives/edgar/data/1415404/000141540417000045/ex102-formofstockoptionagr.htm" TargetMode="External"/><Relationship Id="rId180" Type="http://schemas.openxmlformats.org/officeDocument/2006/relationships/hyperlink" Target="https://www.sec.gov/Archives/edgar/data/1415404/000141540417000045/ex103-formofstockoptionagr.htm" TargetMode="External"/><Relationship Id="rId182" Type="http://schemas.openxmlformats.org/officeDocument/2006/relationships/hyperlink" Target="https://www.sec.gov/Archives/edgar/data/1415404/000141540417000045/ex104formofnon-employeedir.htm" TargetMode="External"/><Relationship Id="rId183" Type="http://schemas.openxmlformats.org/officeDocument/2006/relationships/hyperlink" Target="https://www.sec.gov/Archives/edgar/data/1415404/000141540417000045/ex105formofrsuagreementfor.htm" TargetMode="External"/><Relationship Id="rId184" Type="http://schemas.openxmlformats.org/officeDocument/2006/relationships/hyperlink" Target="https://www.sec.gov/Archives/edgar/data/1415404/000141540422000080/sats093022-ex101xformofsto.htm" TargetMode="External"/><Relationship Id="rId185" Type="http://schemas.openxmlformats.org/officeDocument/2006/relationships/hyperlink" Target="https://www.sec.gov/Archives/edgar/data/1415404/000141540422000080/sats093022-ex102xformofsto.htm" TargetMode="External"/><Relationship Id="rId186" Type="http://schemas.openxmlformats.org/officeDocument/2006/relationships/hyperlink" Target="https://www.sec.gov/Archives/edgar/data/1415404/000141540422000080/sats093022-ex103xformofnon.htm" TargetMode="External"/><Relationship Id="rId187" Type="http://schemas.openxmlformats.org/officeDocument/2006/relationships/hyperlink" Target="https://www.sec.gov/Archives/edgar/data/1415404/000141540422000080/sats093022-ex104xformofrsu.htm" TargetMode="External"/><Relationship Id="rId188" Type="http://schemas.openxmlformats.org/officeDocument/2006/relationships/hyperlink" Target="https://www.sec.gov/Archives/edgar/data/1415404/000141540422000042/sats03312210-qxexx102.htm" TargetMode="External"/><Relationship Id="rId189" Type="http://schemas.openxmlformats.org/officeDocument/2006/relationships/hyperlink" Target="https://www.sec.gov/Archives/edgar/data/1415404/000141540422000042/sats03312210-qxexx103.htm" TargetMode="External"/><Relationship Id="rId190" Type="http://schemas.openxmlformats.org/officeDocument/2006/relationships/hyperlink" Target="https://www.sec.gov/Archives/edgar/data/1415404/000141540419000003/ex1035amendmenttonon-q.htm" TargetMode="External"/><Relationship Id="rId191" Type="http://schemas.openxmlformats.org/officeDocument/2006/relationships/hyperlink" Target="https://www.sec.gov/Archives/edgar/data/1415404/000141540419000033/sats063019ex-101.htm" TargetMode="External"/><Relationship Id="rId192" Type="http://schemas.openxmlformats.org/officeDocument/2006/relationships/hyperlink" Target="https://www.sec.gov/Archives/edgar/data/1415404/000141540420000033/ex-101xadoptionagreeme.htm" TargetMode="External"/><Relationship Id="rId193" Type="http://schemas.openxmlformats.org/officeDocument/2006/relationships/hyperlink" Target="https://www.sec.gov/Archives/edgar/data/1415404/000141540421000011/a2021satsproxystatement.htm#i6d1879bc289540a3ba8fc082b625c96b_1265" TargetMode="External"/><Relationship Id="rId195" Type="http://schemas.openxmlformats.org/officeDocument/2006/relationships/hyperlink" Target="https://www.sec.gov/Archives/edgar/data/1415404/000141540422000005/sats202110-kxexx1030.htm" TargetMode="External"/><Relationship Id="rId196" Type="http://schemas.openxmlformats.org/officeDocument/2006/relationships/hyperlink" Target="https://www.sec.gov/Archives/edgar/data/1001082/000095013402003359/d95798ddef14a.txt" TargetMode="External"/><Relationship Id="rId197" Type="http://schemas.openxmlformats.org/officeDocument/2006/relationships/hyperlink" Target="https://www.sec.gov/Archives/edgar/data/1001082/000103570405000342/d26860exv99w6.htm" TargetMode="External"/><Relationship Id="rId198" Type="http://schemas.openxmlformats.org/officeDocument/2006/relationships/hyperlink" Target="https://www.sec.gov/Archives/edgar/data/1001082/000110465914067158/a14-20516_2def14a.htm" TargetMode="External"/><Relationship Id="rId199" Type="http://schemas.openxmlformats.org/officeDocument/2006/relationships/hyperlink" Target="https://www.sec.gov/Archives/edgar/data/1001082/000103570409000018/d67042def14a.htm" TargetMode="External"/><Relationship Id="rId200" Type="http://schemas.openxmlformats.org/officeDocument/2006/relationships/hyperlink" Target="https://www.sec.gov/Archives/edgar/data/1001082/000110465915068740/a15-20572_1ex10d2.htm" TargetMode="External"/><Relationship Id="rId201" Type="http://schemas.openxmlformats.org/officeDocument/2006/relationships/hyperlink" Target="https://www.sec.gov/Archives/edgar/data/1001082/000110465915068740/a15-20572_1ex10d4.htm" TargetMode="External"/><Relationship Id="rId202" Type="http://schemas.openxmlformats.org/officeDocument/2006/relationships/hyperlink" Target="https://www.sec.gov/Archives/edgar/data/1001082/000110465916137968/a16-16336_1ex10d1.htm" TargetMode="External"/><Relationship Id="rId203" Type="http://schemas.openxmlformats.org/officeDocument/2006/relationships/hyperlink" Target="https://www.sec.gov/Archives/edgar/data/1001082/000110465916137968/a16-16336_1ex10d2.htm" TargetMode="External"/><Relationship Id="rId204" Type="http://schemas.openxmlformats.org/officeDocument/2006/relationships/hyperlink" Target="https://www.sec.gov/Archives/edgar/data/1001082/000110465916161284/a16-22870_18k.htm" TargetMode="External"/><Relationship Id="rId205" Type="http://schemas.openxmlformats.org/officeDocument/2006/relationships/hyperlink" Target="https://www.sec.gov/Archives/edgar/data/1001082/000100108218000015/dish-20180823x8k.htm" TargetMode="External"/><Relationship Id="rId206" Type="http://schemas.openxmlformats.org/officeDocument/2006/relationships/hyperlink" Target="https://www.sec.gov/Archives/edgar/data/1001082/000155837020013008/dish-20200930xex10d1.htm" TargetMode="External"/><Relationship Id="rId207" Type="http://schemas.openxmlformats.org/officeDocument/2006/relationships/hyperlink" Target="https://www.sec.gov/Archives/edgar/data/1001082/000155837020013008/dish-20200930xex10d2.htm" TargetMode="External"/><Relationship Id="rId208" Type="http://schemas.openxmlformats.org/officeDocument/2006/relationships/hyperlink" Target="https://www.sec.gov/Archives/edgar/data/1001082/000155837020013008/dish-20200930xex10d3.htm" TargetMode="External"/><Relationship Id="rId210" Type="http://schemas.openxmlformats.org/officeDocument/2006/relationships/hyperlink" Target="https://www.sec.gov/Archives/edgar/data/1001082/000155837020013008/dish-20200930xex10d4.htm" TargetMode="External"/><Relationship Id="rId211" Type="http://schemas.openxmlformats.org/officeDocument/2006/relationships/hyperlink" Target="https://www.sec.gov/Archives/edgar/data/1001082/000155837020013008/dish-20200930xex10d5.htm" TargetMode="External"/><Relationship Id="rId212" Type="http://schemas.openxmlformats.org/officeDocument/2006/relationships/hyperlink" Target="https://www.sec.gov/Archives/edgar/data/1001082/000155837021014419/dish-20210930xex10d1.htm" TargetMode="External"/><Relationship Id="rId213" Type="http://schemas.openxmlformats.org/officeDocument/2006/relationships/hyperlink" Target="https://www.sec.gov/Archives/edgar/data/1415404/000110465923106157/tm2327406-1_s4.htm#tANXB" TargetMode="External"/><Relationship Id="rId214" Type="http://schemas.openxmlformats.org/officeDocument/2006/relationships/hyperlink" Target="https://www.sec.gov/Archives/edgar/data/1415404/000110465923106157/tm2327406d2_ex10-2.htm" TargetMode="External"/><Relationship Id="rId215" Type="http://schemas.openxmlformats.org/officeDocument/2006/relationships/hyperlink" Target="https://www.sec.gov/Archives/edgar/data/1415404/000110465923106157/tm2327406d2_ex10-3.htm" TargetMode="External"/><Relationship Id="rId216" Type="http://schemas.openxmlformats.org/officeDocument/2006/relationships/hyperlink" Target="https://www.sec.gov/Archives/edgar/data/1415404/000110465924000089/tm2333745d3_ex10-1.htm" TargetMode="External"/><Relationship Id="rId217" Type="http://schemas.openxmlformats.org/officeDocument/2006/relationships/hyperlink" Target="https://www.sec.gov/Archives/edgar/data/1415404/000110465924000089/tm2333745d3_ex4-8.htm" TargetMode="External"/><Relationship Id="rId218" Type="http://schemas.openxmlformats.org/officeDocument/2006/relationships/hyperlink" Target="https://www.sec.gov/Archives/edgar/data/1415404/000110465924000089/tm2333745d3_ex4-9.htm" TargetMode="External"/><Relationship Id="rId219" Type="http://schemas.openxmlformats.org/officeDocument/2006/relationships/hyperlink" Target="https://www.sec.gov/Archives/edgar/data/1415404/000110465924000089/tm2333745d3_ex4-11.htm" TargetMode="External"/><Relationship Id="rId221" Type="http://schemas.openxmlformats.org/officeDocument/2006/relationships/hyperlink" Target="https://www.sec.gov/Archives/edgar/data/1001082/000155837021010868/dish-20210630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2024-02-29T16:59:42Z</dcterms:created>
  <dcterms:modified xsi:type="dcterms:W3CDTF">2024-02-29T16:59:42Z</dcterms:modified>
</cp:coreProperties>
</file>