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13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spacing w:after="0" w:line="122" w:lineRule="exact"/>
        <w:rPr>
          <w:sz w:val="24"/>
          <w:szCs w:val="24"/>
          <w:color w:val="auto"/>
        </w:rPr>
      </w:pPr>
    </w:p>
    <w:p>
      <w:pPr>
        <w:ind w:left="420"/>
        <w:spacing w:after="0" w:line="127" w:lineRule="exact"/>
        <w:rPr>
          <w:sz w:val="20"/>
          <w:szCs w:val="20"/>
          <w:color w:val="auto"/>
        </w:rPr>
      </w:pPr>
      <w:r>
        <w:rPr>
          <w:rFonts w:ascii="MS PGothic" w:cs="MS PGothic" w:eastAsia="MS PGothic" w:hAnsi="MS PGothic"/>
          <w:sz w:val="11"/>
          <w:szCs w:val="11"/>
          <w:color w:val="auto"/>
        </w:rPr>
        <w:t>☒</w:t>
      </w:r>
      <w:r>
        <w:rPr>
          <w:rFonts w:ascii="Arial" w:cs="Arial" w:eastAsia="Arial" w:hAnsi="Arial"/>
          <w:sz w:val="11"/>
          <w:szCs w:val="11"/>
          <w:b w:val="1"/>
          <w:bCs w:val="1"/>
          <w:color w:val="auto"/>
        </w:rPr>
        <w:t>QUARTERLY REPORT PURSUANT TO SECTION 13 OR 15(d) OF THE SECURITIES EXCHANGE ACT OF 1934</w:t>
      </w:r>
    </w:p>
    <w:p>
      <w:pPr>
        <w:spacing w:after="0" w:line="26" w:lineRule="exact"/>
        <w:rPr>
          <w:sz w:val="24"/>
          <w:szCs w:val="24"/>
          <w:color w:val="auto"/>
        </w:rPr>
      </w:pPr>
    </w:p>
    <w:p>
      <w:pPr>
        <w:ind w:left="4140"/>
        <w:spacing w:after="0"/>
        <w:rPr>
          <w:sz w:val="20"/>
          <w:szCs w:val="20"/>
          <w:color w:val="auto"/>
        </w:rPr>
      </w:pPr>
      <w:r>
        <w:rPr>
          <w:rFonts w:ascii="Arial" w:cs="Arial" w:eastAsia="Arial" w:hAnsi="Arial"/>
          <w:sz w:val="11"/>
          <w:szCs w:val="11"/>
          <w:b w:val="1"/>
          <w:bCs w:val="1"/>
          <w:color w:val="auto"/>
        </w:rPr>
        <w:t>FOR THE QUARTERLY PERIOD ENDED SEPTEMBER 30, 2019.</w:t>
      </w:r>
    </w:p>
    <w:p>
      <w:pPr>
        <w:spacing w:after="0" w:line="114" w:lineRule="exact"/>
        <w:rPr>
          <w:sz w:val="24"/>
          <w:szCs w:val="24"/>
          <w:color w:val="auto"/>
        </w:rPr>
      </w:pPr>
    </w:p>
    <w:tbl>
      <w:tblPr>
        <w:tblLayout w:type="fixed"/>
        <w:tblInd w:w="420" w:type="dxa"/>
        <w:tblCellMar>
          <w:top w:w="0" w:type="dxa"/>
          <w:left w:w="0" w:type="dxa"/>
          <w:bottom w:w="0" w:type="dxa"/>
          <w:right w:w="0" w:type="dxa"/>
        </w:tblCellMar>
      </w:tblPr>
      <w:tr>
        <w:trPr>
          <w:trHeight w:val="142"/>
        </w:trPr>
        <w:tc>
          <w:tcPr>
            <w:tcW w:w="5760" w:type="dxa"/>
            <w:vAlign w:val="bottom"/>
          </w:tcPr>
          <w:p>
            <w:pPr>
              <w:jc w:val="center"/>
              <w:ind w:left="4824"/>
              <w:spacing w:after="0"/>
              <w:rPr>
                <w:sz w:val="20"/>
                <w:szCs w:val="20"/>
                <w:color w:val="auto"/>
              </w:rPr>
            </w:pPr>
            <w:r>
              <w:rPr>
                <w:rFonts w:ascii="Arial" w:cs="Arial" w:eastAsia="Arial" w:hAnsi="Arial"/>
                <w:sz w:val="11"/>
                <w:szCs w:val="11"/>
                <w:b w:val="1"/>
                <w:bCs w:val="1"/>
                <w:color w:val="auto"/>
                <w:w w:val="96"/>
              </w:rPr>
              <w:t>OR</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36"/>
        </w:trPr>
        <w:tc>
          <w:tcPr>
            <w:tcW w:w="5760" w:type="dxa"/>
            <w:vAlign w:val="bottom"/>
          </w:tcPr>
          <w:p>
            <w:pPr>
              <w:spacing w:after="0" w:line="127" w:lineRule="exact"/>
              <w:rPr>
                <w:sz w:val="20"/>
                <w:szCs w:val="20"/>
                <w:color w:val="auto"/>
              </w:rPr>
            </w:pPr>
            <w:r>
              <w:rPr>
                <w:rFonts w:ascii="MS PGothic" w:cs="MS PGothic" w:eastAsia="MS PGothic" w:hAnsi="MS PGothic"/>
                <w:sz w:val="11"/>
                <w:szCs w:val="11"/>
                <w:color w:val="auto"/>
                <w:w w:val="99"/>
              </w:rPr>
              <w:t>☐</w:t>
            </w:r>
            <w:r>
              <w:rPr>
                <w:rFonts w:ascii="Arial" w:cs="Arial" w:eastAsia="Arial" w:hAnsi="Arial"/>
                <w:sz w:val="11"/>
                <w:szCs w:val="11"/>
                <w:b w:val="1"/>
                <w:bCs w:val="1"/>
                <w:color w:val="auto"/>
                <w:w w:val="99"/>
              </w:rPr>
              <w:t>TRANSITION REPORT PURSUANT TO SECTION 13 OR 15(d) OF THE SECURITIES EXCHANGE ACT OF 1934</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119"/>
        </w:trPr>
        <w:tc>
          <w:tcPr>
            <w:tcW w:w="5760" w:type="dxa"/>
            <w:vAlign w:val="bottom"/>
          </w:tcPr>
          <w:p>
            <w:pPr>
              <w:ind w:left="3780"/>
              <w:spacing w:after="0" w:line="119" w:lineRule="exact"/>
              <w:rPr>
                <w:sz w:val="20"/>
                <w:szCs w:val="20"/>
                <w:color w:val="auto"/>
              </w:rPr>
            </w:pPr>
            <w:r>
              <w:rPr>
                <w:rFonts w:ascii="Arial" w:cs="Arial" w:eastAsia="Arial" w:hAnsi="Arial"/>
                <w:sz w:val="11"/>
                <w:szCs w:val="11"/>
                <w:b w:val="1"/>
                <w:bCs w:val="1"/>
                <w:color w:val="auto"/>
                <w:w w:val="98"/>
              </w:rPr>
              <w:t>FOR THE TRANSITION PERIOD FROM</w:t>
            </w:r>
          </w:p>
        </w:tc>
        <w:tc>
          <w:tcPr>
            <w:tcW w:w="420" w:type="dxa"/>
            <w:vAlign w:val="bottom"/>
            <w:tcBorders>
              <w:bottom w:val="single" w:sz="8" w:color="auto"/>
            </w:tcBorders>
          </w:tcPr>
          <w:p>
            <w:pPr>
              <w:spacing w:after="0"/>
              <w:rPr>
                <w:sz w:val="10"/>
                <w:szCs w:val="10"/>
                <w:color w:val="auto"/>
              </w:rPr>
            </w:pPr>
          </w:p>
        </w:tc>
        <w:tc>
          <w:tcPr>
            <w:tcW w:w="200" w:type="dxa"/>
            <w:vAlign w:val="bottom"/>
          </w:tcPr>
          <w:p>
            <w:pPr>
              <w:ind w:left="40"/>
              <w:spacing w:after="0" w:line="119" w:lineRule="exact"/>
              <w:rPr>
                <w:sz w:val="20"/>
                <w:szCs w:val="20"/>
                <w:color w:val="auto"/>
              </w:rPr>
            </w:pPr>
            <w:r>
              <w:rPr>
                <w:rFonts w:ascii="Arial" w:cs="Arial" w:eastAsia="Arial" w:hAnsi="Arial"/>
                <w:sz w:val="11"/>
                <w:szCs w:val="11"/>
                <w:b w:val="1"/>
                <w:bCs w:val="1"/>
                <w:color w:val="auto"/>
                <w:w w:val="91"/>
              </w:rPr>
              <w:t>TO</w:t>
            </w:r>
          </w:p>
        </w:tc>
      </w:tr>
      <w:tr>
        <w:trPr>
          <w:trHeight w:val="268"/>
        </w:trPr>
        <w:tc>
          <w:tcPr>
            <w:tcW w:w="6380" w:type="dxa"/>
            <w:vAlign w:val="bottom"/>
            <w:gridSpan w:val="3"/>
          </w:tcPr>
          <w:p>
            <w:pPr>
              <w:jc w:val="center"/>
              <w:ind w:left="4204"/>
              <w:spacing w:after="0"/>
              <w:rPr>
                <w:sz w:val="20"/>
                <w:szCs w:val="20"/>
                <w:color w:val="auto"/>
              </w:rPr>
            </w:pPr>
            <w:r>
              <w:rPr>
                <w:rFonts w:ascii="Arial" w:cs="Arial" w:eastAsia="Arial" w:hAnsi="Arial"/>
                <w:sz w:val="12"/>
                <w:szCs w:val="12"/>
                <w:b w:val="1"/>
                <w:bCs w:val="1"/>
                <w:color w:val="auto"/>
              </w:rPr>
              <w:t>Commission File Number: 001-33807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4328795</wp:posOffset>
            </wp:positionH>
            <wp:positionV relativeFrom="paragraph">
              <wp:posOffset>-182245</wp:posOffset>
            </wp:positionV>
            <wp:extent cx="28575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750" cy="5715"/>
                    </a:xfrm>
                    <a:prstGeom prst="rect">
                      <a:avLst/>
                    </a:prstGeom>
                    <a:noFill/>
                  </pic:spPr>
                </pic:pic>
              </a:graphicData>
            </a:graphic>
          </wp:anchor>
        </w:drawing>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EchoStar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(Exact name of registrant as specified in its charter)</w:t>
      </w:r>
    </w:p>
    <w:p>
      <w:pPr>
        <w:spacing w:after="0" w:line="92" w:lineRule="exact"/>
        <w:rPr>
          <w:sz w:val="24"/>
          <w:szCs w:val="24"/>
          <w:color w:val="auto"/>
        </w:rPr>
      </w:pPr>
    </w:p>
    <w:tbl>
      <w:tblPr>
        <w:tblLayout w:type="fixed"/>
        <w:tblInd w:w="1540" w:type="dxa"/>
        <w:tblCellMar>
          <w:top w:w="0" w:type="dxa"/>
          <w:left w:w="0" w:type="dxa"/>
          <w:bottom w:w="0" w:type="dxa"/>
          <w:right w:w="0" w:type="dxa"/>
        </w:tblCellMar>
      </w:tblPr>
      <w:tr>
        <w:trPr>
          <w:trHeight w:val="159"/>
        </w:trPr>
        <w:tc>
          <w:tcPr>
            <w:tcW w:w="2900" w:type="dxa"/>
            <w:vAlign w:val="bottom"/>
          </w:tcPr>
          <w:p>
            <w:pPr>
              <w:jc w:val="center"/>
              <w:ind w:right="44"/>
              <w:spacing w:after="0"/>
              <w:rPr>
                <w:sz w:val="20"/>
                <w:szCs w:val="20"/>
                <w:color w:val="auto"/>
              </w:rPr>
            </w:pPr>
            <w:r>
              <w:rPr>
                <w:rFonts w:ascii="Arial" w:cs="Arial" w:eastAsia="Arial" w:hAnsi="Arial"/>
                <w:sz w:val="12"/>
                <w:szCs w:val="12"/>
                <w:b w:val="1"/>
                <w:bCs w:val="1"/>
                <w:color w:val="auto"/>
              </w:rPr>
              <w:t>Nevada</w:t>
            </w:r>
          </w:p>
        </w:tc>
        <w:tc>
          <w:tcPr>
            <w:tcW w:w="1500" w:type="dxa"/>
            <w:vAlign w:val="bottom"/>
          </w:tcPr>
          <w:p>
            <w:pPr>
              <w:spacing w:after="0"/>
              <w:rPr>
                <w:sz w:val="13"/>
                <w:szCs w:val="13"/>
                <w:color w:val="auto"/>
              </w:rPr>
            </w:pPr>
          </w:p>
        </w:tc>
        <w:tc>
          <w:tcPr>
            <w:tcW w:w="4780" w:type="dxa"/>
            <w:vAlign w:val="bottom"/>
          </w:tcPr>
          <w:p>
            <w:pPr>
              <w:jc w:val="center"/>
              <w:ind w:left="804"/>
              <w:spacing w:after="0"/>
              <w:rPr>
                <w:sz w:val="20"/>
                <w:szCs w:val="20"/>
                <w:color w:val="auto"/>
              </w:rPr>
            </w:pPr>
            <w:r>
              <w:rPr>
                <w:rFonts w:ascii="Arial" w:cs="Arial" w:eastAsia="Arial" w:hAnsi="Arial"/>
                <w:sz w:val="12"/>
                <w:szCs w:val="12"/>
                <w:b w:val="1"/>
                <w:bCs w:val="1"/>
                <w:color w:val="auto"/>
                <w:w w:val="99"/>
              </w:rPr>
              <w:t>26-1232727</w:t>
            </w:r>
          </w:p>
        </w:tc>
      </w:tr>
      <w:tr>
        <w:trPr>
          <w:trHeight w:val="158"/>
        </w:trPr>
        <w:tc>
          <w:tcPr>
            <w:tcW w:w="2900" w:type="dxa"/>
            <w:vAlign w:val="bottom"/>
          </w:tcPr>
          <w:p>
            <w:pPr>
              <w:jc w:val="center"/>
              <w:ind w:right="44"/>
              <w:spacing w:after="0"/>
              <w:rPr>
                <w:sz w:val="20"/>
                <w:szCs w:val="20"/>
                <w:color w:val="auto"/>
              </w:rPr>
            </w:pPr>
            <w:r>
              <w:rPr>
                <w:rFonts w:ascii="Arial" w:cs="Arial" w:eastAsia="Arial" w:hAnsi="Arial"/>
                <w:sz w:val="11"/>
                <w:szCs w:val="11"/>
                <w:color w:val="auto"/>
                <w:w w:val="98"/>
              </w:rPr>
              <w:t>(State or other jurisdiction of incorporation or organization)</w:t>
            </w:r>
          </w:p>
        </w:tc>
        <w:tc>
          <w:tcPr>
            <w:tcW w:w="1500" w:type="dxa"/>
            <w:vAlign w:val="bottom"/>
          </w:tcPr>
          <w:p>
            <w:pPr>
              <w:spacing w:after="0"/>
              <w:rPr>
                <w:sz w:val="13"/>
                <w:szCs w:val="13"/>
                <w:color w:val="auto"/>
              </w:rPr>
            </w:pPr>
          </w:p>
        </w:tc>
        <w:tc>
          <w:tcPr>
            <w:tcW w:w="4780" w:type="dxa"/>
            <w:vAlign w:val="bottom"/>
          </w:tcPr>
          <w:p>
            <w:pPr>
              <w:jc w:val="center"/>
              <w:ind w:left="784"/>
              <w:spacing w:after="0"/>
              <w:rPr>
                <w:sz w:val="20"/>
                <w:szCs w:val="20"/>
                <w:color w:val="auto"/>
              </w:rPr>
            </w:pPr>
            <w:r>
              <w:rPr>
                <w:rFonts w:ascii="Arial" w:cs="Arial" w:eastAsia="Arial" w:hAnsi="Arial"/>
                <w:sz w:val="11"/>
                <w:szCs w:val="11"/>
                <w:color w:val="auto"/>
                <w:w w:val="98"/>
              </w:rPr>
              <w:t>(I.R.S. Employer Identification No.)</w:t>
            </w:r>
          </w:p>
        </w:tc>
      </w:tr>
      <w:tr>
        <w:trPr>
          <w:trHeight w:val="364"/>
        </w:trPr>
        <w:tc>
          <w:tcPr>
            <w:tcW w:w="2900" w:type="dxa"/>
            <w:vAlign w:val="bottom"/>
          </w:tcPr>
          <w:p>
            <w:pPr>
              <w:jc w:val="right"/>
              <w:ind w:right="484"/>
              <w:spacing w:after="0"/>
              <w:rPr>
                <w:sz w:val="20"/>
                <w:szCs w:val="20"/>
                <w:color w:val="auto"/>
              </w:rPr>
            </w:pPr>
            <w:r>
              <w:rPr>
                <w:rFonts w:ascii="Arial" w:cs="Arial" w:eastAsia="Arial" w:hAnsi="Arial"/>
                <w:sz w:val="12"/>
                <w:szCs w:val="12"/>
                <w:b w:val="1"/>
                <w:bCs w:val="1"/>
                <w:color w:val="auto"/>
              </w:rPr>
              <w:t>100 Inverness Terrace East, Englewood,</w:t>
            </w:r>
          </w:p>
        </w:tc>
        <w:tc>
          <w:tcPr>
            <w:tcW w:w="1500" w:type="dxa"/>
            <w:vAlign w:val="bottom"/>
          </w:tcPr>
          <w:p>
            <w:pPr>
              <w:ind w:left="120"/>
              <w:spacing w:after="0"/>
              <w:rPr>
                <w:sz w:val="20"/>
                <w:szCs w:val="20"/>
                <w:color w:val="auto"/>
              </w:rPr>
            </w:pPr>
            <w:r>
              <w:rPr>
                <w:rFonts w:ascii="Arial" w:cs="Arial" w:eastAsia="Arial" w:hAnsi="Arial"/>
                <w:sz w:val="12"/>
                <w:szCs w:val="12"/>
                <w:b w:val="1"/>
                <w:bCs w:val="1"/>
                <w:color w:val="auto"/>
              </w:rPr>
              <w:t>Colorado</w:t>
            </w:r>
          </w:p>
        </w:tc>
        <w:tc>
          <w:tcPr>
            <w:tcW w:w="4780" w:type="dxa"/>
            <w:vAlign w:val="bottom"/>
          </w:tcPr>
          <w:p>
            <w:pPr>
              <w:jc w:val="center"/>
              <w:ind w:left="804"/>
              <w:spacing w:after="0"/>
              <w:rPr>
                <w:sz w:val="20"/>
                <w:szCs w:val="20"/>
                <w:color w:val="auto"/>
              </w:rPr>
            </w:pPr>
            <w:r>
              <w:rPr>
                <w:rFonts w:ascii="Arial" w:cs="Arial" w:eastAsia="Arial" w:hAnsi="Arial"/>
                <w:sz w:val="12"/>
                <w:szCs w:val="12"/>
                <w:b w:val="1"/>
                <w:bCs w:val="1"/>
                <w:color w:val="auto"/>
                <w:w w:val="99"/>
              </w:rPr>
              <w:t>80112-5308</w:t>
            </w:r>
          </w:p>
        </w:tc>
      </w:tr>
      <w:tr>
        <w:trPr>
          <w:trHeight w:val="158"/>
        </w:trPr>
        <w:tc>
          <w:tcPr>
            <w:tcW w:w="2900" w:type="dxa"/>
            <w:vAlign w:val="bottom"/>
          </w:tcPr>
          <w:p>
            <w:pPr>
              <w:jc w:val="center"/>
              <w:ind w:right="44"/>
              <w:spacing w:after="0"/>
              <w:rPr>
                <w:sz w:val="20"/>
                <w:szCs w:val="20"/>
                <w:color w:val="auto"/>
              </w:rPr>
            </w:pPr>
            <w:r>
              <w:rPr>
                <w:rFonts w:ascii="Arial" w:cs="Arial" w:eastAsia="Arial" w:hAnsi="Arial"/>
                <w:sz w:val="11"/>
                <w:szCs w:val="11"/>
                <w:color w:val="auto"/>
                <w:w w:val="97"/>
              </w:rPr>
              <w:t>(Address of principal executive offices)</w:t>
            </w:r>
          </w:p>
        </w:tc>
        <w:tc>
          <w:tcPr>
            <w:tcW w:w="1500" w:type="dxa"/>
            <w:vAlign w:val="bottom"/>
          </w:tcPr>
          <w:p>
            <w:pPr>
              <w:spacing w:after="0"/>
              <w:rPr>
                <w:sz w:val="13"/>
                <w:szCs w:val="13"/>
                <w:color w:val="auto"/>
              </w:rPr>
            </w:pPr>
          </w:p>
        </w:tc>
        <w:tc>
          <w:tcPr>
            <w:tcW w:w="4780" w:type="dxa"/>
            <w:vAlign w:val="bottom"/>
          </w:tcPr>
          <w:p>
            <w:pPr>
              <w:jc w:val="center"/>
              <w:ind w:left="784"/>
              <w:spacing w:after="0"/>
              <w:rPr>
                <w:sz w:val="20"/>
                <w:szCs w:val="20"/>
                <w:color w:val="auto"/>
              </w:rPr>
            </w:pPr>
            <w:r>
              <w:rPr>
                <w:rFonts w:ascii="Arial" w:cs="Arial" w:eastAsia="Arial" w:hAnsi="Arial"/>
                <w:sz w:val="11"/>
                <w:szCs w:val="11"/>
                <w:color w:val="auto"/>
                <w:w w:val="96"/>
              </w:rPr>
              <w:t>(Zip Code)</w:t>
            </w:r>
          </w:p>
        </w:tc>
      </w:tr>
      <w:tr>
        <w:trPr>
          <w:trHeight w:val="382"/>
        </w:trPr>
        <w:tc>
          <w:tcPr>
            <w:tcW w:w="2900" w:type="dxa"/>
            <w:vAlign w:val="bottom"/>
          </w:tcPr>
          <w:p>
            <w:pPr>
              <w:jc w:val="right"/>
              <w:ind w:right="644"/>
              <w:spacing w:after="0"/>
              <w:rPr>
                <w:sz w:val="20"/>
                <w:szCs w:val="20"/>
                <w:color w:val="auto"/>
              </w:rPr>
            </w:pPr>
            <w:r>
              <w:rPr>
                <w:rFonts w:ascii="Arial" w:cs="Arial" w:eastAsia="Arial" w:hAnsi="Arial"/>
                <w:sz w:val="12"/>
                <w:szCs w:val="12"/>
                <w:b w:val="1"/>
                <w:bCs w:val="1"/>
                <w:color w:val="auto"/>
              </w:rPr>
              <w:t>(303) 706-4000</w:t>
            </w:r>
          </w:p>
        </w:tc>
        <w:tc>
          <w:tcPr>
            <w:tcW w:w="1500" w:type="dxa"/>
            <w:vAlign w:val="bottom"/>
          </w:tcPr>
          <w:p>
            <w:pPr>
              <w:spacing w:after="0"/>
              <w:rPr>
                <w:sz w:val="24"/>
                <w:szCs w:val="24"/>
                <w:color w:val="auto"/>
              </w:rPr>
            </w:pPr>
          </w:p>
        </w:tc>
        <w:tc>
          <w:tcPr>
            <w:tcW w:w="4780" w:type="dxa"/>
            <w:vAlign w:val="bottom"/>
          </w:tcPr>
          <w:p>
            <w:pPr>
              <w:jc w:val="center"/>
              <w:ind w:left="804"/>
              <w:spacing w:after="0"/>
              <w:rPr>
                <w:sz w:val="20"/>
                <w:szCs w:val="20"/>
                <w:color w:val="auto"/>
              </w:rPr>
            </w:pPr>
            <w:r>
              <w:rPr>
                <w:rFonts w:ascii="Arial" w:cs="Arial" w:eastAsia="Arial" w:hAnsi="Arial"/>
                <w:sz w:val="12"/>
                <w:szCs w:val="12"/>
                <w:b w:val="1"/>
                <w:bCs w:val="1"/>
                <w:color w:val="auto"/>
                <w:w w:val="99"/>
              </w:rPr>
              <w:t>Not Applicable</w:t>
            </w:r>
          </w:p>
        </w:tc>
      </w:tr>
      <w:tr>
        <w:trPr>
          <w:trHeight w:val="176"/>
        </w:trPr>
        <w:tc>
          <w:tcPr>
            <w:tcW w:w="2900" w:type="dxa"/>
            <w:vAlign w:val="bottom"/>
          </w:tcPr>
          <w:p>
            <w:pPr>
              <w:jc w:val="center"/>
              <w:ind w:right="44"/>
              <w:spacing w:after="0"/>
              <w:rPr>
                <w:sz w:val="20"/>
                <w:szCs w:val="20"/>
                <w:color w:val="auto"/>
              </w:rPr>
            </w:pPr>
            <w:r>
              <w:rPr>
                <w:rFonts w:ascii="Arial" w:cs="Arial" w:eastAsia="Arial" w:hAnsi="Arial"/>
                <w:sz w:val="11"/>
                <w:szCs w:val="11"/>
                <w:color w:val="auto"/>
                <w:w w:val="97"/>
              </w:rPr>
              <w:t>(Registrant’s telephone number, including area code)</w:t>
            </w:r>
          </w:p>
        </w:tc>
        <w:tc>
          <w:tcPr>
            <w:tcW w:w="1500" w:type="dxa"/>
            <w:vAlign w:val="bottom"/>
          </w:tcPr>
          <w:p>
            <w:pPr>
              <w:spacing w:after="0"/>
              <w:rPr>
                <w:sz w:val="15"/>
                <w:szCs w:val="15"/>
                <w:color w:val="auto"/>
              </w:rPr>
            </w:pPr>
          </w:p>
        </w:tc>
        <w:tc>
          <w:tcPr>
            <w:tcW w:w="4780" w:type="dxa"/>
            <w:vAlign w:val="bottom"/>
          </w:tcPr>
          <w:p>
            <w:pPr>
              <w:jc w:val="center"/>
              <w:ind w:left="804"/>
              <w:spacing w:after="0"/>
              <w:rPr>
                <w:sz w:val="20"/>
                <w:szCs w:val="20"/>
                <w:color w:val="auto"/>
              </w:rPr>
            </w:pPr>
            <w:r>
              <w:rPr>
                <w:rFonts w:ascii="Arial" w:cs="Arial" w:eastAsia="Arial" w:hAnsi="Arial"/>
                <w:sz w:val="11"/>
                <w:szCs w:val="11"/>
                <w:color w:val="auto"/>
                <w:w w:val="98"/>
              </w:rPr>
              <w:t>(Former name, former address and former fiscal year, if changed since last report)</w:t>
            </w:r>
          </w:p>
        </w:tc>
      </w:tr>
      <w:tr>
        <w:trPr>
          <w:trHeight w:val="378"/>
        </w:trPr>
        <w:tc>
          <w:tcPr>
            <w:tcW w:w="2900" w:type="dxa"/>
            <w:vAlign w:val="bottom"/>
          </w:tcPr>
          <w:p>
            <w:pPr>
              <w:jc w:val="center"/>
              <w:ind w:right="44"/>
              <w:spacing w:after="0"/>
              <w:rPr>
                <w:sz w:val="20"/>
                <w:szCs w:val="20"/>
                <w:color w:val="auto"/>
              </w:rPr>
            </w:pPr>
            <w:r>
              <w:rPr>
                <w:rFonts w:ascii="Arial" w:cs="Arial" w:eastAsia="Arial" w:hAnsi="Arial"/>
                <w:sz w:val="11"/>
                <w:szCs w:val="11"/>
                <w:color w:val="auto"/>
                <w:w w:val="98"/>
              </w:rPr>
              <w:t>Securities registered pursuant to Section 12(b) of the Act:</w:t>
            </w:r>
          </w:p>
        </w:tc>
        <w:tc>
          <w:tcPr>
            <w:tcW w:w="15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180"/>
        </w:trPr>
        <w:tc>
          <w:tcPr>
            <w:tcW w:w="2900" w:type="dxa"/>
            <w:vAlign w:val="bottom"/>
          </w:tcPr>
          <w:p>
            <w:pPr>
              <w:jc w:val="right"/>
              <w:ind w:right="284"/>
              <w:spacing w:after="0"/>
              <w:rPr>
                <w:sz w:val="20"/>
                <w:szCs w:val="20"/>
                <w:color w:val="auto"/>
              </w:rPr>
            </w:pPr>
            <w:r>
              <w:rPr>
                <w:rFonts w:ascii="Arial" w:cs="Arial" w:eastAsia="Arial" w:hAnsi="Arial"/>
                <w:sz w:val="11"/>
                <w:szCs w:val="11"/>
                <w:b w:val="1"/>
                <w:bCs w:val="1"/>
                <w:color w:val="auto"/>
              </w:rPr>
              <w:t>Class A common stock $0.001 par value</w:t>
            </w:r>
          </w:p>
        </w:tc>
        <w:tc>
          <w:tcPr>
            <w:tcW w:w="1500" w:type="dxa"/>
            <w:vAlign w:val="bottom"/>
          </w:tcPr>
          <w:p>
            <w:pPr>
              <w:spacing w:after="0"/>
              <w:rPr>
                <w:sz w:val="15"/>
                <w:szCs w:val="15"/>
                <w:color w:val="auto"/>
              </w:rPr>
            </w:pPr>
          </w:p>
        </w:tc>
        <w:tc>
          <w:tcPr>
            <w:tcW w:w="4780" w:type="dxa"/>
            <w:vAlign w:val="bottom"/>
          </w:tcPr>
          <w:p>
            <w:pPr>
              <w:jc w:val="center"/>
              <w:ind w:left="784"/>
              <w:spacing w:after="0"/>
              <w:rPr>
                <w:sz w:val="20"/>
                <w:szCs w:val="20"/>
                <w:color w:val="auto"/>
              </w:rPr>
            </w:pPr>
            <w:r>
              <w:rPr>
                <w:rFonts w:ascii="Arial" w:cs="Arial" w:eastAsia="Arial" w:hAnsi="Arial"/>
                <w:sz w:val="11"/>
                <w:szCs w:val="11"/>
                <w:b w:val="1"/>
                <w:bCs w:val="1"/>
                <w:color w:val="auto"/>
                <w:w w:val="97"/>
              </w:rPr>
              <w:t>The NASDAQ Stock Market LLC</w:t>
            </w:r>
          </w:p>
        </w:tc>
      </w:tr>
      <w:tr>
        <w:trPr>
          <w:trHeight w:val="180"/>
        </w:trPr>
        <w:tc>
          <w:tcPr>
            <w:tcW w:w="2900" w:type="dxa"/>
            <w:vAlign w:val="bottom"/>
          </w:tcPr>
          <w:p>
            <w:pPr>
              <w:jc w:val="center"/>
              <w:ind w:right="44"/>
              <w:spacing w:after="0"/>
              <w:rPr>
                <w:sz w:val="20"/>
                <w:szCs w:val="20"/>
                <w:color w:val="auto"/>
              </w:rPr>
            </w:pPr>
            <w:r>
              <w:rPr>
                <w:rFonts w:ascii="Arial" w:cs="Arial" w:eastAsia="Arial" w:hAnsi="Arial"/>
                <w:sz w:val="11"/>
                <w:szCs w:val="11"/>
                <w:color w:val="auto"/>
                <w:w w:val="96"/>
              </w:rPr>
              <w:t>(Title of each class)</w:t>
            </w:r>
          </w:p>
        </w:tc>
        <w:tc>
          <w:tcPr>
            <w:tcW w:w="1500" w:type="dxa"/>
            <w:vAlign w:val="bottom"/>
          </w:tcPr>
          <w:p>
            <w:pPr>
              <w:spacing w:after="0"/>
              <w:rPr>
                <w:sz w:val="15"/>
                <w:szCs w:val="15"/>
                <w:color w:val="auto"/>
              </w:rPr>
            </w:pPr>
          </w:p>
        </w:tc>
        <w:tc>
          <w:tcPr>
            <w:tcW w:w="4780" w:type="dxa"/>
            <w:vAlign w:val="bottom"/>
          </w:tcPr>
          <w:p>
            <w:pPr>
              <w:jc w:val="center"/>
              <w:ind w:left="784"/>
              <w:spacing w:after="0"/>
              <w:rPr>
                <w:sz w:val="20"/>
                <w:szCs w:val="20"/>
                <w:color w:val="auto"/>
              </w:rPr>
            </w:pPr>
            <w:r>
              <w:rPr>
                <w:rFonts w:ascii="Arial" w:cs="Arial" w:eastAsia="Arial" w:hAnsi="Arial"/>
                <w:sz w:val="11"/>
                <w:szCs w:val="11"/>
                <w:color w:val="auto"/>
                <w:w w:val="98"/>
              </w:rPr>
              <w:t>(Name of each exchange on which registered)</w:t>
            </w:r>
          </w:p>
        </w:tc>
      </w:tr>
      <w:tr>
        <w:trPr>
          <w:trHeight w:val="180"/>
        </w:trPr>
        <w:tc>
          <w:tcPr>
            <w:tcW w:w="2900" w:type="dxa"/>
            <w:vAlign w:val="bottom"/>
          </w:tcPr>
          <w:p>
            <w:pPr>
              <w:jc w:val="center"/>
              <w:ind w:right="44"/>
              <w:spacing w:after="0"/>
              <w:rPr>
                <w:sz w:val="20"/>
                <w:szCs w:val="20"/>
                <w:color w:val="auto"/>
              </w:rPr>
            </w:pPr>
            <w:r>
              <w:rPr>
                <w:rFonts w:ascii="Arial" w:cs="Arial" w:eastAsia="Arial" w:hAnsi="Arial"/>
                <w:sz w:val="11"/>
                <w:szCs w:val="11"/>
                <w:b w:val="1"/>
                <w:bCs w:val="1"/>
                <w:color w:val="auto"/>
                <w:w w:val="95"/>
              </w:rPr>
              <w:t>SATS</w:t>
            </w:r>
          </w:p>
        </w:tc>
        <w:tc>
          <w:tcPr>
            <w:tcW w:w="1500" w:type="dxa"/>
            <w:vAlign w:val="bottom"/>
          </w:tcPr>
          <w:p>
            <w:pPr>
              <w:spacing w:after="0"/>
              <w:rPr>
                <w:sz w:val="15"/>
                <w:szCs w:val="15"/>
                <w:color w:val="auto"/>
              </w:rPr>
            </w:pPr>
          </w:p>
        </w:tc>
        <w:tc>
          <w:tcPr>
            <w:tcW w:w="4780" w:type="dxa"/>
            <w:vAlign w:val="bottom"/>
          </w:tcPr>
          <w:p>
            <w:pPr>
              <w:spacing w:after="0"/>
              <w:rPr>
                <w:sz w:val="15"/>
                <w:szCs w:val="15"/>
                <w:color w:val="auto"/>
              </w:rPr>
            </w:pPr>
          </w:p>
        </w:tc>
      </w:tr>
      <w:tr>
        <w:trPr>
          <w:trHeight w:val="180"/>
        </w:trPr>
        <w:tc>
          <w:tcPr>
            <w:tcW w:w="2900" w:type="dxa"/>
            <w:vAlign w:val="bottom"/>
          </w:tcPr>
          <w:p>
            <w:pPr>
              <w:jc w:val="center"/>
              <w:ind w:right="44"/>
              <w:spacing w:after="0"/>
              <w:rPr>
                <w:sz w:val="20"/>
                <w:szCs w:val="20"/>
                <w:color w:val="auto"/>
              </w:rPr>
            </w:pPr>
            <w:r>
              <w:rPr>
                <w:rFonts w:ascii="Arial" w:cs="Arial" w:eastAsia="Arial" w:hAnsi="Arial"/>
                <w:sz w:val="11"/>
                <w:szCs w:val="11"/>
                <w:color w:val="auto"/>
                <w:w w:val="95"/>
              </w:rPr>
              <w:t>(Ticker symbol)</w:t>
            </w:r>
          </w:p>
        </w:tc>
        <w:tc>
          <w:tcPr>
            <w:tcW w:w="1500" w:type="dxa"/>
            <w:vAlign w:val="bottom"/>
          </w:tcPr>
          <w:p>
            <w:pPr>
              <w:spacing w:after="0"/>
              <w:rPr>
                <w:sz w:val="15"/>
                <w:szCs w:val="15"/>
                <w:color w:val="auto"/>
              </w:rPr>
            </w:pPr>
          </w:p>
        </w:tc>
        <w:tc>
          <w:tcPr>
            <w:tcW w:w="4780" w:type="dxa"/>
            <w:vAlign w:val="bottom"/>
          </w:tcPr>
          <w:p>
            <w:pPr>
              <w:spacing w:after="0"/>
              <w:rPr>
                <w:sz w:val="15"/>
                <w:szCs w:val="15"/>
                <w:color w:val="auto"/>
              </w:rPr>
            </w:pPr>
          </w:p>
        </w:tc>
      </w:tr>
    </w:tbl>
    <w:p>
      <w:pPr>
        <w:spacing w:after="0" w:line="149" w:lineRule="exact"/>
        <w:rPr>
          <w:sz w:val="24"/>
          <w:szCs w:val="24"/>
          <w:color w:val="auto"/>
        </w:rPr>
      </w:pPr>
    </w:p>
    <w:p>
      <w:pPr>
        <w:ind w:right="20"/>
        <w:spacing w:after="0" w:line="145"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125" w:lineRule="exact"/>
        <w:rPr>
          <w:sz w:val="24"/>
          <w:szCs w:val="24"/>
          <w:color w:val="auto"/>
        </w:rPr>
      </w:pPr>
    </w:p>
    <w:p>
      <w:pPr>
        <w:spacing w:after="0" w:line="145"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2"/>
          <w:szCs w:val="12"/>
          <w:color w:val="auto"/>
        </w:rPr>
        <w:t>☐</w:t>
      </w:r>
    </w:p>
    <w:p>
      <w:pPr>
        <w:spacing w:after="0" w:line="115" w:lineRule="exact"/>
        <w:rPr>
          <w:sz w:val="24"/>
          <w:szCs w:val="24"/>
          <w:color w:val="auto"/>
        </w:rPr>
      </w:pPr>
    </w:p>
    <w:p>
      <w:pPr>
        <w:spacing w:after="0" w:line="245"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69" w:lineRule="exact"/>
        <w:rPr>
          <w:sz w:val="24"/>
          <w:szCs w:val="24"/>
          <w:color w:val="auto"/>
        </w:rPr>
      </w:pPr>
    </w:p>
    <w:tbl>
      <w:tblPr>
        <w:tblLayout w:type="fixed"/>
        <w:tblInd w:w="1100" w:type="dxa"/>
        <w:tblCellMar>
          <w:top w:w="0" w:type="dxa"/>
          <w:left w:w="0" w:type="dxa"/>
          <w:bottom w:w="0" w:type="dxa"/>
          <w:right w:w="0" w:type="dxa"/>
        </w:tblCellMar>
      </w:tblPr>
      <w:tr>
        <w:trPr>
          <w:trHeight w:val="189"/>
        </w:trPr>
        <w:tc>
          <w:tcPr>
            <w:tcW w:w="180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1000" w:type="dxa"/>
            <w:vAlign w:val="bottom"/>
          </w:tcPr>
          <w:p>
            <w:pPr>
              <w:ind w:left="720"/>
              <w:spacing w:after="0" w:line="121" w:lineRule="exact"/>
              <w:rPr>
                <w:sz w:val="20"/>
                <w:szCs w:val="20"/>
                <w:color w:val="auto"/>
              </w:rPr>
            </w:pPr>
            <w:r>
              <w:rPr>
                <w:rFonts w:ascii="MS PGothic" w:cs="MS PGothic" w:eastAsia="MS PGothic" w:hAnsi="MS PGothic"/>
                <w:sz w:val="12"/>
                <w:szCs w:val="12"/>
                <w:color w:val="auto"/>
              </w:rPr>
              <w:t>☒</w:t>
            </w:r>
          </w:p>
        </w:tc>
        <w:tc>
          <w:tcPr>
            <w:tcW w:w="2180" w:type="dxa"/>
            <w:vAlign w:val="bottom"/>
          </w:tcPr>
          <w:p>
            <w:pPr>
              <w:ind w:left="180"/>
              <w:spacing w:after="0"/>
              <w:rPr>
                <w:sz w:val="20"/>
                <w:szCs w:val="20"/>
                <w:color w:val="auto"/>
              </w:rPr>
            </w:pPr>
            <w:r>
              <w:rPr>
                <w:rFonts w:ascii="Arial" w:cs="Arial" w:eastAsia="Arial" w:hAnsi="Arial"/>
                <w:sz w:val="11"/>
                <w:szCs w:val="11"/>
                <w:color w:val="auto"/>
              </w:rPr>
              <w:t>Accelerated filer</w:t>
            </w:r>
          </w:p>
        </w:tc>
        <w:tc>
          <w:tcPr>
            <w:tcW w:w="1000" w:type="dxa"/>
            <w:vAlign w:val="bottom"/>
          </w:tcPr>
          <w:p>
            <w:pPr>
              <w:ind w:left="700"/>
              <w:spacing w:after="0" w:line="121" w:lineRule="exact"/>
              <w:rPr>
                <w:sz w:val="20"/>
                <w:szCs w:val="20"/>
                <w:color w:val="auto"/>
              </w:rPr>
            </w:pPr>
            <w:r>
              <w:rPr>
                <w:rFonts w:ascii="MS PGothic" w:cs="MS PGothic" w:eastAsia="MS PGothic" w:hAnsi="MS PGothic"/>
                <w:sz w:val="12"/>
                <w:szCs w:val="12"/>
                <w:color w:val="auto"/>
              </w:rPr>
              <w:t>☐</w:t>
            </w:r>
          </w:p>
        </w:tc>
        <w:tc>
          <w:tcPr>
            <w:tcW w:w="2160" w:type="dxa"/>
            <w:vAlign w:val="bottom"/>
          </w:tcPr>
          <w:p>
            <w:pPr>
              <w:ind w:left="180"/>
              <w:spacing w:after="0"/>
              <w:rPr>
                <w:sz w:val="20"/>
                <w:szCs w:val="20"/>
                <w:color w:val="auto"/>
              </w:rPr>
            </w:pPr>
            <w:r>
              <w:rPr>
                <w:rFonts w:ascii="Arial" w:cs="Arial" w:eastAsia="Arial" w:hAnsi="Arial"/>
                <w:sz w:val="11"/>
                <w:szCs w:val="11"/>
                <w:color w:val="auto"/>
              </w:rPr>
              <w:t>Emerging growth company</w:t>
            </w:r>
          </w:p>
        </w:tc>
        <w:tc>
          <w:tcPr>
            <w:tcW w:w="820" w:type="dxa"/>
            <w:vAlign w:val="bottom"/>
          </w:tcPr>
          <w:p>
            <w:pPr>
              <w:ind w:left="70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87"/>
        </w:trPr>
        <w:tc>
          <w:tcPr>
            <w:tcW w:w="1800" w:type="dxa"/>
            <w:vAlign w:val="bottom"/>
          </w:tcPr>
          <w:p>
            <w:pPr>
              <w:spacing w:after="0"/>
              <w:rPr>
                <w:sz w:val="20"/>
                <w:szCs w:val="20"/>
                <w:color w:val="auto"/>
              </w:rPr>
            </w:pPr>
            <w:r>
              <w:rPr>
                <w:rFonts w:ascii="Arial" w:cs="Arial" w:eastAsia="Arial" w:hAnsi="Arial"/>
                <w:sz w:val="11"/>
                <w:szCs w:val="11"/>
                <w:color w:val="auto"/>
              </w:rPr>
              <w:t>Non-accelerated filer</w:t>
            </w:r>
          </w:p>
        </w:tc>
        <w:tc>
          <w:tcPr>
            <w:tcW w:w="1000" w:type="dxa"/>
            <w:vAlign w:val="bottom"/>
          </w:tcPr>
          <w:p>
            <w:pPr>
              <w:ind w:left="720"/>
              <w:spacing w:after="0" w:line="121" w:lineRule="exact"/>
              <w:rPr>
                <w:sz w:val="20"/>
                <w:szCs w:val="20"/>
                <w:color w:val="auto"/>
              </w:rPr>
            </w:pPr>
            <w:r>
              <w:rPr>
                <w:rFonts w:ascii="MS PGothic" w:cs="MS PGothic" w:eastAsia="MS PGothic" w:hAnsi="MS PGothic"/>
                <w:sz w:val="12"/>
                <w:szCs w:val="12"/>
                <w:color w:val="auto"/>
              </w:rPr>
              <w:t>☐</w:t>
            </w:r>
          </w:p>
        </w:tc>
        <w:tc>
          <w:tcPr>
            <w:tcW w:w="2180" w:type="dxa"/>
            <w:vAlign w:val="bottom"/>
          </w:tcPr>
          <w:p>
            <w:pPr>
              <w:ind w:left="180"/>
              <w:spacing w:after="0"/>
              <w:rPr>
                <w:sz w:val="20"/>
                <w:szCs w:val="20"/>
                <w:color w:val="auto"/>
              </w:rPr>
            </w:pPr>
            <w:r>
              <w:rPr>
                <w:rFonts w:ascii="Arial" w:cs="Arial" w:eastAsia="Arial" w:hAnsi="Arial"/>
                <w:sz w:val="11"/>
                <w:szCs w:val="11"/>
                <w:color w:val="auto"/>
              </w:rPr>
              <w:t>Smaller reporting company</w:t>
            </w:r>
          </w:p>
        </w:tc>
        <w:tc>
          <w:tcPr>
            <w:tcW w:w="1000" w:type="dxa"/>
            <w:vAlign w:val="bottom"/>
          </w:tcPr>
          <w:p>
            <w:pPr>
              <w:ind w:left="700"/>
              <w:spacing w:after="0" w:line="121" w:lineRule="exact"/>
              <w:rPr>
                <w:sz w:val="20"/>
                <w:szCs w:val="20"/>
                <w:color w:val="auto"/>
              </w:rPr>
            </w:pPr>
            <w:r>
              <w:rPr>
                <w:rFonts w:ascii="MS PGothic" w:cs="MS PGothic" w:eastAsia="MS PGothic" w:hAnsi="MS PGothic"/>
                <w:sz w:val="12"/>
                <w:szCs w:val="12"/>
                <w:color w:val="auto"/>
              </w:rPr>
              <w:t>☐</w:t>
            </w:r>
          </w:p>
        </w:tc>
        <w:tc>
          <w:tcPr>
            <w:tcW w:w="216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pacing w:after="0" w:line="124" w:lineRule="exact"/>
        <w:rPr>
          <w:sz w:val="24"/>
          <w:szCs w:val="24"/>
          <w:color w:val="auto"/>
        </w:rPr>
      </w:pPr>
    </w:p>
    <w:p>
      <w:pPr>
        <w:spacing w:after="0" w:line="134"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78" w:lineRule="exact"/>
        <w:rPr>
          <w:sz w:val="24"/>
          <w:szCs w:val="24"/>
          <w:color w:val="auto"/>
        </w:rPr>
      </w:pPr>
    </w:p>
    <w:p>
      <w:pPr>
        <w:spacing w:after="0" w:line="138"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65" w:lineRule="exact"/>
        <w:rPr>
          <w:sz w:val="24"/>
          <w:szCs w:val="24"/>
          <w:color w:val="auto"/>
        </w:rPr>
      </w:pPr>
    </w:p>
    <w:p>
      <w:pPr>
        <w:spacing w:after="0"/>
        <w:rPr>
          <w:sz w:val="20"/>
          <w:szCs w:val="20"/>
          <w:color w:val="auto"/>
        </w:rPr>
      </w:pPr>
      <w:r>
        <w:rPr>
          <w:rFonts w:ascii="Arial" w:cs="Arial" w:eastAsia="Arial" w:hAnsi="Arial"/>
          <w:sz w:val="11"/>
          <w:szCs w:val="11"/>
          <w:color w:val="auto"/>
        </w:rPr>
        <w:t>As of October 29, 2019, the registrant’s outstanding common stock consisted of 49,899,672 shares of Class A common stock and 47,687,039 shares of Class B common stock, each $0.001 par value.</w:t>
      </w:r>
    </w:p>
    <w:p>
      <w:pPr>
        <w:sectPr>
          <w:pgSz w:w="11900" w:h="16838" w:orient="portrait"/>
          <w:cols w:equalWidth="0" w:num="1">
            <w:col w:w="11480"/>
          </w:cols>
          <w:pgMar w:left="220" w:top="211" w:right="1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1040" w:type="dxa"/>
            <w:vAlign w:val="bottom"/>
            <w:gridSpan w:val="5"/>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457"/>
        </w:trPr>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0" w:type="dxa"/>
            <w:vAlign w:val="bottom"/>
            <w:gridSpan w:val="9"/>
          </w:tcPr>
          <w:p>
            <w:pPr>
              <w:ind w:left="380"/>
              <w:spacing w:after="0"/>
              <w:rPr>
                <w:sz w:val="20"/>
                <w:szCs w:val="20"/>
                <w:color w:val="auto"/>
              </w:rPr>
            </w:pPr>
            <w:r>
              <w:rPr>
                <w:rFonts w:ascii="Arial" w:cs="Arial" w:eastAsia="Arial" w:hAnsi="Arial"/>
                <w:sz w:val="12"/>
                <w:szCs w:val="12"/>
                <w:b w:val="1"/>
                <w:bCs w:val="1"/>
                <w:color w:val="auto"/>
              </w:rPr>
              <w:t>TABLE OF CONTENTS</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20" w:type="dxa"/>
            <w:vAlign w:val="bottom"/>
          </w:tcPr>
          <w:p>
            <w:pPr>
              <w:spacing w:after="0"/>
              <w:rPr>
                <w:sz w:val="24"/>
                <w:szCs w:val="24"/>
                <w:color w:val="auto"/>
              </w:rPr>
            </w:pPr>
          </w:p>
        </w:tc>
        <w:tc>
          <w:tcPr>
            <w:tcW w:w="11300" w:type="dxa"/>
            <w:vAlign w:val="bottom"/>
            <w:gridSpan w:val="26"/>
          </w:tcPr>
          <w:p>
            <w:pPr>
              <w:spacing w:after="0"/>
              <w:rPr>
                <w:rFonts w:ascii="Arial" w:cs="Arial" w:eastAsia="Arial" w:hAnsi="Arial"/>
                <w:sz w:val="12"/>
                <w:szCs w:val="12"/>
                <w:color w:val="0000EE"/>
              </w:rPr>
            </w:pPr>
            <w:hyperlink w:anchor="page3">
              <w:r>
                <w:rPr>
                  <w:rFonts w:ascii="Arial" w:cs="Arial" w:eastAsia="Arial" w:hAnsi="Arial"/>
                  <w:sz w:val="12"/>
                  <w:szCs w:val="12"/>
                  <w:color w:val="0000EE"/>
                </w:rPr>
                <w:t>Disclosure Regarding Forward-Looking Statements</w:t>
              </w:r>
            </w:hyperlink>
          </w:p>
        </w:tc>
        <w:tc>
          <w:tcPr>
            <w:tcW w:w="80" w:type="dxa"/>
            <w:vAlign w:val="bottom"/>
          </w:tcPr>
          <w:p>
            <w:pPr>
              <w:spacing w:after="0"/>
              <w:rPr>
                <w:sz w:val="24"/>
                <w:szCs w:val="24"/>
                <w:color w:val="auto"/>
              </w:rPr>
            </w:pPr>
          </w:p>
        </w:tc>
        <w:tc>
          <w:tcPr>
            <w:tcW w:w="60" w:type="dxa"/>
            <w:vAlign w:val="bottom"/>
          </w:tcPr>
          <w:p>
            <w:pPr>
              <w:jc w:val="right"/>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i</w:t>
              </w:r>
            </w:hyperlink>
          </w:p>
        </w:tc>
      </w:tr>
      <w:tr>
        <w:trPr>
          <w:trHeight w:val="322"/>
        </w:trPr>
        <w:tc>
          <w:tcPr>
            <w:tcW w:w="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700" w:type="dxa"/>
            <w:vAlign w:val="bottom"/>
            <w:gridSpan w:val="11"/>
          </w:tcPr>
          <w:p>
            <w:pPr>
              <w:jc w:val="center"/>
              <w:ind w:right="4700"/>
              <w:spacing w:after="0"/>
              <w:rPr>
                <w:rFonts w:ascii="Arial" w:cs="Arial" w:eastAsia="Arial" w:hAnsi="Arial"/>
                <w:sz w:val="12"/>
                <w:szCs w:val="12"/>
                <w:b w:val="1"/>
                <w:bCs w:val="1"/>
                <w:color w:val="0000EE"/>
                <w:w w:val="98"/>
              </w:rPr>
            </w:pPr>
            <w:hyperlink w:anchor="page4">
              <w:r>
                <w:rPr>
                  <w:rFonts w:ascii="Arial" w:cs="Arial" w:eastAsia="Arial" w:hAnsi="Arial"/>
                  <w:sz w:val="12"/>
                  <w:szCs w:val="12"/>
                  <w:b w:val="1"/>
                  <w:bCs w:val="1"/>
                  <w:color w:val="0000EE"/>
                  <w:w w:val="98"/>
                </w:rPr>
                <w:t>PART I - FINANCIAL INFORMATION</w:t>
              </w:r>
            </w:hyperlink>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2"/>
        </w:trPr>
        <w:tc>
          <w:tcPr>
            <w:tcW w:w="20" w:type="dxa"/>
            <w:vAlign w:val="bottom"/>
          </w:tcPr>
          <w:p>
            <w:pPr>
              <w:spacing w:after="0"/>
              <w:rPr>
                <w:sz w:val="24"/>
                <w:szCs w:val="24"/>
                <w:color w:val="auto"/>
              </w:rPr>
            </w:pPr>
          </w:p>
        </w:tc>
        <w:tc>
          <w:tcPr>
            <w:tcW w:w="360" w:type="dxa"/>
            <w:vAlign w:val="bottom"/>
          </w:tcPr>
          <w:p>
            <w:pPr>
              <w:spacing w:after="0"/>
              <w:rPr>
                <w:rFonts w:ascii="Arial" w:cs="Arial" w:eastAsia="Arial" w:hAnsi="Arial"/>
                <w:sz w:val="12"/>
                <w:szCs w:val="12"/>
                <w:color w:val="0000EE"/>
                <w:w w:val="92"/>
              </w:rPr>
            </w:pPr>
            <w:hyperlink w:anchor="page4">
              <w:r>
                <w:rPr>
                  <w:rFonts w:ascii="Arial" w:cs="Arial" w:eastAsia="Arial" w:hAnsi="Arial"/>
                  <w:sz w:val="12"/>
                  <w:szCs w:val="12"/>
                  <w:color w:val="0000EE"/>
                  <w:w w:val="92"/>
                </w:rPr>
                <w:t>Item 1.</w:t>
              </w:r>
            </w:hyperlink>
          </w:p>
        </w:tc>
        <w:tc>
          <w:tcPr>
            <w:tcW w:w="660" w:type="dxa"/>
            <w:vAlign w:val="bottom"/>
            <w:gridSpan w:val="3"/>
          </w:tcPr>
          <w:p>
            <w:pPr>
              <w:spacing w:after="0"/>
              <w:rPr>
                <w:sz w:val="24"/>
                <w:szCs w:val="24"/>
                <w:color w:val="auto"/>
              </w:rPr>
            </w:pPr>
          </w:p>
        </w:tc>
        <w:tc>
          <w:tcPr>
            <w:tcW w:w="3580" w:type="dxa"/>
            <w:vAlign w:val="bottom"/>
            <w:gridSpan w:val="11"/>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Financial Statements</w:t>
              </w:r>
            </w:hyperlink>
          </w:p>
        </w:tc>
        <w:tc>
          <w:tcPr>
            <w:tcW w:w="2000" w:type="dxa"/>
            <w:vAlign w:val="bottom"/>
            <w:tcBorders>
              <w:top w:val="single" w:sz="8" w:color="0000EE"/>
            </w:tcBorders>
            <w:gridSpan w:val="5"/>
          </w:tcPr>
          <w:p>
            <w:pPr>
              <w:spacing w:after="0"/>
              <w:rPr>
                <w:sz w:val="24"/>
                <w:szCs w:val="24"/>
                <w:color w:val="auto"/>
              </w:rPr>
            </w:pPr>
          </w:p>
        </w:tc>
        <w:tc>
          <w:tcPr>
            <w:tcW w:w="4700" w:type="dxa"/>
            <w:vAlign w:val="bottom"/>
            <w:gridSpan w:val="6"/>
          </w:tcPr>
          <w:p>
            <w:pPr>
              <w:spacing w:after="0"/>
              <w:rPr>
                <w:sz w:val="24"/>
                <w:szCs w:val="24"/>
                <w:color w:val="auto"/>
              </w:rPr>
            </w:pPr>
          </w:p>
        </w:tc>
        <w:tc>
          <w:tcPr>
            <w:tcW w:w="140" w:type="dxa"/>
            <w:vAlign w:val="bottom"/>
            <w:gridSpan w:val="2"/>
          </w:tcPr>
          <w:p>
            <w:pPr>
              <w:jc w:val="right"/>
              <w:spacing w:after="0"/>
              <w:rPr>
                <w:rFonts w:ascii="Arial" w:cs="Arial" w:eastAsia="Arial" w:hAnsi="Arial"/>
                <w:sz w:val="12"/>
                <w:szCs w:val="12"/>
                <w:color w:val="0000EE"/>
              </w:rPr>
            </w:pPr>
            <w:hyperlink w:anchor="page4">
              <w:r>
                <w:rPr>
                  <w:rFonts w:ascii="Arial" w:cs="Arial" w:eastAsia="Arial" w:hAnsi="Arial"/>
                  <w:sz w:val="12"/>
                  <w:szCs w:val="12"/>
                  <w:color w:val="0000EE"/>
                </w:rPr>
                <w:t>1</w:t>
              </w:r>
            </w:hyperlink>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80" w:type="dxa"/>
            <w:vAlign w:val="bottom"/>
            <w:gridSpan w:val="22"/>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Condensed Consolidated Balance Sheets as of September 30, 2019 and December 31, 2018 (unaudited)</w:t>
              </w:r>
            </w:hyperlink>
          </w:p>
        </w:tc>
        <w:tc>
          <w:tcPr>
            <w:tcW w:w="140" w:type="dxa"/>
            <w:vAlign w:val="bottom"/>
            <w:gridSpan w:val="2"/>
          </w:tcPr>
          <w:p>
            <w:pPr>
              <w:jc w:val="right"/>
              <w:spacing w:after="0"/>
              <w:rPr>
                <w:rFonts w:ascii="Arial" w:cs="Arial" w:eastAsia="Arial" w:hAnsi="Arial"/>
                <w:sz w:val="12"/>
                <w:szCs w:val="12"/>
                <w:color w:val="0000EE"/>
              </w:rPr>
            </w:pPr>
            <w:hyperlink w:anchor="page4">
              <w:r>
                <w:rPr>
                  <w:rFonts w:ascii="Arial" w:cs="Arial" w:eastAsia="Arial" w:hAnsi="Arial"/>
                  <w:sz w:val="12"/>
                  <w:szCs w:val="12"/>
                  <w:color w:val="0000EE"/>
                </w:rPr>
                <w:t>1</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20" w:type="dxa"/>
            <w:vAlign w:val="bottom"/>
            <w:gridSpan w:val="19"/>
          </w:tcPr>
          <w:p>
            <w:pPr>
              <w:spacing w:after="0"/>
              <w:rPr>
                <w:rFonts w:ascii="Arial" w:cs="Arial" w:eastAsia="Arial" w:hAnsi="Arial"/>
                <w:sz w:val="12"/>
                <w:szCs w:val="12"/>
                <w:color w:val="0000EE"/>
                <w:w w:val="99"/>
              </w:rPr>
            </w:pPr>
            <w:hyperlink w:anchor="page5">
              <w:r>
                <w:rPr>
                  <w:rFonts w:ascii="Arial" w:cs="Arial" w:eastAsia="Arial" w:hAnsi="Arial"/>
                  <w:sz w:val="12"/>
                  <w:szCs w:val="12"/>
                  <w:color w:val="0000EE"/>
                  <w:w w:val="99"/>
                </w:rPr>
                <w:t>Condensed Consolidated Statements of Operations for the three and nine months ended September 30, 2019 and 2018 (unaudited)</w:t>
              </w:r>
            </w:hyperlink>
          </w:p>
        </w:tc>
        <w:tc>
          <w:tcPr>
            <w:tcW w:w="3260" w:type="dxa"/>
            <w:vAlign w:val="bottom"/>
            <w:gridSpan w:val="3"/>
          </w:tcPr>
          <w:p>
            <w:pPr>
              <w:spacing w:after="0"/>
              <w:rPr>
                <w:sz w:val="13"/>
                <w:szCs w:val="13"/>
                <w:color w:val="auto"/>
              </w:rPr>
            </w:pPr>
          </w:p>
        </w:tc>
        <w:tc>
          <w:tcPr>
            <w:tcW w:w="140" w:type="dxa"/>
            <w:vAlign w:val="bottom"/>
            <w:gridSpan w:val="2"/>
          </w:tcPr>
          <w:p>
            <w:pPr>
              <w:jc w:val="right"/>
              <w:spacing w:after="0"/>
              <w:rPr>
                <w:rFonts w:ascii="Arial" w:cs="Arial" w:eastAsia="Arial" w:hAnsi="Arial"/>
                <w:sz w:val="12"/>
                <w:szCs w:val="12"/>
                <w:color w:val="0000EE"/>
              </w:rPr>
            </w:pPr>
            <w:hyperlink w:anchor="page5">
              <w:r>
                <w:rPr>
                  <w:rFonts w:ascii="Arial" w:cs="Arial" w:eastAsia="Arial" w:hAnsi="Arial"/>
                  <w:sz w:val="12"/>
                  <w:szCs w:val="12"/>
                  <w:color w:val="0000EE"/>
                </w:rPr>
                <w:t>2</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80" w:type="dxa"/>
            <w:vAlign w:val="bottom"/>
            <w:gridSpan w:val="22"/>
          </w:tcPr>
          <w:p>
            <w:pPr>
              <w:spacing w:after="0"/>
              <w:rPr>
                <w:rFonts w:ascii="Arial" w:cs="Arial" w:eastAsia="Arial" w:hAnsi="Arial"/>
                <w:sz w:val="12"/>
                <w:szCs w:val="12"/>
                <w:color w:val="0000EE"/>
              </w:rPr>
            </w:pPr>
            <w:hyperlink w:anchor="page6">
              <w:r>
                <w:rPr>
                  <w:rFonts w:ascii="Arial" w:cs="Arial" w:eastAsia="Arial" w:hAnsi="Arial"/>
                  <w:sz w:val="12"/>
                  <w:szCs w:val="12"/>
                  <w:color w:val="0000EE"/>
                </w:rPr>
                <w:t>Condensed Consolidated Statements of Comprehensive Income (Loss) for the three and nine months ended September 30, 2019 and 2018 (unaudited)</w:t>
              </w:r>
            </w:hyperlink>
          </w:p>
        </w:tc>
        <w:tc>
          <w:tcPr>
            <w:tcW w:w="140" w:type="dxa"/>
            <w:vAlign w:val="bottom"/>
            <w:gridSpan w:val="2"/>
          </w:tcPr>
          <w:p>
            <w:pPr>
              <w:jc w:val="right"/>
              <w:spacing w:after="0"/>
              <w:rPr>
                <w:rFonts w:ascii="Arial" w:cs="Arial" w:eastAsia="Arial" w:hAnsi="Arial"/>
                <w:sz w:val="12"/>
                <w:szCs w:val="12"/>
                <w:color w:val="0000EE"/>
              </w:rPr>
            </w:pPr>
            <w:hyperlink w:anchor="page6">
              <w:r>
                <w:rPr>
                  <w:rFonts w:ascii="Arial" w:cs="Arial" w:eastAsia="Arial" w:hAnsi="Arial"/>
                  <w:sz w:val="12"/>
                  <w:szCs w:val="12"/>
                  <w:color w:val="0000EE"/>
                </w:rPr>
                <w:t>3</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60" w:type="dxa"/>
            <w:vAlign w:val="bottom"/>
            <w:gridSpan w:val="21"/>
          </w:tcPr>
          <w:p>
            <w:pPr>
              <w:spacing w:after="0"/>
              <w:rPr>
                <w:rFonts w:ascii="Arial" w:cs="Arial" w:eastAsia="Arial" w:hAnsi="Arial"/>
                <w:sz w:val="12"/>
                <w:szCs w:val="12"/>
                <w:color w:val="0000EE"/>
              </w:rPr>
            </w:pPr>
            <w:hyperlink w:anchor="page7">
              <w:r>
                <w:rPr>
                  <w:rFonts w:ascii="Arial" w:cs="Arial" w:eastAsia="Arial" w:hAnsi="Arial"/>
                  <w:sz w:val="12"/>
                  <w:szCs w:val="12"/>
                  <w:color w:val="0000EE"/>
                </w:rPr>
                <w:t>Condensed Consolidated Statements of Changes in Stockholders’ Equity for the three months ended September 30, 2019 and 2018 (unaudited)</w:t>
              </w:r>
            </w:hyperlink>
          </w:p>
        </w:tc>
        <w:tc>
          <w:tcPr>
            <w:tcW w:w="2220" w:type="dxa"/>
            <w:vAlign w:val="bottom"/>
          </w:tcPr>
          <w:p>
            <w:pPr>
              <w:spacing w:after="0"/>
              <w:rPr>
                <w:sz w:val="13"/>
                <w:szCs w:val="13"/>
                <w:color w:val="auto"/>
              </w:rPr>
            </w:pPr>
          </w:p>
        </w:tc>
        <w:tc>
          <w:tcPr>
            <w:tcW w:w="140" w:type="dxa"/>
            <w:vAlign w:val="bottom"/>
            <w:gridSpan w:val="2"/>
          </w:tcPr>
          <w:p>
            <w:pPr>
              <w:jc w:val="right"/>
              <w:spacing w:after="0"/>
              <w:rPr>
                <w:rFonts w:ascii="Arial" w:cs="Arial" w:eastAsia="Arial" w:hAnsi="Arial"/>
                <w:sz w:val="12"/>
                <w:szCs w:val="12"/>
                <w:color w:val="0000EE"/>
              </w:rPr>
            </w:pPr>
            <w:hyperlink w:anchor="page7">
              <w:r>
                <w:rPr>
                  <w:rFonts w:ascii="Arial" w:cs="Arial" w:eastAsia="Arial" w:hAnsi="Arial"/>
                  <w:sz w:val="12"/>
                  <w:szCs w:val="12"/>
                  <w:color w:val="0000EE"/>
                </w:rPr>
                <w:t>4</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66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20" w:type="dxa"/>
            <w:vAlign w:val="bottom"/>
            <w:gridSpan w:val="20"/>
          </w:tcPr>
          <w:p>
            <w:pPr>
              <w:spacing w:after="0"/>
              <w:rPr>
                <w:rFonts w:ascii="Arial" w:cs="Arial" w:eastAsia="Arial" w:hAnsi="Arial"/>
                <w:sz w:val="12"/>
                <w:szCs w:val="12"/>
                <w:color w:val="0000EE"/>
                <w:w w:val="99"/>
              </w:rPr>
            </w:pPr>
            <w:hyperlink w:anchor="page8">
              <w:r>
                <w:rPr>
                  <w:rFonts w:ascii="Arial" w:cs="Arial" w:eastAsia="Arial" w:hAnsi="Arial"/>
                  <w:sz w:val="12"/>
                  <w:szCs w:val="12"/>
                  <w:color w:val="0000EE"/>
                  <w:w w:val="99"/>
                </w:rPr>
                <w:t>Condensed Consolidated Statements of Changes in Stockholders’ Equity for the nine months ended September 30, 2019 and 2018 (unaudited)</w:t>
              </w:r>
            </w:hyperlink>
          </w:p>
        </w:tc>
        <w:tc>
          <w:tcPr>
            <w:tcW w:w="2660" w:type="dxa"/>
            <w:vAlign w:val="bottom"/>
            <w:gridSpan w:val="2"/>
          </w:tcPr>
          <w:p>
            <w:pPr>
              <w:spacing w:after="0"/>
              <w:rPr>
                <w:sz w:val="13"/>
                <w:szCs w:val="13"/>
                <w:color w:val="auto"/>
              </w:rPr>
            </w:pPr>
          </w:p>
        </w:tc>
        <w:tc>
          <w:tcPr>
            <w:tcW w:w="140" w:type="dxa"/>
            <w:vAlign w:val="bottom"/>
            <w:gridSpan w:val="2"/>
          </w:tcPr>
          <w:p>
            <w:pPr>
              <w:jc w:val="right"/>
              <w:spacing w:after="0"/>
              <w:rPr>
                <w:rFonts w:ascii="Arial" w:cs="Arial" w:eastAsia="Arial" w:hAnsi="Arial"/>
                <w:sz w:val="12"/>
                <w:szCs w:val="12"/>
                <w:color w:val="0000EE"/>
              </w:rPr>
            </w:pPr>
            <w:hyperlink w:anchor="page8">
              <w:r>
                <w:rPr>
                  <w:rFonts w:ascii="Arial" w:cs="Arial" w:eastAsia="Arial" w:hAnsi="Arial"/>
                  <w:sz w:val="12"/>
                  <w:szCs w:val="12"/>
                  <w:color w:val="0000EE"/>
                </w:rPr>
                <w:t>5</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520" w:type="dxa"/>
            <w:vAlign w:val="bottom"/>
            <w:gridSpan w:val="18"/>
          </w:tcPr>
          <w:p>
            <w:pPr>
              <w:spacing w:after="0"/>
              <w:rPr>
                <w:rFonts w:ascii="Arial" w:cs="Arial" w:eastAsia="Arial" w:hAnsi="Arial"/>
                <w:sz w:val="12"/>
                <w:szCs w:val="12"/>
                <w:color w:val="0000EE"/>
                <w:w w:val="99"/>
              </w:rPr>
            </w:pPr>
            <w:hyperlink w:anchor="page9">
              <w:r>
                <w:rPr>
                  <w:rFonts w:ascii="Arial" w:cs="Arial" w:eastAsia="Arial" w:hAnsi="Arial"/>
                  <w:sz w:val="12"/>
                  <w:szCs w:val="12"/>
                  <w:color w:val="0000EE"/>
                  <w:w w:val="99"/>
                </w:rPr>
                <w:t>Condensed Consolidated Statements of Cash Flows for the nine months ended September 30, 2019 and 2018 (unaudited)</w:t>
              </w:r>
            </w:hyperlink>
          </w:p>
        </w:tc>
        <w:tc>
          <w:tcPr>
            <w:tcW w:w="1100" w:type="dxa"/>
            <w:vAlign w:val="bottom"/>
            <w:gridSpan w:val="2"/>
          </w:tcPr>
          <w:p>
            <w:pPr>
              <w:spacing w:after="0"/>
              <w:rPr>
                <w:sz w:val="13"/>
                <w:szCs w:val="13"/>
                <w:color w:val="auto"/>
              </w:rPr>
            </w:pPr>
          </w:p>
        </w:tc>
        <w:tc>
          <w:tcPr>
            <w:tcW w:w="2660" w:type="dxa"/>
            <w:vAlign w:val="bottom"/>
            <w:gridSpan w:val="2"/>
          </w:tcPr>
          <w:p>
            <w:pPr>
              <w:spacing w:after="0"/>
              <w:rPr>
                <w:sz w:val="13"/>
                <w:szCs w:val="13"/>
                <w:color w:val="auto"/>
              </w:rPr>
            </w:pPr>
          </w:p>
        </w:tc>
        <w:tc>
          <w:tcPr>
            <w:tcW w:w="140" w:type="dxa"/>
            <w:vAlign w:val="bottom"/>
            <w:gridSpan w:val="2"/>
          </w:tcPr>
          <w:p>
            <w:pPr>
              <w:jc w:val="right"/>
              <w:spacing w:after="0"/>
              <w:rPr>
                <w:rFonts w:ascii="Arial" w:cs="Arial" w:eastAsia="Arial" w:hAnsi="Arial"/>
                <w:sz w:val="12"/>
                <w:szCs w:val="12"/>
                <w:color w:val="0000EE"/>
              </w:rPr>
            </w:pPr>
            <w:hyperlink w:anchor="page9">
              <w:r>
                <w:rPr>
                  <w:rFonts w:ascii="Arial" w:cs="Arial" w:eastAsia="Arial" w:hAnsi="Arial"/>
                  <w:sz w:val="12"/>
                  <w:szCs w:val="12"/>
                  <w:color w:val="0000EE"/>
                </w:rPr>
                <w:t>6</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520" w:type="dxa"/>
            <w:vAlign w:val="bottom"/>
            <w:gridSpan w:val="18"/>
          </w:tcPr>
          <w:p>
            <w:pPr>
              <w:spacing w:after="0"/>
              <w:rPr>
                <w:rFonts w:ascii="Arial" w:cs="Arial" w:eastAsia="Arial" w:hAnsi="Arial"/>
                <w:sz w:val="12"/>
                <w:szCs w:val="12"/>
                <w:color w:val="0000EE"/>
              </w:rPr>
            </w:pPr>
            <w:hyperlink w:anchor="page10">
              <w:r>
                <w:rPr>
                  <w:rFonts w:ascii="Arial" w:cs="Arial" w:eastAsia="Arial" w:hAnsi="Arial"/>
                  <w:sz w:val="12"/>
                  <w:szCs w:val="12"/>
                  <w:color w:val="0000EE"/>
                </w:rPr>
                <w:t>Notes to Condensed Consolidated Financial Statements (unaudited)</w:t>
              </w:r>
            </w:hyperlink>
          </w:p>
        </w:tc>
        <w:tc>
          <w:tcPr>
            <w:tcW w:w="3760" w:type="dxa"/>
            <w:vAlign w:val="bottom"/>
            <w:gridSpan w:val="4"/>
          </w:tcPr>
          <w:p>
            <w:pPr>
              <w:spacing w:after="0"/>
              <w:rPr>
                <w:sz w:val="13"/>
                <w:szCs w:val="13"/>
                <w:color w:val="auto"/>
              </w:rPr>
            </w:pPr>
          </w:p>
        </w:tc>
        <w:tc>
          <w:tcPr>
            <w:tcW w:w="140" w:type="dxa"/>
            <w:vAlign w:val="bottom"/>
            <w:gridSpan w:val="2"/>
          </w:tcPr>
          <w:p>
            <w:pPr>
              <w:jc w:val="right"/>
              <w:spacing w:after="0"/>
              <w:rPr>
                <w:rFonts w:ascii="Arial" w:cs="Arial" w:eastAsia="Arial" w:hAnsi="Arial"/>
                <w:sz w:val="12"/>
                <w:szCs w:val="12"/>
                <w:color w:val="0000EE"/>
              </w:rPr>
            </w:pPr>
            <w:hyperlink w:anchor="page10">
              <w:r>
                <w:rPr>
                  <w:rFonts w:ascii="Arial" w:cs="Arial" w:eastAsia="Arial" w:hAnsi="Arial"/>
                  <w:sz w:val="12"/>
                  <w:szCs w:val="12"/>
                  <w:color w:val="0000EE"/>
                </w:rPr>
                <w:t>7</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360" w:type="dxa"/>
            <w:vAlign w:val="bottom"/>
          </w:tcPr>
          <w:p>
            <w:pPr>
              <w:spacing w:after="0"/>
              <w:rPr>
                <w:rFonts w:ascii="Arial" w:cs="Arial" w:eastAsia="Arial" w:hAnsi="Arial"/>
                <w:sz w:val="12"/>
                <w:szCs w:val="12"/>
                <w:color w:val="0000EE"/>
                <w:w w:val="92"/>
              </w:rPr>
            </w:pPr>
            <w:hyperlink w:anchor="page50">
              <w:r>
                <w:rPr>
                  <w:rFonts w:ascii="Arial" w:cs="Arial" w:eastAsia="Arial" w:hAnsi="Arial"/>
                  <w:sz w:val="12"/>
                  <w:szCs w:val="12"/>
                  <w:color w:val="0000EE"/>
                  <w:w w:val="92"/>
                </w:rPr>
                <w:t>Item 2.</w:t>
              </w:r>
            </w:hyperlink>
          </w:p>
        </w:tc>
        <w:tc>
          <w:tcPr>
            <w:tcW w:w="660" w:type="dxa"/>
            <w:vAlign w:val="bottom"/>
            <w:gridSpan w:val="3"/>
          </w:tcPr>
          <w:p>
            <w:pPr>
              <w:spacing w:after="0"/>
              <w:rPr>
                <w:sz w:val="13"/>
                <w:szCs w:val="13"/>
                <w:color w:val="auto"/>
              </w:rPr>
            </w:pPr>
          </w:p>
        </w:tc>
        <w:tc>
          <w:tcPr>
            <w:tcW w:w="10280" w:type="dxa"/>
            <w:vAlign w:val="bottom"/>
            <w:gridSpan w:val="22"/>
          </w:tcPr>
          <w:p>
            <w:pPr>
              <w:spacing w:after="0"/>
              <w:rPr>
                <w:rFonts w:ascii="Arial" w:cs="Arial" w:eastAsia="Arial" w:hAnsi="Arial"/>
                <w:sz w:val="12"/>
                <w:szCs w:val="12"/>
                <w:color w:val="0000EE"/>
              </w:rPr>
            </w:pPr>
            <w:hyperlink w:anchor="page50">
              <w:r>
                <w:rPr>
                  <w:rFonts w:ascii="Arial" w:cs="Arial" w:eastAsia="Arial" w:hAnsi="Arial"/>
                  <w:sz w:val="12"/>
                  <w:szCs w:val="12"/>
                  <w:color w:val="0000EE"/>
                </w:rPr>
                <w:t>Management’s Discussion and Analysis of Financial Condition and Results of Operations</w:t>
              </w:r>
            </w:hyperlink>
          </w:p>
        </w:tc>
        <w:tc>
          <w:tcPr>
            <w:tcW w:w="140" w:type="dxa"/>
            <w:vAlign w:val="bottom"/>
            <w:gridSpan w:val="2"/>
          </w:tcPr>
          <w:p>
            <w:pPr>
              <w:jc w:val="right"/>
              <w:spacing w:after="0"/>
              <w:rPr>
                <w:rFonts w:ascii="Arial" w:cs="Arial" w:eastAsia="Arial" w:hAnsi="Arial"/>
                <w:sz w:val="12"/>
                <w:szCs w:val="12"/>
                <w:color w:val="0000EE"/>
                <w:w w:val="89"/>
              </w:rPr>
            </w:pPr>
            <w:hyperlink w:anchor="page50">
              <w:r>
                <w:rPr>
                  <w:rFonts w:ascii="Arial" w:cs="Arial" w:eastAsia="Arial" w:hAnsi="Arial"/>
                  <w:sz w:val="12"/>
                  <w:szCs w:val="12"/>
                  <w:color w:val="0000EE"/>
                  <w:w w:val="89"/>
                </w:rPr>
                <w:t>47</w:t>
              </w:r>
            </w:hyperlink>
          </w:p>
        </w:tc>
      </w:tr>
      <w:tr>
        <w:trPr>
          <w:trHeight w:val="151"/>
        </w:trPr>
        <w:tc>
          <w:tcPr>
            <w:tcW w:w="20" w:type="dxa"/>
            <w:vAlign w:val="bottom"/>
          </w:tcPr>
          <w:p>
            <w:pPr>
              <w:spacing w:after="0"/>
              <w:rPr>
                <w:sz w:val="13"/>
                <w:szCs w:val="13"/>
                <w:color w:val="auto"/>
              </w:rPr>
            </w:pPr>
          </w:p>
        </w:tc>
        <w:tc>
          <w:tcPr>
            <w:tcW w:w="360" w:type="dxa"/>
            <w:vAlign w:val="bottom"/>
            <w:tcBorders>
              <w:top w:val="single" w:sz="8" w:color="0000EE"/>
              <w:bottom w:val="single" w:sz="8" w:color="0000EE"/>
            </w:tcBorders>
          </w:tcPr>
          <w:p>
            <w:pPr>
              <w:spacing w:after="0"/>
              <w:rPr>
                <w:rFonts w:ascii="Arial" w:cs="Arial" w:eastAsia="Arial" w:hAnsi="Arial"/>
                <w:sz w:val="12"/>
                <w:szCs w:val="12"/>
                <w:color w:val="0000EE"/>
                <w:w w:val="92"/>
              </w:rPr>
            </w:pPr>
            <w:hyperlink w:anchor="page73">
              <w:r>
                <w:rPr>
                  <w:rFonts w:ascii="Arial" w:cs="Arial" w:eastAsia="Arial" w:hAnsi="Arial"/>
                  <w:sz w:val="12"/>
                  <w:szCs w:val="12"/>
                  <w:color w:val="0000EE"/>
                  <w:w w:val="92"/>
                </w:rPr>
                <w:t>Item 3.</w:t>
              </w:r>
            </w:hyperlink>
          </w:p>
        </w:tc>
        <w:tc>
          <w:tcPr>
            <w:tcW w:w="660" w:type="dxa"/>
            <w:vAlign w:val="bottom"/>
            <w:gridSpan w:val="3"/>
          </w:tcPr>
          <w:p>
            <w:pPr>
              <w:spacing w:after="0"/>
              <w:rPr>
                <w:sz w:val="13"/>
                <w:szCs w:val="13"/>
                <w:color w:val="auto"/>
              </w:rPr>
            </w:pPr>
          </w:p>
        </w:tc>
        <w:tc>
          <w:tcPr>
            <w:tcW w:w="3140" w:type="dxa"/>
            <w:vAlign w:val="bottom"/>
            <w:tcBorders>
              <w:top w:val="single" w:sz="8" w:color="0000EE"/>
              <w:bottom w:val="single" w:sz="8" w:color="0000EE"/>
            </w:tcBorders>
            <w:gridSpan w:val="9"/>
          </w:tcPr>
          <w:p>
            <w:pPr>
              <w:spacing w:after="0"/>
              <w:rPr>
                <w:rFonts w:ascii="Arial" w:cs="Arial" w:eastAsia="Arial" w:hAnsi="Arial"/>
                <w:sz w:val="12"/>
                <w:szCs w:val="12"/>
                <w:color w:val="0000EE"/>
                <w:w w:val="99"/>
              </w:rPr>
            </w:pPr>
            <w:hyperlink w:anchor="page73">
              <w:r>
                <w:rPr>
                  <w:rFonts w:ascii="Arial" w:cs="Arial" w:eastAsia="Arial" w:hAnsi="Arial"/>
                  <w:sz w:val="12"/>
                  <w:szCs w:val="12"/>
                  <w:color w:val="0000EE"/>
                  <w:w w:val="99"/>
                </w:rPr>
                <w:t>Quantitative and Qualitative Disclosures about Market Risk</w:t>
              </w:r>
            </w:hyperlink>
          </w:p>
        </w:tc>
        <w:tc>
          <w:tcPr>
            <w:tcW w:w="1580" w:type="dxa"/>
            <w:vAlign w:val="bottom"/>
            <w:tcBorders>
              <w:top w:val="single" w:sz="8" w:color="0000EE"/>
            </w:tcBorders>
            <w:gridSpan w:val="5"/>
          </w:tcPr>
          <w:p>
            <w:pPr>
              <w:spacing w:after="0"/>
              <w:rPr>
                <w:sz w:val="13"/>
                <w:szCs w:val="13"/>
                <w:color w:val="auto"/>
              </w:rPr>
            </w:pPr>
          </w:p>
        </w:tc>
        <w:tc>
          <w:tcPr>
            <w:tcW w:w="5560" w:type="dxa"/>
            <w:vAlign w:val="bottom"/>
            <w:gridSpan w:val="8"/>
          </w:tcPr>
          <w:p>
            <w:pPr>
              <w:spacing w:after="0"/>
              <w:rPr>
                <w:sz w:val="13"/>
                <w:szCs w:val="13"/>
                <w:color w:val="auto"/>
              </w:rPr>
            </w:pPr>
          </w:p>
        </w:tc>
        <w:tc>
          <w:tcPr>
            <w:tcW w:w="140" w:type="dxa"/>
            <w:vAlign w:val="bottom"/>
            <w:tcBorders>
              <w:top w:val="single" w:sz="8" w:color="0000EE"/>
              <w:bottom w:val="single" w:sz="8" w:color="0000EE"/>
            </w:tcBorders>
            <w:gridSpan w:val="2"/>
          </w:tcPr>
          <w:p>
            <w:pPr>
              <w:jc w:val="right"/>
              <w:spacing w:after="0"/>
              <w:rPr>
                <w:rFonts w:ascii="Arial" w:cs="Arial" w:eastAsia="Arial" w:hAnsi="Arial"/>
                <w:sz w:val="12"/>
                <w:szCs w:val="12"/>
                <w:color w:val="0000EE"/>
                <w:w w:val="89"/>
              </w:rPr>
            </w:pPr>
            <w:hyperlink w:anchor="page73">
              <w:r>
                <w:rPr>
                  <w:rFonts w:ascii="Arial" w:cs="Arial" w:eastAsia="Arial" w:hAnsi="Arial"/>
                  <w:sz w:val="12"/>
                  <w:szCs w:val="12"/>
                  <w:color w:val="0000EE"/>
                  <w:w w:val="89"/>
                </w:rPr>
                <w:t>70</w:t>
              </w:r>
            </w:hyperlink>
          </w:p>
        </w:tc>
      </w:tr>
      <w:tr>
        <w:trPr>
          <w:trHeight w:val="151"/>
        </w:trPr>
        <w:tc>
          <w:tcPr>
            <w:tcW w:w="20" w:type="dxa"/>
            <w:vAlign w:val="bottom"/>
          </w:tcPr>
          <w:p>
            <w:pPr>
              <w:spacing w:after="0"/>
              <w:rPr>
                <w:sz w:val="13"/>
                <w:szCs w:val="13"/>
                <w:color w:val="auto"/>
              </w:rPr>
            </w:pPr>
          </w:p>
        </w:tc>
        <w:tc>
          <w:tcPr>
            <w:tcW w:w="1020" w:type="dxa"/>
            <w:vAlign w:val="bottom"/>
            <w:gridSpan w:val="4"/>
          </w:tcPr>
          <w:p>
            <w:pPr>
              <w:spacing w:after="0"/>
              <w:rPr>
                <w:rFonts w:ascii="Arial" w:cs="Arial" w:eastAsia="Arial" w:hAnsi="Arial"/>
                <w:sz w:val="12"/>
                <w:szCs w:val="12"/>
                <w:color w:val="0000EE"/>
              </w:rPr>
            </w:pPr>
            <w:hyperlink w:anchor="page75">
              <w:r>
                <w:rPr>
                  <w:rFonts w:ascii="Arial" w:cs="Arial" w:eastAsia="Arial" w:hAnsi="Arial"/>
                  <w:sz w:val="12"/>
                  <w:szCs w:val="12"/>
                  <w:color w:val="0000EE"/>
                </w:rPr>
                <w:t>Item 4.</w:t>
              </w:r>
            </w:hyperlink>
          </w:p>
        </w:tc>
        <w:tc>
          <w:tcPr>
            <w:tcW w:w="10280" w:type="dxa"/>
            <w:vAlign w:val="bottom"/>
            <w:gridSpan w:val="22"/>
          </w:tcPr>
          <w:p>
            <w:pPr>
              <w:spacing w:after="0"/>
              <w:rPr>
                <w:rFonts w:ascii="Arial" w:cs="Arial" w:eastAsia="Arial" w:hAnsi="Arial"/>
                <w:sz w:val="12"/>
                <w:szCs w:val="12"/>
                <w:color w:val="0000EE"/>
              </w:rPr>
            </w:pPr>
            <w:hyperlink w:anchor="page75">
              <w:r>
                <w:rPr>
                  <w:rFonts w:ascii="Arial" w:cs="Arial" w:eastAsia="Arial" w:hAnsi="Arial"/>
                  <w:sz w:val="12"/>
                  <w:szCs w:val="12"/>
                  <w:color w:val="0000EE"/>
                </w:rPr>
                <w:t>Controls and Procedures</w:t>
              </w:r>
            </w:hyperlink>
          </w:p>
        </w:tc>
        <w:tc>
          <w:tcPr>
            <w:tcW w:w="140" w:type="dxa"/>
            <w:vAlign w:val="bottom"/>
            <w:gridSpan w:val="2"/>
          </w:tcPr>
          <w:p>
            <w:pPr>
              <w:jc w:val="right"/>
              <w:spacing w:after="0"/>
              <w:rPr>
                <w:rFonts w:ascii="Arial" w:cs="Arial" w:eastAsia="Arial" w:hAnsi="Arial"/>
                <w:sz w:val="12"/>
                <w:szCs w:val="12"/>
                <w:color w:val="0000EE"/>
                <w:w w:val="89"/>
              </w:rPr>
            </w:pPr>
            <w:hyperlink w:anchor="page75">
              <w:r>
                <w:rPr>
                  <w:rFonts w:ascii="Arial" w:cs="Arial" w:eastAsia="Arial" w:hAnsi="Arial"/>
                  <w:sz w:val="12"/>
                  <w:szCs w:val="12"/>
                  <w:color w:val="0000EE"/>
                  <w:w w:val="89"/>
                </w:rPr>
                <w:t>72</w:t>
              </w:r>
            </w:hyperlink>
          </w:p>
        </w:tc>
      </w:tr>
      <w:tr>
        <w:trPr>
          <w:trHeight w:val="322"/>
        </w:trPr>
        <w:tc>
          <w:tcPr>
            <w:tcW w:w="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0" w:type="dxa"/>
            <w:vAlign w:val="bottom"/>
            <w:gridSpan w:val="9"/>
          </w:tcPr>
          <w:p>
            <w:pPr>
              <w:jc w:val="center"/>
              <w:ind w:right="4800"/>
              <w:spacing w:after="0"/>
              <w:rPr>
                <w:rFonts w:ascii="Arial" w:cs="Arial" w:eastAsia="Arial" w:hAnsi="Arial"/>
                <w:sz w:val="12"/>
                <w:szCs w:val="12"/>
                <w:b w:val="1"/>
                <w:bCs w:val="1"/>
                <w:color w:val="0000EE"/>
                <w:w w:val="98"/>
              </w:rPr>
            </w:pPr>
            <w:hyperlink w:anchor="page76">
              <w:r>
                <w:rPr>
                  <w:rFonts w:ascii="Arial" w:cs="Arial" w:eastAsia="Arial" w:hAnsi="Arial"/>
                  <w:sz w:val="12"/>
                  <w:szCs w:val="12"/>
                  <w:b w:val="1"/>
                  <w:bCs w:val="1"/>
                  <w:color w:val="0000EE"/>
                  <w:w w:val="98"/>
                </w:rPr>
                <w:t>PART II - OTHER INFORMATION</w:t>
              </w:r>
            </w:hyperlink>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r>
        <w:trPr>
          <w:trHeight w:val="322"/>
        </w:trPr>
        <w:tc>
          <w:tcPr>
            <w:tcW w:w="20" w:type="dxa"/>
            <w:vAlign w:val="bottom"/>
          </w:tcPr>
          <w:p>
            <w:pPr>
              <w:spacing w:after="0"/>
              <w:rPr>
                <w:sz w:val="24"/>
                <w:szCs w:val="24"/>
                <w:color w:val="auto"/>
              </w:rPr>
            </w:pPr>
          </w:p>
        </w:tc>
        <w:tc>
          <w:tcPr>
            <w:tcW w:w="360" w:type="dxa"/>
            <w:vAlign w:val="bottom"/>
          </w:tcPr>
          <w:p>
            <w:pPr>
              <w:spacing w:after="0"/>
              <w:rPr>
                <w:rFonts w:ascii="Arial" w:cs="Arial" w:eastAsia="Arial" w:hAnsi="Arial"/>
                <w:sz w:val="12"/>
                <w:szCs w:val="12"/>
                <w:color w:val="0000EE"/>
                <w:w w:val="92"/>
              </w:rPr>
            </w:pPr>
            <w:hyperlink w:anchor="page76">
              <w:r>
                <w:rPr>
                  <w:rFonts w:ascii="Arial" w:cs="Arial" w:eastAsia="Arial" w:hAnsi="Arial"/>
                  <w:sz w:val="12"/>
                  <w:szCs w:val="12"/>
                  <w:color w:val="0000EE"/>
                  <w:w w:val="92"/>
                </w:rPr>
                <w:t>Item 1.</w:t>
              </w:r>
            </w:hyperlink>
          </w:p>
        </w:tc>
        <w:tc>
          <w:tcPr>
            <w:tcW w:w="660" w:type="dxa"/>
            <w:vAlign w:val="bottom"/>
            <w:gridSpan w:val="3"/>
          </w:tcPr>
          <w:p>
            <w:pPr>
              <w:spacing w:after="0"/>
              <w:rPr>
                <w:sz w:val="24"/>
                <w:szCs w:val="24"/>
                <w:color w:val="auto"/>
              </w:rPr>
            </w:pPr>
          </w:p>
        </w:tc>
        <w:tc>
          <w:tcPr>
            <w:tcW w:w="3680" w:type="dxa"/>
            <w:vAlign w:val="bottom"/>
            <w:gridSpan w:val="13"/>
          </w:tcPr>
          <w:p>
            <w:pPr>
              <w:spacing w:after="0"/>
              <w:rPr>
                <w:rFonts w:ascii="Arial" w:cs="Arial" w:eastAsia="Arial" w:hAnsi="Arial"/>
                <w:sz w:val="12"/>
                <w:szCs w:val="12"/>
                <w:color w:val="0000EE"/>
              </w:rPr>
            </w:pPr>
            <w:hyperlink w:anchor="page76">
              <w:r>
                <w:rPr>
                  <w:rFonts w:ascii="Arial" w:cs="Arial" w:eastAsia="Arial" w:hAnsi="Arial"/>
                  <w:sz w:val="12"/>
                  <w:szCs w:val="12"/>
                  <w:color w:val="0000EE"/>
                </w:rPr>
                <w:t>Legal Proceedings</w:t>
              </w:r>
            </w:hyperlink>
          </w:p>
        </w:tc>
        <w:tc>
          <w:tcPr>
            <w:tcW w:w="1800" w:type="dxa"/>
            <w:vAlign w:val="bottom"/>
            <w:tcBorders>
              <w:top w:val="single" w:sz="8" w:color="0000EE"/>
            </w:tcBorders>
            <w:gridSpan w:val="2"/>
          </w:tcPr>
          <w:p>
            <w:pPr>
              <w:spacing w:after="0"/>
              <w:rPr>
                <w:sz w:val="24"/>
                <w:szCs w:val="24"/>
                <w:color w:val="auto"/>
              </w:rPr>
            </w:pPr>
          </w:p>
        </w:tc>
        <w:tc>
          <w:tcPr>
            <w:tcW w:w="4800" w:type="dxa"/>
            <w:vAlign w:val="bottom"/>
            <w:gridSpan w:val="7"/>
          </w:tcPr>
          <w:p>
            <w:pPr>
              <w:spacing w:after="0"/>
              <w:rPr>
                <w:sz w:val="24"/>
                <w:szCs w:val="24"/>
                <w:color w:val="auto"/>
              </w:rPr>
            </w:pPr>
          </w:p>
        </w:tc>
        <w:tc>
          <w:tcPr>
            <w:tcW w:w="140" w:type="dxa"/>
            <w:vAlign w:val="bottom"/>
            <w:gridSpan w:val="2"/>
          </w:tcPr>
          <w:p>
            <w:pPr>
              <w:jc w:val="right"/>
              <w:spacing w:after="0"/>
              <w:rPr>
                <w:rFonts w:ascii="Arial" w:cs="Arial" w:eastAsia="Arial" w:hAnsi="Arial"/>
                <w:sz w:val="12"/>
                <w:szCs w:val="12"/>
                <w:color w:val="0000EE"/>
                <w:w w:val="89"/>
              </w:rPr>
            </w:pPr>
            <w:hyperlink w:anchor="page76">
              <w:r>
                <w:rPr>
                  <w:rFonts w:ascii="Arial" w:cs="Arial" w:eastAsia="Arial" w:hAnsi="Arial"/>
                  <w:sz w:val="12"/>
                  <w:szCs w:val="12"/>
                  <w:color w:val="0000EE"/>
                  <w:w w:val="89"/>
                </w:rPr>
                <w:t>73</w:t>
              </w:r>
            </w:hyperlink>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040" w:type="dxa"/>
            <w:vAlign w:val="bottom"/>
            <w:gridSpan w:val="12"/>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40" w:type="dxa"/>
            <w:vAlign w:val="bottom"/>
            <w:tcBorders>
              <w:bottom w:val="single" w:sz="8" w:color="0000EE"/>
            </w:tcBorders>
            <w:gridSpan w:val="2"/>
          </w:tcPr>
          <w:p>
            <w:pPr>
              <w:spacing w:after="0"/>
              <w:rPr>
                <w:rFonts w:ascii="Arial" w:cs="Arial" w:eastAsia="Arial" w:hAnsi="Arial"/>
                <w:sz w:val="12"/>
                <w:szCs w:val="12"/>
                <w:color w:val="0000EE"/>
                <w:w w:val="93"/>
              </w:rPr>
            </w:pPr>
            <w:hyperlink w:anchor="page76">
              <w:r>
                <w:rPr>
                  <w:rFonts w:ascii="Arial" w:cs="Arial" w:eastAsia="Arial" w:hAnsi="Arial"/>
                  <w:sz w:val="12"/>
                  <w:szCs w:val="12"/>
                  <w:color w:val="0000EE"/>
                  <w:w w:val="93"/>
                </w:rPr>
                <w:t>Item 1A.</w:t>
              </w:r>
            </w:hyperlink>
          </w:p>
        </w:tc>
        <w:tc>
          <w:tcPr>
            <w:tcW w:w="580" w:type="dxa"/>
            <w:vAlign w:val="bottom"/>
            <w:gridSpan w:val="2"/>
          </w:tcPr>
          <w:p>
            <w:pPr>
              <w:spacing w:after="0"/>
              <w:rPr>
                <w:sz w:val="13"/>
                <w:szCs w:val="13"/>
                <w:color w:val="auto"/>
              </w:rPr>
            </w:pPr>
          </w:p>
        </w:tc>
        <w:tc>
          <w:tcPr>
            <w:tcW w:w="680" w:type="dxa"/>
            <w:vAlign w:val="bottom"/>
            <w:tcBorders>
              <w:bottom w:val="single" w:sz="8" w:color="0000EE"/>
            </w:tcBorders>
            <w:gridSpan w:val="3"/>
          </w:tcPr>
          <w:p>
            <w:pPr>
              <w:spacing w:after="0"/>
              <w:rPr>
                <w:rFonts w:ascii="Arial" w:cs="Arial" w:eastAsia="Arial" w:hAnsi="Arial"/>
                <w:sz w:val="12"/>
                <w:szCs w:val="12"/>
                <w:color w:val="0000EE"/>
                <w:w w:val="98"/>
              </w:rPr>
            </w:pPr>
            <w:hyperlink w:anchor="page76">
              <w:r>
                <w:rPr>
                  <w:rFonts w:ascii="Arial" w:cs="Arial" w:eastAsia="Arial" w:hAnsi="Arial"/>
                  <w:sz w:val="12"/>
                  <w:szCs w:val="12"/>
                  <w:color w:val="0000EE"/>
                  <w:w w:val="98"/>
                </w:rPr>
                <w:t>Risk Factors</w:t>
              </w:r>
            </w:hyperlink>
          </w:p>
        </w:tc>
        <w:tc>
          <w:tcPr>
            <w:tcW w:w="9600" w:type="dxa"/>
            <w:vAlign w:val="bottom"/>
            <w:gridSpan w:val="19"/>
          </w:tcPr>
          <w:p>
            <w:pPr>
              <w:spacing w:after="0"/>
              <w:rPr>
                <w:sz w:val="13"/>
                <w:szCs w:val="13"/>
                <w:color w:val="auto"/>
              </w:rPr>
            </w:pPr>
          </w:p>
        </w:tc>
        <w:tc>
          <w:tcPr>
            <w:tcW w:w="140" w:type="dxa"/>
            <w:vAlign w:val="bottom"/>
            <w:tcBorders>
              <w:bottom w:val="single" w:sz="8" w:color="0000EE"/>
            </w:tcBorders>
            <w:gridSpan w:val="2"/>
          </w:tcPr>
          <w:p>
            <w:pPr>
              <w:jc w:val="right"/>
              <w:spacing w:after="0"/>
              <w:rPr>
                <w:rFonts w:ascii="Arial" w:cs="Arial" w:eastAsia="Arial" w:hAnsi="Arial"/>
                <w:sz w:val="12"/>
                <w:szCs w:val="12"/>
                <w:color w:val="0000EE"/>
                <w:w w:val="89"/>
              </w:rPr>
            </w:pPr>
            <w:hyperlink w:anchor="page76">
              <w:r>
                <w:rPr>
                  <w:rFonts w:ascii="Arial" w:cs="Arial" w:eastAsia="Arial" w:hAnsi="Arial"/>
                  <w:sz w:val="12"/>
                  <w:szCs w:val="12"/>
                  <w:color w:val="0000EE"/>
                  <w:w w:val="89"/>
                </w:rPr>
                <w:t>73</w:t>
              </w:r>
            </w:hyperlink>
          </w:p>
        </w:tc>
      </w:tr>
      <w:tr>
        <w:trPr>
          <w:trHeight w:val="151"/>
        </w:trPr>
        <w:tc>
          <w:tcPr>
            <w:tcW w:w="20" w:type="dxa"/>
            <w:vAlign w:val="bottom"/>
          </w:tcPr>
          <w:p>
            <w:pPr>
              <w:spacing w:after="0"/>
              <w:rPr>
                <w:sz w:val="13"/>
                <w:szCs w:val="13"/>
                <w:color w:val="auto"/>
              </w:rPr>
            </w:pPr>
          </w:p>
        </w:tc>
        <w:tc>
          <w:tcPr>
            <w:tcW w:w="360" w:type="dxa"/>
            <w:vAlign w:val="bottom"/>
          </w:tcPr>
          <w:p>
            <w:pPr>
              <w:spacing w:after="0"/>
              <w:rPr>
                <w:rFonts w:ascii="Arial" w:cs="Arial" w:eastAsia="Arial" w:hAnsi="Arial"/>
                <w:sz w:val="12"/>
                <w:szCs w:val="12"/>
                <w:color w:val="0000EE"/>
                <w:w w:val="92"/>
              </w:rPr>
            </w:pPr>
            <w:hyperlink w:anchor="page78">
              <w:r>
                <w:rPr>
                  <w:rFonts w:ascii="Arial" w:cs="Arial" w:eastAsia="Arial" w:hAnsi="Arial"/>
                  <w:sz w:val="12"/>
                  <w:szCs w:val="12"/>
                  <w:color w:val="0000EE"/>
                  <w:w w:val="92"/>
                </w:rPr>
                <w:t>Item 2.</w:t>
              </w:r>
            </w:hyperlink>
          </w:p>
        </w:tc>
        <w:tc>
          <w:tcPr>
            <w:tcW w:w="660" w:type="dxa"/>
            <w:vAlign w:val="bottom"/>
            <w:gridSpan w:val="3"/>
          </w:tcPr>
          <w:p>
            <w:pPr>
              <w:spacing w:after="0"/>
              <w:rPr>
                <w:sz w:val="13"/>
                <w:szCs w:val="13"/>
                <w:color w:val="auto"/>
              </w:rPr>
            </w:pPr>
          </w:p>
        </w:tc>
        <w:tc>
          <w:tcPr>
            <w:tcW w:w="10280" w:type="dxa"/>
            <w:vAlign w:val="bottom"/>
            <w:gridSpan w:val="22"/>
          </w:tcPr>
          <w:p>
            <w:pPr>
              <w:spacing w:after="0"/>
              <w:rPr>
                <w:rFonts w:ascii="Arial" w:cs="Arial" w:eastAsia="Arial" w:hAnsi="Arial"/>
                <w:sz w:val="12"/>
                <w:szCs w:val="12"/>
                <w:color w:val="0000EE"/>
              </w:rPr>
            </w:pPr>
            <w:hyperlink w:anchor="page78">
              <w:r>
                <w:rPr>
                  <w:rFonts w:ascii="Arial" w:cs="Arial" w:eastAsia="Arial" w:hAnsi="Arial"/>
                  <w:sz w:val="12"/>
                  <w:szCs w:val="12"/>
                  <w:color w:val="0000EE"/>
                </w:rPr>
                <w:t>Unregistered Sales of Equity Securities and Use of Proceeds</w:t>
              </w:r>
            </w:hyperlink>
          </w:p>
        </w:tc>
        <w:tc>
          <w:tcPr>
            <w:tcW w:w="140" w:type="dxa"/>
            <w:vAlign w:val="bottom"/>
            <w:gridSpan w:val="2"/>
          </w:tcPr>
          <w:p>
            <w:pPr>
              <w:jc w:val="right"/>
              <w:spacing w:after="0"/>
              <w:rPr>
                <w:rFonts w:ascii="Arial" w:cs="Arial" w:eastAsia="Arial" w:hAnsi="Arial"/>
                <w:sz w:val="12"/>
                <w:szCs w:val="12"/>
                <w:color w:val="0000EE"/>
                <w:w w:val="89"/>
              </w:rPr>
            </w:pPr>
            <w:hyperlink w:anchor="page78">
              <w:r>
                <w:rPr>
                  <w:rFonts w:ascii="Arial" w:cs="Arial" w:eastAsia="Arial" w:hAnsi="Arial"/>
                  <w:sz w:val="12"/>
                  <w:szCs w:val="12"/>
                  <w:color w:val="0000EE"/>
                  <w:w w:val="89"/>
                </w:rPr>
                <w:t>75</w:t>
              </w:r>
            </w:hyperlink>
          </w:p>
        </w:tc>
      </w:tr>
      <w:tr>
        <w:trPr>
          <w:trHeight w:val="151"/>
        </w:trPr>
        <w:tc>
          <w:tcPr>
            <w:tcW w:w="20" w:type="dxa"/>
            <w:vAlign w:val="bottom"/>
          </w:tcPr>
          <w:p>
            <w:pPr>
              <w:spacing w:after="0"/>
              <w:rPr>
                <w:sz w:val="13"/>
                <w:szCs w:val="13"/>
                <w:color w:val="auto"/>
              </w:rPr>
            </w:pPr>
          </w:p>
        </w:tc>
        <w:tc>
          <w:tcPr>
            <w:tcW w:w="360" w:type="dxa"/>
            <w:vAlign w:val="bottom"/>
            <w:tcBorders>
              <w:top w:val="single" w:sz="8" w:color="0000EE"/>
            </w:tcBorders>
          </w:tcPr>
          <w:p>
            <w:pPr>
              <w:spacing w:after="0"/>
              <w:rPr>
                <w:rFonts w:ascii="Arial" w:cs="Arial" w:eastAsia="Arial" w:hAnsi="Arial"/>
                <w:sz w:val="12"/>
                <w:szCs w:val="12"/>
                <w:color w:val="0000EE"/>
                <w:w w:val="92"/>
              </w:rPr>
            </w:pPr>
            <w:hyperlink w:anchor="page78">
              <w:r>
                <w:rPr>
                  <w:rFonts w:ascii="Arial" w:cs="Arial" w:eastAsia="Arial" w:hAnsi="Arial"/>
                  <w:sz w:val="12"/>
                  <w:szCs w:val="12"/>
                  <w:color w:val="0000EE"/>
                  <w:w w:val="92"/>
                </w:rPr>
                <w:t>Item 3.</w:t>
              </w:r>
            </w:hyperlink>
          </w:p>
        </w:tc>
        <w:tc>
          <w:tcPr>
            <w:tcW w:w="660" w:type="dxa"/>
            <w:vAlign w:val="bottom"/>
            <w:gridSpan w:val="3"/>
          </w:tcPr>
          <w:p>
            <w:pPr>
              <w:spacing w:after="0"/>
              <w:rPr>
                <w:sz w:val="13"/>
                <w:szCs w:val="13"/>
                <w:color w:val="auto"/>
              </w:rPr>
            </w:pPr>
          </w:p>
        </w:tc>
        <w:tc>
          <w:tcPr>
            <w:tcW w:w="3240" w:type="dxa"/>
            <w:vAlign w:val="bottom"/>
            <w:tcBorders>
              <w:top w:val="single" w:sz="8" w:color="0000EE"/>
            </w:tcBorders>
            <w:gridSpan w:val="10"/>
          </w:tcPr>
          <w:p>
            <w:pPr>
              <w:spacing w:after="0"/>
              <w:rPr>
                <w:rFonts w:ascii="Arial" w:cs="Arial" w:eastAsia="Arial" w:hAnsi="Arial"/>
                <w:sz w:val="12"/>
                <w:szCs w:val="12"/>
                <w:color w:val="0000EE"/>
              </w:rPr>
            </w:pPr>
            <w:hyperlink w:anchor="page78">
              <w:r>
                <w:rPr>
                  <w:rFonts w:ascii="Arial" w:cs="Arial" w:eastAsia="Arial" w:hAnsi="Arial"/>
                  <w:sz w:val="12"/>
                  <w:szCs w:val="12"/>
                  <w:color w:val="0000EE"/>
                </w:rPr>
                <w:t>Defaults Upon Senior Securities</w:t>
              </w:r>
            </w:hyperlink>
          </w:p>
        </w:tc>
        <w:tc>
          <w:tcPr>
            <w:tcW w:w="7040" w:type="dxa"/>
            <w:vAlign w:val="bottom"/>
            <w:gridSpan w:val="12"/>
          </w:tcPr>
          <w:p>
            <w:pPr>
              <w:spacing w:after="0"/>
              <w:rPr>
                <w:sz w:val="13"/>
                <w:szCs w:val="13"/>
                <w:color w:val="auto"/>
              </w:rPr>
            </w:pPr>
          </w:p>
        </w:tc>
        <w:tc>
          <w:tcPr>
            <w:tcW w:w="140" w:type="dxa"/>
            <w:vAlign w:val="bottom"/>
            <w:tcBorders>
              <w:top w:val="single" w:sz="8" w:color="0000EE"/>
            </w:tcBorders>
            <w:gridSpan w:val="2"/>
          </w:tcPr>
          <w:p>
            <w:pPr>
              <w:jc w:val="right"/>
              <w:spacing w:after="0"/>
              <w:rPr>
                <w:rFonts w:ascii="Arial" w:cs="Arial" w:eastAsia="Arial" w:hAnsi="Arial"/>
                <w:sz w:val="12"/>
                <w:szCs w:val="12"/>
                <w:color w:val="0000EE"/>
                <w:w w:val="89"/>
              </w:rPr>
            </w:pPr>
            <w:hyperlink w:anchor="page78">
              <w:r>
                <w:rPr>
                  <w:rFonts w:ascii="Arial" w:cs="Arial" w:eastAsia="Arial" w:hAnsi="Arial"/>
                  <w:sz w:val="12"/>
                  <w:szCs w:val="12"/>
                  <w:color w:val="0000EE"/>
                  <w:w w:val="89"/>
                </w:rPr>
                <w:t>75</w:t>
              </w:r>
            </w:hyperlink>
          </w:p>
        </w:tc>
      </w:tr>
      <w:tr>
        <w:trPr>
          <w:trHeight w:val="151"/>
        </w:trPr>
        <w:tc>
          <w:tcPr>
            <w:tcW w:w="20" w:type="dxa"/>
            <w:vAlign w:val="bottom"/>
          </w:tcPr>
          <w:p>
            <w:pPr>
              <w:spacing w:after="0"/>
              <w:rPr>
                <w:sz w:val="13"/>
                <w:szCs w:val="13"/>
                <w:color w:val="auto"/>
              </w:rPr>
            </w:pPr>
          </w:p>
        </w:tc>
        <w:tc>
          <w:tcPr>
            <w:tcW w:w="360" w:type="dxa"/>
            <w:vAlign w:val="bottom"/>
            <w:tcBorders>
              <w:top w:val="single" w:sz="8" w:color="0000EE"/>
              <w:bottom w:val="single" w:sz="8" w:color="0000EE"/>
            </w:tcBorders>
          </w:tcPr>
          <w:p>
            <w:pPr>
              <w:spacing w:after="0"/>
              <w:rPr>
                <w:rFonts w:ascii="Arial" w:cs="Arial" w:eastAsia="Arial" w:hAnsi="Arial"/>
                <w:sz w:val="12"/>
                <w:szCs w:val="12"/>
                <w:color w:val="0000EE"/>
                <w:w w:val="92"/>
              </w:rPr>
            </w:pPr>
            <w:hyperlink w:anchor="page78">
              <w:r>
                <w:rPr>
                  <w:rFonts w:ascii="Arial" w:cs="Arial" w:eastAsia="Arial" w:hAnsi="Arial"/>
                  <w:sz w:val="12"/>
                  <w:szCs w:val="12"/>
                  <w:color w:val="0000EE"/>
                  <w:w w:val="92"/>
                </w:rPr>
                <w:t>Item 4.</w:t>
              </w:r>
            </w:hyperlink>
          </w:p>
        </w:tc>
        <w:tc>
          <w:tcPr>
            <w:tcW w:w="660" w:type="dxa"/>
            <w:vAlign w:val="bottom"/>
            <w:gridSpan w:val="3"/>
          </w:tcPr>
          <w:p>
            <w:pPr>
              <w:spacing w:after="0"/>
              <w:rPr>
                <w:sz w:val="13"/>
                <w:szCs w:val="13"/>
                <w:color w:val="auto"/>
              </w:rPr>
            </w:pPr>
          </w:p>
        </w:tc>
        <w:tc>
          <w:tcPr>
            <w:tcW w:w="1300" w:type="dxa"/>
            <w:vAlign w:val="bottom"/>
            <w:tcBorders>
              <w:top w:val="single" w:sz="8" w:color="0000EE"/>
              <w:bottom w:val="single" w:sz="8" w:color="0000EE"/>
            </w:tcBorders>
            <w:gridSpan w:val="6"/>
          </w:tcPr>
          <w:p>
            <w:pPr>
              <w:spacing w:after="0"/>
              <w:rPr>
                <w:rFonts w:ascii="Arial" w:cs="Arial" w:eastAsia="Arial" w:hAnsi="Arial"/>
                <w:sz w:val="12"/>
                <w:szCs w:val="12"/>
                <w:color w:val="0000EE"/>
                <w:w w:val="99"/>
              </w:rPr>
            </w:pPr>
            <w:hyperlink w:anchor="page78">
              <w:r>
                <w:rPr>
                  <w:rFonts w:ascii="Arial" w:cs="Arial" w:eastAsia="Arial" w:hAnsi="Arial"/>
                  <w:sz w:val="12"/>
                  <w:szCs w:val="12"/>
                  <w:color w:val="0000EE"/>
                  <w:w w:val="99"/>
                </w:rPr>
                <w:t>Mine Safety Disclosures</w:t>
              </w:r>
            </w:hyperlink>
          </w:p>
        </w:tc>
        <w:tc>
          <w:tcPr>
            <w:tcW w:w="400" w:type="dxa"/>
            <w:vAlign w:val="bottom"/>
            <w:tcBorders>
              <w:top w:val="single" w:sz="8" w:color="0000EE"/>
            </w:tcBorders>
            <w:gridSpan w:val="2"/>
          </w:tcPr>
          <w:p>
            <w:pPr>
              <w:spacing w:after="0"/>
              <w:rPr>
                <w:sz w:val="13"/>
                <w:szCs w:val="13"/>
                <w:color w:val="auto"/>
              </w:rPr>
            </w:pPr>
          </w:p>
        </w:tc>
        <w:tc>
          <w:tcPr>
            <w:tcW w:w="8580" w:type="dxa"/>
            <w:vAlign w:val="bottom"/>
            <w:gridSpan w:val="14"/>
          </w:tcPr>
          <w:p>
            <w:pPr>
              <w:spacing w:after="0"/>
              <w:rPr>
                <w:sz w:val="13"/>
                <w:szCs w:val="13"/>
                <w:color w:val="auto"/>
              </w:rPr>
            </w:pPr>
          </w:p>
        </w:tc>
        <w:tc>
          <w:tcPr>
            <w:tcW w:w="140" w:type="dxa"/>
            <w:vAlign w:val="bottom"/>
            <w:tcBorders>
              <w:top w:val="single" w:sz="8" w:color="0000EE"/>
              <w:bottom w:val="single" w:sz="8" w:color="0000EE"/>
            </w:tcBorders>
            <w:gridSpan w:val="2"/>
          </w:tcPr>
          <w:p>
            <w:pPr>
              <w:jc w:val="right"/>
              <w:spacing w:after="0"/>
              <w:rPr>
                <w:rFonts w:ascii="Arial" w:cs="Arial" w:eastAsia="Arial" w:hAnsi="Arial"/>
                <w:sz w:val="12"/>
                <w:szCs w:val="12"/>
                <w:color w:val="0000EE"/>
                <w:w w:val="89"/>
              </w:rPr>
            </w:pPr>
            <w:hyperlink w:anchor="page78">
              <w:r>
                <w:rPr>
                  <w:rFonts w:ascii="Arial" w:cs="Arial" w:eastAsia="Arial" w:hAnsi="Arial"/>
                  <w:sz w:val="12"/>
                  <w:szCs w:val="12"/>
                  <w:color w:val="0000EE"/>
                  <w:w w:val="89"/>
                </w:rPr>
                <w:t>75</w:t>
              </w:r>
            </w:hyperlink>
          </w:p>
        </w:tc>
      </w:tr>
      <w:tr>
        <w:trPr>
          <w:trHeight w:val="151"/>
        </w:trPr>
        <w:tc>
          <w:tcPr>
            <w:tcW w:w="20" w:type="dxa"/>
            <w:vAlign w:val="bottom"/>
          </w:tcPr>
          <w:p>
            <w:pPr>
              <w:spacing w:after="0"/>
              <w:rPr>
                <w:sz w:val="13"/>
                <w:szCs w:val="13"/>
                <w:color w:val="auto"/>
              </w:rPr>
            </w:pPr>
          </w:p>
        </w:tc>
        <w:tc>
          <w:tcPr>
            <w:tcW w:w="360" w:type="dxa"/>
            <w:vAlign w:val="bottom"/>
            <w:tcBorders>
              <w:bottom w:val="single" w:sz="8" w:color="0000EE"/>
            </w:tcBorders>
          </w:tcPr>
          <w:p>
            <w:pPr>
              <w:spacing w:after="0"/>
              <w:rPr>
                <w:rFonts w:ascii="Arial" w:cs="Arial" w:eastAsia="Arial" w:hAnsi="Arial"/>
                <w:sz w:val="12"/>
                <w:szCs w:val="12"/>
                <w:color w:val="0000EE"/>
                <w:w w:val="92"/>
              </w:rPr>
            </w:pPr>
            <w:hyperlink w:anchor="page79">
              <w:r>
                <w:rPr>
                  <w:rFonts w:ascii="Arial" w:cs="Arial" w:eastAsia="Arial" w:hAnsi="Arial"/>
                  <w:sz w:val="12"/>
                  <w:szCs w:val="12"/>
                  <w:color w:val="0000EE"/>
                  <w:w w:val="92"/>
                </w:rPr>
                <w:t>Item 5.</w:t>
              </w:r>
            </w:hyperlink>
          </w:p>
        </w:tc>
        <w:tc>
          <w:tcPr>
            <w:tcW w:w="660" w:type="dxa"/>
            <w:vAlign w:val="bottom"/>
            <w:gridSpan w:val="3"/>
          </w:tcPr>
          <w:p>
            <w:pPr>
              <w:spacing w:after="0"/>
              <w:rPr>
                <w:sz w:val="13"/>
                <w:szCs w:val="13"/>
                <w:color w:val="auto"/>
              </w:rPr>
            </w:pPr>
          </w:p>
        </w:tc>
        <w:tc>
          <w:tcPr>
            <w:tcW w:w="1000" w:type="dxa"/>
            <w:vAlign w:val="bottom"/>
            <w:tcBorders>
              <w:bottom w:val="single" w:sz="8" w:color="0000EE"/>
            </w:tcBorders>
            <w:gridSpan w:val="4"/>
          </w:tcPr>
          <w:p>
            <w:pPr>
              <w:spacing w:after="0"/>
              <w:rPr>
                <w:rFonts w:ascii="Arial" w:cs="Arial" w:eastAsia="Arial" w:hAnsi="Arial"/>
                <w:sz w:val="12"/>
                <w:szCs w:val="12"/>
                <w:color w:val="0000EE"/>
              </w:rPr>
            </w:pPr>
            <w:hyperlink w:anchor="page79">
              <w:r>
                <w:rPr>
                  <w:rFonts w:ascii="Arial" w:cs="Arial" w:eastAsia="Arial" w:hAnsi="Arial"/>
                  <w:sz w:val="12"/>
                  <w:szCs w:val="12"/>
                  <w:color w:val="0000EE"/>
                </w:rPr>
                <w:t>Other Information</w:t>
              </w:r>
            </w:hyperlink>
          </w:p>
        </w:tc>
        <w:tc>
          <w:tcPr>
            <w:tcW w:w="9280" w:type="dxa"/>
            <w:vAlign w:val="bottom"/>
            <w:gridSpan w:val="18"/>
          </w:tcPr>
          <w:p>
            <w:pPr>
              <w:spacing w:after="0"/>
              <w:rPr>
                <w:sz w:val="13"/>
                <w:szCs w:val="13"/>
                <w:color w:val="auto"/>
              </w:rPr>
            </w:pPr>
          </w:p>
        </w:tc>
        <w:tc>
          <w:tcPr>
            <w:tcW w:w="140" w:type="dxa"/>
            <w:vAlign w:val="bottom"/>
            <w:tcBorders>
              <w:bottom w:val="single" w:sz="8" w:color="0000EE"/>
            </w:tcBorders>
            <w:gridSpan w:val="2"/>
          </w:tcPr>
          <w:p>
            <w:pPr>
              <w:jc w:val="right"/>
              <w:spacing w:after="0"/>
              <w:rPr>
                <w:rFonts w:ascii="Arial" w:cs="Arial" w:eastAsia="Arial" w:hAnsi="Arial"/>
                <w:sz w:val="12"/>
                <w:szCs w:val="12"/>
                <w:color w:val="0000EE"/>
                <w:w w:val="89"/>
              </w:rPr>
            </w:pPr>
            <w:hyperlink w:anchor="page79">
              <w:r>
                <w:rPr>
                  <w:rFonts w:ascii="Arial" w:cs="Arial" w:eastAsia="Arial" w:hAnsi="Arial"/>
                  <w:sz w:val="12"/>
                  <w:szCs w:val="12"/>
                  <w:color w:val="0000EE"/>
                  <w:w w:val="89"/>
                </w:rPr>
                <w:t>76</w:t>
              </w:r>
            </w:hyperlink>
          </w:p>
        </w:tc>
      </w:tr>
      <w:tr>
        <w:trPr>
          <w:trHeight w:val="151"/>
        </w:trPr>
        <w:tc>
          <w:tcPr>
            <w:tcW w:w="20" w:type="dxa"/>
            <w:vAlign w:val="bottom"/>
          </w:tcPr>
          <w:p>
            <w:pPr>
              <w:spacing w:after="0"/>
              <w:rPr>
                <w:sz w:val="13"/>
                <w:szCs w:val="13"/>
                <w:color w:val="auto"/>
              </w:rPr>
            </w:pPr>
          </w:p>
        </w:tc>
        <w:tc>
          <w:tcPr>
            <w:tcW w:w="360" w:type="dxa"/>
            <w:vAlign w:val="bottom"/>
          </w:tcPr>
          <w:p>
            <w:pPr>
              <w:spacing w:after="0"/>
              <w:rPr>
                <w:rFonts w:ascii="Arial" w:cs="Arial" w:eastAsia="Arial" w:hAnsi="Arial"/>
                <w:sz w:val="12"/>
                <w:szCs w:val="12"/>
                <w:color w:val="0000EE"/>
                <w:w w:val="92"/>
              </w:rPr>
            </w:pPr>
            <w:hyperlink w:anchor="page79">
              <w:r>
                <w:rPr>
                  <w:rFonts w:ascii="Arial" w:cs="Arial" w:eastAsia="Arial" w:hAnsi="Arial"/>
                  <w:sz w:val="12"/>
                  <w:szCs w:val="12"/>
                  <w:color w:val="0000EE"/>
                  <w:w w:val="92"/>
                </w:rPr>
                <w:t>Item 6.</w:t>
              </w:r>
            </w:hyperlink>
          </w:p>
        </w:tc>
        <w:tc>
          <w:tcPr>
            <w:tcW w:w="660" w:type="dxa"/>
            <w:vAlign w:val="bottom"/>
            <w:gridSpan w:val="3"/>
          </w:tcPr>
          <w:p>
            <w:pPr>
              <w:spacing w:after="0"/>
              <w:rPr>
                <w:sz w:val="13"/>
                <w:szCs w:val="13"/>
                <w:color w:val="auto"/>
              </w:rPr>
            </w:pPr>
          </w:p>
        </w:tc>
        <w:tc>
          <w:tcPr>
            <w:tcW w:w="10280" w:type="dxa"/>
            <w:vAlign w:val="bottom"/>
            <w:gridSpan w:val="22"/>
          </w:tcPr>
          <w:p>
            <w:pPr>
              <w:spacing w:after="0"/>
              <w:rPr>
                <w:rFonts w:ascii="Arial" w:cs="Arial" w:eastAsia="Arial" w:hAnsi="Arial"/>
                <w:sz w:val="12"/>
                <w:szCs w:val="12"/>
                <w:color w:val="0000EE"/>
              </w:rPr>
            </w:pPr>
            <w:hyperlink w:anchor="page79">
              <w:r>
                <w:rPr>
                  <w:rFonts w:ascii="Arial" w:cs="Arial" w:eastAsia="Arial" w:hAnsi="Arial"/>
                  <w:sz w:val="12"/>
                  <w:szCs w:val="12"/>
                  <w:color w:val="0000EE"/>
                </w:rPr>
                <w:t>Exhibits</w:t>
              </w:r>
            </w:hyperlink>
          </w:p>
        </w:tc>
        <w:tc>
          <w:tcPr>
            <w:tcW w:w="140" w:type="dxa"/>
            <w:vAlign w:val="bottom"/>
            <w:gridSpan w:val="2"/>
          </w:tcPr>
          <w:p>
            <w:pPr>
              <w:jc w:val="right"/>
              <w:spacing w:after="0"/>
              <w:rPr>
                <w:rFonts w:ascii="Arial" w:cs="Arial" w:eastAsia="Arial" w:hAnsi="Arial"/>
                <w:sz w:val="12"/>
                <w:szCs w:val="12"/>
                <w:color w:val="0000EE"/>
                <w:w w:val="89"/>
              </w:rPr>
            </w:pPr>
            <w:hyperlink w:anchor="page79">
              <w:r>
                <w:rPr>
                  <w:rFonts w:ascii="Arial" w:cs="Arial" w:eastAsia="Arial" w:hAnsi="Arial"/>
                  <w:sz w:val="12"/>
                  <w:szCs w:val="12"/>
                  <w:color w:val="0000EE"/>
                  <w:w w:val="89"/>
                </w:rPr>
                <w:t>76</w:t>
              </w:r>
            </w:hyperlink>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700" w:type="dxa"/>
            <w:vAlign w:val="bottom"/>
            <w:gridSpan w:val="20"/>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bottom w:val="single" w:sz="8" w:color="0000EE"/>
            </w:tcBorders>
            <w:gridSpan w:val="2"/>
          </w:tcPr>
          <w:p>
            <w:pPr>
              <w:spacing w:after="0"/>
              <w:rPr>
                <w:rFonts w:ascii="Arial" w:cs="Arial" w:eastAsia="Arial" w:hAnsi="Arial"/>
                <w:sz w:val="12"/>
                <w:szCs w:val="12"/>
                <w:color w:val="0000EE"/>
                <w:w w:val="97"/>
              </w:rPr>
            </w:pPr>
            <w:hyperlink w:anchor="page80">
              <w:r>
                <w:rPr>
                  <w:rFonts w:ascii="Arial" w:cs="Arial" w:eastAsia="Arial" w:hAnsi="Arial"/>
                  <w:sz w:val="12"/>
                  <w:szCs w:val="12"/>
                  <w:color w:val="0000EE"/>
                  <w:w w:val="97"/>
                </w:rPr>
                <w:t>Signatures</w:t>
              </w:r>
            </w:hyperlink>
          </w:p>
        </w:tc>
        <w:tc>
          <w:tcPr>
            <w:tcW w:w="9700" w:type="dxa"/>
            <w:vAlign w:val="bottom"/>
            <w:gridSpan w:val="20"/>
          </w:tcPr>
          <w:p>
            <w:pPr>
              <w:spacing w:after="0"/>
              <w:rPr>
                <w:sz w:val="13"/>
                <w:szCs w:val="13"/>
                <w:color w:val="auto"/>
              </w:rPr>
            </w:pPr>
          </w:p>
        </w:tc>
        <w:tc>
          <w:tcPr>
            <w:tcW w:w="140" w:type="dxa"/>
            <w:vAlign w:val="bottom"/>
            <w:tcBorders>
              <w:bottom w:val="single" w:sz="8" w:color="0000EE"/>
            </w:tcBorders>
            <w:gridSpan w:val="2"/>
          </w:tcPr>
          <w:p>
            <w:pPr>
              <w:jc w:val="right"/>
              <w:spacing w:after="0"/>
              <w:rPr>
                <w:rFonts w:ascii="Arial" w:cs="Arial" w:eastAsia="Arial" w:hAnsi="Arial"/>
                <w:sz w:val="12"/>
                <w:szCs w:val="12"/>
                <w:color w:val="0000EE"/>
                <w:w w:val="89"/>
              </w:rPr>
            </w:pPr>
            <w:hyperlink w:anchor="page80">
              <w:r>
                <w:rPr>
                  <w:rFonts w:ascii="Arial" w:cs="Arial" w:eastAsia="Arial" w:hAnsi="Arial"/>
                  <w:sz w:val="12"/>
                  <w:szCs w:val="12"/>
                  <w:color w:val="0000EE"/>
                  <w:w w:val="89"/>
                </w:rPr>
                <w:t>77</w:t>
              </w:r>
            </w:hyperlink>
          </w:p>
        </w:tc>
      </w:tr>
    </w:tbl>
    <w:p>
      <w:pPr>
        <w:sectPr>
          <w:pgSz w:w="11900" w:h="16838" w:orient="portrait"/>
          <w:cols w:equalWidth="0" w:num="1">
            <w:col w:w="11460"/>
          </w:cols>
          <w:pgMar w:left="220" w:top="119" w:right="219" w:bottom="1440" w:gutter="0" w:footer="0" w:header="0"/>
        </w:sectPr>
      </w:pPr>
    </w:p>
    <w:bookmarkStart w:id="2" w:name="page3"/>
    <w:bookmarkEnd w:id="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DISCLOSURE REGARDING FORWARD-LOOKING STATEMENTS</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This Quarterly Report on Form 10-Q (“Form 10-Q”)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plans, objectives, strategies, and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“continue,” “future,” “will,” “would,” “could,” “can,” “may” and similar terms. These forward-looking statements are based on information available to us as of the date of this Form 10-Q and represent management’s current views and assumptions. Forward-looking statements are not guarantees of future performance, events or results and involve potential known and unknown risks, uncertainties and other factors, many of which may be beyond our control and may pose a risk to our operating and financial condition. Accordingly, actual performance, events or results could differ materially from those expressed or implied in the forward-looking statements due to a number of factors including, but not limited to:</w:t>
      </w:r>
    </w:p>
    <w:p>
      <w:pPr>
        <w:spacing w:after="0" w:line="138" w:lineRule="exact"/>
        <w:rPr>
          <w:sz w:val="20"/>
          <w:szCs w:val="20"/>
          <w:color w:val="auto"/>
        </w:rPr>
      </w:pPr>
    </w:p>
    <w:p>
      <w:pPr>
        <w:ind w:left="420" w:hanging="212"/>
        <w:spacing w:after="0" w:line="262" w:lineRule="auto"/>
        <w:tabs>
          <w:tab w:leader="none" w:pos="420" w:val="left"/>
        </w:tabs>
        <w:numPr>
          <w:ilvl w:val="0"/>
          <w:numId w:val="1"/>
        </w:numPr>
        <w:rPr>
          <w:rFonts w:ascii="Arial" w:cs="Arial" w:eastAsia="Arial" w:hAnsi="Arial"/>
          <w:sz w:val="12"/>
          <w:szCs w:val="12"/>
          <w:color w:val="auto"/>
        </w:rPr>
      </w:pPr>
      <w:r>
        <w:rPr>
          <w:rFonts w:ascii="Arial" w:cs="Arial" w:eastAsia="Arial" w:hAnsi="Arial"/>
          <w:sz w:val="12"/>
          <w:szCs w:val="12"/>
          <w:color w:val="auto"/>
        </w:rPr>
        <w:t>significant risks related to the construction and operation of our satellites, such as the risk of not being able to timely complete the construction of or material malfunction on one or more of our satellites, changes in the space weather environment that could interfere with the operation of our satellites and our general lack of commercial insurance coverage on our satellites;</w:t>
      </w:r>
    </w:p>
    <w:p>
      <w:pPr>
        <w:spacing w:after="0" w:line="40" w:lineRule="exact"/>
        <w:rPr>
          <w:rFonts w:ascii="Arial" w:cs="Arial" w:eastAsia="Arial" w:hAnsi="Arial"/>
          <w:sz w:val="12"/>
          <w:szCs w:val="12"/>
          <w:color w:val="auto"/>
        </w:rPr>
      </w:pPr>
    </w:p>
    <w:p>
      <w:pPr>
        <w:ind w:left="420" w:hanging="212"/>
        <w:spacing w:after="0" w:line="262" w:lineRule="auto"/>
        <w:tabs>
          <w:tab w:leader="none" w:pos="420"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ability to implement and/or realize benefits of our domestic and/or international investments, commercial alliances, partnerships, joint ventures, acquisitions, dispositions and other strategic initiatives and transactions including, without limitation, the BSS Transaction (as defined herein);</w:t>
      </w:r>
    </w:p>
    <w:p>
      <w:pPr>
        <w:spacing w:after="0" w:line="40" w:lineRule="exact"/>
        <w:rPr>
          <w:rFonts w:ascii="Arial" w:cs="Arial" w:eastAsia="Arial" w:hAnsi="Arial"/>
          <w:sz w:val="12"/>
          <w:szCs w:val="12"/>
          <w:color w:val="auto"/>
        </w:rPr>
      </w:pPr>
    </w:p>
    <w:p>
      <w:pPr>
        <w:ind w:left="420" w:hanging="212"/>
        <w:spacing w:after="0"/>
        <w:tabs>
          <w:tab w:leader="none" w:pos="420" w:val="left"/>
        </w:tabs>
        <w:numPr>
          <w:ilvl w:val="0"/>
          <w:numId w:val="1"/>
        </w:numPr>
        <w:rPr>
          <w:rFonts w:ascii="Arial" w:cs="Arial" w:eastAsia="Arial" w:hAnsi="Arial"/>
          <w:sz w:val="12"/>
          <w:szCs w:val="12"/>
          <w:color w:val="auto"/>
        </w:rPr>
      </w:pPr>
      <w:r>
        <w:rPr>
          <w:rFonts w:ascii="Arial" w:cs="Arial" w:eastAsia="Arial" w:hAnsi="Arial"/>
          <w:sz w:val="12"/>
          <w:szCs w:val="12"/>
          <w:color w:val="auto"/>
        </w:rPr>
        <w:t>lawsuits relating to the BSS Transaction could result in substantial costs;</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ability to realize the anticipated benefits of our current satellites and any future satellite we may construct or acquire;</w:t>
      </w:r>
    </w:p>
    <w:p>
      <w:pPr>
        <w:spacing w:after="0" w:line="60" w:lineRule="exact"/>
        <w:rPr>
          <w:rFonts w:ascii="Arial" w:cs="Arial" w:eastAsia="Arial" w:hAnsi="Arial"/>
          <w:sz w:val="12"/>
          <w:szCs w:val="12"/>
          <w:color w:val="auto"/>
        </w:rPr>
      </w:pPr>
    </w:p>
    <w:p>
      <w:pPr>
        <w:ind w:left="420" w:hanging="212"/>
        <w:spacing w:after="0" w:line="262" w:lineRule="auto"/>
        <w:tabs>
          <w:tab w:leader="none" w:pos="420" w:val="left"/>
        </w:tabs>
        <w:numPr>
          <w:ilvl w:val="0"/>
          <w:numId w:val="1"/>
        </w:numPr>
        <w:rPr>
          <w:rFonts w:ascii="Arial" w:cs="Arial" w:eastAsia="Arial" w:hAnsi="Arial"/>
          <w:sz w:val="12"/>
          <w:szCs w:val="12"/>
          <w:color w:val="auto"/>
        </w:rPr>
      </w:pPr>
      <w:r>
        <w:rPr>
          <w:rFonts w:ascii="Arial" w:cs="Arial" w:eastAsia="Arial" w:hAnsi="Arial"/>
          <w:sz w:val="12"/>
          <w:szCs w:val="12"/>
          <w:color w:val="auto"/>
        </w:rPr>
        <w:t>risks related to our foreign operations and other uncertainties associated with doing business internationally, including changes in foreign exchange rates between foreign currencies and the United States dollar, economic instability and political disturbances;</w:t>
      </w:r>
    </w:p>
    <w:p>
      <w:pPr>
        <w:spacing w:after="0" w:line="40" w:lineRule="exact"/>
        <w:rPr>
          <w:rFonts w:ascii="Arial" w:cs="Arial" w:eastAsia="Arial" w:hAnsi="Arial"/>
          <w:sz w:val="12"/>
          <w:szCs w:val="12"/>
          <w:color w:val="auto"/>
        </w:rPr>
      </w:pPr>
    </w:p>
    <w:p>
      <w:pPr>
        <w:ind w:left="420" w:hanging="212"/>
        <w:spacing w:after="0"/>
        <w:tabs>
          <w:tab w:leader="none" w:pos="42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failure of third-party providers of components, manufacturing, installation services and customer support services to appropriately deliver the contracted goods or services; and</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ability to bring advanced technologies to market to keep pace with our customers and competitors.</w:t>
      </w:r>
    </w:p>
    <w:p>
      <w:pPr>
        <w:spacing w:after="0" w:line="20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Other factors that could cause or contribute to such differences include, but are not limited to, those discussed under the caption Risk Factors in Part II, Item 1A of this Form 10-Q and in Part I, Item 1A of our most recent Annual Report on Form 10-K filed with the Securities and Exchange Commission (“SEC”) as amended by Amendment No. 1 to Form 10-K on Form 10-K/A filed with the SEC (collectively referred to as our “Form 10-K”), those discussed in Management’s Discussion and Analysis of Financial Condition and Results of Operations in Part I, Item 2 of this Form 10-Q and in Part II, Item 7 of our Form 10-K and those discussed in other documents we file with the SEC.</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Although we believe that the expectations reflected in any forward-looking statements are reasonable, we cannot guarantee future results, events, levels of activity, performance or achievements. We do not assume responsibility for the accuracy and completeness of any forward-looking statements. We assume no responsibility for updating forward-looking information contained or incorporated by reference herein or in any documents we file with the SEC, except as required by law.</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w:t>
      </w:r>
    </w:p>
    <w:p>
      <w:pPr>
        <w:sectPr>
          <w:pgSz w:w="11900" w:h="16838" w:orient="portrait"/>
          <w:cols w:equalWidth="0" w:num="1">
            <w:col w:w="11480"/>
          </w:cols>
          <w:pgMar w:left="220" w:top="140" w:right="199" w:bottom="1440" w:gutter="0" w:footer="0" w:header="0"/>
        </w:sectPr>
      </w:pPr>
    </w:p>
    <w:bookmarkStart w:id="3" w:name="page4"/>
    <w:bookmarkEnd w:id="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ind w:left="4680"/>
        <w:spacing w:after="0"/>
        <w:rPr>
          <w:sz w:val="20"/>
          <w:szCs w:val="20"/>
          <w:color w:val="auto"/>
        </w:rPr>
      </w:pPr>
      <w:r>
        <w:rPr>
          <w:rFonts w:ascii="Arial" w:cs="Arial" w:eastAsia="Arial" w:hAnsi="Arial"/>
          <w:sz w:val="12"/>
          <w:szCs w:val="12"/>
          <w:b w:val="1"/>
          <w:bCs w:val="1"/>
          <w:color w:val="auto"/>
        </w:rPr>
        <w:t>PART I — FINANCIAL INFORMATION</w:t>
      </w:r>
    </w:p>
    <w:p>
      <w:pPr>
        <w:spacing w:after="0" w:line="150"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1"/>
          <w:szCs w:val="11"/>
          <w:b w:val="1"/>
          <w:bCs w:val="1"/>
          <w:color w:val="auto"/>
        </w:rPr>
        <w:t>FINANCIAL STATEMENTS</w:t>
      </w:r>
    </w:p>
    <w:p>
      <w:pPr>
        <w:spacing w:after="0" w:line="20" w:lineRule="exact"/>
        <w:rPr>
          <w:sz w:val="20"/>
          <w:szCs w:val="20"/>
          <w:color w:val="auto"/>
        </w:rPr>
      </w:pPr>
    </w:p>
    <w:p>
      <w:pPr>
        <w:jc w:val="center"/>
        <w:ind w:left="3300"/>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ind w:left="3300"/>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6" w:lineRule="exact"/>
        <w:rPr>
          <w:sz w:val="20"/>
          <w:szCs w:val="20"/>
          <w:color w:val="auto"/>
        </w:rPr>
      </w:pPr>
    </w:p>
    <w:p>
      <w:pPr>
        <w:jc w:val="center"/>
        <w:ind w:left="3300"/>
        <w:spacing w:after="0"/>
        <w:rPr>
          <w:sz w:val="20"/>
          <w:szCs w:val="20"/>
          <w:color w:val="auto"/>
        </w:rPr>
      </w:pPr>
      <w:r>
        <w:rPr>
          <w:rFonts w:ascii="Arial" w:cs="Arial" w:eastAsia="Arial" w:hAnsi="Arial"/>
          <w:sz w:val="12"/>
          <w:szCs w:val="12"/>
          <w:color w:val="auto"/>
        </w:rPr>
        <w:t>(Amounts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295910</wp:posOffset>
            </wp:positionV>
            <wp:extent cx="729234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left="100"/>
        <w:spacing w:after="0"/>
        <w:rPr>
          <w:sz w:val="20"/>
          <w:szCs w:val="20"/>
          <w:color w:val="auto"/>
        </w:rPr>
      </w:pPr>
      <w:r>
        <w:rPr>
          <w:rFonts w:ascii="Arial" w:cs="Arial" w:eastAsia="Arial" w:hAnsi="Arial"/>
          <w:sz w:val="7"/>
          <w:szCs w:val="7"/>
          <w:b w:val="1"/>
          <w:bCs w:val="1"/>
          <w:color w:val="auto"/>
        </w:rPr>
        <w:t>Assets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7"/>
          <w:szCs w:val="7"/>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292340" cy="114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88" w:lineRule="exact"/>
        <w:rPr>
          <w:sz w:val="20"/>
          <w:szCs w:val="20"/>
          <w:color w:val="auto"/>
        </w:rPr>
      </w:pPr>
    </w:p>
    <w:p>
      <w:pPr>
        <w:ind w:left="180"/>
        <w:spacing w:after="0"/>
        <w:rPr>
          <w:sz w:val="20"/>
          <w:szCs w:val="20"/>
          <w:color w:val="auto"/>
        </w:rPr>
      </w:pPr>
      <w:r>
        <w:rPr>
          <w:rFonts w:ascii="Arial" w:cs="Arial" w:eastAsia="Arial" w:hAnsi="Arial"/>
          <w:sz w:val="7"/>
          <w:szCs w:val="7"/>
          <w:color w:val="auto"/>
        </w:rPr>
        <w:t>Cash and cash equivalents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7"/>
          <w:szCs w:val="7"/>
          <w:color w:val="auto"/>
        </w:rPr>
        <w:t>Marketable investment securities,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292340" cy="114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7"/>
          <w:szCs w:val="7"/>
          <w:color w:val="auto"/>
        </w:rPr>
        <w:t>Trade accounts receivable and contract assets, net (Note 3)</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7"/>
          <w:szCs w:val="7"/>
          <w:color w:val="auto"/>
        </w:rPr>
        <w:t>Trade accounts receivable - DISH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292340" cy="114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7"/>
          <w:szCs w:val="7"/>
          <w:color w:val="auto"/>
        </w:rPr>
        <w:t>Inventory</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7"/>
          <w:szCs w:val="7"/>
          <w:color w:val="auto"/>
        </w:rPr>
        <w:t>Prepaids and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292340" cy="114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7"/>
          <w:szCs w:val="7"/>
          <w:color w:val="auto"/>
        </w:rPr>
        <w:t>Other current assets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7"/>
          <w:szCs w:val="7"/>
          <w:color w:val="auto"/>
        </w:rPr>
        <w:t>Current assets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292340" cy="1143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80" w:lineRule="exact"/>
        <w:rPr>
          <w:sz w:val="20"/>
          <w:szCs w:val="20"/>
          <w:color w:val="auto"/>
        </w:rPr>
      </w:pPr>
    </w:p>
    <w:p>
      <w:pPr>
        <w:ind w:left="320"/>
        <w:spacing w:after="0"/>
        <w:rPr>
          <w:sz w:val="20"/>
          <w:szCs w:val="20"/>
          <w:color w:val="auto"/>
        </w:rPr>
      </w:pPr>
      <w:r>
        <w:rPr>
          <w:rFonts w:ascii="Arial" w:cs="Arial" w:eastAsia="Arial" w:hAnsi="Arial"/>
          <w:sz w:val="7"/>
          <w:szCs w:val="7"/>
          <w:color w:val="auto"/>
        </w:rPr>
        <w:t>Total current assets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7"/>
          <w:szCs w:val="7"/>
          <w:b w:val="1"/>
          <w:bCs w:val="1"/>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292340" cy="114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88" w:lineRule="exact"/>
        <w:rPr>
          <w:sz w:val="20"/>
          <w:szCs w:val="20"/>
          <w:color w:val="auto"/>
        </w:rPr>
      </w:pPr>
    </w:p>
    <w:p>
      <w:pPr>
        <w:ind w:left="180"/>
        <w:spacing w:after="0"/>
        <w:rPr>
          <w:sz w:val="20"/>
          <w:szCs w:val="20"/>
          <w:color w:val="auto"/>
        </w:rPr>
      </w:pPr>
      <w:r>
        <w:rPr>
          <w:rFonts w:ascii="Arial" w:cs="Arial" w:eastAsia="Arial" w:hAnsi="Arial"/>
          <w:sz w:val="7"/>
          <w:szCs w:val="7"/>
          <w:color w:val="auto"/>
        </w:rPr>
        <w:t>Property and equipment, net</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7"/>
          <w:szCs w:val="7"/>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292340" cy="1143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7"/>
          <w:szCs w:val="7"/>
          <w:color w:val="auto"/>
        </w:rPr>
        <w:t>Goodwill</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7"/>
          <w:szCs w:val="7"/>
          <w:color w:val="auto"/>
        </w:rPr>
        <w:t>Regulatory authorizations,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292340" cy="114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7"/>
          <w:szCs w:val="7"/>
          <w:color w:val="auto"/>
        </w:rPr>
        <w:t>Other intangible assets, net</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7"/>
          <w:szCs w:val="7"/>
          <w:color w:val="auto"/>
        </w:rPr>
        <w:t>Investments in unconsolidated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292340" cy="114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7"/>
          <w:szCs w:val="7"/>
          <w:color w:val="auto"/>
        </w:rPr>
        <w:t>Other receivables - DISH Network</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7"/>
          <w:szCs w:val="7"/>
          <w:color w:val="auto"/>
        </w:rPr>
        <w:t>Other noncurrent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292340" cy="114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7"/>
          <w:szCs w:val="7"/>
          <w:color w:val="auto"/>
        </w:rPr>
        <w:t>Noncurrent assets of discontinued operations</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7"/>
          <w:szCs w:val="7"/>
          <w:color w:val="auto"/>
        </w:rPr>
        <w:t>Total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292340" cy="114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80" w:lineRule="exact"/>
        <w:rPr>
          <w:sz w:val="20"/>
          <w:szCs w:val="20"/>
          <w:color w:val="auto"/>
        </w:rPr>
      </w:pPr>
    </w:p>
    <w:p>
      <w:pPr>
        <w:ind w:left="600"/>
        <w:spacing w:after="0"/>
        <w:rPr>
          <w:sz w:val="20"/>
          <w:szCs w:val="20"/>
          <w:color w:val="auto"/>
        </w:rPr>
      </w:pPr>
      <w:r>
        <w:rPr>
          <w:rFonts w:ascii="Arial" w:cs="Arial" w:eastAsia="Arial" w:hAnsi="Arial"/>
          <w:sz w:val="7"/>
          <w:szCs w:val="7"/>
          <w:color w:val="auto"/>
        </w:rPr>
        <w:t>Total assets</w:t>
      </w:r>
    </w:p>
    <w:p>
      <w:pPr>
        <w:spacing w:after="0" w:line="92" w:lineRule="exact"/>
        <w:rPr>
          <w:sz w:val="20"/>
          <w:szCs w:val="20"/>
          <w:color w:val="auto"/>
        </w:rPr>
      </w:pPr>
    </w:p>
    <w:p>
      <w:pPr>
        <w:jc w:val="center"/>
        <w:ind w:left="100"/>
        <w:spacing w:after="0"/>
        <w:rPr>
          <w:sz w:val="20"/>
          <w:szCs w:val="20"/>
          <w:color w:val="auto"/>
        </w:rPr>
      </w:pPr>
      <w:r>
        <w:rPr>
          <w:rFonts w:ascii="Arial" w:cs="Arial" w:eastAsia="Arial" w:hAnsi="Arial"/>
          <w:sz w:val="7"/>
          <w:szCs w:val="7"/>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292340" cy="114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Arial" w:cs="Arial" w:eastAsia="Arial" w:hAnsi="Arial"/>
          <w:sz w:val="7"/>
          <w:szCs w:val="7"/>
          <w:b w:val="1"/>
          <w:bCs w:val="1"/>
          <w:color w:val="auto"/>
        </w:rPr>
        <w:t>Current liabilities:</w:t>
      </w:r>
    </w:p>
    <w:p>
      <w:pPr>
        <w:spacing w:after="0" w:line="108" w:lineRule="exact"/>
        <w:rPr>
          <w:sz w:val="20"/>
          <w:szCs w:val="20"/>
          <w:color w:val="auto"/>
        </w:rPr>
      </w:pPr>
    </w:p>
    <w:p>
      <w:pPr>
        <w:ind w:left="180"/>
        <w:spacing w:after="0"/>
        <w:rPr>
          <w:sz w:val="20"/>
          <w:szCs w:val="20"/>
          <w:color w:val="auto"/>
        </w:rPr>
      </w:pPr>
      <w:r>
        <w:rPr>
          <w:rFonts w:ascii="Arial" w:cs="Arial" w:eastAsia="Arial" w:hAnsi="Arial"/>
          <w:sz w:val="7"/>
          <w:szCs w:val="7"/>
          <w:color w:val="auto"/>
        </w:rPr>
        <w:t>Trade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292340"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7"/>
          <w:szCs w:val="7"/>
          <w:color w:val="auto"/>
        </w:rPr>
        <w:t>Trade accounts payable - DISH Network</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7"/>
          <w:szCs w:val="7"/>
          <w:color w:val="auto"/>
        </w:rPr>
        <w:t>Current portion of long-term debt and finance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292340" cy="114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7"/>
          <w:szCs w:val="7"/>
          <w:color w:val="auto"/>
        </w:rPr>
        <w:t>Contract liabilities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7"/>
          <w:szCs w:val="7"/>
          <w:color w:val="auto"/>
        </w:rPr>
        <w:t>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292340"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7"/>
          <w:szCs w:val="7"/>
          <w:color w:val="auto"/>
        </w:rPr>
        <w:t>Accrued compensation</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7"/>
          <w:szCs w:val="7"/>
          <w:color w:val="auto"/>
        </w:rPr>
        <w:t>Accrued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292340"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7"/>
          <w:szCs w:val="7"/>
          <w:color w:val="auto"/>
        </w:rPr>
        <w:t>Accrued expenses and other</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7"/>
          <w:szCs w:val="7"/>
          <w:color w:val="auto"/>
        </w:rPr>
        <w:t>Current liabilities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29234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80" w:lineRule="exact"/>
        <w:rPr>
          <w:sz w:val="20"/>
          <w:szCs w:val="20"/>
          <w:color w:val="auto"/>
        </w:rPr>
      </w:pPr>
    </w:p>
    <w:p>
      <w:pPr>
        <w:ind w:left="320"/>
        <w:spacing w:after="0"/>
        <w:rPr>
          <w:sz w:val="20"/>
          <w:szCs w:val="20"/>
          <w:color w:val="auto"/>
        </w:rPr>
      </w:pPr>
      <w:r>
        <w:rPr>
          <w:rFonts w:ascii="Arial" w:cs="Arial" w:eastAsia="Arial" w:hAnsi="Arial"/>
          <w:sz w:val="7"/>
          <w:szCs w:val="7"/>
          <w:color w:val="auto"/>
        </w:rPr>
        <w:t>Total current liabilities</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7"/>
          <w:szCs w:val="7"/>
          <w:b w:val="1"/>
          <w:bCs w:val="1"/>
          <w:color w:val="auto"/>
        </w:rPr>
        <w:t>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292340" cy="114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88" w:lineRule="exact"/>
        <w:rPr>
          <w:sz w:val="20"/>
          <w:szCs w:val="20"/>
          <w:color w:val="auto"/>
        </w:rPr>
      </w:pPr>
    </w:p>
    <w:p>
      <w:pPr>
        <w:ind w:left="180"/>
        <w:spacing w:after="0"/>
        <w:rPr>
          <w:sz w:val="20"/>
          <w:szCs w:val="20"/>
          <w:color w:val="auto"/>
        </w:rPr>
      </w:pPr>
      <w:r>
        <w:rPr>
          <w:rFonts w:ascii="Arial" w:cs="Arial" w:eastAsia="Arial" w:hAnsi="Arial"/>
          <w:sz w:val="7"/>
          <w:szCs w:val="7"/>
          <w:color w:val="auto"/>
        </w:rPr>
        <w:t>Long-term debt and finance lease obligations, net</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7"/>
          <w:szCs w:val="7"/>
          <w:color w:val="auto"/>
        </w:rPr>
        <w:t>Deferred tax liabilities,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292340" cy="114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7"/>
          <w:szCs w:val="7"/>
          <w:color w:val="auto"/>
        </w:rPr>
        <w:t>Operating lease liabilities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7"/>
          <w:szCs w:val="7"/>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292340" cy="114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7"/>
          <w:szCs w:val="7"/>
          <w:color w:val="auto"/>
        </w:rPr>
        <w:t>Noncurrent liabilities of discontinued operations</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7"/>
          <w:szCs w:val="7"/>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292340" cy="1143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80" w:lineRule="exact"/>
        <w:rPr>
          <w:sz w:val="20"/>
          <w:szCs w:val="20"/>
          <w:color w:val="auto"/>
        </w:rPr>
      </w:pPr>
    </w:p>
    <w:p>
      <w:pPr>
        <w:jc w:val="center"/>
        <w:ind w:right="6800"/>
        <w:spacing w:after="0"/>
        <w:rPr>
          <w:sz w:val="20"/>
          <w:szCs w:val="20"/>
          <w:color w:val="auto"/>
        </w:rPr>
      </w:pPr>
      <w:r>
        <w:rPr>
          <w:rFonts w:ascii="Arial" w:cs="Arial" w:eastAsia="Arial" w:hAnsi="Arial"/>
          <w:sz w:val="7"/>
          <w:szCs w:val="7"/>
          <w:color w:val="auto"/>
        </w:rPr>
        <w:t>Total liabilities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7"/>
          <w:szCs w:val="7"/>
          <w:color w:val="auto"/>
        </w:rPr>
        <w:t>Commitments and contingencies (Note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292340" cy="1143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135" w:lineRule="exact"/>
        <w:rPr>
          <w:sz w:val="20"/>
          <w:szCs w:val="20"/>
          <w:color w:val="auto"/>
        </w:rPr>
      </w:pPr>
    </w:p>
    <w:p>
      <w:pPr>
        <w:ind w:left="20"/>
        <w:spacing w:after="0"/>
        <w:rPr>
          <w:sz w:val="20"/>
          <w:szCs w:val="20"/>
          <w:color w:val="auto"/>
        </w:rPr>
      </w:pPr>
      <w:r>
        <w:rPr>
          <w:rFonts w:ascii="Arial" w:cs="Arial" w:eastAsia="Arial" w:hAnsi="Arial"/>
          <w:sz w:val="7"/>
          <w:szCs w:val="7"/>
          <w:b w:val="1"/>
          <w:bCs w:val="1"/>
          <w:color w:val="auto"/>
        </w:rPr>
        <w:t>Stockholders’ equity:</w:t>
      </w:r>
    </w:p>
    <w:p>
      <w:pPr>
        <w:spacing w:after="0" w:line="45" w:lineRule="exact"/>
        <w:rPr>
          <w:sz w:val="20"/>
          <w:szCs w:val="20"/>
          <w:color w:val="auto"/>
        </w:rPr>
      </w:pPr>
    </w:p>
    <w:p>
      <w:pPr>
        <w:ind w:left="180"/>
        <w:spacing w:after="0"/>
        <w:rPr>
          <w:sz w:val="20"/>
          <w:szCs w:val="20"/>
          <w:color w:val="auto"/>
        </w:rPr>
      </w:pPr>
      <w:r>
        <w:rPr>
          <w:rFonts w:ascii="Arial" w:cs="Arial" w:eastAsia="Arial" w:hAnsi="Arial"/>
          <w:sz w:val="7"/>
          <w:szCs w:val="7"/>
          <w:color w:val="auto"/>
        </w:rPr>
        <w:t>Preferred stock, $0.001 par value, 20,000,000 shares authorized, none issued and outstanding at both September 30,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292340" cy="114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7"/>
          <w:szCs w:val="7"/>
          <w:color w:val="auto"/>
        </w:rPr>
        <w:t>Common stock, $0.001 par value, 4,000,000,000 shares authorized:</w:t>
      </w:r>
    </w:p>
    <w:p>
      <w:pPr>
        <w:spacing w:after="0" w:line="100" w:lineRule="exact"/>
        <w:rPr>
          <w:sz w:val="20"/>
          <w:szCs w:val="20"/>
          <w:color w:val="auto"/>
        </w:rPr>
      </w:pPr>
    </w:p>
    <w:p>
      <w:pPr>
        <w:ind w:left="320"/>
        <w:spacing w:after="0" w:line="247" w:lineRule="auto"/>
        <w:rPr>
          <w:sz w:val="20"/>
          <w:szCs w:val="20"/>
          <w:color w:val="auto"/>
        </w:rPr>
      </w:pPr>
      <w:r>
        <w:rPr>
          <w:rFonts w:ascii="Arial" w:cs="Arial" w:eastAsia="Arial" w:hAnsi="Arial"/>
          <w:sz w:val="7"/>
          <w:szCs w:val="7"/>
          <w:color w:val="auto"/>
        </w:rPr>
        <w:t>Class A common stock, $0.001 par value, 1,600,000,000 shares authorized, 56,383,893 shares issued and 49,898,972 shares outstanding at September 30, 2019 and 54,142,566 shares issued and 47,657,645 shares outstanding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62865</wp:posOffset>
            </wp:positionV>
            <wp:extent cx="7292340" cy="114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95" w:lineRule="exact"/>
        <w:rPr>
          <w:sz w:val="20"/>
          <w:szCs w:val="20"/>
          <w:color w:val="auto"/>
        </w:rPr>
      </w:pPr>
    </w:p>
    <w:p>
      <w:pPr>
        <w:ind w:left="320"/>
        <w:spacing w:after="0"/>
        <w:rPr>
          <w:sz w:val="20"/>
          <w:szCs w:val="20"/>
          <w:color w:val="auto"/>
        </w:rPr>
      </w:pPr>
      <w:r>
        <w:rPr>
          <w:rFonts w:ascii="Arial" w:cs="Arial" w:eastAsia="Arial" w:hAnsi="Arial"/>
          <w:sz w:val="7"/>
          <w:szCs w:val="7"/>
          <w:color w:val="auto"/>
        </w:rPr>
        <w:t>Class B convertible common stock, $0.001 par value, 800,000,000 shares authorized, 47,687,039 shares issued and outstanding at both September 30, 2019 and December 31, 2018</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7"/>
          <w:szCs w:val="7"/>
          <w:color w:val="auto"/>
        </w:rPr>
        <w:t>Class C convertible common stock, $0.001 par value, 800,000,000 shares authorized, none issued and outstanding at both of September 30,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292340" cy="1143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80" w:lineRule="exact"/>
        <w:rPr>
          <w:sz w:val="20"/>
          <w:szCs w:val="20"/>
          <w:color w:val="auto"/>
        </w:rPr>
      </w:pPr>
    </w:p>
    <w:p>
      <w:pPr>
        <w:ind w:left="320"/>
        <w:spacing w:after="0"/>
        <w:rPr>
          <w:sz w:val="20"/>
          <w:szCs w:val="20"/>
          <w:color w:val="auto"/>
        </w:rPr>
      </w:pPr>
      <w:r>
        <w:rPr>
          <w:rFonts w:ascii="Arial" w:cs="Arial" w:eastAsia="Arial" w:hAnsi="Arial"/>
          <w:sz w:val="7"/>
          <w:szCs w:val="7"/>
          <w:color w:val="auto"/>
        </w:rPr>
        <w:t>Class D common stock, $0.001 par value, 800,000,000 shares authorized, none issued and outstanding at both September 30, 2019 and December 31, 2018</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7"/>
          <w:szCs w:val="7"/>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292340" cy="114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7"/>
          <w:szCs w:val="7"/>
          <w:color w:val="auto"/>
        </w:rPr>
        <w:t>Accumulated other comprehensive loss</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7"/>
          <w:szCs w:val="7"/>
          <w:color w:val="auto"/>
        </w:rPr>
        <w:t>Accumulated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292340" cy="114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80" w:lineRule="exact"/>
        <w:rPr>
          <w:sz w:val="20"/>
          <w:szCs w:val="20"/>
          <w:color w:val="auto"/>
        </w:rPr>
      </w:pPr>
    </w:p>
    <w:p>
      <w:pPr>
        <w:ind w:left="180"/>
        <w:spacing w:after="0"/>
        <w:rPr>
          <w:sz w:val="20"/>
          <w:szCs w:val="20"/>
          <w:color w:val="auto"/>
        </w:rPr>
      </w:pPr>
      <w:r>
        <w:rPr>
          <w:rFonts w:ascii="Arial" w:cs="Arial" w:eastAsia="Arial" w:hAnsi="Arial"/>
          <w:sz w:val="7"/>
          <w:szCs w:val="7"/>
          <w:color w:val="auto"/>
        </w:rPr>
        <w:t>Treasury stock, at cost</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7"/>
          <w:szCs w:val="7"/>
          <w:color w:val="auto"/>
        </w:rPr>
        <w:t>Total EchoStar Corporation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292340" cy="1143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80" w:lineRule="exact"/>
        <w:rPr>
          <w:sz w:val="20"/>
          <w:szCs w:val="20"/>
          <w:color w:val="auto"/>
        </w:rPr>
      </w:pPr>
    </w:p>
    <w:p>
      <w:pPr>
        <w:ind w:left="320"/>
        <w:spacing w:after="0"/>
        <w:rPr>
          <w:sz w:val="20"/>
          <w:szCs w:val="20"/>
          <w:color w:val="auto"/>
        </w:rPr>
      </w:pPr>
      <w:r>
        <w:rPr>
          <w:rFonts w:ascii="Arial" w:cs="Arial" w:eastAsia="Arial" w:hAnsi="Arial"/>
          <w:sz w:val="7"/>
          <w:szCs w:val="7"/>
          <w:color w:val="auto"/>
        </w:rPr>
        <w:t>Noncontrolling interests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7"/>
          <w:szCs w:val="7"/>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53340</wp:posOffset>
            </wp:positionV>
            <wp:extent cx="7292340" cy="1143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80" w:lineRule="exact"/>
        <w:rPr>
          <w:sz w:val="20"/>
          <w:szCs w:val="20"/>
          <w:color w:val="auto"/>
        </w:rPr>
      </w:pPr>
    </w:p>
    <w:p>
      <w:pPr>
        <w:ind w:left="600"/>
        <w:spacing w:after="0"/>
        <w:rPr>
          <w:sz w:val="20"/>
          <w:szCs w:val="20"/>
          <w:color w:val="auto"/>
        </w:rPr>
      </w:pPr>
      <w:r>
        <w:rPr>
          <w:rFonts w:ascii="Arial" w:cs="Arial" w:eastAsia="Arial" w:hAnsi="Arial"/>
          <w:sz w:val="7"/>
          <w:szCs w:val="7"/>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1"/>
        </w:trPr>
        <w:tc>
          <w:tcPr>
            <w:tcW w:w="2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7"/>
                <w:szCs w:val="7"/>
                <w:b w:val="1"/>
                <w:bCs w:val="1"/>
                <w:color w:val="auto"/>
              </w:rPr>
              <w:t>As of</w:t>
            </w:r>
          </w:p>
        </w:tc>
        <w:tc>
          <w:tcPr>
            <w:tcW w:w="1240" w:type="dxa"/>
            <w:vAlign w:val="bottom"/>
            <w:tcBorders>
              <w:bottom w:val="single" w:sz="8" w:color="auto"/>
            </w:tcBorders>
          </w:tcPr>
          <w:p>
            <w:pPr>
              <w:spacing w:after="0"/>
              <w:rPr>
                <w:sz w:val="8"/>
                <w:szCs w:val="8"/>
                <w:color w:val="auto"/>
              </w:rPr>
            </w:pPr>
          </w:p>
        </w:tc>
      </w:tr>
      <w:tr>
        <w:trPr>
          <w:trHeight w:val="169"/>
        </w:trPr>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04"/>
              <w:spacing w:after="0"/>
              <w:rPr>
                <w:sz w:val="20"/>
                <w:szCs w:val="20"/>
                <w:color w:val="auto"/>
              </w:rPr>
            </w:pPr>
            <w:r>
              <w:rPr>
                <w:rFonts w:ascii="Arial" w:cs="Arial" w:eastAsia="Arial" w:hAnsi="Arial"/>
                <w:sz w:val="7"/>
                <w:szCs w:val="7"/>
                <w:b w:val="1"/>
                <w:bCs w:val="1"/>
                <w:color w:val="auto"/>
              </w:rPr>
              <w:t>September 30, 2019</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84"/>
              <w:spacing w:after="0"/>
              <w:rPr>
                <w:sz w:val="20"/>
                <w:szCs w:val="20"/>
                <w:color w:val="auto"/>
              </w:rPr>
            </w:pPr>
            <w:r>
              <w:rPr>
                <w:rFonts w:ascii="Arial" w:cs="Arial" w:eastAsia="Arial" w:hAnsi="Arial"/>
                <w:sz w:val="7"/>
                <w:szCs w:val="7"/>
                <w:b w:val="1"/>
                <w:bCs w:val="1"/>
                <w:color w:val="auto"/>
              </w:rPr>
              <w:t>December 31, 2018</w:t>
            </w:r>
          </w:p>
        </w:tc>
      </w:tr>
      <w:tr>
        <w:trPr>
          <w:trHeight w:val="512"/>
        </w:trPr>
        <w:tc>
          <w:tcPr>
            <w:tcW w:w="240" w:type="dxa"/>
            <w:vAlign w:val="bottom"/>
          </w:tcPr>
          <w:p>
            <w:pPr>
              <w:jc w:val="right"/>
              <w:ind w:right="144"/>
              <w:spacing w:after="0"/>
              <w:rPr>
                <w:sz w:val="20"/>
                <w:szCs w:val="20"/>
                <w:color w:val="auto"/>
              </w:rPr>
            </w:pPr>
            <w:r>
              <w:rPr>
                <w:rFonts w:ascii="Arial" w:cs="Arial" w:eastAsia="Arial" w:hAnsi="Arial"/>
                <w:sz w:val="7"/>
                <w:szCs w:val="7"/>
                <w:color w:val="auto"/>
              </w:rPr>
              <w:t>$</w:t>
            </w: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1,547,162</w:t>
            </w:r>
          </w:p>
        </w:tc>
        <w:tc>
          <w:tcPr>
            <w:tcW w:w="420" w:type="dxa"/>
            <w:vAlign w:val="bottom"/>
            <w:gridSpan w:val="3"/>
          </w:tcPr>
          <w:p>
            <w:pPr>
              <w:jc w:val="right"/>
              <w:ind w:right="180"/>
              <w:spacing w:after="0"/>
              <w:rPr>
                <w:sz w:val="20"/>
                <w:szCs w:val="20"/>
                <w:color w:val="auto"/>
              </w:rPr>
            </w:pPr>
            <w:r>
              <w:rPr>
                <w:rFonts w:ascii="Arial" w:cs="Arial" w:eastAsia="Arial" w:hAnsi="Arial"/>
                <w:sz w:val="7"/>
                <w:szCs w:val="7"/>
                <w:color w:val="auto"/>
              </w:rPr>
              <w:t>$</w:t>
            </w: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928,306</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1,000,165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2,282,152</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200,779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201,096</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16,125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14,200</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83,397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75,379</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63,210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57,691</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17,382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18,539</w:t>
            </w:r>
          </w:p>
        </w:tc>
      </w:tr>
      <w:tr>
        <w:trPr>
          <w:trHeight w:val="188"/>
        </w:trPr>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5,866</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3,486</w:t>
            </w:r>
          </w:p>
        </w:tc>
      </w:tr>
      <w:tr>
        <w:trPr>
          <w:trHeight w:val="160"/>
        </w:trPr>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2,934,086</w:t>
            </w: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3,580,849</w:t>
            </w:r>
          </w:p>
        </w:tc>
      </w:tr>
      <w:tr>
        <w:trPr>
          <w:trHeight w:val="332"/>
        </w:trPr>
        <w:tc>
          <w:tcPr>
            <w:tcW w:w="240" w:type="dxa"/>
            <w:vAlign w:val="bottom"/>
          </w:tcPr>
          <w:p>
            <w:pPr>
              <w:spacing w:after="0"/>
              <w:rPr>
                <w:sz w:val="24"/>
                <w:szCs w:val="24"/>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2,444,157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2,534,666</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112,263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504,173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504,173</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426,189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430,039</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33,188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44,231</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225,908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262,473</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93,321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95,114</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264,465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247,316</w:t>
            </w:r>
          </w:p>
        </w:tc>
      </w:tr>
      <w:tr>
        <w:trPr>
          <w:trHeight w:val="188"/>
        </w:trPr>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962,433</w:t>
            </w:r>
          </w:p>
        </w:tc>
      </w:tr>
      <w:tr>
        <w:trPr>
          <w:trHeight w:val="160"/>
        </w:trPr>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4,103,664</w:t>
            </w: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5,080,445</w:t>
            </w:r>
          </w:p>
        </w:tc>
      </w:tr>
      <w:tr>
        <w:trPr>
          <w:trHeight w:val="166"/>
        </w:trPr>
        <w:tc>
          <w:tcPr>
            <w:tcW w:w="240" w:type="dxa"/>
            <w:vAlign w:val="bottom"/>
            <w:tcBorders>
              <w:bottom w:val="single" w:sz="8" w:color="auto"/>
            </w:tcBorders>
          </w:tcPr>
          <w:p>
            <w:pPr>
              <w:jc w:val="right"/>
              <w:ind w:right="144"/>
              <w:spacing w:after="0"/>
              <w:rPr>
                <w:sz w:val="20"/>
                <w:szCs w:val="20"/>
                <w:color w:val="auto"/>
              </w:rPr>
            </w:pPr>
            <w:r>
              <w:rPr>
                <w:rFonts w:ascii="Arial" w:cs="Arial" w:eastAsia="Arial" w:hAnsi="Arial"/>
                <w:sz w:val="7"/>
                <w:szCs w:val="7"/>
                <w:color w:val="auto"/>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7,037,750</w:t>
            </w:r>
          </w:p>
        </w:tc>
        <w:tc>
          <w:tcPr>
            <w:tcW w:w="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7"/>
                <w:szCs w:val="7"/>
                <w:color w:val="auto"/>
              </w:rPr>
              <w:t>$</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8,661,294</w:t>
            </w:r>
          </w:p>
        </w:tc>
      </w:tr>
      <w:tr>
        <w:trPr>
          <w:trHeight w:val="506"/>
        </w:trPr>
        <w:tc>
          <w:tcPr>
            <w:tcW w:w="240" w:type="dxa"/>
            <w:vAlign w:val="bottom"/>
          </w:tcPr>
          <w:p>
            <w:pPr>
              <w:jc w:val="right"/>
              <w:ind w:right="144"/>
              <w:spacing w:after="0"/>
              <w:rPr>
                <w:sz w:val="20"/>
                <w:szCs w:val="20"/>
                <w:color w:val="auto"/>
              </w:rPr>
            </w:pPr>
            <w:r>
              <w:rPr>
                <w:rFonts w:ascii="Arial" w:cs="Arial" w:eastAsia="Arial" w:hAnsi="Arial"/>
                <w:sz w:val="7"/>
                <w:szCs w:val="7"/>
                <w:color w:val="auto"/>
              </w:rPr>
              <w:t>$</w:t>
            </w: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122,319</w:t>
            </w:r>
          </w:p>
        </w:tc>
        <w:tc>
          <w:tcPr>
            <w:tcW w:w="420" w:type="dxa"/>
            <w:vAlign w:val="bottom"/>
            <w:gridSpan w:val="3"/>
          </w:tcPr>
          <w:p>
            <w:pPr>
              <w:jc w:val="right"/>
              <w:ind w:right="180"/>
              <w:spacing w:after="0"/>
              <w:rPr>
                <w:sz w:val="20"/>
                <w:szCs w:val="20"/>
                <w:color w:val="auto"/>
              </w:rPr>
            </w:pPr>
            <w:r>
              <w:rPr>
                <w:rFonts w:ascii="Arial" w:cs="Arial" w:eastAsia="Arial" w:hAnsi="Arial"/>
                <w:sz w:val="7"/>
                <w:szCs w:val="7"/>
                <w:color w:val="auto"/>
              </w:rPr>
              <w:t>$</w:t>
            </w: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121,437</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714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1,698</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407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919,582</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109,557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72,284</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37,039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45,350</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42,810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54,242</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17,465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16,013</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126,865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64,395</w:t>
            </w:r>
          </w:p>
        </w:tc>
      </w:tr>
      <w:tr>
        <w:trPr>
          <w:trHeight w:val="188"/>
        </w:trPr>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4,565</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50,136</w:t>
            </w:r>
          </w:p>
        </w:tc>
      </w:tr>
      <w:tr>
        <w:trPr>
          <w:trHeight w:val="160"/>
        </w:trPr>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461,741</w:t>
            </w: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1,345,137</w:t>
            </w:r>
          </w:p>
        </w:tc>
      </w:tr>
      <w:tr>
        <w:trPr>
          <w:trHeight w:val="332"/>
        </w:trPr>
        <w:tc>
          <w:tcPr>
            <w:tcW w:w="240" w:type="dxa"/>
            <w:vAlign w:val="bottom"/>
          </w:tcPr>
          <w:p>
            <w:pPr>
              <w:spacing w:after="0"/>
              <w:rPr>
                <w:sz w:val="24"/>
                <w:szCs w:val="24"/>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2,388,931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2,386,202</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331,498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287,420</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94,332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77,333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80,304</w:t>
            </w:r>
          </w:p>
        </w:tc>
      </w:tr>
      <w:tr>
        <w:trPr>
          <w:trHeight w:val="188"/>
        </w:trPr>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406,757</w:t>
            </w:r>
          </w:p>
        </w:tc>
      </w:tr>
      <w:tr>
        <w:trPr>
          <w:trHeight w:val="160"/>
        </w:trPr>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2,892,094</w:t>
            </w: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3,160,683</w:t>
            </w:r>
          </w:p>
        </w:tc>
      </w:tr>
      <w:tr>
        <w:trPr>
          <w:trHeight w:val="160"/>
        </w:trPr>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3,353,835</w:t>
            </w: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4,505,820</w:t>
            </w:r>
          </w:p>
        </w:tc>
      </w:tr>
      <w:tr>
        <w:trPr>
          <w:trHeight w:val="512"/>
        </w:trPr>
        <w:tc>
          <w:tcPr>
            <w:tcW w:w="240" w:type="dxa"/>
            <w:vAlign w:val="bottom"/>
          </w:tcPr>
          <w:p>
            <w:pPr>
              <w:spacing w:after="0"/>
              <w:rPr>
                <w:sz w:val="24"/>
                <w:szCs w:val="24"/>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w:t>
            </w:r>
          </w:p>
        </w:tc>
      </w:tr>
      <w:tr>
        <w:trPr>
          <w:trHeight w:val="378"/>
        </w:trPr>
        <w:tc>
          <w:tcPr>
            <w:tcW w:w="240" w:type="dxa"/>
            <w:vAlign w:val="bottom"/>
          </w:tcPr>
          <w:p>
            <w:pPr>
              <w:spacing w:after="0"/>
              <w:rPr>
                <w:sz w:val="24"/>
                <w:szCs w:val="24"/>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56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54</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48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48</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3,251,808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3,702,522</w:t>
            </w:r>
          </w:p>
        </w:tc>
      </w:tr>
      <w:tr>
        <w:trPr>
          <w:trHeight w:val="180"/>
        </w:trPr>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7"/>
                <w:szCs w:val="7"/>
                <w:color w:val="auto"/>
              </w:rPr>
              <w:t>(131,664)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44"/>
              <w:spacing w:after="0"/>
              <w:rPr>
                <w:sz w:val="20"/>
                <w:szCs w:val="20"/>
                <w:color w:val="auto"/>
              </w:rPr>
            </w:pPr>
            <w:r>
              <w:rPr>
                <w:rFonts w:ascii="Arial" w:cs="Arial" w:eastAsia="Arial" w:hAnsi="Arial"/>
                <w:sz w:val="7"/>
                <w:szCs w:val="7"/>
                <w:color w:val="auto"/>
              </w:rPr>
              <w:t>(125,100)</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685,927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694,129</w:t>
            </w:r>
          </w:p>
        </w:tc>
      </w:tr>
      <w:tr>
        <w:trPr>
          <w:trHeight w:val="188"/>
        </w:trPr>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(131,454)</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(131,454)</w:t>
            </w:r>
          </w:p>
        </w:tc>
      </w:tr>
      <w:tr>
        <w:trPr>
          <w:trHeight w:val="152"/>
        </w:trPr>
        <w:tc>
          <w:tcPr>
            <w:tcW w:w="24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3,674,721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4,140,199</w:t>
            </w:r>
          </w:p>
        </w:tc>
      </w:tr>
      <w:tr>
        <w:trPr>
          <w:trHeight w:val="188"/>
        </w:trPr>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9,194</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15,275</w:t>
            </w:r>
          </w:p>
        </w:tc>
      </w:tr>
      <w:tr>
        <w:trPr>
          <w:trHeight w:val="160"/>
        </w:trPr>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3,683,915</w:t>
            </w: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4,155,474</w:t>
            </w:r>
          </w:p>
        </w:tc>
      </w:tr>
      <w:tr>
        <w:trPr>
          <w:trHeight w:val="143"/>
        </w:trPr>
        <w:tc>
          <w:tcPr>
            <w:tcW w:w="240" w:type="dxa"/>
            <w:vAlign w:val="bottom"/>
          </w:tcPr>
          <w:p>
            <w:pPr>
              <w:jc w:val="right"/>
              <w:ind w:right="144"/>
              <w:spacing w:after="0"/>
              <w:rPr>
                <w:sz w:val="20"/>
                <w:szCs w:val="20"/>
                <w:color w:val="auto"/>
              </w:rPr>
            </w:pPr>
            <w:r>
              <w:rPr>
                <w:rFonts w:ascii="Arial" w:cs="Arial" w:eastAsia="Arial" w:hAnsi="Arial"/>
                <w:sz w:val="7"/>
                <w:szCs w:val="7"/>
                <w:color w:val="auto"/>
              </w:rPr>
              <w:t>$</w:t>
            </w: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7,037,750</w:t>
            </w:r>
          </w:p>
        </w:tc>
        <w:tc>
          <w:tcPr>
            <w:tcW w:w="420" w:type="dxa"/>
            <w:vAlign w:val="bottom"/>
            <w:gridSpan w:val="3"/>
          </w:tcPr>
          <w:p>
            <w:pPr>
              <w:jc w:val="right"/>
              <w:ind w:right="180"/>
              <w:spacing w:after="0"/>
              <w:rPr>
                <w:sz w:val="20"/>
                <w:szCs w:val="20"/>
                <w:color w:val="auto"/>
              </w:rPr>
            </w:pPr>
            <w:r>
              <w:rPr>
                <w:rFonts w:ascii="Arial" w:cs="Arial" w:eastAsia="Arial" w:hAnsi="Arial"/>
                <w:sz w:val="7"/>
                <w:szCs w:val="7"/>
                <w:color w:val="auto"/>
              </w:rPr>
              <w:t>$</w:t>
            </w: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8,661,294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196151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8180" w:space="200"/>
            <w:col w:w="3100"/>
          </w:cols>
          <w:pgMar w:left="220" w:top="140" w:right="199" w:bottom="1440" w:gutter="0" w:footer="0" w:header="0"/>
        </w:sectPr>
      </w:pPr>
    </w:p>
    <w:p>
      <w:pPr>
        <w:jc w:val="center"/>
        <w:ind w:right="20"/>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140" w:right="199" w:bottom="1440" w:gutter="0" w:footer="0" w:header="0"/>
          <w:type w:val="continuous"/>
        </w:sectPr>
      </w:pPr>
    </w:p>
    <w:bookmarkStart w:id="4" w:name="page5"/>
    <w:bookmarkEnd w:id="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(Amounts in thousands, except per share amounts)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0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gridSpan w:val="3"/>
          </w:tcPr>
          <w:p>
            <w:pPr>
              <w:jc w:val="right"/>
              <w:spacing w:after="0"/>
              <w:rPr>
                <w:sz w:val="20"/>
                <w:szCs w:val="20"/>
                <w:color w:val="auto"/>
              </w:rPr>
            </w:pPr>
            <w:r>
              <w:rPr>
                <w:rFonts w:ascii="Arial" w:cs="Arial" w:eastAsia="Arial" w:hAnsi="Arial"/>
                <w:sz w:val="11"/>
                <w:szCs w:val="11"/>
                <w:b w:val="1"/>
                <w:bCs w:val="1"/>
                <w:color w:val="auto"/>
                <w:w w:val="99"/>
              </w:rPr>
              <w:t>For the three months</w:t>
            </w: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60" w:type="dxa"/>
            <w:vAlign w:val="bottom"/>
            <w:gridSpan w:val="3"/>
          </w:tcPr>
          <w:p>
            <w:pPr>
              <w:jc w:val="right"/>
              <w:spacing w:after="0"/>
              <w:rPr>
                <w:sz w:val="20"/>
                <w:szCs w:val="20"/>
                <w:color w:val="auto"/>
              </w:rPr>
            </w:pPr>
            <w:r>
              <w:rPr>
                <w:rFonts w:ascii="Arial" w:cs="Arial" w:eastAsia="Arial" w:hAnsi="Arial"/>
                <w:sz w:val="11"/>
                <w:szCs w:val="11"/>
                <w:b w:val="1"/>
                <w:bCs w:val="1"/>
                <w:color w:val="auto"/>
              </w:rPr>
              <w:t>For the nine months</w:t>
            </w:r>
          </w:p>
        </w:tc>
        <w:tc>
          <w:tcPr>
            <w:tcW w:w="760" w:type="dxa"/>
            <w:vAlign w:val="bottom"/>
          </w:tcPr>
          <w:p>
            <w:pPr>
              <w:spacing w:after="0"/>
              <w:rPr>
                <w:sz w:val="10"/>
                <w:szCs w:val="10"/>
                <w:color w:val="auto"/>
              </w:rPr>
            </w:pPr>
          </w:p>
        </w:tc>
      </w:tr>
      <w:tr>
        <w:trPr>
          <w:trHeight w:val="148"/>
        </w:trPr>
        <w:tc>
          <w:tcPr>
            <w:tcW w:w="60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ended September 30,</w:t>
            </w:r>
          </w:p>
        </w:tc>
        <w:tc>
          <w:tcPr>
            <w:tcW w:w="7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ended September 30,</w:t>
            </w:r>
          </w:p>
        </w:tc>
        <w:tc>
          <w:tcPr>
            <w:tcW w:w="760" w:type="dxa"/>
            <w:vAlign w:val="bottom"/>
            <w:tcBorders>
              <w:bottom w:val="single" w:sz="8" w:color="auto"/>
            </w:tcBorders>
          </w:tcPr>
          <w:p>
            <w:pPr>
              <w:spacing w:after="0"/>
              <w:rPr>
                <w:sz w:val="12"/>
                <w:szCs w:val="12"/>
                <w:color w:val="auto"/>
              </w:rPr>
            </w:pPr>
          </w:p>
        </w:tc>
      </w:tr>
      <w:tr>
        <w:trPr>
          <w:trHeight w:val="169"/>
        </w:trPr>
        <w:tc>
          <w:tcPr>
            <w:tcW w:w="608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w w:val="97"/>
              </w:rPr>
              <w:t>2018</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w w:val="97"/>
              </w:rPr>
              <w:t>2018</w:t>
            </w:r>
          </w:p>
        </w:tc>
      </w:tr>
      <w:tr>
        <w:trPr>
          <w:trHeight w:val="194"/>
        </w:trPr>
        <w:tc>
          <w:tcPr>
            <w:tcW w:w="6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6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Revenue:</w:t>
            </w:r>
          </w:p>
        </w:tc>
        <w:tc>
          <w:tcPr>
            <w:tcW w:w="7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r>
      <w:tr>
        <w:trPr>
          <w:trHeight w:val="174"/>
        </w:trPr>
        <w:tc>
          <w:tcPr>
            <w:tcW w:w="6080" w:type="dxa"/>
            <w:vAlign w:val="bottom"/>
          </w:tcPr>
          <w:p>
            <w:pPr>
              <w:ind w:left="180"/>
              <w:spacing w:after="0"/>
              <w:rPr>
                <w:sz w:val="20"/>
                <w:szCs w:val="20"/>
                <w:color w:val="auto"/>
              </w:rPr>
            </w:pPr>
            <w:r>
              <w:rPr>
                <w:rFonts w:ascii="Arial" w:cs="Arial" w:eastAsia="Arial" w:hAnsi="Arial"/>
                <w:sz w:val="11"/>
                <w:szCs w:val="11"/>
                <w:color w:val="auto"/>
              </w:rPr>
              <w:t>Services and other revenue - DISH Network</w:t>
            </w:r>
          </w:p>
        </w:tc>
        <w:tc>
          <w:tcPr>
            <w:tcW w:w="760" w:type="dxa"/>
            <w:vAlign w:val="bottom"/>
          </w:tcPr>
          <w:p>
            <w:pPr>
              <w:jc w:val="right"/>
              <w:ind w:right="62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6"/>
              <w:spacing w:after="0"/>
              <w:rPr>
                <w:sz w:val="20"/>
                <w:szCs w:val="20"/>
                <w:color w:val="auto"/>
              </w:rPr>
            </w:pPr>
            <w:r>
              <w:rPr>
                <w:rFonts w:ascii="Arial" w:cs="Arial" w:eastAsia="Arial" w:hAnsi="Arial"/>
                <w:sz w:val="11"/>
                <w:szCs w:val="11"/>
                <w:color w:val="auto"/>
              </w:rPr>
              <w:t>13,232</w:t>
            </w:r>
          </w:p>
        </w:tc>
        <w:tc>
          <w:tcPr>
            <w:tcW w:w="120" w:type="dxa"/>
            <w:vAlign w:val="bottom"/>
          </w:tcPr>
          <w:p>
            <w:pPr>
              <w:spacing w:after="0"/>
              <w:rPr>
                <w:sz w:val="15"/>
                <w:szCs w:val="15"/>
                <w:color w:val="auto"/>
              </w:rPr>
            </w:pPr>
          </w:p>
        </w:tc>
        <w:tc>
          <w:tcPr>
            <w:tcW w:w="500" w:type="dxa"/>
            <w:vAlign w:val="bottom"/>
          </w:tcPr>
          <w:p>
            <w:pPr>
              <w:jc w:val="right"/>
              <w:ind w:right="366"/>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17,054</w:t>
            </w:r>
          </w:p>
        </w:tc>
        <w:tc>
          <w:tcPr>
            <w:tcW w:w="120" w:type="dxa"/>
            <w:vAlign w:val="bottom"/>
          </w:tcPr>
          <w:p>
            <w:pPr>
              <w:spacing w:after="0"/>
              <w:rPr>
                <w:sz w:val="15"/>
                <w:szCs w:val="15"/>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42,532</w:t>
            </w:r>
          </w:p>
        </w:tc>
        <w:tc>
          <w:tcPr>
            <w:tcW w:w="120" w:type="dxa"/>
            <w:vAlign w:val="bottom"/>
          </w:tcPr>
          <w:p>
            <w:pPr>
              <w:spacing w:after="0"/>
              <w:rPr>
                <w:sz w:val="15"/>
                <w:szCs w:val="15"/>
                <w:color w:val="auto"/>
              </w:rPr>
            </w:pPr>
          </w:p>
        </w:tc>
        <w:tc>
          <w:tcPr>
            <w:tcW w:w="480" w:type="dxa"/>
            <w:vAlign w:val="bottom"/>
          </w:tcPr>
          <w:p>
            <w:pPr>
              <w:jc w:val="right"/>
              <w:ind w:right="346"/>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57,410</w:t>
            </w:r>
          </w:p>
        </w:tc>
      </w:tr>
      <w:tr>
        <w:trPr>
          <w:trHeight w:val="187"/>
        </w:trPr>
        <w:tc>
          <w:tcPr>
            <w:tcW w:w="60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Services and other revenue - other</w:t>
            </w:r>
          </w:p>
        </w:tc>
        <w:tc>
          <w:tcPr>
            <w:tcW w:w="7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5"/>
              </w:rPr>
              <w:t>393,305</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382,374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1,169,459</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1,101,111</w:t>
            </w:r>
          </w:p>
        </w:tc>
      </w:tr>
      <w:tr>
        <w:trPr>
          <w:trHeight w:val="174"/>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Equipment revenue</w:t>
            </w:r>
          </w:p>
        </w:tc>
        <w:tc>
          <w:tcPr>
            <w:tcW w:w="7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65,725</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56,846</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175,084</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150,134</w:t>
            </w:r>
          </w:p>
        </w:tc>
      </w:tr>
      <w:tr>
        <w:trPr>
          <w:trHeight w:val="160"/>
        </w:trPr>
        <w:tc>
          <w:tcPr>
            <w:tcW w:w="60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Total revenue</w:t>
            </w:r>
          </w:p>
        </w:tc>
        <w:tc>
          <w:tcPr>
            <w:tcW w:w="7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5"/>
              </w:rPr>
              <w:t>472,262</w:t>
            </w:r>
          </w:p>
        </w:tc>
        <w:tc>
          <w:tcPr>
            <w:tcW w:w="12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456,274</w:t>
            </w:r>
          </w:p>
        </w:tc>
        <w:tc>
          <w:tcPr>
            <w:tcW w:w="1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1,387,075</w:t>
            </w:r>
          </w:p>
        </w:tc>
        <w:tc>
          <w:tcPr>
            <w:tcW w:w="12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1,308,655</w:t>
            </w:r>
          </w:p>
        </w:tc>
      </w:tr>
      <w:tr>
        <w:trPr>
          <w:trHeight w:val="194"/>
        </w:trPr>
        <w:tc>
          <w:tcPr>
            <w:tcW w:w="60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6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Costs and expenses:</w:t>
            </w:r>
          </w:p>
        </w:tc>
        <w:tc>
          <w:tcPr>
            <w:tcW w:w="7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r>
      <w:tr>
        <w:trPr>
          <w:trHeight w:val="174"/>
        </w:trPr>
        <w:tc>
          <w:tcPr>
            <w:tcW w:w="6080" w:type="dxa"/>
            <w:vAlign w:val="bottom"/>
          </w:tcPr>
          <w:p>
            <w:pPr>
              <w:ind w:left="180"/>
              <w:spacing w:after="0"/>
              <w:rPr>
                <w:sz w:val="20"/>
                <w:szCs w:val="20"/>
                <w:color w:val="auto"/>
              </w:rPr>
            </w:pPr>
            <w:r>
              <w:rPr>
                <w:rFonts w:ascii="Arial" w:cs="Arial" w:eastAsia="Arial" w:hAnsi="Arial"/>
                <w:sz w:val="11"/>
                <w:szCs w:val="11"/>
                <w:color w:val="auto"/>
              </w:rPr>
              <w:t>Cost of sales - services and other (exclusive of depreciation and amortization)</w:t>
            </w:r>
          </w:p>
        </w:tc>
        <w:tc>
          <w:tcPr>
            <w:tcW w:w="760" w:type="dxa"/>
            <w:vAlign w:val="bottom"/>
          </w:tcPr>
          <w:p>
            <w:pPr>
              <w:spacing w:after="0"/>
              <w:rPr>
                <w:sz w:val="15"/>
                <w:szCs w:val="15"/>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w w:val="95"/>
              </w:rPr>
              <w:t>143,842</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142,290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429,869</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421,622</w:t>
            </w:r>
          </w:p>
        </w:tc>
      </w:tr>
      <w:tr>
        <w:trPr>
          <w:trHeight w:val="187"/>
        </w:trPr>
        <w:tc>
          <w:tcPr>
            <w:tcW w:w="60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Cost of sales - equipment (exclusive of depreciation and amortization)</w:t>
            </w:r>
          </w:p>
        </w:tc>
        <w:tc>
          <w:tcPr>
            <w:tcW w:w="7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51,188</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46,318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142,744</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127,254</w:t>
            </w:r>
          </w:p>
        </w:tc>
      </w:tr>
      <w:tr>
        <w:trPr>
          <w:trHeight w:val="174"/>
        </w:trPr>
        <w:tc>
          <w:tcPr>
            <w:tcW w:w="6080" w:type="dxa"/>
            <w:vAlign w:val="bottom"/>
          </w:tcPr>
          <w:p>
            <w:pPr>
              <w:ind w:left="180"/>
              <w:spacing w:after="0"/>
              <w:rPr>
                <w:sz w:val="20"/>
                <w:szCs w:val="20"/>
                <w:color w:val="auto"/>
              </w:rPr>
            </w:pPr>
            <w:r>
              <w:rPr>
                <w:rFonts w:ascii="Arial" w:cs="Arial" w:eastAsia="Arial" w:hAnsi="Arial"/>
                <w:sz w:val="11"/>
                <w:szCs w:val="11"/>
                <w:color w:val="auto"/>
              </w:rPr>
              <w:t>Selling, general and administrative expenses</w:t>
            </w:r>
          </w:p>
        </w:tc>
        <w:tc>
          <w:tcPr>
            <w:tcW w:w="760" w:type="dxa"/>
            <w:vAlign w:val="bottom"/>
          </w:tcPr>
          <w:p>
            <w:pPr>
              <w:spacing w:after="0"/>
              <w:rPr>
                <w:sz w:val="15"/>
                <w:szCs w:val="15"/>
                <w:color w:val="auto"/>
              </w:rPr>
            </w:pPr>
          </w:p>
        </w:tc>
        <w:tc>
          <w:tcPr>
            <w:tcW w:w="520" w:type="dxa"/>
            <w:vAlign w:val="bottom"/>
          </w:tcPr>
          <w:p>
            <w:pPr>
              <w:jc w:val="right"/>
              <w:ind w:right="66"/>
              <w:spacing w:after="0"/>
              <w:rPr>
                <w:sz w:val="20"/>
                <w:szCs w:val="20"/>
                <w:color w:val="auto"/>
              </w:rPr>
            </w:pPr>
            <w:r>
              <w:rPr>
                <w:rFonts w:ascii="Arial" w:cs="Arial" w:eastAsia="Arial" w:hAnsi="Arial"/>
                <w:sz w:val="11"/>
                <w:szCs w:val="11"/>
                <w:color w:val="auto"/>
                <w:w w:val="95"/>
              </w:rPr>
              <w:t>122,676</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107,540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384,152</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314,040</w:t>
            </w:r>
          </w:p>
        </w:tc>
      </w:tr>
      <w:tr>
        <w:trPr>
          <w:trHeight w:val="187"/>
        </w:trPr>
        <w:tc>
          <w:tcPr>
            <w:tcW w:w="60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Research and development expenses</w:t>
            </w:r>
          </w:p>
        </w:tc>
        <w:tc>
          <w:tcPr>
            <w:tcW w:w="7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6,136</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6,544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19,411</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20,328</w:t>
            </w:r>
          </w:p>
        </w:tc>
      </w:tr>
      <w:tr>
        <w:trPr>
          <w:trHeight w:val="174"/>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Depreciation and amortization</w:t>
            </w:r>
          </w:p>
        </w:tc>
        <w:tc>
          <w:tcPr>
            <w:tcW w:w="7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5"/>
              </w:rPr>
              <w:t>122,374</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115,325</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361,619</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338,737</w:t>
            </w:r>
          </w:p>
        </w:tc>
      </w:tr>
      <w:tr>
        <w:trPr>
          <w:trHeight w:val="167"/>
        </w:trPr>
        <w:tc>
          <w:tcPr>
            <w:tcW w:w="60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Total costs and expenses</w:t>
            </w:r>
          </w:p>
        </w:tc>
        <w:tc>
          <w:tcPr>
            <w:tcW w:w="7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5"/>
              </w:rPr>
              <w:t>446,216</w:t>
            </w: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418,017</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1,337,795</w:t>
            </w:r>
          </w:p>
        </w:tc>
        <w:tc>
          <w:tcPr>
            <w:tcW w:w="12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1,221,981</w:t>
            </w:r>
          </w:p>
        </w:tc>
      </w:tr>
      <w:tr>
        <w:trPr>
          <w:trHeight w:val="154"/>
        </w:trPr>
        <w:tc>
          <w:tcPr>
            <w:tcW w:w="6080" w:type="dxa"/>
            <w:vAlign w:val="bottom"/>
            <w:tcBorders>
              <w:bottom w:val="single" w:sz="8" w:color="CCEEFF"/>
            </w:tcBorders>
          </w:tcPr>
          <w:p>
            <w:pPr>
              <w:ind w:left="460"/>
              <w:spacing w:after="0"/>
              <w:rPr>
                <w:sz w:val="20"/>
                <w:szCs w:val="20"/>
                <w:color w:val="auto"/>
              </w:rPr>
            </w:pPr>
            <w:r>
              <w:rPr>
                <w:rFonts w:ascii="Arial" w:cs="Arial" w:eastAsia="Arial" w:hAnsi="Arial"/>
                <w:sz w:val="11"/>
                <w:szCs w:val="11"/>
                <w:color w:val="auto"/>
              </w:rPr>
              <w:t>Operating income</w:t>
            </w:r>
          </w:p>
        </w:tc>
        <w:tc>
          <w:tcPr>
            <w:tcW w:w="7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26,046</w:t>
            </w:r>
          </w:p>
        </w:tc>
        <w:tc>
          <w:tcPr>
            <w:tcW w:w="1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38,257</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49,280</w:t>
            </w: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86,674</w:t>
            </w:r>
          </w:p>
        </w:tc>
      </w:tr>
      <w:tr>
        <w:trPr>
          <w:trHeight w:val="194"/>
        </w:trPr>
        <w:tc>
          <w:tcPr>
            <w:tcW w:w="60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49"/>
        </w:trPr>
        <w:tc>
          <w:tcPr>
            <w:tcW w:w="6080" w:type="dxa"/>
            <w:vAlign w:val="bottom"/>
          </w:tcPr>
          <w:p>
            <w:pPr>
              <w:ind w:left="20"/>
              <w:spacing w:after="0"/>
              <w:rPr>
                <w:sz w:val="20"/>
                <w:szCs w:val="20"/>
                <w:color w:val="auto"/>
              </w:rPr>
            </w:pPr>
            <w:r>
              <w:rPr>
                <w:rFonts w:ascii="Arial" w:cs="Arial" w:eastAsia="Arial" w:hAnsi="Arial"/>
                <w:sz w:val="11"/>
                <w:szCs w:val="11"/>
                <w:b w:val="1"/>
                <w:bCs w:val="1"/>
                <w:color w:val="auto"/>
              </w:rPr>
              <w:t>Other income (expense):</w:t>
            </w: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31"/>
        </w:trPr>
        <w:tc>
          <w:tcPr>
            <w:tcW w:w="6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80"/>
        </w:trPr>
        <w:tc>
          <w:tcPr>
            <w:tcW w:w="60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Interest income</w:t>
            </w:r>
          </w:p>
        </w:tc>
        <w:tc>
          <w:tcPr>
            <w:tcW w:w="7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17,175</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21,349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64,817</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56,237</w:t>
            </w:r>
          </w:p>
        </w:tc>
      </w:tr>
      <w:tr>
        <w:trPr>
          <w:trHeight w:val="174"/>
        </w:trPr>
        <w:tc>
          <w:tcPr>
            <w:tcW w:w="6080" w:type="dxa"/>
            <w:vAlign w:val="bottom"/>
          </w:tcPr>
          <w:p>
            <w:pPr>
              <w:ind w:left="180"/>
              <w:spacing w:after="0"/>
              <w:rPr>
                <w:sz w:val="20"/>
                <w:szCs w:val="20"/>
                <w:color w:val="auto"/>
              </w:rPr>
            </w:pPr>
            <w:r>
              <w:rPr>
                <w:rFonts w:ascii="Arial" w:cs="Arial" w:eastAsia="Arial" w:hAnsi="Arial"/>
                <w:sz w:val="11"/>
                <w:szCs w:val="11"/>
                <w:color w:val="auto"/>
              </w:rPr>
              <w:t>Interest expense, net of amounts capitalized</w:t>
            </w:r>
          </w:p>
        </w:tc>
        <w:tc>
          <w:tcPr>
            <w:tcW w:w="760" w:type="dxa"/>
            <w:vAlign w:val="bottom"/>
          </w:tcPr>
          <w:p>
            <w:pPr>
              <w:spacing w:after="0"/>
              <w:rPr>
                <w:sz w:val="15"/>
                <w:szCs w:val="15"/>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(49,865)</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(54,878)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(156,813)</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(164,038)</w:t>
            </w:r>
          </w:p>
        </w:tc>
      </w:tr>
      <w:tr>
        <w:trPr>
          <w:trHeight w:val="187"/>
        </w:trPr>
        <w:tc>
          <w:tcPr>
            <w:tcW w:w="60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Gains (losses) on investments, net</w:t>
            </w:r>
          </w:p>
        </w:tc>
        <w:tc>
          <w:tcPr>
            <w:tcW w:w="7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8,295</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2,873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28,087</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31,606</w:t>
            </w:r>
          </w:p>
        </w:tc>
      </w:tr>
      <w:tr>
        <w:trPr>
          <w:trHeight w:val="174"/>
        </w:trPr>
        <w:tc>
          <w:tcPr>
            <w:tcW w:w="6080" w:type="dxa"/>
            <w:vAlign w:val="bottom"/>
          </w:tcPr>
          <w:p>
            <w:pPr>
              <w:ind w:left="180"/>
              <w:spacing w:after="0"/>
              <w:rPr>
                <w:sz w:val="20"/>
                <w:szCs w:val="20"/>
                <w:color w:val="auto"/>
              </w:rPr>
            </w:pPr>
            <w:r>
              <w:rPr>
                <w:rFonts w:ascii="Arial" w:cs="Arial" w:eastAsia="Arial" w:hAnsi="Arial"/>
                <w:sz w:val="11"/>
                <w:szCs w:val="11"/>
                <w:color w:val="auto"/>
              </w:rPr>
              <w:t>Equity in earnings (losses) of unconsolidated affiliates, net</w:t>
            </w:r>
          </w:p>
        </w:tc>
        <w:tc>
          <w:tcPr>
            <w:tcW w:w="760" w:type="dxa"/>
            <w:vAlign w:val="bottom"/>
          </w:tcPr>
          <w:p>
            <w:pPr>
              <w:spacing w:after="0"/>
              <w:rPr>
                <w:sz w:val="15"/>
                <w:szCs w:val="15"/>
                <w:color w:val="auto"/>
              </w:rPr>
            </w:pP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(3,209)</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jc w:val="right"/>
              <w:ind w:right="66"/>
              <w:spacing w:after="0"/>
              <w:rPr>
                <w:sz w:val="20"/>
                <w:szCs w:val="20"/>
                <w:color w:val="auto"/>
              </w:rPr>
            </w:pPr>
            <w:r>
              <w:rPr>
                <w:rFonts w:ascii="Arial" w:cs="Arial" w:eastAsia="Arial" w:hAnsi="Arial"/>
                <w:sz w:val="11"/>
                <w:szCs w:val="11"/>
                <w:color w:val="auto"/>
              </w:rPr>
              <w:t>416</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(14,317)</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(2,651)</w:t>
            </w:r>
          </w:p>
        </w:tc>
      </w:tr>
      <w:tr>
        <w:trPr>
          <w:trHeight w:val="187"/>
        </w:trPr>
        <w:tc>
          <w:tcPr>
            <w:tcW w:w="60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 net</w:t>
            </w:r>
          </w:p>
        </w:tc>
        <w:tc>
          <w:tcPr>
            <w:tcW w:w="7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(16,587)</w:t>
            </w:r>
          </w:p>
        </w:tc>
        <w:tc>
          <w:tcPr>
            <w:tcW w:w="12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(3,249)</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(16,028)</w:t>
            </w:r>
          </w:p>
        </w:tc>
        <w:tc>
          <w:tcPr>
            <w:tcW w:w="12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(3,381)</w:t>
            </w:r>
          </w:p>
        </w:tc>
      </w:tr>
      <w:tr>
        <w:trPr>
          <w:trHeight w:val="154"/>
        </w:trPr>
        <w:tc>
          <w:tcPr>
            <w:tcW w:w="6080" w:type="dxa"/>
            <w:vAlign w:val="bottom"/>
            <w:tcBorders>
              <w:bottom w:val="single" w:sz="8" w:color="CCEEFF"/>
            </w:tcBorders>
          </w:tcPr>
          <w:p>
            <w:pPr>
              <w:ind w:left="460"/>
              <w:spacing w:after="0"/>
              <w:rPr>
                <w:sz w:val="20"/>
                <w:szCs w:val="20"/>
                <w:color w:val="auto"/>
              </w:rPr>
            </w:pPr>
            <w:r>
              <w:rPr>
                <w:rFonts w:ascii="Arial" w:cs="Arial" w:eastAsia="Arial" w:hAnsi="Arial"/>
                <w:sz w:val="11"/>
                <w:szCs w:val="11"/>
                <w:color w:val="auto"/>
              </w:rPr>
              <w:t>Total other income (expense), net</w:t>
            </w:r>
          </w:p>
        </w:tc>
        <w:tc>
          <w:tcPr>
            <w:tcW w:w="7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(44,191)</w:t>
            </w:r>
          </w:p>
        </w:tc>
        <w:tc>
          <w:tcPr>
            <w:tcW w:w="1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(33,489)</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(94,254)</w:t>
            </w:r>
          </w:p>
        </w:tc>
        <w:tc>
          <w:tcPr>
            <w:tcW w:w="1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(82,227)</w:t>
            </w:r>
          </w:p>
        </w:tc>
      </w:tr>
      <w:tr>
        <w:trPr>
          <w:trHeight w:val="167"/>
        </w:trPr>
        <w:tc>
          <w:tcPr>
            <w:tcW w:w="6080" w:type="dxa"/>
            <w:vAlign w:val="bottom"/>
            <w:shd w:val="clear" w:color="auto" w:fill="CCEEFF"/>
          </w:tcPr>
          <w:p>
            <w:pPr>
              <w:ind w:left="600"/>
              <w:spacing w:after="0"/>
              <w:rPr>
                <w:sz w:val="20"/>
                <w:szCs w:val="20"/>
                <w:color w:val="auto"/>
              </w:rPr>
            </w:pPr>
            <w:r>
              <w:rPr>
                <w:rFonts w:ascii="Arial" w:cs="Arial" w:eastAsia="Arial" w:hAnsi="Arial"/>
                <w:sz w:val="11"/>
                <w:szCs w:val="11"/>
                <w:color w:val="auto"/>
              </w:rPr>
              <w:t>Income (loss) from continuing operations before income taxes</w:t>
            </w:r>
          </w:p>
        </w:tc>
        <w:tc>
          <w:tcPr>
            <w:tcW w:w="7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(18,145)</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4,768</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(44,974)</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4,447</w:t>
            </w:r>
          </w:p>
        </w:tc>
      </w:tr>
      <w:tr>
        <w:trPr>
          <w:trHeight w:val="174"/>
        </w:trPr>
        <w:tc>
          <w:tcPr>
            <w:tcW w:w="6080" w:type="dxa"/>
            <w:vAlign w:val="bottom"/>
            <w:tcBorders>
              <w:bottom w:val="single" w:sz="8" w:color="CCEEFF"/>
            </w:tcBorders>
          </w:tcPr>
          <w:p>
            <w:pPr>
              <w:ind w:left="600"/>
              <w:spacing w:after="0"/>
              <w:rPr>
                <w:sz w:val="20"/>
                <w:szCs w:val="20"/>
                <w:color w:val="auto"/>
              </w:rPr>
            </w:pPr>
            <w:r>
              <w:rPr>
                <w:rFonts w:ascii="Arial" w:cs="Arial" w:eastAsia="Arial" w:hAnsi="Arial"/>
                <w:sz w:val="11"/>
                <w:szCs w:val="11"/>
                <w:color w:val="auto"/>
              </w:rPr>
              <w:t>Income tax benefit (provision), net</w:t>
            </w:r>
          </w:p>
        </w:tc>
        <w:tc>
          <w:tcPr>
            <w:tcW w:w="7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(5,016)</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(7,963)</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(12,607)</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(8,275)</w:t>
            </w:r>
          </w:p>
        </w:tc>
      </w:tr>
      <w:tr>
        <w:trPr>
          <w:trHeight w:val="167"/>
        </w:trPr>
        <w:tc>
          <w:tcPr>
            <w:tcW w:w="6080" w:type="dxa"/>
            <w:vAlign w:val="bottom"/>
            <w:shd w:val="clear" w:color="auto" w:fill="CCEEFF"/>
          </w:tcPr>
          <w:p>
            <w:pPr>
              <w:ind w:left="740"/>
              <w:spacing w:after="0"/>
              <w:rPr>
                <w:sz w:val="20"/>
                <w:szCs w:val="20"/>
                <w:color w:val="auto"/>
              </w:rPr>
            </w:pPr>
            <w:r>
              <w:rPr>
                <w:rFonts w:ascii="Arial" w:cs="Arial" w:eastAsia="Arial" w:hAnsi="Arial"/>
                <w:sz w:val="11"/>
                <w:szCs w:val="11"/>
                <w:color w:val="auto"/>
              </w:rPr>
              <w:t>Net loss from continuing operations</w:t>
            </w:r>
          </w:p>
        </w:tc>
        <w:tc>
          <w:tcPr>
            <w:tcW w:w="7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(23,161)</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(3,195)</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(57,581)</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(3,828)</w:t>
            </w:r>
          </w:p>
        </w:tc>
      </w:tr>
      <w:tr>
        <w:trPr>
          <w:trHeight w:val="174"/>
        </w:trPr>
        <w:tc>
          <w:tcPr>
            <w:tcW w:w="6080" w:type="dxa"/>
            <w:vAlign w:val="bottom"/>
            <w:tcBorders>
              <w:bottom w:val="single" w:sz="8" w:color="CCEEFF"/>
            </w:tcBorders>
          </w:tcPr>
          <w:p>
            <w:pPr>
              <w:ind w:left="740"/>
              <w:spacing w:after="0"/>
              <w:rPr>
                <w:sz w:val="20"/>
                <w:szCs w:val="20"/>
                <w:color w:val="auto"/>
              </w:rPr>
            </w:pPr>
            <w:r>
              <w:rPr>
                <w:rFonts w:ascii="Arial" w:cs="Arial" w:eastAsia="Arial" w:hAnsi="Arial"/>
                <w:sz w:val="11"/>
                <w:szCs w:val="11"/>
                <w:color w:val="auto"/>
              </w:rPr>
              <w:t>Net income from discontinued operations</w:t>
            </w:r>
          </w:p>
        </w:tc>
        <w:tc>
          <w:tcPr>
            <w:tcW w:w="7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2,055</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19,697</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46,423</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76,843</w:t>
            </w:r>
          </w:p>
        </w:tc>
      </w:tr>
      <w:tr>
        <w:trPr>
          <w:trHeight w:val="167"/>
        </w:trPr>
        <w:tc>
          <w:tcPr>
            <w:tcW w:w="6080" w:type="dxa"/>
            <w:vAlign w:val="bottom"/>
            <w:shd w:val="clear" w:color="auto" w:fill="CCEEFF"/>
          </w:tcPr>
          <w:p>
            <w:pPr>
              <w:ind w:left="900"/>
              <w:spacing w:after="0"/>
              <w:rPr>
                <w:sz w:val="20"/>
                <w:szCs w:val="20"/>
                <w:color w:val="auto"/>
              </w:rPr>
            </w:pPr>
            <w:r>
              <w:rPr>
                <w:rFonts w:ascii="Arial" w:cs="Arial" w:eastAsia="Arial" w:hAnsi="Arial"/>
                <w:sz w:val="11"/>
                <w:szCs w:val="11"/>
                <w:color w:val="auto"/>
              </w:rPr>
              <w:t>Net income (loss)</w:t>
            </w:r>
          </w:p>
        </w:tc>
        <w:tc>
          <w:tcPr>
            <w:tcW w:w="7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(21,106)</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16,502</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(11,158)</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73,015</w:t>
            </w:r>
          </w:p>
        </w:tc>
      </w:tr>
      <w:tr>
        <w:trPr>
          <w:trHeight w:val="174"/>
        </w:trPr>
        <w:tc>
          <w:tcPr>
            <w:tcW w:w="6080" w:type="dxa"/>
            <w:vAlign w:val="bottom"/>
            <w:tcBorders>
              <w:bottom w:val="single" w:sz="8" w:color="CCEEFF"/>
            </w:tcBorders>
          </w:tcPr>
          <w:p>
            <w:pPr>
              <w:ind w:left="900"/>
              <w:spacing w:after="0"/>
              <w:rPr>
                <w:sz w:val="20"/>
                <w:szCs w:val="20"/>
                <w:color w:val="auto"/>
              </w:rPr>
            </w:pPr>
            <w:r>
              <w:rPr>
                <w:rFonts w:ascii="Arial" w:cs="Arial" w:eastAsia="Arial" w:hAnsi="Arial"/>
                <w:sz w:val="11"/>
                <w:szCs w:val="11"/>
                <w:color w:val="auto"/>
              </w:rPr>
              <w:t>Less: Net income (loss) attributable to noncontrolling interests</w:t>
            </w:r>
          </w:p>
        </w:tc>
        <w:tc>
          <w:tcPr>
            <w:tcW w:w="7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(2,797)</w:t>
            </w: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450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(1,359)</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1,292</w:t>
            </w:r>
          </w:p>
        </w:tc>
      </w:tr>
      <w:tr>
        <w:trPr>
          <w:trHeight w:val="165"/>
        </w:trPr>
        <w:tc>
          <w:tcPr>
            <w:tcW w:w="60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1"/>
                <w:szCs w:val="11"/>
                <w:color w:val="auto"/>
              </w:rPr>
              <w:t>Net income (loss) attributable to EchoStar Corporation common stock</w:t>
            </w:r>
          </w:p>
        </w:tc>
        <w:tc>
          <w:tcPr>
            <w:tcW w:w="760" w:type="dxa"/>
            <w:vAlign w:val="bottom"/>
            <w:tcBorders>
              <w:bottom w:val="single" w:sz="8" w:color="auto"/>
            </w:tcBorders>
            <w:shd w:val="clear" w:color="auto" w:fill="CCEEFF"/>
          </w:tcPr>
          <w:p>
            <w:pPr>
              <w:jc w:val="right"/>
              <w:ind w:right="626"/>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(18,309)</w:t>
            </w:r>
          </w:p>
        </w:tc>
        <w:tc>
          <w:tcPr>
            <w:tcW w:w="1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66"/>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16,052</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(9,799)</w:t>
            </w:r>
          </w:p>
        </w:tc>
        <w:tc>
          <w:tcPr>
            <w:tcW w:w="1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1"/>
                <w:szCs w:val="11"/>
                <w:color w:val="auto"/>
                <w:w w:val="97"/>
              </w:rPr>
              <w:t>$</w:t>
            </w:r>
          </w:p>
        </w:tc>
        <w:tc>
          <w:tcPr>
            <w:tcW w:w="7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71,723</w:t>
            </w:r>
          </w:p>
        </w:tc>
      </w:tr>
      <w:tr>
        <w:trPr>
          <w:trHeight w:val="198"/>
        </w:trPr>
        <w:tc>
          <w:tcPr>
            <w:tcW w:w="60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0"/>
        </w:trPr>
        <w:tc>
          <w:tcPr>
            <w:tcW w:w="60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Earnings per share - Class A and B common stock:</w:t>
            </w:r>
          </w:p>
        </w:tc>
        <w:tc>
          <w:tcPr>
            <w:tcW w:w="7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74"/>
        </w:trPr>
        <w:tc>
          <w:tcPr>
            <w:tcW w:w="6080" w:type="dxa"/>
            <w:vAlign w:val="bottom"/>
          </w:tcPr>
          <w:p>
            <w:pPr>
              <w:ind w:left="180"/>
              <w:spacing w:after="0"/>
              <w:rPr>
                <w:sz w:val="20"/>
                <w:szCs w:val="20"/>
                <w:color w:val="auto"/>
              </w:rPr>
            </w:pPr>
            <w:r>
              <w:rPr>
                <w:rFonts w:ascii="Arial" w:cs="Arial" w:eastAsia="Arial" w:hAnsi="Arial"/>
                <w:sz w:val="11"/>
                <w:szCs w:val="11"/>
                <w:color w:val="auto"/>
              </w:rPr>
              <w:t>Basic loss from continuing operations per share</w:t>
            </w:r>
          </w:p>
        </w:tc>
        <w:tc>
          <w:tcPr>
            <w:tcW w:w="760" w:type="dxa"/>
            <w:vAlign w:val="bottom"/>
          </w:tcPr>
          <w:p>
            <w:pPr>
              <w:jc w:val="right"/>
              <w:ind w:right="62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(0.21)</w:t>
            </w:r>
          </w:p>
        </w:tc>
        <w:tc>
          <w:tcPr>
            <w:tcW w:w="120" w:type="dxa"/>
            <w:vAlign w:val="bottom"/>
          </w:tcPr>
          <w:p>
            <w:pPr>
              <w:spacing w:after="0"/>
              <w:rPr>
                <w:sz w:val="15"/>
                <w:szCs w:val="15"/>
                <w:color w:val="auto"/>
              </w:rPr>
            </w:pPr>
          </w:p>
        </w:tc>
        <w:tc>
          <w:tcPr>
            <w:tcW w:w="500" w:type="dxa"/>
            <w:vAlign w:val="bottom"/>
          </w:tcPr>
          <w:p>
            <w:pPr>
              <w:jc w:val="right"/>
              <w:ind w:right="366"/>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(0.04)</w:t>
            </w:r>
          </w:p>
        </w:tc>
        <w:tc>
          <w:tcPr>
            <w:tcW w:w="120" w:type="dxa"/>
            <w:vAlign w:val="bottom"/>
          </w:tcPr>
          <w:p>
            <w:pPr>
              <w:spacing w:after="0"/>
              <w:rPr>
                <w:sz w:val="15"/>
                <w:szCs w:val="15"/>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(0.58)</w:t>
            </w:r>
          </w:p>
        </w:tc>
        <w:tc>
          <w:tcPr>
            <w:tcW w:w="120" w:type="dxa"/>
            <w:vAlign w:val="bottom"/>
          </w:tcPr>
          <w:p>
            <w:pPr>
              <w:spacing w:after="0"/>
              <w:rPr>
                <w:sz w:val="15"/>
                <w:szCs w:val="15"/>
                <w:color w:val="auto"/>
              </w:rPr>
            </w:pPr>
          </w:p>
        </w:tc>
        <w:tc>
          <w:tcPr>
            <w:tcW w:w="480" w:type="dxa"/>
            <w:vAlign w:val="bottom"/>
          </w:tcPr>
          <w:p>
            <w:pPr>
              <w:jc w:val="right"/>
              <w:ind w:right="346"/>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(0.05)</w:t>
            </w:r>
          </w:p>
        </w:tc>
      </w:tr>
      <w:tr>
        <w:trPr>
          <w:trHeight w:val="187"/>
        </w:trPr>
        <w:tc>
          <w:tcPr>
            <w:tcW w:w="60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Total basic earnings (loss) per share</w:t>
            </w:r>
          </w:p>
        </w:tc>
        <w:tc>
          <w:tcPr>
            <w:tcW w:w="760" w:type="dxa"/>
            <w:vAlign w:val="bottom"/>
            <w:shd w:val="clear" w:color="auto" w:fill="CCEEFF"/>
          </w:tcPr>
          <w:p>
            <w:pPr>
              <w:jc w:val="right"/>
              <w:ind w:right="626"/>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(0.19)</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0.17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(0.10)</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0.75</w:t>
            </w:r>
          </w:p>
        </w:tc>
      </w:tr>
      <w:tr>
        <w:trPr>
          <w:trHeight w:val="174"/>
        </w:trPr>
        <w:tc>
          <w:tcPr>
            <w:tcW w:w="6080" w:type="dxa"/>
            <w:vAlign w:val="bottom"/>
          </w:tcPr>
          <w:p>
            <w:pPr>
              <w:ind w:left="180"/>
              <w:spacing w:after="0"/>
              <w:rPr>
                <w:sz w:val="20"/>
                <w:szCs w:val="20"/>
                <w:color w:val="auto"/>
              </w:rPr>
            </w:pPr>
            <w:r>
              <w:rPr>
                <w:rFonts w:ascii="Arial" w:cs="Arial" w:eastAsia="Arial" w:hAnsi="Arial"/>
                <w:sz w:val="11"/>
                <w:szCs w:val="11"/>
                <w:color w:val="auto"/>
              </w:rPr>
              <w:t>Diluted loss from continuing operations per share</w:t>
            </w:r>
          </w:p>
        </w:tc>
        <w:tc>
          <w:tcPr>
            <w:tcW w:w="760" w:type="dxa"/>
            <w:vAlign w:val="bottom"/>
          </w:tcPr>
          <w:p>
            <w:pPr>
              <w:jc w:val="right"/>
              <w:ind w:right="626"/>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(0.21)</w:t>
            </w:r>
          </w:p>
        </w:tc>
        <w:tc>
          <w:tcPr>
            <w:tcW w:w="120" w:type="dxa"/>
            <w:vAlign w:val="bottom"/>
          </w:tcPr>
          <w:p>
            <w:pPr>
              <w:spacing w:after="0"/>
              <w:rPr>
                <w:sz w:val="15"/>
                <w:szCs w:val="15"/>
                <w:color w:val="auto"/>
              </w:rPr>
            </w:pPr>
          </w:p>
        </w:tc>
        <w:tc>
          <w:tcPr>
            <w:tcW w:w="500" w:type="dxa"/>
            <w:vAlign w:val="bottom"/>
          </w:tcPr>
          <w:p>
            <w:pPr>
              <w:jc w:val="right"/>
              <w:ind w:right="366"/>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(0.04)</w:t>
            </w:r>
          </w:p>
        </w:tc>
        <w:tc>
          <w:tcPr>
            <w:tcW w:w="120" w:type="dxa"/>
            <w:vAlign w:val="bottom"/>
          </w:tcPr>
          <w:p>
            <w:pPr>
              <w:spacing w:after="0"/>
              <w:rPr>
                <w:sz w:val="15"/>
                <w:szCs w:val="15"/>
                <w:color w:val="auto"/>
              </w:rPr>
            </w:pPr>
          </w:p>
        </w:tc>
        <w:tc>
          <w:tcPr>
            <w:tcW w:w="300" w:type="dxa"/>
            <w:vAlign w:val="bottom"/>
          </w:tcPr>
          <w:p>
            <w:pPr>
              <w:jc w:val="right"/>
              <w:ind w:right="16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(0.58)</w:t>
            </w:r>
          </w:p>
        </w:tc>
        <w:tc>
          <w:tcPr>
            <w:tcW w:w="120" w:type="dxa"/>
            <w:vAlign w:val="bottom"/>
          </w:tcPr>
          <w:p>
            <w:pPr>
              <w:spacing w:after="0"/>
              <w:rPr>
                <w:sz w:val="15"/>
                <w:szCs w:val="15"/>
                <w:color w:val="auto"/>
              </w:rPr>
            </w:pPr>
          </w:p>
        </w:tc>
        <w:tc>
          <w:tcPr>
            <w:tcW w:w="480" w:type="dxa"/>
            <w:vAlign w:val="bottom"/>
          </w:tcPr>
          <w:p>
            <w:pPr>
              <w:jc w:val="right"/>
              <w:ind w:right="346"/>
              <w:spacing w:after="0"/>
              <w:rPr>
                <w:sz w:val="20"/>
                <w:szCs w:val="20"/>
                <w:color w:val="auto"/>
              </w:rPr>
            </w:pPr>
            <w:r>
              <w:rPr>
                <w:rFonts w:ascii="Arial" w:cs="Arial" w:eastAsia="Arial" w:hAnsi="Arial"/>
                <w:sz w:val="11"/>
                <w:szCs w:val="11"/>
                <w:color w:val="auto"/>
                <w:w w:val="97"/>
              </w:rPr>
              <w:t>$</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(0.05)</w:t>
            </w:r>
          </w:p>
        </w:tc>
      </w:tr>
      <w:tr>
        <w:trPr>
          <w:trHeight w:val="187"/>
        </w:trPr>
        <w:tc>
          <w:tcPr>
            <w:tcW w:w="60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Total diluted earnings (loss) per share</w:t>
            </w:r>
          </w:p>
        </w:tc>
        <w:tc>
          <w:tcPr>
            <w:tcW w:w="760" w:type="dxa"/>
            <w:vAlign w:val="bottom"/>
            <w:shd w:val="clear" w:color="auto" w:fill="CCEEFF"/>
          </w:tcPr>
          <w:p>
            <w:pPr>
              <w:jc w:val="right"/>
              <w:ind w:right="626"/>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(0.19)</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0.17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(0.10)</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4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0.75</w:t>
            </w: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11480"/>
          </w:cols>
          <w:pgMar w:left="220" w:top="140" w:right="199" w:bottom="1440" w:gutter="0" w:footer="0" w:header="0"/>
        </w:sectPr>
      </w:pPr>
    </w:p>
    <w:bookmarkStart w:id="5" w:name="page6"/>
    <w:bookmarkEnd w:id="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COMPREHENSIVE INCOME (LOSS)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(Amounts 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(Unaudited)</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6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60" w:type="dxa"/>
            <w:vAlign w:val="bottom"/>
            <w:gridSpan w:val="5"/>
          </w:tcPr>
          <w:p>
            <w:pPr>
              <w:ind w:left="380"/>
              <w:spacing w:after="0"/>
              <w:rPr>
                <w:sz w:val="20"/>
                <w:szCs w:val="20"/>
                <w:color w:val="auto"/>
              </w:rPr>
            </w:pPr>
            <w:r>
              <w:rPr>
                <w:rFonts w:ascii="Arial" w:cs="Arial" w:eastAsia="Arial" w:hAnsi="Arial"/>
                <w:sz w:val="11"/>
                <w:szCs w:val="11"/>
                <w:b w:val="1"/>
                <w:bCs w:val="1"/>
                <w:color w:val="auto"/>
              </w:rPr>
              <w:t>For the three months</w:t>
            </w:r>
          </w:p>
        </w:tc>
        <w:tc>
          <w:tcPr>
            <w:tcW w:w="260" w:type="dxa"/>
            <w:vAlign w:val="bottom"/>
          </w:tcPr>
          <w:p>
            <w:pPr>
              <w:spacing w:after="0"/>
              <w:rPr>
                <w:sz w:val="10"/>
                <w:szCs w:val="10"/>
                <w:color w:val="auto"/>
              </w:rPr>
            </w:pPr>
          </w:p>
        </w:tc>
        <w:tc>
          <w:tcPr>
            <w:tcW w:w="2120" w:type="dxa"/>
            <w:vAlign w:val="bottom"/>
            <w:gridSpan w:val="4"/>
          </w:tcPr>
          <w:p>
            <w:pPr>
              <w:jc w:val="right"/>
              <w:ind w:right="626"/>
              <w:spacing w:after="0"/>
              <w:rPr>
                <w:sz w:val="20"/>
                <w:szCs w:val="20"/>
                <w:color w:val="auto"/>
              </w:rPr>
            </w:pPr>
            <w:r>
              <w:rPr>
                <w:rFonts w:ascii="Arial" w:cs="Arial" w:eastAsia="Arial" w:hAnsi="Arial"/>
                <w:sz w:val="11"/>
                <w:szCs w:val="11"/>
                <w:b w:val="1"/>
                <w:bCs w:val="1"/>
                <w:color w:val="auto"/>
              </w:rPr>
              <w:t>For the nine months</w:t>
            </w:r>
          </w:p>
        </w:tc>
      </w:tr>
      <w:tr>
        <w:trPr>
          <w:trHeight w:val="148"/>
        </w:trPr>
        <w:tc>
          <w:tcPr>
            <w:tcW w:w="6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60" w:type="dxa"/>
            <w:vAlign w:val="bottom"/>
            <w:gridSpan w:val="5"/>
          </w:tcPr>
          <w:p>
            <w:pPr>
              <w:ind w:left="400"/>
              <w:spacing w:after="0"/>
              <w:rPr>
                <w:sz w:val="20"/>
                <w:szCs w:val="20"/>
                <w:color w:val="auto"/>
              </w:rPr>
            </w:pPr>
            <w:r>
              <w:rPr>
                <w:rFonts w:ascii="Arial" w:cs="Arial" w:eastAsia="Arial" w:hAnsi="Arial"/>
                <w:sz w:val="11"/>
                <w:szCs w:val="11"/>
                <w:b w:val="1"/>
                <w:bCs w:val="1"/>
                <w:color w:val="auto"/>
              </w:rPr>
              <w:t>ended September 30,</w:t>
            </w:r>
          </w:p>
        </w:tc>
        <w:tc>
          <w:tcPr>
            <w:tcW w:w="260" w:type="dxa"/>
            <w:vAlign w:val="bottom"/>
          </w:tcPr>
          <w:p>
            <w:pPr>
              <w:spacing w:after="0"/>
              <w:rPr>
                <w:sz w:val="12"/>
                <w:szCs w:val="12"/>
                <w:color w:val="auto"/>
              </w:rPr>
            </w:pPr>
          </w:p>
        </w:tc>
        <w:tc>
          <w:tcPr>
            <w:tcW w:w="2120" w:type="dxa"/>
            <w:vAlign w:val="bottom"/>
            <w:gridSpan w:val="4"/>
          </w:tcPr>
          <w:p>
            <w:pPr>
              <w:jc w:val="right"/>
              <w:ind w:right="586"/>
              <w:spacing w:after="0"/>
              <w:rPr>
                <w:sz w:val="20"/>
                <w:szCs w:val="20"/>
                <w:color w:val="auto"/>
              </w:rPr>
            </w:pPr>
            <w:r>
              <w:rPr>
                <w:rFonts w:ascii="Arial" w:cs="Arial" w:eastAsia="Arial" w:hAnsi="Arial"/>
                <w:sz w:val="11"/>
                <w:szCs w:val="11"/>
                <w:b w:val="1"/>
                <w:bCs w:val="1"/>
                <w:color w:val="auto"/>
              </w:rPr>
              <w:t>ended September 30,</w:t>
            </w:r>
          </w:p>
        </w:tc>
      </w:tr>
      <w:tr>
        <w:trPr>
          <w:trHeight w:val="169"/>
        </w:trPr>
        <w:tc>
          <w:tcPr>
            <w:tcW w:w="652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2018</w:t>
            </w:r>
          </w:p>
        </w:tc>
        <w:tc>
          <w:tcPr>
            <w:tcW w:w="1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2018</w:t>
            </w:r>
          </w:p>
        </w:tc>
      </w:tr>
      <w:tr>
        <w:trPr>
          <w:trHeight w:val="194"/>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80"/>
        </w:trPr>
        <w:tc>
          <w:tcPr>
            <w:tcW w:w="652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 (loss)</w:t>
            </w:r>
          </w:p>
        </w:tc>
        <w:tc>
          <w:tcPr>
            <w:tcW w:w="28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(21,106)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16,502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(11,158)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73,015</w:t>
            </w:r>
          </w:p>
        </w:tc>
      </w:tr>
      <w:tr>
        <w:trPr>
          <w:trHeight w:val="174"/>
        </w:trPr>
        <w:tc>
          <w:tcPr>
            <w:tcW w:w="6520" w:type="dxa"/>
            <w:vAlign w:val="bottom"/>
          </w:tcPr>
          <w:p>
            <w:pPr>
              <w:ind w:left="20"/>
              <w:spacing w:after="0"/>
              <w:rPr>
                <w:sz w:val="20"/>
                <w:szCs w:val="20"/>
                <w:color w:val="auto"/>
              </w:rPr>
            </w:pPr>
            <w:r>
              <w:rPr>
                <w:rFonts w:ascii="Arial" w:cs="Arial" w:eastAsia="Arial" w:hAnsi="Arial"/>
                <w:sz w:val="11"/>
                <w:szCs w:val="11"/>
                <w:color w:val="auto"/>
              </w:rPr>
              <w:t>Other comprehensive income (loss), net of tax:</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7"/>
        </w:trPr>
        <w:tc>
          <w:tcPr>
            <w:tcW w:w="65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Foreign currency translation adjustments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(14,539)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(7,405)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(10,732)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(42,540)</w:t>
            </w:r>
          </w:p>
        </w:tc>
      </w:tr>
      <w:tr>
        <w:trPr>
          <w:trHeight w:val="174"/>
        </w:trPr>
        <w:tc>
          <w:tcPr>
            <w:tcW w:w="6520" w:type="dxa"/>
            <w:vAlign w:val="bottom"/>
          </w:tcPr>
          <w:p>
            <w:pPr>
              <w:ind w:left="180"/>
              <w:spacing w:after="0"/>
              <w:rPr>
                <w:sz w:val="20"/>
                <w:szCs w:val="20"/>
                <w:color w:val="auto"/>
              </w:rPr>
            </w:pPr>
            <w:r>
              <w:rPr>
                <w:rFonts w:ascii="Arial" w:cs="Arial" w:eastAsia="Arial" w:hAnsi="Arial"/>
                <w:sz w:val="11"/>
                <w:szCs w:val="11"/>
                <w:color w:val="auto"/>
              </w:rPr>
              <w:t>Unrealized gains (losses) on available-for-sale securities and other</w:t>
            </w:r>
          </w:p>
        </w:tc>
        <w:tc>
          <w:tcPr>
            <w:tcW w:w="280" w:type="dxa"/>
            <w:vAlign w:val="bottom"/>
          </w:tcPr>
          <w:p>
            <w:pPr>
              <w:spacing w:after="0"/>
              <w:rPr>
                <w:sz w:val="15"/>
                <w:szCs w:val="15"/>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2,375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(120)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4,734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(105)</w:t>
            </w:r>
          </w:p>
        </w:tc>
      </w:tr>
      <w:tr>
        <w:trPr>
          <w:trHeight w:val="187"/>
        </w:trPr>
        <w:tc>
          <w:tcPr>
            <w:tcW w:w="652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Amounts reclassified to net income (loss):</w:t>
            </w: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74"/>
        </w:trPr>
        <w:tc>
          <w:tcPr>
            <w:tcW w:w="6520" w:type="dxa"/>
            <w:vAlign w:val="bottom"/>
          </w:tcPr>
          <w:p>
            <w:pPr>
              <w:ind w:left="320"/>
              <w:spacing w:after="0"/>
              <w:rPr>
                <w:sz w:val="20"/>
                <w:szCs w:val="20"/>
                <w:color w:val="auto"/>
              </w:rPr>
            </w:pPr>
            <w:r>
              <w:rPr>
                <w:rFonts w:ascii="Arial" w:cs="Arial" w:eastAsia="Arial" w:hAnsi="Arial"/>
                <w:sz w:val="11"/>
                <w:szCs w:val="11"/>
                <w:color w:val="auto"/>
              </w:rPr>
              <w:t>Realized gains on available-for-sale securities</w:t>
            </w:r>
          </w:p>
        </w:tc>
        <w:tc>
          <w:tcPr>
            <w:tcW w:w="28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5"/>
                <w:szCs w:val="15"/>
                <w:color w:val="auto"/>
              </w:rPr>
            </w:pPr>
          </w:p>
        </w:tc>
        <w:tc>
          <w:tcPr>
            <w:tcW w:w="90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(566)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(4)</w:t>
            </w:r>
          </w:p>
        </w:tc>
      </w:tr>
      <w:tr>
        <w:trPr>
          <w:trHeight w:val="160"/>
        </w:trPr>
        <w:tc>
          <w:tcPr>
            <w:tcW w:w="652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1"/>
                <w:szCs w:val="11"/>
                <w:color w:val="auto"/>
              </w:rPr>
              <w:t>Total other comprehensive income (loss), net of tax</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(12,164)</w:t>
            </w: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(7,526)</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(6,564)</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(42,649)</w:t>
            </w:r>
          </w:p>
        </w:tc>
      </w:tr>
      <w:tr>
        <w:trPr>
          <w:trHeight w:val="160"/>
        </w:trPr>
        <w:tc>
          <w:tcPr>
            <w:tcW w:w="6520" w:type="dxa"/>
            <w:vAlign w:val="bottom"/>
          </w:tcPr>
          <w:p>
            <w:pPr>
              <w:ind w:left="600"/>
              <w:spacing w:after="0"/>
              <w:rPr>
                <w:sz w:val="20"/>
                <w:szCs w:val="20"/>
                <w:color w:val="auto"/>
              </w:rPr>
            </w:pPr>
            <w:r>
              <w:rPr>
                <w:rFonts w:ascii="Arial" w:cs="Arial" w:eastAsia="Arial" w:hAnsi="Arial"/>
                <w:sz w:val="11"/>
                <w:szCs w:val="11"/>
                <w:color w:val="auto"/>
              </w:rPr>
              <w:t>Comprehensive income (loss)</w:t>
            </w:r>
          </w:p>
        </w:tc>
        <w:tc>
          <w:tcPr>
            <w:tcW w:w="280" w:type="dxa"/>
            <w:vAlign w:val="bottom"/>
          </w:tcPr>
          <w:p>
            <w:pPr>
              <w:spacing w:after="0"/>
              <w:rPr>
                <w:sz w:val="13"/>
                <w:szCs w:val="13"/>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(33,270)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8,976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(17,722)</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30,366</w:t>
            </w:r>
          </w:p>
        </w:tc>
      </w:tr>
      <w:tr>
        <w:trPr>
          <w:trHeight w:val="180"/>
        </w:trPr>
        <w:tc>
          <w:tcPr>
            <w:tcW w:w="6520" w:type="dxa"/>
            <w:vAlign w:val="bottom"/>
            <w:shd w:val="clear" w:color="auto" w:fill="CCEEFF"/>
          </w:tcPr>
          <w:p>
            <w:pPr>
              <w:ind w:left="600"/>
              <w:spacing w:after="0"/>
              <w:rPr>
                <w:sz w:val="20"/>
                <w:szCs w:val="20"/>
                <w:color w:val="auto"/>
              </w:rPr>
            </w:pPr>
            <w:r>
              <w:rPr>
                <w:rFonts w:ascii="Arial" w:cs="Arial" w:eastAsia="Arial" w:hAnsi="Arial"/>
                <w:sz w:val="11"/>
                <w:szCs w:val="11"/>
                <w:color w:val="auto"/>
              </w:rPr>
              <w:t>Less: Comprehensive income (loss) attributable to noncontrolling interests</w:t>
            </w:r>
          </w:p>
        </w:tc>
        <w:tc>
          <w:tcPr>
            <w:tcW w:w="2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(2,797)</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(140)</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(1,359)</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(97)</w:t>
            </w:r>
          </w:p>
        </w:tc>
      </w:tr>
      <w:tr>
        <w:trPr>
          <w:trHeight w:val="165"/>
        </w:trPr>
        <w:tc>
          <w:tcPr>
            <w:tcW w:w="6520" w:type="dxa"/>
            <w:vAlign w:val="bottom"/>
          </w:tcPr>
          <w:p>
            <w:pPr>
              <w:ind w:left="760"/>
              <w:spacing w:after="0"/>
              <w:rPr>
                <w:sz w:val="20"/>
                <w:szCs w:val="20"/>
                <w:color w:val="auto"/>
              </w:rPr>
            </w:pPr>
            <w:r>
              <w:rPr>
                <w:rFonts w:ascii="Arial" w:cs="Arial" w:eastAsia="Arial" w:hAnsi="Arial"/>
                <w:sz w:val="11"/>
                <w:szCs w:val="11"/>
                <w:color w:val="auto"/>
              </w:rPr>
              <w:t>Comprehensive income (loss) attributable to EchoStar Corporation</w:t>
            </w: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(30,473)</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9,116</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(16,363)</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30,463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60"/>
          </w:cols>
          <w:pgMar w:left="220" w:top="140" w:right="219" w:bottom="1440" w:gutter="0" w:footer="0" w:header="0"/>
        </w:sectPr>
      </w:pPr>
    </w:p>
    <w:bookmarkStart w:id="6" w:name="page7"/>
    <w:bookmarkEnd w:id="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CHANGES IN STOCKHOLDERS’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 THE THREE MONTHS ENDED SEPTEMBER 30, 2019 AND 2018</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(Amounts 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Class</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Accumulated</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6"/>
        </w:trPr>
        <w:tc>
          <w:tcPr>
            <w:tcW w:w="2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6"/>
              </w:rPr>
              <w:t>A and B</w:t>
            </w:r>
          </w:p>
        </w:tc>
        <w:tc>
          <w:tcPr>
            <w:tcW w:w="16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6"/>
              </w:rPr>
              <w:t>Additional</w:t>
            </w:r>
          </w:p>
        </w:tc>
        <w:tc>
          <w:tcPr>
            <w:tcW w:w="180" w:type="dxa"/>
            <w:vAlign w:val="bottom"/>
          </w:tcPr>
          <w:p>
            <w:pPr>
              <w:spacing w:after="0"/>
              <w:rPr>
                <w:sz w:val="10"/>
                <w:szCs w:val="1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Other</w:t>
            </w: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6"/>
        </w:trPr>
        <w:tc>
          <w:tcPr>
            <w:tcW w:w="2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Common</w:t>
            </w:r>
          </w:p>
        </w:tc>
        <w:tc>
          <w:tcPr>
            <w:tcW w:w="16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Paid-In</w:t>
            </w:r>
          </w:p>
        </w:tc>
        <w:tc>
          <w:tcPr>
            <w:tcW w:w="180" w:type="dxa"/>
            <w:vAlign w:val="bottom"/>
          </w:tcPr>
          <w:p>
            <w:pPr>
              <w:spacing w:after="0"/>
              <w:rPr>
                <w:sz w:val="10"/>
                <w:szCs w:val="10"/>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9"/>
              </w:rPr>
              <w:t>Comprehensive</w:t>
            </w:r>
          </w:p>
        </w:tc>
        <w:tc>
          <w:tcPr>
            <w:tcW w:w="200" w:type="dxa"/>
            <w:vAlign w:val="bottom"/>
          </w:tcPr>
          <w:p>
            <w:pPr>
              <w:spacing w:after="0"/>
              <w:rPr>
                <w:sz w:val="10"/>
                <w:szCs w:val="1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8"/>
              </w:rPr>
              <w:t>Accumulated</w:t>
            </w:r>
          </w:p>
        </w:tc>
        <w:tc>
          <w:tcPr>
            <w:tcW w:w="140" w:type="dxa"/>
            <w:vAlign w:val="bottom"/>
          </w:tcPr>
          <w:p>
            <w:pPr>
              <w:spacing w:after="0"/>
              <w:rPr>
                <w:sz w:val="10"/>
                <w:szCs w:val="10"/>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Treasury</w:t>
            </w:r>
          </w:p>
        </w:tc>
        <w:tc>
          <w:tcPr>
            <w:tcW w:w="180" w:type="dxa"/>
            <w:vAlign w:val="bottom"/>
          </w:tcPr>
          <w:p>
            <w:pPr>
              <w:spacing w:after="0"/>
              <w:rPr>
                <w:sz w:val="10"/>
                <w:szCs w:val="1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9"/>
              </w:rPr>
              <w:t>Noncontrolling</w:t>
            </w: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8"/>
        </w:trPr>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3"/>
              </w:rPr>
              <w:t>Stock</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Capital</w:t>
            </w:r>
          </w:p>
        </w:tc>
        <w:tc>
          <w:tcPr>
            <w:tcW w:w="180" w:type="dxa"/>
            <w:vAlign w:val="bottom"/>
          </w:tcPr>
          <w:p>
            <w:pPr>
              <w:spacing w:after="0"/>
              <w:rPr>
                <w:sz w:val="12"/>
                <w:szCs w:val="12"/>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Loss</w:t>
            </w:r>
          </w:p>
        </w:tc>
        <w:tc>
          <w:tcPr>
            <w:tcW w:w="200" w:type="dxa"/>
            <w:vAlign w:val="bottom"/>
          </w:tcPr>
          <w:p>
            <w:pPr>
              <w:spacing w:after="0"/>
              <w:rPr>
                <w:sz w:val="12"/>
                <w:szCs w:val="12"/>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Earnings</w:t>
            </w:r>
          </w:p>
        </w:tc>
        <w:tc>
          <w:tcPr>
            <w:tcW w:w="140" w:type="dxa"/>
            <w:vAlign w:val="bottom"/>
          </w:tcPr>
          <w:p>
            <w:pPr>
              <w:spacing w:after="0"/>
              <w:rPr>
                <w:sz w:val="12"/>
                <w:szCs w:val="12"/>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9"/>
              </w:rPr>
              <w:t>Stock</w:t>
            </w:r>
          </w:p>
        </w:tc>
        <w:tc>
          <w:tcPr>
            <w:tcW w:w="180" w:type="dxa"/>
            <w:vAlign w:val="bottom"/>
          </w:tcPr>
          <w:p>
            <w:pPr>
              <w:spacing w:after="0"/>
              <w:rPr>
                <w:sz w:val="12"/>
                <w:szCs w:val="12"/>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Interests</w:t>
            </w:r>
          </w:p>
        </w:tc>
        <w:tc>
          <w:tcPr>
            <w:tcW w:w="220" w:type="dxa"/>
            <w:vAlign w:val="bottom"/>
          </w:tcPr>
          <w:p>
            <w:pPr>
              <w:spacing w:after="0"/>
              <w:rPr>
                <w:sz w:val="12"/>
                <w:szCs w:val="12"/>
                <w:color w:val="auto"/>
              </w:rPr>
            </w:pPr>
          </w:p>
        </w:tc>
        <w:tc>
          <w:tcPr>
            <w:tcW w:w="800" w:type="dxa"/>
            <w:vAlign w:val="bottom"/>
          </w:tcPr>
          <w:p>
            <w:pPr>
              <w:jc w:val="right"/>
              <w:ind w:right="326"/>
              <w:spacing w:after="0"/>
              <w:rPr>
                <w:sz w:val="20"/>
                <w:szCs w:val="20"/>
                <w:color w:val="auto"/>
              </w:rPr>
            </w:pPr>
            <w:r>
              <w:rPr>
                <w:rFonts w:ascii="Arial" w:cs="Arial" w:eastAsia="Arial" w:hAnsi="Arial"/>
                <w:sz w:val="11"/>
                <w:szCs w:val="11"/>
                <w:b w:val="1"/>
                <w:bCs w:val="1"/>
                <w:color w:val="auto"/>
              </w:rPr>
              <w:t>Total</w:t>
            </w:r>
          </w:p>
        </w:tc>
      </w:tr>
      <w:tr>
        <w:trPr>
          <w:trHeight w:val="194"/>
        </w:trPr>
        <w:tc>
          <w:tcPr>
            <w:tcW w:w="28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180"/>
        </w:trPr>
        <w:tc>
          <w:tcPr>
            <w:tcW w:w="28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June 30, 2018</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3,689,180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(154,011)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792,278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(98,162)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14,865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4,244,252</w:t>
            </w:r>
          </w:p>
        </w:tc>
      </w:tr>
      <w:tr>
        <w:trPr>
          <w:trHeight w:val="174"/>
        </w:trPr>
        <w:tc>
          <w:tcPr>
            <w:tcW w:w="2880" w:type="dxa"/>
            <w:vAlign w:val="bottom"/>
          </w:tcPr>
          <w:p>
            <w:pPr>
              <w:ind w:left="180"/>
              <w:spacing w:after="0"/>
              <w:rPr>
                <w:sz w:val="20"/>
                <w:szCs w:val="20"/>
                <w:color w:val="auto"/>
              </w:rPr>
            </w:pPr>
            <w:r>
              <w:rPr>
                <w:rFonts w:ascii="Arial" w:cs="Arial" w:eastAsia="Arial" w:hAnsi="Arial"/>
                <w:sz w:val="11"/>
                <w:szCs w:val="11"/>
                <w:color w:val="auto"/>
              </w:rPr>
              <w:t>Issuances of Class A common stock:</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7"/>
        </w:trPr>
        <w:tc>
          <w:tcPr>
            <w:tcW w:w="28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Exercise of stock options</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360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360</w:t>
            </w:r>
          </w:p>
        </w:tc>
      </w:tr>
      <w:tr>
        <w:trPr>
          <w:trHeight w:val="174"/>
        </w:trPr>
        <w:tc>
          <w:tcPr>
            <w:tcW w:w="2880" w:type="dxa"/>
            <w:vAlign w:val="bottom"/>
          </w:tcPr>
          <w:p>
            <w:pPr>
              <w:ind w:left="320"/>
              <w:spacing w:after="0"/>
              <w:rPr>
                <w:sz w:val="20"/>
                <w:szCs w:val="20"/>
                <w:color w:val="auto"/>
              </w:rPr>
            </w:pPr>
            <w:r>
              <w:rPr>
                <w:rFonts w:ascii="Arial" w:cs="Arial" w:eastAsia="Arial" w:hAnsi="Arial"/>
                <w:sz w:val="11"/>
                <w:szCs w:val="11"/>
                <w:color w:val="auto"/>
              </w:rPr>
              <w:t>Employee Stock Purchase Plan</w:t>
            </w:r>
          </w:p>
        </w:tc>
        <w:tc>
          <w:tcPr>
            <w:tcW w:w="14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2,542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2,542</w:t>
            </w:r>
          </w:p>
        </w:tc>
      </w:tr>
      <w:tr>
        <w:trPr>
          <w:trHeight w:val="187"/>
        </w:trPr>
        <w:tc>
          <w:tcPr>
            <w:tcW w:w="2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Stock-based compensation</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2,661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2,661</w:t>
            </w:r>
          </w:p>
        </w:tc>
      </w:tr>
      <w:tr>
        <w:trPr>
          <w:trHeight w:val="174"/>
        </w:trPr>
        <w:tc>
          <w:tcPr>
            <w:tcW w:w="2880" w:type="dxa"/>
            <w:vAlign w:val="bottom"/>
          </w:tcPr>
          <w:p>
            <w:pPr>
              <w:ind w:left="180"/>
              <w:spacing w:after="0"/>
              <w:rPr>
                <w:sz w:val="20"/>
                <w:szCs w:val="20"/>
                <w:color w:val="auto"/>
              </w:rPr>
            </w:pPr>
            <w:r>
              <w:rPr>
                <w:rFonts w:ascii="Arial" w:cs="Arial" w:eastAsia="Arial" w:hAnsi="Arial"/>
                <w:sz w:val="11"/>
                <w:szCs w:val="11"/>
                <w:color w:val="auto"/>
              </w:rPr>
              <w:t>R&amp;D tax credits utilized by DISH Network</w:t>
            </w:r>
          </w:p>
        </w:tc>
        <w:tc>
          <w:tcPr>
            <w:tcW w:w="14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(61)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(61)</w:t>
            </w:r>
          </w:p>
        </w:tc>
      </w:tr>
      <w:tr>
        <w:trPr>
          <w:trHeight w:val="187"/>
        </w:trPr>
        <w:tc>
          <w:tcPr>
            <w:tcW w:w="2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 comprehensive loss</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(6,936)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(590)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(7,526)</w:t>
            </w:r>
          </w:p>
        </w:tc>
      </w:tr>
      <w:tr>
        <w:trPr>
          <w:trHeight w:val="174"/>
        </w:trPr>
        <w:tc>
          <w:tcPr>
            <w:tcW w:w="2880" w:type="dxa"/>
            <w:vAlign w:val="bottom"/>
          </w:tcPr>
          <w:p>
            <w:pPr>
              <w:ind w:left="180"/>
              <w:spacing w:after="0"/>
              <w:rPr>
                <w:sz w:val="20"/>
                <w:szCs w:val="20"/>
                <w:color w:val="auto"/>
              </w:rPr>
            </w:pPr>
            <w:r>
              <w:rPr>
                <w:rFonts w:ascii="Arial" w:cs="Arial" w:eastAsia="Arial" w:hAnsi="Arial"/>
                <w:sz w:val="11"/>
                <w:szCs w:val="11"/>
                <w:color w:val="auto"/>
              </w:rPr>
              <w:t>Net income</w:t>
            </w:r>
          </w:p>
        </w:tc>
        <w:tc>
          <w:tcPr>
            <w:tcW w:w="14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5"/>
                <w:szCs w:val="15"/>
                <w:color w:val="auto"/>
              </w:rPr>
            </w:pPr>
          </w:p>
        </w:tc>
        <w:tc>
          <w:tcPr>
            <w:tcW w:w="1080" w:type="dxa"/>
            <w:vAlign w:val="bottom"/>
          </w:tcPr>
          <w:p>
            <w:pPr>
              <w:jc w:val="right"/>
              <w:ind w:right="66"/>
              <w:spacing w:after="0"/>
              <w:rPr>
                <w:sz w:val="20"/>
                <w:szCs w:val="20"/>
                <w:color w:val="auto"/>
              </w:rPr>
            </w:pPr>
            <w:r>
              <w:rPr>
                <w:rFonts w:ascii="Arial" w:cs="Arial" w:eastAsia="Arial" w:hAnsi="Arial"/>
                <w:sz w:val="11"/>
                <w:szCs w:val="11"/>
                <w:color w:val="auto"/>
              </w:rPr>
              <w:t>16,052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1180" w:type="dxa"/>
            <w:vAlign w:val="bottom"/>
          </w:tcPr>
          <w:p>
            <w:pPr>
              <w:jc w:val="right"/>
              <w:ind w:right="66"/>
              <w:spacing w:after="0"/>
              <w:rPr>
                <w:sz w:val="20"/>
                <w:szCs w:val="20"/>
                <w:color w:val="auto"/>
              </w:rPr>
            </w:pPr>
            <w:r>
              <w:rPr>
                <w:rFonts w:ascii="Arial" w:cs="Arial" w:eastAsia="Arial" w:hAnsi="Arial"/>
                <w:sz w:val="11"/>
                <w:szCs w:val="11"/>
                <w:color w:val="auto"/>
              </w:rPr>
              <w:t>450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16,502</w:t>
            </w:r>
          </w:p>
        </w:tc>
      </w:tr>
      <w:tr>
        <w:trPr>
          <w:trHeight w:val="165"/>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September 30, 2018</w:t>
            </w: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3,694,682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(160,947)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808,330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(98,162)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14,725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4,258,730</w:t>
            </w:r>
          </w:p>
        </w:tc>
      </w:tr>
      <w:tr>
        <w:trPr>
          <w:trHeight w:val="180"/>
        </w:trPr>
        <w:tc>
          <w:tcPr>
            <w:tcW w:w="2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28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June 30, 2019</w:t>
            </w: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3,777,499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(119,500)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704,236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(131,454)</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12,066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4,242,951</w:t>
            </w:r>
          </w:p>
        </w:tc>
      </w:tr>
      <w:tr>
        <w:trPr>
          <w:trHeight w:val="174"/>
        </w:trPr>
        <w:tc>
          <w:tcPr>
            <w:tcW w:w="2880" w:type="dxa"/>
            <w:vAlign w:val="bottom"/>
          </w:tcPr>
          <w:p>
            <w:pPr>
              <w:ind w:left="180"/>
              <w:spacing w:after="0"/>
              <w:rPr>
                <w:sz w:val="20"/>
                <w:szCs w:val="20"/>
                <w:color w:val="auto"/>
              </w:rPr>
            </w:pPr>
            <w:r>
              <w:rPr>
                <w:rFonts w:ascii="Arial" w:cs="Arial" w:eastAsia="Arial" w:hAnsi="Arial"/>
                <w:sz w:val="11"/>
                <w:szCs w:val="11"/>
                <w:color w:val="auto"/>
              </w:rPr>
              <w:t>Issuances of Class A common stock:</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7"/>
        </w:trPr>
        <w:tc>
          <w:tcPr>
            <w:tcW w:w="2880" w:type="dxa"/>
            <w:vAlign w:val="bottom"/>
            <w:shd w:val="clear" w:color="auto" w:fill="CCEEFF"/>
          </w:tcPr>
          <w:p>
            <w:pPr>
              <w:ind w:left="320"/>
              <w:spacing w:after="0"/>
              <w:rPr>
                <w:sz w:val="20"/>
                <w:szCs w:val="20"/>
                <w:color w:val="auto"/>
              </w:rPr>
            </w:pPr>
            <w:r>
              <w:rPr>
                <w:rFonts w:ascii="Arial" w:cs="Arial" w:eastAsia="Arial" w:hAnsi="Arial"/>
                <w:sz w:val="11"/>
                <w:szCs w:val="11"/>
                <w:color w:val="auto"/>
              </w:rPr>
              <w:t>Exercise of stock options</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2,640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2,640</w:t>
            </w:r>
          </w:p>
        </w:tc>
      </w:tr>
      <w:tr>
        <w:trPr>
          <w:trHeight w:val="174"/>
        </w:trPr>
        <w:tc>
          <w:tcPr>
            <w:tcW w:w="2880" w:type="dxa"/>
            <w:vAlign w:val="bottom"/>
          </w:tcPr>
          <w:p>
            <w:pPr>
              <w:ind w:left="320"/>
              <w:spacing w:after="0"/>
              <w:rPr>
                <w:sz w:val="20"/>
                <w:szCs w:val="20"/>
                <w:color w:val="auto"/>
              </w:rPr>
            </w:pPr>
            <w:r>
              <w:rPr>
                <w:rFonts w:ascii="Arial" w:cs="Arial" w:eastAsia="Arial" w:hAnsi="Arial"/>
                <w:sz w:val="11"/>
                <w:szCs w:val="11"/>
                <w:color w:val="auto"/>
              </w:rPr>
              <w:t>Employee Stock Purchase Plan</w:t>
            </w:r>
          </w:p>
        </w:tc>
        <w:tc>
          <w:tcPr>
            <w:tcW w:w="14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2,650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2,650</w:t>
            </w:r>
          </w:p>
        </w:tc>
      </w:tr>
      <w:tr>
        <w:trPr>
          <w:trHeight w:val="187"/>
        </w:trPr>
        <w:tc>
          <w:tcPr>
            <w:tcW w:w="2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Stock-based compensation</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2,287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2,287</w:t>
            </w:r>
          </w:p>
        </w:tc>
      </w:tr>
      <w:tr>
        <w:trPr>
          <w:trHeight w:val="174"/>
        </w:trPr>
        <w:tc>
          <w:tcPr>
            <w:tcW w:w="2880" w:type="dxa"/>
            <w:vAlign w:val="bottom"/>
          </w:tcPr>
          <w:p>
            <w:pPr>
              <w:ind w:left="180"/>
              <w:spacing w:after="0"/>
              <w:rPr>
                <w:sz w:val="20"/>
                <w:szCs w:val="20"/>
                <w:color w:val="auto"/>
              </w:rPr>
            </w:pPr>
            <w:r>
              <w:rPr>
                <w:rFonts w:ascii="Arial" w:cs="Arial" w:eastAsia="Arial" w:hAnsi="Arial"/>
                <w:sz w:val="11"/>
                <w:szCs w:val="11"/>
                <w:color w:val="auto"/>
              </w:rPr>
              <w:t>R&amp;D tax credits utilized by DISH Network</w:t>
            </w:r>
          </w:p>
        </w:tc>
        <w:tc>
          <w:tcPr>
            <w:tcW w:w="14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(13)</w:t>
            </w:r>
          </w:p>
        </w:tc>
      </w:tr>
      <w:tr>
        <w:trPr>
          <w:trHeight w:val="187"/>
        </w:trPr>
        <w:tc>
          <w:tcPr>
            <w:tcW w:w="2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Purchase of noncontrolling interest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1,833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(1,833)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w:t>
            </w:r>
          </w:p>
        </w:tc>
      </w:tr>
      <w:tr>
        <w:trPr>
          <w:trHeight w:val="174"/>
        </w:trPr>
        <w:tc>
          <w:tcPr>
            <w:tcW w:w="2880" w:type="dxa"/>
            <w:vAlign w:val="bottom"/>
          </w:tcPr>
          <w:p>
            <w:pPr>
              <w:ind w:left="180"/>
              <w:spacing w:after="0"/>
              <w:rPr>
                <w:sz w:val="20"/>
                <w:szCs w:val="20"/>
                <w:color w:val="auto"/>
              </w:rPr>
            </w:pPr>
            <w:r>
              <w:rPr>
                <w:rFonts w:ascii="Arial" w:cs="Arial" w:eastAsia="Arial" w:hAnsi="Arial"/>
                <w:sz w:val="11"/>
                <w:szCs w:val="11"/>
                <w:color w:val="auto"/>
              </w:rPr>
              <w:t>BSS Transaction (Note 5)</w:t>
            </w:r>
          </w:p>
        </w:tc>
        <w:tc>
          <w:tcPr>
            <w:tcW w:w="14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(535,103)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5"/>
                <w:szCs w:val="15"/>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(535,103)</w:t>
            </w:r>
          </w:p>
        </w:tc>
      </w:tr>
      <w:tr>
        <w:trPr>
          <w:trHeight w:val="187"/>
        </w:trPr>
        <w:tc>
          <w:tcPr>
            <w:tcW w:w="2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 comprehensive loss</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(12,164)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(12,164)</w:t>
            </w:r>
          </w:p>
        </w:tc>
      </w:tr>
      <w:tr>
        <w:trPr>
          <w:trHeight w:val="174"/>
        </w:trPr>
        <w:tc>
          <w:tcPr>
            <w:tcW w:w="2880" w:type="dxa"/>
            <w:vAlign w:val="bottom"/>
          </w:tcPr>
          <w:p>
            <w:pPr>
              <w:ind w:left="180"/>
              <w:spacing w:after="0"/>
              <w:rPr>
                <w:sz w:val="20"/>
                <w:szCs w:val="20"/>
                <w:color w:val="auto"/>
              </w:rPr>
            </w:pPr>
            <w:r>
              <w:rPr>
                <w:rFonts w:ascii="Arial" w:cs="Arial" w:eastAsia="Arial" w:hAnsi="Arial"/>
                <w:sz w:val="11"/>
                <w:szCs w:val="11"/>
                <w:color w:val="auto"/>
              </w:rPr>
              <w:t>Net loss</w:t>
            </w:r>
          </w:p>
        </w:tc>
        <w:tc>
          <w:tcPr>
            <w:tcW w:w="140" w:type="dxa"/>
            <w:vAlign w:val="bottom"/>
          </w:tcPr>
          <w:p>
            <w:pPr>
              <w:spacing w:after="0"/>
              <w:rPr>
                <w:sz w:val="15"/>
                <w:szCs w:val="15"/>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5"/>
                <w:szCs w:val="15"/>
                <w:color w:val="auto"/>
              </w:rPr>
            </w:pPr>
          </w:p>
        </w:tc>
        <w:tc>
          <w:tcPr>
            <w:tcW w:w="1080" w:type="dxa"/>
            <w:vAlign w:val="bottom"/>
          </w:tcPr>
          <w:p>
            <w:pPr>
              <w:jc w:val="right"/>
              <w:ind w:right="26"/>
              <w:spacing w:after="0"/>
              <w:rPr>
                <w:sz w:val="20"/>
                <w:szCs w:val="20"/>
                <w:color w:val="auto"/>
              </w:rPr>
            </w:pPr>
            <w:r>
              <w:rPr>
                <w:rFonts w:ascii="Arial" w:cs="Arial" w:eastAsia="Arial" w:hAnsi="Arial"/>
                <w:sz w:val="11"/>
                <w:szCs w:val="11"/>
                <w:color w:val="auto"/>
              </w:rPr>
              <w:t>(18,309)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1180" w:type="dxa"/>
            <w:vAlign w:val="bottom"/>
          </w:tcPr>
          <w:p>
            <w:pPr>
              <w:jc w:val="right"/>
              <w:ind w:right="26"/>
              <w:spacing w:after="0"/>
              <w:rPr>
                <w:sz w:val="20"/>
                <w:szCs w:val="20"/>
                <w:color w:val="auto"/>
              </w:rPr>
            </w:pPr>
            <w:r>
              <w:rPr>
                <w:rFonts w:ascii="Arial" w:cs="Arial" w:eastAsia="Arial" w:hAnsi="Arial"/>
                <w:sz w:val="11"/>
                <w:szCs w:val="11"/>
                <w:color w:val="auto"/>
              </w:rPr>
              <w:t>(2,797)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(21,106)</w:t>
            </w:r>
          </w:p>
        </w:tc>
      </w:tr>
      <w:tr>
        <w:trPr>
          <w:trHeight w:val="187"/>
        </w:trPr>
        <w:tc>
          <w:tcPr>
            <w:tcW w:w="28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 net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1,758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1,773</w:t>
            </w:r>
          </w:p>
        </w:tc>
      </w:tr>
      <w:tr>
        <w:trPr>
          <w:trHeight w:val="158"/>
        </w:trPr>
        <w:tc>
          <w:tcPr>
            <w:tcW w:w="2880" w:type="dxa"/>
            <w:vAlign w:val="bottom"/>
          </w:tcPr>
          <w:p>
            <w:pPr>
              <w:ind w:left="20"/>
              <w:spacing w:after="0"/>
              <w:rPr>
                <w:sz w:val="20"/>
                <w:szCs w:val="20"/>
                <w:color w:val="auto"/>
              </w:rPr>
            </w:pPr>
            <w:r>
              <w:rPr>
                <w:rFonts w:ascii="Arial" w:cs="Arial" w:eastAsia="Arial" w:hAnsi="Arial"/>
                <w:sz w:val="11"/>
                <w:szCs w:val="11"/>
                <w:b w:val="1"/>
                <w:bCs w:val="1"/>
                <w:color w:val="auto"/>
              </w:rPr>
              <w:t>Balance, September 30, 2019</w:t>
            </w: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104</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3,251,808</w:t>
            </w: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(131,664)</w:t>
            </w:r>
          </w:p>
        </w:tc>
        <w:tc>
          <w:tcPr>
            <w:tcW w:w="12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0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685,927</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7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(131,454)</w:t>
            </w: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9,194</w:t>
            </w:r>
          </w:p>
        </w:tc>
        <w:tc>
          <w:tcPr>
            <w:tcW w:w="10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8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rPr>
              <w:t>3,683,915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11480"/>
          </w:cols>
          <w:pgMar w:left="220" w:top="140" w:right="199" w:bottom="1440" w:gutter="0" w:footer="0" w:header="0"/>
        </w:sectPr>
      </w:pPr>
    </w:p>
    <w:bookmarkStart w:id="7" w:name="page8"/>
    <w:bookmarkEnd w:id="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CHANGES IN STOCKHOLDERS’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 THE NINE MONTHS ENDED SEPTEMBER 30, 2019 AND 2018</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(Amounts 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Class</w:t>
            </w: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Accumulated</w:t>
            </w: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6"/>
        </w:trPr>
        <w:tc>
          <w:tcPr>
            <w:tcW w:w="3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6"/>
              </w:rPr>
              <w:t>A and B</w:t>
            </w:r>
          </w:p>
        </w:tc>
        <w:tc>
          <w:tcPr>
            <w:tcW w:w="16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6"/>
              </w:rPr>
              <w:t>Additional</w:t>
            </w:r>
          </w:p>
        </w:tc>
        <w:tc>
          <w:tcPr>
            <w:tcW w:w="140" w:type="dxa"/>
            <w:vAlign w:val="bottom"/>
          </w:tcPr>
          <w:p>
            <w:pPr>
              <w:spacing w:after="0"/>
              <w:rPr>
                <w:sz w:val="10"/>
                <w:szCs w:val="1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Other</w:t>
            </w: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26"/>
        </w:trPr>
        <w:tc>
          <w:tcPr>
            <w:tcW w:w="3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6"/>
              </w:rPr>
              <w:t>Common</w:t>
            </w:r>
          </w:p>
        </w:tc>
        <w:tc>
          <w:tcPr>
            <w:tcW w:w="16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Paid-In</w:t>
            </w:r>
          </w:p>
        </w:tc>
        <w:tc>
          <w:tcPr>
            <w:tcW w:w="140" w:type="dxa"/>
            <w:vAlign w:val="bottom"/>
          </w:tcPr>
          <w:p>
            <w:pPr>
              <w:spacing w:after="0"/>
              <w:rPr>
                <w:sz w:val="10"/>
                <w:szCs w:val="1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9"/>
              </w:rPr>
              <w:t>Comprehensive</w:t>
            </w:r>
          </w:p>
        </w:tc>
        <w:tc>
          <w:tcPr>
            <w:tcW w:w="140" w:type="dxa"/>
            <w:vAlign w:val="bottom"/>
          </w:tcPr>
          <w:p>
            <w:pPr>
              <w:spacing w:after="0"/>
              <w:rPr>
                <w:sz w:val="10"/>
                <w:szCs w:val="10"/>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Accumulated</w:t>
            </w:r>
          </w:p>
        </w:tc>
        <w:tc>
          <w:tcPr>
            <w:tcW w:w="180" w:type="dxa"/>
            <w:vAlign w:val="bottom"/>
          </w:tcPr>
          <w:p>
            <w:pPr>
              <w:spacing w:after="0"/>
              <w:rPr>
                <w:sz w:val="10"/>
                <w:szCs w:val="10"/>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Treasury</w:t>
            </w:r>
          </w:p>
        </w:tc>
        <w:tc>
          <w:tcPr>
            <w:tcW w:w="160" w:type="dxa"/>
            <w:vAlign w:val="bottom"/>
          </w:tcPr>
          <w:p>
            <w:pPr>
              <w:spacing w:after="0"/>
              <w:rPr>
                <w:sz w:val="10"/>
                <w:szCs w:val="1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9"/>
              </w:rPr>
              <w:t>Noncontrolling</w:t>
            </w: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148"/>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9"/>
              </w:rPr>
              <w:t>Stock</w:t>
            </w:r>
          </w:p>
        </w:tc>
        <w:tc>
          <w:tcPr>
            <w:tcW w:w="16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Capital</w:t>
            </w:r>
          </w:p>
        </w:tc>
        <w:tc>
          <w:tcPr>
            <w:tcW w:w="140" w:type="dxa"/>
            <w:vAlign w:val="bottom"/>
          </w:tcPr>
          <w:p>
            <w:pPr>
              <w:spacing w:after="0"/>
              <w:rPr>
                <w:sz w:val="12"/>
                <w:szCs w:val="12"/>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Loss</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7"/>
              </w:rPr>
              <w:t>Earnings</w:t>
            </w:r>
          </w:p>
        </w:tc>
        <w:tc>
          <w:tcPr>
            <w:tcW w:w="18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9"/>
              </w:rPr>
              <w:t>Stock</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Interests</w:t>
            </w:r>
          </w:p>
        </w:tc>
        <w:tc>
          <w:tcPr>
            <w:tcW w:w="240" w:type="dxa"/>
            <w:vAlign w:val="bottom"/>
          </w:tcPr>
          <w:p>
            <w:pPr>
              <w:spacing w:after="0"/>
              <w:rPr>
                <w:sz w:val="12"/>
                <w:szCs w:val="12"/>
                <w:color w:val="auto"/>
              </w:rPr>
            </w:pPr>
          </w:p>
        </w:tc>
        <w:tc>
          <w:tcPr>
            <w:tcW w:w="780" w:type="dxa"/>
            <w:vAlign w:val="bottom"/>
          </w:tcPr>
          <w:p>
            <w:pPr>
              <w:jc w:val="right"/>
              <w:ind w:right="326"/>
              <w:spacing w:after="0"/>
              <w:rPr>
                <w:sz w:val="20"/>
                <w:szCs w:val="20"/>
                <w:color w:val="auto"/>
              </w:rPr>
            </w:pPr>
            <w:r>
              <w:rPr>
                <w:rFonts w:ascii="Arial" w:cs="Arial" w:eastAsia="Arial" w:hAnsi="Arial"/>
                <w:sz w:val="11"/>
                <w:szCs w:val="11"/>
                <w:b w:val="1"/>
                <w:bCs w:val="1"/>
                <w:color w:val="auto"/>
              </w:rPr>
              <w:t>Total</w:t>
            </w:r>
          </w:p>
        </w:tc>
      </w:tr>
      <w:tr>
        <w:trPr>
          <w:trHeight w:val="194"/>
        </w:trPr>
        <w:tc>
          <w:tcPr>
            <w:tcW w:w="3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180"/>
        </w:trPr>
        <w:tc>
          <w:tcPr>
            <w:tcW w:w="31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2017</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3,669,461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(130,154)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721,316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(98,162)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14,822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4,177,385</w:t>
            </w:r>
          </w:p>
        </w:tc>
      </w:tr>
      <w:tr>
        <w:trPr>
          <w:trHeight w:val="145"/>
        </w:trPr>
        <w:tc>
          <w:tcPr>
            <w:tcW w:w="3100" w:type="dxa"/>
            <w:vAlign w:val="bottom"/>
          </w:tcPr>
          <w:p>
            <w:pPr>
              <w:ind w:left="180"/>
              <w:spacing w:after="0"/>
              <w:rPr>
                <w:sz w:val="20"/>
                <w:szCs w:val="20"/>
                <w:color w:val="auto"/>
              </w:rPr>
            </w:pPr>
            <w:r>
              <w:rPr>
                <w:rFonts w:ascii="Arial" w:cs="Arial" w:eastAsia="Arial" w:hAnsi="Arial"/>
                <w:sz w:val="11"/>
                <w:szCs w:val="11"/>
                <w:color w:val="auto"/>
              </w:rPr>
              <w:t>Cumulative effect of accounting changes as of January 1,</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36"/>
        </w:trPr>
        <w:tc>
          <w:tcPr>
            <w:tcW w:w="3100" w:type="dxa"/>
            <w:vAlign w:val="bottom"/>
          </w:tcPr>
          <w:p>
            <w:pPr>
              <w:ind w:left="180"/>
              <w:spacing w:after="0"/>
              <w:rPr>
                <w:sz w:val="20"/>
                <w:szCs w:val="20"/>
                <w:color w:val="auto"/>
              </w:rPr>
            </w:pPr>
            <w:r>
              <w:rPr>
                <w:rFonts w:ascii="Arial" w:cs="Arial" w:eastAsia="Arial" w:hAnsi="Arial"/>
                <w:sz w:val="11"/>
                <w:szCs w:val="11"/>
                <w:color w:val="auto"/>
              </w:rPr>
              <w:t>2018</w:t>
            </w:r>
          </w:p>
        </w:tc>
        <w:tc>
          <w:tcPr>
            <w:tcW w:w="180" w:type="dxa"/>
            <w:vAlign w:val="bottom"/>
          </w:tcPr>
          <w:p>
            <w:pPr>
              <w:spacing w:after="0"/>
              <w:rPr>
                <w:sz w:val="11"/>
                <w:szCs w:val="1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120" w:type="dxa"/>
            <w:vAlign w:val="bottom"/>
          </w:tcPr>
          <w:p>
            <w:pPr>
              <w:jc w:val="right"/>
              <w:ind w:right="66"/>
              <w:spacing w:after="0"/>
              <w:rPr>
                <w:sz w:val="20"/>
                <w:szCs w:val="20"/>
                <w:color w:val="auto"/>
              </w:rPr>
            </w:pPr>
            <w:r>
              <w:rPr>
                <w:rFonts w:ascii="Arial" w:cs="Arial" w:eastAsia="Arial" w:hAnsi="Arial"/>
                <w:sz w:val="11"/>
                <w:szCs w:val="11"/>
                <w:color w:val="auto"/>
              </w:rPr>
              <w:t>10,467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14,658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25,125</w:t>
            </w:r>
          </w:p>
        </w:tc>
      </w:tr>
      <w:tr>
        <w:trPr>
          <w:trHeight w:val="167"/>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January 1, 2018</w:t>
            </w: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102</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3,669,461</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(119,687)</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735,974</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(98,162)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1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14,822</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4,202,510</w:t>
            </w:r>
          </w:p>
        </w:tc>
      </w:tr>
      <w:tr>
        <w:trPr>
          <w:trHeight w:val="163"/>
        </w:trPr>
        <w:tc>
          <w:tcPr>
            <w:tcW w:w="3100" w:type="dxa"/>
            <w:vAlign w:val="bottom"/>
          </w:tcPr>
          <w:p>
            <w:pPr>
              <w:ind w:left="180"/>
              <w:spacing w:after="0"/>
              <w:rPr>
                <w:sz w:val="20"/>
                <w:szCs w:val="20"/>
                <w:color w:val="auto"/>
              </w:rPr>
            </w:pPr>
            <w:r>
              <w:rPr>
                <w:rFonts w:ascii="Arial" w:cs="Arial" w:eastAsia="Arial" w:hAnsi="Arial"/>
                <w:sz w:val="11"/>
                <w:szCs w:val="11"/>
                <w:color w:val="auto"/>
              </w:rPr>
              <w:t>Issuances of Class A common stock:</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7"/>
        </w:trPr>
        <w:tc>
          <w:tcPr>
            <w:tcW w:w="3100" w:type="dxa"/>
            <w:vAlign w:val="bottom"/>
            <w:shd w:val="clear" w:color="auto" w:fill="CCEEFF"/>
          </w:tcPr>
          <w:p>
            <w:pPr>
              <w:ind w:left="320"/>
              <w:spacing w:after="0"/>
              <w:rPr>
                <w:sz w:val="20"/>
                <w:szCs w:val="20"/>
                <w:color w:val="auto"/>
              </w:rPr>
            </w:pPr>
            <w:r>
              <w:rPr>
                <w:rFonts w:ascii="Arial" w:cs="Arial" w:eastAsia="Arial" w:hAnsi="Arial"/>
                <w:sz w:val="11"/>
                <w:szCs w:val="11"/>
                <w:color w:val="auto"/>
              </w:rPr>
              <w:t>Exercise of stock options</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4,405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4,405</w:t>
            </w:r>
          </w:p>
        </w:tc>
      </w:tr>
      <w:tr>
        <w:trPr>
          <w:trHeight w:val="174"/>
        </w:trPr>
        <w:tc>
          <w:tcPr>
            <w:tcW w:w="3100" w:type="dxa"/>
            <w:vAlign w:val="bottom"/>
          </w:tcPr>
          <w:p>
            <w:pPr>
              <w:ind w:left="320"/>
              <w:spacing w:after="0"/>
              <w:rPr>
                <w:sz w:val="20"/>
                <w:szCs w:val="20"/>
                <w:color w:val="auto"/>
              </w:rPr>
            </w:pPr>
            <w:r>
              <w:rPr>
                <w:rFonts w:ascii="Arial" w:cs="Arial" w:eastAsia="Arial" w:hAnsi="Arial"/>
                <w:sz w:val="11"/>
                <w:szCs w:val="11"/>
                <w:color w:val="auto"/>
              </w:rPr>
              <w:t>Employee benefits</w:t>
            </w:r>
          </w:p>
        </w:tc>
        <w:tc>
          <w:tcPr>
            <w:tcW w:w="1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7,605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7,605</w:t>
            </w:r>
          </w:p>
        </w:tc>
      </w:tr>
      <w:tr>
        <w:trPr>
          <w:trHeight w:val="187"/>
        </w:trPr>
        <w:tc>
          <w:tcPr>
            <w:tcW w:w="3100" w:type="dxa"/>
            <w:vAlign w:val="bottom"/>
            <w:shd w:val="clear" w:color="auto" w:fill="CCEEFF"/>
          </w:tcPr>
          <w:p>
            <w:pPr>
              <w:ind w:left="320"/>
              <w:spacing w:after="0"/>
              <w:rPr>
                <w:sz w:val="20"/>
                <w:szCs w:val="20"/>
                <w:color w:val="auto"/>
              </w:rPr>
            </w:pPr>
            <w:r>
              <w:rPr>
                <w:rFonts w:ascii="Arial" w:cs="Arial" w:eastAsia="Arial" w:hAnsi="Arial"/>
                <w:sz w:val="11"/>
                <w:szCs w:val="11"/>
                <w:color w:val="auto"/>
              </w:rPr>
              <w:t>Employee Stock Purchase Plan</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7,428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7,428</w:t>
            </w:r>
          </w:p>
        </w:tc>
      </w:tr>
      <w:tr>
        <w:trPr>
          <w:trHeight w:val="174"/>
        </w:trPr>
        <w:tc>
          <w:tcPr>
            <w:tcW w:w="3100" w:type="dxa"/>
            <w:vAlign w:val="bottom"/>
          </w:tcPr>
          <w:p>
            <w:pPr>
              <w:ind w:left="180"/>
              <w:spacing w:after="0"/>
              <w:rPr>
                <w:sz w:val="20"/>
                <w:szCs w:val="20"/>
                <w:color w:val="auto"/>
              </w:rPr>
            </w:pPr>
            <w:r>
              <w:rPr>
                <w:rFonts w:ascii="Arial" w:cs="Arial" w:eastAsia="Arial" w:hAnsi="Arial"/>
                <w:sz w:val="11"/>
                <w:szCs w:val="11"/>
                <w:color w:val="auto"/>
              </w:rPr>
              <w:t>Stock-based compensation</w:t>
            </w:r>
          </w:p>
        </w:tc>
        <w:tc>
          <w:tcPr>
            <w:tcW w:w="1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7,771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7,771</w:t>
            </w:r>
          </w:p>
        </w:tc>
      </w:tr>
      <w:tr>
        <w:trPr>
          <w:trHeight w:val="187"/>
        </w:trPr>
        <w:tc>
          <w:tcPr>
            <w:tcW w:w="31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R&amp;D tax credits utilized by DISH Network</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(1,859)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(1,859)</w:t>
            </w:r>
          </w:p>
        </w:tc>
      </w:tr>
      <w:tr>
        <w:trPr>
          <w:trHeight w:val="174"/>
        </w:trPr>
        <w:tc>
          <w:tcPr>
            <w:tcW w:w="3100" w:type="dxa"/>
            <w:vAlign w:val="bottom"/>
          </w:tcPr>
          <w:p>
            <w:pPr>
              <w:ind w:left="180"/>
              <w:spacing w:after="0"/>
              <w:rPr>
                <w:sz w:val="20"/>
                <w:szCs w:val="20"/>
                <w:color w:val="auto"/>
              </w:rPr>
            </w:pPr>
            <w:r>
              <w:rPr>
                <w:rFonts w:ascii="Arial" w:cs="Arial" w:eastAsia="Arial" w:hAnsi="Arial"/>
                <w:sz w:val="11"/>
                <w:szCs w:val="11"/>
                <w:color w:val="auto"/>
              </w:rPr>
              <w:t>Other comprehensive loss</w:t>
            </w:r>
          </w:p>
        </w:tc>
        <w:tc>
          <w:tcPr>
            <w:tcW w:w="1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(41,260)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1100" w:type="dxa"/>
            <w:vAlign w:val="bottom"/>
          </w:tcPr>
          <w:p>
            <w:pPr>
              <w:jc w:val="right"/>
              <w:ind w:right="26"/>
              <w:spacing w:after="0"/>
              <w:rPr>
                <w:sz w:val="20"/>
                <w:szCs w:val="20"/>
                <w:color w:val="auto"/>
              </w:rPr>
            </w:pPr>
            <w:r>
              <w:rPr>
                <w:rFonts w:ascii="Arial" w:cs="Arial" w:eastAsia="Arial" w:hAnsi="Arial"/>
                <w:sz w:val="11"/>
                <w:szCs w:val="11"/>
                <w:color w:val="auto"/>
              </w:rPr>
              <w:t>(1,389)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(42,649)</w:t>
            </w:r>
          </w:p>
        </w:tc>
      </w:tr>
      <w:tr>
        <w:trPr>
          <w:trHeight w:val="187"/>
        </w:trPr>
        <w:tc>
          <w:tcPr>
            <w:tcW w:w="31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Net income</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71,723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1,292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73,015</w:t>
            </w:r>
          </w:p>
        </w:tc>
      </w:tr>
      <w:tr>
        <w:trPr>
          <w:trHeight w:val="174"/>
        </w:trPr>
        <w:tc>
          <w:tcPr>
            <w:tcW w:w="3100" w:type="dxa"/>
            <w:vAlign w:val="bottom"/>
          </w:tcPr>
          <w:p>
            <w:pPr>
              <w:ind w:left="180"/>
              <w:spacing w:after="0"/>
              <w:rPr>
                <w:sz w:val="20"/>
                <w:szCs w:val="20"/>
                <w:color w:val="auto"/>
              </w:rPr>
            </w:pPr>
            <w:r>
              <w:rPr>
                <w:rFonts w:ascii="Arial" w:cs="Arial" w:eastAsia="Arial" w:hAnsi="Arial"/>
                <w:sz w:val="11"/>
                <w:szCs w:val="11"/>
                <w:color w:val="auto"/>
              </w:rPr>
              <w:t>Other, net</w:t>
            </w:r>
          </w:p>
        </w:tc>
        <w:tc>
          <w:tcPr>
            <w:tcW w:w="1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(129)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633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auto"/>
              </w:rPr>
              <w:t>504</w:t>
            </w:r>
          </w:p>
        </w:tc>
      </w:tr>
      <w:tr>
        <w:trPr>
          <w:trHeight w:val="165"/>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September 30, 2018</w:t>
            </w: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3,694,682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(160,947)</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808,330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(98,162)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14,725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4,258,730</w:t>
            </w:r>
          </w:p>
        </w:tc>
      </w:tr>
      <w:tr>
        <w:trPr>
          <w:trHeight w:val="180"/>
        </w:trPr>
        <w:tc>
          <w:tcPr>
            <w:tcW w:w="3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310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Balance, December 31, 2018</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102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3,702,522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(125,100)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694,129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(131,454)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15,275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4,155,474</w:t>
            </w:r>
          </w:p>
        </w:tc>
      </w:tr>
      <w:tr>
        <w:trPr>
          <w:trHeight w:val="174"/>
        </w:trPr>
        <w:tc>
          <w:tcPr>
            <w:tcW w:w="3100" w:type="dxa"/>
            <w:vAlign w:val="bottom"/>
          </w:tcPr>
          <w:p>
            <w:pPr>
              <w:ind w:left="180"/>
              <w:spacing w:after="0"/>
              <w:rPr>
                <w:sz w:val="20"/>
                <w:szCs w:val="20"/>
                <w:color w:val="auto"/>
              </w:rPr>
            </w:pPr>
            <w:r>
              <w:rPr>
                <w:rFonts w:ascii="Arial" w:cs="Arial" w:eastAsia="Arial" w:hAnsi="Arial"/>
                <w:sz w:val="11"/>
                <w:szCs w:val="11"/>
                <w:color w:val="auto"/>
              </w:rPr>
              <w:t>Issuances of Class A common stock:</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7"/>
        </w:trPr>
        <w:tc>
          <w:tcPr>
            <w:tcW w:w="3100" w:type="dxa"/>
            <w:vAlign w:val="bottom"/>
            <w:shd w:val="clear" w:color="auto" w:fill="CCEEFF"/>
          </w:tcPr>
          <w:p>
            <w:pPr>
              <w:ind w:left="320"/>
              <w:spacing w:after="0"/>
              <w:rPr>
                <w:sz w:val="20"/>
                <w:szCs w:val="20"/>
                <w:color w:val="auto"/>
              </w:rPr>
            </w:pPr>
            <w:r>
              <w:rPr>
                <w:rFonts w:ascii="Arial" w:cs="Arial" w:eastAsia="Arial" w:hAnsi="Arial"/>
                <w:sz w:val="11"/>
                <w:szCs w:val="11"/>
                <w:color w:val="auto"/>
              </w:rPr>
              <w:t>Exercise of stock options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64,141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64,143</w:t>
            </w:r>
          </w:p>
        </w:tc>
      </w:tr>
      <w:tr>
        <w:trPr>
          <w:trHeight w:val="174"/>
        </w:trPr>
        <w:tc>
          <w:tcPr>
            <w:tcW w:w="3100" w:type="dxa"/>
            <w:vAlign w:val="bottom"/>
          </w:tcPr>
          <w:p>
            <w:pPr>
              <w:ind w:left="320"/>
              <w:spacing w:after="0"/>
              <w:rPr>
                <w:sz w:val="20"/>
                <w:szCs w:val="20"/>
                <w:color w:val="auto"/>
              </w:rPr>
            </w:pPr>
            <w:r>
              <w:rPr>
                <w:rFonts w:ascii="Arial" w:cs="Arial" w:eastAsia="Arial" w:hAnsi="Arial"/>
                <w:sz w:val="11"/>
                <w:szCs w:val="11"/>
                <w:color w:val="auto"/>
              </w:rPr>
              <w:t>Employee benefits</w:t>
            </w:r>
          </w:p>
        </w:tc>
        <w:tc>
          <w:tcPr>
            <w:tcW w:w="1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6,654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6,654</w:t>
            </w:r>
          </w:p>
        </w:tc>
      </w:tr>
      <w:tr>
        <w:trPr>
          <w:trHeight w:val="187"/>
        </w:trPr>
        <w:tc>
          <w:tcPr>
            <w:tcW w:w="3100" w:type="dxa"/>
            <w:vAlign w:val="bottom"/>
            <w:shd w:val="clear" w:color="auto" w:fill="CCEEFF"/>
          </w:tcPr>
          <w:p>
            <w:pPr>
              <w:ind w:left="320"/>
              <w:spacing w:after="0"/>
              <w:rPr>
                <w:sz w:val="20"/>
                <w:szCs w:val="20"/>
                <w:color w:val="auto"/>
              </w:rPr>
            </w:pPr>
            <w:r>
              <w:rPr>
                <w:rFonts w:ascii="Arial" w:cs="Arial" w:eastAsia="Arial" w:hAnsi="Arial"/>
                <w:sz w:val="11"/>
                <w:szCs w:val="11"/>
                <w:color w:val="auto"/>
              </w:rPr>
              <w:t>Employee Stock Purchase Plan</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7,724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7,724</w:t>
            </w:r>
          </w:p>
        </w:tc>
      </w:tr>
      <w:tr>
        <w:trPr>
          <w:trHeight w:val="174"/>
        </w:trPr>
        <w:tc>
          <w:tcPr>
            <w:tcW w:w="3100" w:type="dxa"/>
            <w:vAlign w:val="bottom"/>
          </w:tcPr>
          <w:p>
            <w:pPr>
              <w:ind w:left="180"/>
              <w:spacing w:after="0"/>
              <w:rPr>
                <w:sz w:val="20"/>
                <w:szCs w:val="20"/>
                <w:color w:val="auto"/>
              </w:rPr>
            </w:pPr>
            <w:r>
              <w:rPr>
                <w:rFonts w:ascii="Arial" w:cs="Arial" w:eastAsia="Arial" w:hAnsi="Arial"/>
                <w:sz w:val="11"/>
                <w:szCs w:val="11"/>
                <w:color w:val="auto"/>
              </w:rPr>
              <w:t>Stock-based compensation</w:t>
            </w:r>
          </w:p>
        </w:tc>
        <w:tc>
          <w:tcPr>
            <w:tcW w:w="1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7,120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5"/>
                <w:szCs w:val="15"/>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7,120</w:t>
            </w:r>
          </w:p>
        </w:tc>
      </w:tr>
      <w:tr>
        <w:trPr>
          <w:trHeight w:val="187"/>
        </w:trPr>
        <w:tc>
          <w:tcPr>
            <w:tcW w:w="31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R&amp;D tax credits utilized by DISH Network</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(432)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(432)</w:t>
            </w:r>
          </w:p>
        </w:tc>
      </w:tr>
      <w:tr>
        <w:trPr>
          <w:trHeight w:val="174"/>
        </w:trPr>
        <w:tc>
          <w:tcPr>
            <w:tcW w:w="3100" w:type="dxa"/>
            <w:vAlign w:val="bottom"/>
          </w:tcPr>
          <w:p>
            <w:pPr>
              <w:ind w:left="180"/>
              <w:spacing w:after="0"/>
              <w:rPr>
                <w:sz w:val="20"/>
                <w:szCs w:val="20"/>
                <w:color w:val="auto"/>
              </w:rPr>
            </w:pPr>
            <w:r>
              <w:rPr>
                <w:rFonts w:ascii="Arial" w:cs="Arial" w:eastAsia="Arial" w:hAnsi="Arial"/>
                <w:sz w:val="11"/>
                <w:szCs w:val="11"/>
                <w:color w:val="auto"/>
              </w:rPr>
              <w:t>Purchase of noncontrolling interest</w:t>
            </w:r>
          </w:p>
        </w:tc>
        <w:tc>
          <w:tcPr>
            <w:tcW w:w="1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880" w:type="dxa"/>
            <w:vAlign w:val="bottom"/>
          </w:tcPr>
          <w:p>
            <w:pPr>
              <w:jc w:val="right"/>
              <w:ind w:right="26"/>
              <w:spacing w:after="0"/>
              <w:rPr>
                <w:sz w:val="20"/>
                <w:szCs w:val="20"/>
                <w:color w:val="auto"/>
              </w:rPr>
            </w:pPr>
            <w:r>
              <w:rPr>
                <w:rFonts w:ascii="Arial" w:cs="Arial" w:eastAsia="Arial" w:hAnsi="Arial"/>
                <w:sz w:val="11"/>
                <w:szCs w:val="11"/>
                <w:color w:val="auto"/>
              </w:rPr>
              <w:t>(833)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1100" w:type="dxa"/>
            <w:vAlign w:val="bottom"/>
          </w:tcPr>
          <w:p>
            <w:pPr>
              <w:jc w:val="right"/>
              <w:ind w:right="26"/>
              <w:spacing w:after="0"/>
              <w:rPr>
                <w:sz w:val="20"/>
                <w:szCs w:val="20"/>
                <w:color w:val="auto"/>
              </w:rPr>
            </w:pPr>
            <w:r>
              <w:rPr>
                <w:rFonts w:ascii="Arial" w:cs="Arial" w:eastAsia="Arial" w:hAnsi="Arial"/>
                <w:sz w:val="11"/>
                <w:szCs w:val="11"/>
                <w:color w:val="auto"/>
              </w:rPr>
              <w:t>(6,480)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(7,313)</w:t>
            </w:r>
          </w:p>
        </w:tc>
      </w:tr>
      <w:tr>
        <w:trPr>
          <w:trHeight w:val="187"/>
        </w:trPr>
        <w:tc>
          <w:tcPr>
            <w:tcW w:w="31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BSS Transaction (Note 5)</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(535,103)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(535,103)</w:t>
            </w:r>
          </w:p>
        </w:tc>
      </w:tr>
      <w:tr>
        <w:trPr>
          <w:trHeight w:val="174"/>
        </w:trPr>
        <w:tc>
          <w:tcPr>
            <w:tcW w:w="3100" w:type="dxa"/>
            <w:vAlign w:val="bottom"/>
          </w:tcPr>
          <w:p>
            <w:pPr>
              <w:ind w:left="180"/>
              <w:spacing w:after="0"/>
              <w:rPr>
                <w:sz w:val="20"/>
                <w:szCs w:val="20"/>
                <w:color w:val="auto"/>
              </w:rPr>
            </w:pPr>
            <w:r>
              <w:rPr>
                <w:rFonts w:ascii="Arial" w:cs="Arial" w:eastAsia="Arial" w:hAnsi="Arial"/>
                <w:sz w:val="11"/>
                <w:szCs w:val="11"/>
                <w:color w:val="auto"/>
              </w:rPr>
              <w:t>Other comprehensive loss</w:t>
            </w:r>
          </w:p>
        </w:tc>
        <w:tc>
          <w:tcPr>
            <w:tcW w:w="1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1120" w:type="dxa"/>
            <w:vAlign w:val="bottom"/>
          </w:tcPr>
          <w:p>
            <w:pPr>
              <w:jc w:val="right"/>
              <w:ind w:right="26"/>
              <w:spacing w:after="0"/>
              <w:rPr>
                <w:sz w:val="20"/>
                <w:szCs w:val="20"/>
                <w:color w:val="auto"/>
              </w:rPr>
            </w:pPr>
            <w:r>
              <w:rPr>
                <w:rFonts w:ascii="Arial" w:cs="Arial" w:eastAsia="Arial" w:hAnsi="Arial"/>
                <w:sz w:val="11"/>
                <w:szCs w:val="11"/>
                <w:color w:val="auto"/>
              </w:rPr>
              <w:t>(6,564)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(6,564)</w:t>
            </w:r>
          </w:p>
        </w:tc>
      </w:tr>
      <w:tr>
        <w:trPr>
          <w:trHeight w:val="187"/>
        </w:trPr>
        <w:tc>
          <w:tcPr>
            <w:tcW w:w="31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Net loss</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(9,799)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(1,359)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(11,158)</w:t>
            </w:r>
          </w:p>
        </w:tc>
      </w:tr>
      <w:tr>
        <w:trPr>
          <w:trHeight w:val="174"/>
        </w:trPr>
        <w:tc>
          <w:tcPr>
            <w:tcW w:w="3100" w:type="dxa"/>
            <w:vAlign w:val="bottom"/>
          </w:tcPr>
          <w:p>
            <w:pPr>
              <w:ind w:left="180"/>
              <w:spacing w:after="0"/>
              <w:rPr>
                <w:sz w:val="20"/>
                <w:szCs w:val="20"/>
                <w:color w:val="auto"/>
              </w:rPr>
            </w:pPr>
            <w:r>
              <w:rPr>
                <w:rFonts w:ascii="Arial" w:cs="Arial" w:eastAsia="Arial" w:hAnsi="Arial"/>
                <w:sz w:val="11"/>
                <w:szCs w:val="11"/>
                <w:color w:val="auto"/>
              </w:rPr>
              <w:t>Other, net</w:t>
            </w:r>
          </w:p>
        </w:tc>
        <w:tc>
          <w:tcPr>
            <w:tcW w:w="18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1,597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5"/>
                <w:szCs w:val="15"/>
                <w:color w:val="auto"/>
              </w:rPr>
            </w:pPr>
          </w:p>
        </w:tc>
        <w:tc>
          <w:tcPr>
            <w:tcW w:w="1100" w:type="dxa"/>
            <w:vAlign w:val="bottom"/>
          </w:tcPr>
          <w:p>
            <w:pPr>
              <w:jc w:val="right"/>
              <w:ind w:right="66"/>
              <w:spacing w:after="0"/>
              <w:rPr>
                <w:sz w:val="20"/>
                <w:szCs w:val="20"/>
                <w:color w:val="auto"/>
              </w:rPr>
            </w:pPr>
            <w:r>
              <w:rPr>
                <w:rFonts w:ascii="Arial" w:cs="Arial" w:eastAsia="Arial" w:hAnsi="Arial"/>
                <w:sz w:val="11"/>
                <w:szCs w:val="11"/>
                <w:color w:val="auto"/>
              </w:rPr>
              <w:t>1,758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3,370</w:t>
            </w:r>
          </w:p>
        </w:tc>
      </w:tr>
      <w:tr>
        <w:trPr>
          <w:trHeight w:val="156"/>
        </w:trPr>
        <w:tc>
          <w:tcPr>
            <w:tcW w:w="3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Balance, September 30, 2019</w:t>
            </w: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104</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3,251,808</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112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(131,664)</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9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685,927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rPr>
              <w:t>(131,454)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9,194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rPr>
              <w:t>3,683,915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1962150</wp:posOffset>
            </wp:positionH>
            <wp:positionV relativeFrom="paragraph">
              <wp:posOffset>5715</wp:posOffset>
            </wp:positionV>
            <wp:extent cx="531304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13045" cy="57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ectPr>
          <w:pgSz w:w="11900" w:h="16838" w:orient="portrait"/>
          <w:cols w:equalWidth="0" w:num="1">
            <w:col w:w="11460"/>
          </w:cols>
          <w:pgMar w:left="220" w:top="140" w:right="219" w:bottom="1440" w:gutter="0" w:footer="0" w:header="0"/>
        </w:sectPr>
      </w:pPr>
    </w:p>
    <w:bookmarkStart w:id="8" w:name="page9"/>
    <w:bookmarkEnd w:id="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(Amounts 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(Unaudited)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7700" w:type="dxa"/>
            <w:vAlign w:val="bottom"/>
          </w:tcPr>
          <w:p>
            <w:pPr>
              <w:spacing w:after="0"/>
              <w:rPr>
                <w:sz w:val="10"/>
                <w:szCs w:val="10"/>
                <w:color w:val="auto"/>
              </w:rPr>
            </w:pPr>
          </w:p>
        </w:tc>
        <w:tc>
          <w:tcPr>
            <w:tcW w:w="310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9"/>
                <w:szCs w:val="9"/>
                <w:b w:val="1"/>
                <w:bCs w:val="1"/>
                <w:color w:val="auto"/>
              </w:rPr>
              <w:t>For the nine months ended September 30,</w:t>
            </w:r>
          </w:p>
        </w:tc>
        <w:tc>
          <w:tcPr>
            <w:tcW w:w="680" w:type="dxa"/>
            <w:vAlign w:val="bottom"/>
            <w:tcBorders>
              <w:bottom w:val="single" w:sz="8" w:color="auto"/>
            </w:tcBorders>
          </w:tcPr>
          <w:p>
            <w:pPr>
              <w:spacing w:after="0"/>
              <w:rPr>
                <w:sz w:val="10"/>
                <w:szCs w:val="10"/>
                <w:color w:val="auto"/>
              </w:rPr>
            </w:pPr>
          </w:p>
        </w:tc>
      </w:tr>
      <w:tr>
        <w:trPr>
          <w:trHeight w:val="169"/>
        </w:trPr>
        <w:tc>
          <w:tcPr>
            <w:tcW w:w="7700" w:type="dxa"/>
            <w:vAlign w:val="bottom"/>
          </w:tcPr>
          <w:p>
            <w:pPr>
              <w:spacing w:after="0"/>
              <w:rPr>
                <w:sz w:val="14"/>
                <w:szCs w:val="14"/>
                <w:color w:val="auto"/>
              </w:rPr>
            </w:pPr>
          </w:p>
        </w:tc>
        <w:tc>
          <w:tcPr>
            <w:tcW w:w="116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b w:val="1"/>
                <w:bCs w:val="1"/>
                <w:color w:val="auto"/>
              </w:rPr>
              <w:t>2019</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9"/>
                <w:szCs w:val="9"/>
                <w:b w:val="1"/>
                <w:bCs w:val="1"/>
                <w:color w:val="auto"/>
              </w:rPr>
              <w:t>2018</w:t>
            </w:r>
          </w:p>
        </w:tc>
        <w:tc>
          <w:tcPr>
            <w:tcW w:w="680" w:type="dxa"/>
            <w:vAlign w:val="bottom"/>
            <w:tcBorders>
              <w:bottom w:val="single" w:sz="8" w:color="auto"/>
            </w:tcBorders>
          </w:tcPr>
          <w:p>
            <w:pPr>
              <w:spacing w:after="0"/>
              <w:rPr>
                <w:sz w:val="14"/>
                <w:szCs w:val="14"/>
                <w:color w:val="auto"/>
              </w:rPr>
            </w:pPr>
          </w:p>
        </w:tc>
      </w:tr>
      <w:tr>
        <w:trPr>
          <w:trHeight w:val="174"/>
        </w:trPr>
        <w:tc>
          <w:tcPr>
            <w:tcW w:w="77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0"/>
        </w:trPr>
        <w:tc>
          <w:tcPr>
            <w:tcW w:w="7700" w:type="dxa"/>
            <w:vAlign w:val="bottom"/>
            <w:shd w:val="clear" w:color="auto" w:fill="CCEEFF"/>
          </w:tcPr>
          <w:p>
            <w:pPr>
              <w:ind w:left="20"/>
              <w:spacing w:after="0"/>
              <w:rPr>
                <w:sz w:val="20"/>
                <w:szCs w:val="20"/>
                <w:color w:val="auto"/>
              </w:rPr>
            </w:pPr>
            <w:r>
              <w:rPr>
                <w:rFonts w:ascii="Arial" w:cs="Arial" w:eastAsia="Arial" w:hAnsi="Arial"/>
                <w:sz w:val="9"/>
                <w:szCs w:val="9"/>
                <w:b w:val="1"/>
                <w:bCs w:val="1"/>
                <w:color w:val="auto"/>
              </w:rPr>
              <w:t>Cash flows from operating activities:</w:t>
            </w:r>
          </w:p>
        </w:tc>
        <w:tc>
          <w:tcPr>
            <w:tcW w:w="1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75"/>
        </w:trPr>
        <w:tc>
          <w:tcPr>
            <w:tcW w:w="7700" w:type="dxa"/>
            <w:vAlign w:val="bottom"/>
          </w:tcPr>
          <w:p>
            <w:pPr>
              <w:ind w:left="180"/>
              <w:spacing w:after="0"/>
              <w:rPr>
                <w:sz w:val="20"/>
                <w:szCs w:val="20"/>
                <w:color w:val="auto"/>
              </w:rPr>
            </w:pPr>
            <w:r>
              <w:rPr>
                <w:rFonts w:ascii="Arial" w:cs="Arial" w:eastAsia="Arial" w:hAnsi="Arial"/>
                <w:sz w:val="9"/>
                <w:szCs w:val="9"/>
                <w:color w:val="auto"/>
              </w:rPr>
              <w:t>Net income (loss)</w:t>
            </w:r>
          </w:p>
        </w:tc>
        <w:tc>
          <w:tcPr>
            <w:tcW w:w="1160" w:type="dxa"/>
            <w:vAlign w:val="bottom"/>
          </w:tcPr>
          <w:p>
            <w:pPr>
              <w:jc w:val="right"/>
              <w:ind w:right="1055"/>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ind w:right="35"/>
              <w:spacing w:after="0"/>
              <w:rPr>
                <w:sz w:val="20"/>
                <w:szCs w:val="20"/>
                <w:color w:val="auto"/>
              </w:rPr>
            </w:pPr>
            <w:r>
              <w:rPr>
                <w:rFonts w:ascii="Arial" w:cs="Arial" w:eastAsia="Arial" w:hAnsi="Arial"/>
                <w:sz w:val="9"/>
                <w:szCs w:val="9"/>
                <w:color w:val="auto"/>
              </w:rPr>
              <w:t>(11,158)</w:t>
            </w:r>
          </w:p>
        </w:tc>
        <w:tc>
          <w:tcPr>
            <w:tcW w:w="120" w:type="dxa"/>
            <w:vAlign w:val="bottom"/>
          </w:tcPr>
          <w:p>
            <w:pPr>
              <w:spacing w:after="0"/>
              <w:rPr>
                <w:sz w:val="15"/>
                <w:szCs w:val="15"/>
                <w:color w:val="auto"/>
              </w:rPr>
            </w:pPr>
          </w:p>
        </w:tc>
        <w:tc>
          <w:tcPr>
            <w:tcW w:w="1140" w:type="dxa"/>
            <w:vAlign w:val="bottom"/>
          </w:tcPr>
          <w:p>
            <w:pPr>
              <w:jc w:val="right"/>
              <w:ind w:right="1035"/>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ind w:right="75"/>
              <w:spacing w:after="0"/>
              <w:rPr>
                <w:sz w:val="20"/>
                <w:szCs w:val="20"/>
                <w:color w:val="auto"/>
              </w:rPr>
            </w:pPr>
            <w:r>
              <w:rPr>
                <w:rFonts w:ascii="Arial" w:cs="Arial" w:eastAsia="Arial" w:hAnsi="Arial"/>
                <w:sz w:val="9"/>
                <w:szCs w:val="9"/>
                <w:color w:val="auto"/>
              </w:rPr>
              <w:t>73,015</w:t>
            </w:r>
          </w:p>
        </w:tc>
      </w:tr>
      <w:tr>
        <w:trPr>
          <w:trHeight w:val="185"/>
        </w:trPr>
        <w:tc>
          <w:tcPr>
            <w:tcW w:w="7700" w:type="dxa"/>
            <w:vAlign w:val="bottom"/>
            <w:shd w:val="clear" w:color="auto" w:fill="CCEEFF"/>
          </w:tcPr>
          <w:p>
            <w:pPr>
              <w:ind w:left="180"/>
              <w:spacing w:after="0"/>
              <w:rPr>
                <w:sz w:val="20"/>
                <w:szCs w:val="20"/>
                <w:color w:val="auto"/>
              </w:rPr>
            </w:pPr>
            <w:r>
              <w:rPr>
                <w:rFonts w:ascii="Arial" w:cs="Arial" w:eastAsia="Arial" w:hAnsi="Arial"/>
                <w:sz w:val="9"/>
                <w:szCs w:val="9"/>
                <w:color w:val="auto"/>
              </w:rPr>
              <w:t>Adjustments to reconcile net income (loss) to net cash flows from operating activities:</w:t>
            </w:r>
          </w:p>
        </w:tc>
        <w:tc>
          <w:tcPr>
            <w:tcW w:w="1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75"/>
        </w:trPr>
        <w:tc>
          <w:tcPr>
            <w:tcW w:w="7700" w:type="dxa"/>
            <w:vAlign w:val="bottom"/>
          </w:tcPr>
          <w:p>
            <w:pPr>
              <w:ind w:left="320"/>
              <w:spacing w:after="0"/>
              <w:rPr>
                <w:sz w:val="20"/>
                <w:szCs w:val="20"/>
                <w:color w:val="auto"/>
              </w:rPr>
            </w:pPr>
            <w:r>
              <w:rPr>
                <w:rFonts w:ascii="Arial" w:cs="Arial" w:eastAsia="Arial" w:hAnsi="Arial"/>
                <w:sz w:val="9"/>
                <w:szCs w:val="9"/>
                <w:color w:val="auto"/>
              </w:rPr>
              <w:t>Depreciation and amortization</w:t>
            </w:r>
          </w:p>
        </w:tc>
        <w:tc>
          <w:tcPr>
            <w:tcW w:w="1160" w:type="dxa"/>
            <w:vAlign w:val="bottom"/>
          </w:tcPr>
          <w:p>
            <w:pPr>
              <w:spacing w:after="0"/>
              <w:rPr>
                <w:sz w:val="15"/>
                <w:szCs w:val="15"/>
                <w:color w:val="auto"/>
              </w:rPr>
            </w:pPr>
          </w:p>
        </w:tc>
        <w:tc>
          <w:tcPr>
            <w:tcW w:w="680" w:type="dxa"/>
            <w:vAlign w:val="bottom"/>
          </w:tcPr>
          <w:p>
            <w:pPr>
              <w:jc w:val="right"/>
              <w:ind w:right="75"/>
              <w:spacing w:after="0"/>
              <w:rPr>
                <w:sz w:val="20"/>
                <w:szCs w:val="20"/>
                <w:color w:val="auto"/>
              </w:rPr>
            </w:pPr>
            <w:r>
              <w:rPr>
                <w:rFonts w:ascii="Arial" w:cs="Arial" w:eastAsia="Arial" w:hAnsi="Arial"/>
                <w:sz w:val="9"/>
                <w:szCs w:val="9"/>
                <w:color w:val="auto"/>
              </w:rPr>
              <w:t>459,054</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jc w:val="right"/>
              <w:ind w:right="75"/>
              <w:spacing w:after="0"/>
              <w:rPr>
                <w:sz w:val="20"/>
                <w:szCs w:val="20"/>
                <w:color w:val="auto"/>
              </w:rPr>
            </w:pPr>
            <w:r>
              <w:rPr>
                <w:rFonts w:ascii="Arial" w:cs="Arial" w:eastAsia="Arial" w:hAnsi="Arial"/>
                <w:sz w:val="9"/>
                <w:szCs w:val="9"/>
                <w:color w:val="auto"/>
              </w:rPr>
              <w:t>444,558</w:t>
            </w:r>
          </w:p>
        </w:tc>
      </w:tr>
      <w:tr>
        <w:trPr>
          <w:trHeight w:val="185"/>
        </w:trPr>
        <w:tc>
          <w:tcPr>
            <w:tcW w:w="7700" w:type="dxa"/>
            <w:vAlign w:val="bottom"/>
            <w:shd w:val="clear" w:color="auto" w:fill="CCEEFF"/>
          </w:tcPr>
          <w:p>
            <w:pPr>
              <w:ind w:left="320"/>
              <w:spacing w:after="0"/>
              <w:rPr>
                <w:sz w:val="20"/>
                <w:szCs w:val="20"/>
                <w:color w:val="auto"/>
              </w:rPr>
            </w:pPr>
            <w:r>
              <w:rPr>
                <w:rFonts w:ascii="Arial" w:cs="Arial" w:eastAsia="Arial" w:hAnsi="Arial"/>
                <w:sz w:val="9"/>
                <w:szCs w:val="9"/>
                <w:color w:val="auto"/>
              </w:rPr>
              <w:t>Equity in losses of unconsolidated affiliates, net</w:t>
            </w:r>
          </w:p>
        </w:tc>
        <w:tc>
          <w:tcPr>
            <w:tcW w:w="1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14,317</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2,651</w:t>
            </w:r>
          </w:p>
        </w:tc>
      </w:tr>
      <w:tr>
        <w:trPr>
          <w:trHeight w:val="175"/>
        </w:trPr>
        <w:tc>
          <w:tcPr>
            <w:tcW w:w="7700" w:type="dxa"/>
            <w:vAlign w:val="bottom"/>
          </w:tcPr>
          <w:p>
            <w:pPr>
              <w:ind w:left="320"/>
              <w:spacing w:after="0"/>
              <w:rPr>
                <w:sz w:val="20"/>
                <w:szCs w:val="20"/>
                <w:color w:val="auto"/>
              </w:rPr>
            </w:pPr>
            <w:r>
              <w:rPr>
                <w:rFonts w:ascii="Arial" w:cs="Arial" w:eastAsia="Arial" w:hAnsi="Arial"/>
                <w:sz w:val="9"/>
                <w:szCs w:val="9"/>
                <w:color w:val="auto"/>
              </w:rPr>
              <w:t>Amortization of debt issuance costs</w:t>
            </w:r>
          </w:p>
        </w:tc>
        <w:tc>
          <w:tcPr>
            <w:tcW w:w="1160" w:type="dxa"/>
            <w:vAlign w:val="bottom"/>
          </w:tcPr>
          <w:p>
            <w:pPr>
              <w:spacing w:after="0"/>
              <w:rPr>
                <w:sz w:val="15"/>
                <w:szCs w:val="15"/>
                <w:color w:val="auto"/>
              </w:rPr>
            </w:pPr>
          </w:p>
        </w:tc>
        <w:tc>
          <w:tcPr>
            <w:tcW w:w="680" w:type="dxa"/>
            <w:vAlign w:val="bottom"/>
          </w:tcPr>
          <w:p>
            <w:pPr>
              <w:jc w:val="right"/>
              <w:ind w:right="75"/>
              <w:spacing w:after="0"/>
              <w:rPr>
                <w:sz w:val="20"/>
                <w:szCs w:val="20"/>
                <w:color w:val="auto"/>
              </w:rPr>
            </w:pPr>
            <w:r>
              <w:rPr>
                <w:rFonts w:ascii="Arial" w:cs="Arial" w:eastAsia="Arial" w:hAnsi="Arial"/>
                <w:sz w:val="9"/>
                <w:szCs w:val="9"/>
                <w:color w:val="auto"/>
              </w:rPr>
              <w:t>4,882</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jc w:val="right"/>
              <w:ind w:right="75"/>
              <w:spacing w:after="0"/>
              <w:rPr>
                <w:sz w:val="20"/>
                <w:szCs w:val="20"/>
                <w:color w:val="auto"/>
              </w:rPr>
            </w:pPr>
            <w:r>
              <w:rPr>
                <w:rFonts w:ascii="Arial" w:cs="Arial" w:eastAsia="Arial" w:hAnsi="Arial"/>
                <w:sz w:val="9"/>
                <w:szCs w:val="9"/>
                <w:color w:val="auto"/>
              </w:rPr>
              <w:t>5,910</w:t>
            </w:r>
          </w:p>
        </w:tc>
      </w:tr>
      <w:tr>
        <w:trPr>
          <w:trHeight w:val="185"/>
        </w:trPr>
        <w:tc>
          <w:tcPr>
            <w:tcW w:w="7700" w:type="dxa"/>
            <w:vAlign w:val="bottom"/>
            <w:shd w:val="clear" w:color="auto" w:fill="CCEEFF"/>
          </w:tcPr>
          <w:p>
            <w:pPr>
              <w:ind w:left="320"/>
              <w:spacing w:after="0"/>
              <w:rPr>
                <w:sz w:val="20"/>
                <w:szCs w:val="20"/>
                <w:color w:val="auto"/>
              </w:rPr>
            </w:pPr>
            <w:r>
              <w:rPr>
                <w:rFonts w:ascii="Arial" w:cs="Arial" w:eastAsia="Arial" w:hAnsi="Arial"/>
                <w:sz w:val="9"/>
                <w:szCs w:val="9"/>
                <w:color w:val="auto"/>
              </w:rPr>
              <w:t>(Gains) losses on investments, net</w:t>
            </w:r>
          </w:p>
        </w:tc>
        <w:tc>
          <w:tcPr>
            <w:tcW w:w="1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(28,087)</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(33,524)</w:t>
            </w:r>
          </w:p>
        </w:tc>
      </w:tr>
      <w:tr>
        <w:trPr>
          <w:trHeight w:val="175"/>
        </w:trPr>
        <w:tc>
          <w:tcPr>
            <w:tcW w:w="7700" w:type="dxa"/>
            <w:vAlign w:val="bottom"/>
          </w:tcPr>
          <w:p>
            <w:pPr>
              <w:ind w:left="320"/>
              <w:spacing w:after="0"/>
              <w:rPr>
                <w:sz w:val="20"/>
                <w:szCs w:val="20"/>
                <w:color w:val="auto"/>
              </w:rPr>
            </w:pPr>
            <w:r>
              <w:rPr>
                <w:rFonts w:ascii="Arial" w:cs="Arial" w:eastAsia="Arial" w:hAnsi="Arial"/>
                <w:sz w:val="9"/>
                <w:szCs w:val="9"/>
                <w:color w:val="auto"/>
              </w:rPr>
              <w:t>Stock-based compensation</w:t>
            </w:r>
          </w:p>
        </w:tc>
        <w:tc>
          <w:tcPr>
            <w:tcW w:w="1160" w:type="dxa"/>
            <w:vAlign w:val="bottom"/>
          </w:tcPr>
          <w:p>
            <w:pPr>
              <w:spacing w:after="0"/>
              <w:rPr>
                <w:sz w:val="15"/>
                <w:szCs w:val="15"/>
                <w:color w:val="auto"/>
              </w:rPr>
            </w:pPr>
          </w:p>
        </w:tc>
        <w:tc>
          <w:tcPr>
            <w:tcW w:w="680" w:type="dxa"/>
            <w:vAlign w:val="bottom"/>
          </w:tcPr>
          <w:p>
            <w:pPr>
              <w:jc w:val="right"/>
              <w:ind w:right="75"/>
              <w:spacing w:after="0"/>
              <w:rPr>
                <w:sz w:val="20"/>
                <w:szCs w:val="20"/>
                <w:color w:val="auto"/>
              </w:rPr>
            </w:pPr>
            <w:r>
              <w:rPr>
                <w:rFonts w:ascii="Arial" w:cs="Arial" w:eastAsia="Arial" w:hAnsi="Arial"/>
                <w:sz w:val="9"/>
                <w:szCs w:val="9"/>
                <w:color w:val="auto"/>
              </w:rPr>
              <w:t>7,120</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jc w:val="right"/>
              <w:ind w:right="75"/>
              <w:spacing w:after="0"/>
              <w:rPr>
                <w:sz w:val="20"/>
                <w:szCs w:val="20"/>
                <w:color w:val="auto"/>
              </w:rPr>
            </w:pPr>
            <w:r>
              <w:rPr>
                <w:rFonts w:ascii="Arial" w:cs="Arial" w:eastAsia="Arial" w:hAnsi="Arial"/>
                <w:sz w:val="9"/>
                <w:szCs w:val="9"/>
                <w:color w:val="auto"/>
              </w:rPr>
              <w:t>7,771</w:t>
            </w:r>
          </w:p>
        </w:tc>
      </w:tr>
      <w:tr>
        <w:trPr>
          <w:trHeight w:val="185"/>
        </w:trPr>
        <w:tc>
          <w:tcPr>
            <w:tcW w:w="7700" w:type="dxa"/>
            <w:vAlign w:val="bottom"/>
            <w:shd w:val="clear" w:color="auto" w:fill="CCEEFF"/>
          </w:tcPr>
          <w:p>
            <w:pPr>
              <w:ind w:left="320"/>
              <w:spacing w:after="0"/>
              <w:rPr>
                <w:sz w:val="20"/>
                <w:szCs w:val="20"/>
                <w:color w:val="auto"/>
              </w:rPr>
            </w:pPr>
            <w:r>
              <w:rPr>
                <w:rFonts w:ascii="Arial" w:cs="Arial" w:eastAsia="Arial" w:hAnsi="Arial"/>
                <w:sz w:val="9"/>
                <w:szCs w:val="9"/>
                <w:color w:val="auto"/>
              </w:rPr>
              <w:t>Deferred tax provision</w:t>
            </w:r>
          </w:p>
        </w:tc>
        <w:tc>
          <w:tcPr>
            <w:tcW w:w="1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22,949</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22,357</w:t>
            </w:r>
          </w:p>
        </w:tc>
      </w:tr>
      <w:tr>
        <w:trPr>
          <w:trHeight w:val="175"/>
        </w:trPr>
        <w:tc>
          <w:tcPr>
            <w:tcW w:w="7700" w:type="dxa"/>
            <w:vAlign w:val="bottom"/>
          </w:tcPr>
          <w:p>
            <w:pPr>
              <w:ind w:left="320"/>
              <w:spacing w:after="0"/>
              <w:rPr>
                <w:sz w:val="20"/>
                <w:szCs w:val="20"/>
                <w:color w:val="auto"/>
              </w:rPr>
            </w:pPr>
            <w:r>
              <w:rPr>
                <w:rFonts w:ascii="Arial" w:cs="Arial" w:eastAsia="Arial" w:hAnsi="Arial"/>
                <w:sz w:val="9"/>
                <w:szCs w:val="9"/>
                <w:color w:val="auto"/>
              </w:rPr>
              <w:t>Dividend received from unconsolidated entity</w:t>
            </w:r>
          </w:p>
        </w:tc>
        <w:tc>
          <w:tcPr>
            <w:tcW w:w="1160" w:type="dxa"/>
            <w:vAlign w:val="bottom"/>
          </w:tcPr>
          <w:p>
            <w:pPr>
              <w:spacing w:after="0"/>
              <w:rPr>
                <w:sz w:val="15"/>
                <w:szCs w:val="15"/>
                <w:color w:val="auto"/>
              </w:rPr>
            </w:pPr>
          </w:p>
        </w:tc>
        <w:tc>
          <w:tcPr>
            <w:tcW w:w="680" w:type="dxa"/>
            <w:vAlign w:val="bottom"/>
          </w:tcPr>
          <w:p>
            <w:pPr>
              <w:jc w:val="right"/>
              <w:ind w:right="75"/>
              <w:spacing w:after="0"/>
              <w:rPr>
                <w:sz w:val="20"/>
                <w:szCs w:val="20"/>
                <w:color w:val="auto"/>
              </w:rPr>
            </w:pPr>
            <w:r>
              <w:rPr>
                <w:rFonts w:ascii="Arial" w:cs="Arial" w:eastAsia="Arial" w:hAnsi="Arial"/>
                <w:sz w:val="9"/>
                <w:szCs w:val="9"/>
                <w:color w:val="auto"/>
              </w:rPr>
              <w:t>2,716</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jc w:val="right"/>
              <w:ind w:right="75"/>
              <w:spacing w:after="0"/>
              <w:rPr>
                <w:sz w:val="20"/>
                <w:szCs w:val="20"/>
                <w:color w:val="auto"/>
              </w:rPr>
            </w:pPr>
            <w:r>
              <w:rPr>
                <w:rFonts w:ascii="Arial" w:cs="Arial" w:eastAsia="Arial" w:hAnsi="Arial"/>
                <w:sz w:val="9"/>
                <w:szCs w:val="9"/>
                <w:color w:val="auto"/>
              </w:rPr>
              <w:t>5,000</w:t>
            </w:r>
          </w:p>
        </w:tc>
      </w:tr>
      <w:tr>
        <w:trPr>
          <w:trHeight w:val="185"/>
        </w:trPr>
        <w:tc>
          <w:tcPr>
            <w:tcW w:w="7700" w:type="dxa"/>
            <w:vAlign w:val="bottom"/>
            <w:shd w:val="clear" w:color="auto" w:fill="CCEEFF"/>
          </w:tcPr>
          <w:p>
            <w:pPr>
              <w:ind w:left="320"/>
              <w:spacing w:after="0"/>
              <w:rPr>
                <w:sz w:val="20"/>
                <w:szCs w:val="20"/>
                <w:color w:val="auto"/>
              </w:rPr>
            </w:pPr>
            <w:r>
              <w:rPr>
                <w:rFonts w:ascii="Arial" w:cs="Arial" w:eastAsia="Arial" w:hAnsi="Arial"/>
                <w:sz w:val="9"/>
                <w:szCs w:val="9"/>
                <w:color w:val="auto"/>
              </w:rPr>
              <w:t>Changes in current assets and current liabilities, net:</w:t>
            </w:r>
          </w:p>
        </w:tc>
        <w:tc>
          <w:tcPr>
            <w:tcW w:w="1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175"/>
        </w:trPr>
        <w:tc>
          <w:tcPr>
            <w:tcW w:w="7700" w:type="dxa"/>
            <w:vAlign w:val="bottom"/>
          </w:tcPr>
          <w:p>
            <w:pPr>
              <w:ind w:left="460"/>
              <w:spacing w:after="0"/>
              <w:rPr>
                <w:sz w:val="20"/>
                <w:szCs w:val="20"/>
                <w:color w:val="auto"/>
              </w:rPr>
            </w:pPr>
            <w:r>
              <w:rPr>
                <w:rFonts w:ascii="Arial" w:cs="Arial" w:eastAsia="Arial" w:hAnsi="Arial"/>
                <w:sz w:val="9"/>
                <w:szCs w:val="9"/>
                <w:color w:val="auto"/>
              </w:rPr>
              <w:t>Trade accounts receivable, net</w:t>
            </w:r>
          </w:p>
        </w:tc>
        <w:tc>
          <w:tcPr>
            <w:tcW w:w="1160" w:type="dxa"/>
            <w:vAlign w:val="bottom"/>
          </w:tcPr>
          <w:p>
            <w:pPr>
              <w:spacing w:after="0"/>
              <w:rPr>
                <w:sz w:val="15"/>
                <w:szCs w:val="15"/>
                <w:color w:val="auto"/>
              </w:rPr>
            </w:pPr>
          </w:p>
        </w:tc>
        <w:tc>
          <w:tcPr>
            <w:tcW w:w="680" w:type="dxa"/>
            <w:vAlign w:val="bottom"/>
          </w:tcPr>
          <w:p>
            <w:pPr>
              <w:jc w:val="right"/>
              <w:ind w:right="35"/>
              <w:spacing w:after="0"/>
              <w:rPr>
                <w:sz w:val="20"/>
                <w:szCs w:val="20"/>
                <w:color w:val="auto"/>
              </w:rPr>
            </w:pPr>
            <w:r>
              <w:rPr>
                <w:rFonts w:ascii="Arial" w:cs="Arial" w:eastAsia="Arial" w:hAnsi="Arial"/>
                <w:sz w:val="9"/>
                <w:szCs w:val="9"/>
                <w:color w:val="auto"/>
              </w:rPr>
              <w:t>(5,439)</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jc w:val="right"/>
              <w:ind w:right="35"/>
              <w:spacing w:after="0"/>
              <w:rPr>
                <w:sz w:val="20"/>
                <w:szCs w:val="20"/>
                <w:color w:val="auto"/>
              </w:rPr>
            </w:pPr>
            <w:r>
              <w:rPr>
                <w:rFonts w:ascii="Arial" w:cs="Arial" w:eastAsia="Arial" w:hAnsi="Arial"/>
                <w:sz w:val="9"/>
                <w:szCs w:val="9"/>
                <w:color w:val="auto"/>
              </w:rPr>
              <w:t>(35,811)</w:t>
            </w:r>
          </w:p>
        </w:tc>
      </w:tr>
      <w:tr>
        <w:trPr>
          <w:trHeight w:val="185"/>
        </w:trPr>
        <w:tc>
          <w:tcPr>
            <w:tcW w:w="7700" w:type="dxa"/>
            <w:vAlign w:val="bottom"/>
            <w:shd w:val="clear" w:color="auto" w:fill="CCEEFF"/>
          </w:tcPr>
          <w:p>
            <w:pPr>
              <w:ind w:left="460"/>
              <w:spacing w:after="0"/>
              <w:rPr>
                <w:sz w:val="20"/>
                <w:szCs w:val="20"/>
                <w:color w:val="auto"/>
              </w:rPr>
            </w:pPr>
            <w:r>
              <w:rPr>
                <w:rFonts w:ascii="Arial" w:cs="Arial" w:eastAsia="Arial" w:hAnsi="Arial"/>
                <w:sz w:val="9"/>
                <w:szCs w:val="9"/>
                <w:color w:val="auto"/>
              </w:rPr>
              <w:t>Trade accounts receivable - DISH Network</w:t>
            </w:r>
          </w:p>
        </w:tc>
        <w:tc>
          <w:tcPr>
            <w:tcW w:w="1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(28,779)</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32,323</w:t>
            </w:r>
          </w:p>
        </w:tc>
      </w:tr>
      <w:tr>
        <w:trPr>
          <w:trHeight w:val="175"/>
        </w:trPr>
        <w:tc>
          <w:tcPr>
            <w:tcW w:w="7700" w:type="dxa"/>
            <w:vAlign w:val="bottom"/>
          </w:tcPr>
          <w:p>
            <w:pPr>
              <w:ind w:left="460"/>
              <w:spacing w:after="0"/>
              <w:rPr>
                <w:sz w:val="20"/>
                <w:szCs w:val="20"/>
                <w:color w:val="auto"/>
              </w:rPr>
            </w:pPr>
            <w:r>
              <w:rPr>
                <w:rFonts w:ascii="Arial" w:cs="Arial" w:eastAsia="Arial" w:hAnsi="Arial"/>
                <w:sz w:val="9"/>
                <w:szCs w:val="9"/>
                <w:color w:val="auto"/>
              </w:rPr>
              <w:t>Inventory</w:t>
            </w:r>
          </w:p>
        </w:tc>
        <w:tc>
          <w:tcPr>
            <w:tcW w:w="1160" w:type="dxa"/>
            <w:vAlign w:val="bottom"/>
          </w:tcPr>
          <w:p>
            <w:pPr>
              <w:spacing w:after="0"/>
              <w:rPr>
                <w:sz w:val="15"/>
                <w:szCs w:val="15"/>
                <w:color w:val="auto"/>
              </w:rPr>
            </w:pPr>
          </w:p>
        </w:tc>
        <w:tc>
          <w:tcPr>
            <w:tcW w:w="680" w:type="dxa"/>
            <w:vAlign w:val="bottom"/>
          </w:tcPr>
          <w:p>
            <w:pPr>
              <w:jc w:val="right"/>
              <w:ind w:right="35"/>
              <w:spacing w:after="0"/>
              <w:rPr>
                <w:sz w:val="20"/>
                <w:szCs w:val="20"/>
                <w:color w:val="auto"/>
              </w:rPr>
            </w:pPr>
            <w:r>
              <w:rPr>
                <w:rFonts w:ascii="Arial" w:cs="Arial" w:eastAsia="Arial" w:hAnsi="Arial"/>
                <w:sz w:val="9"/>
                <w:szCs w:val="9"/>
                <w:color w:val="auto"/>
              </w:rPr>
              <w:t>(8,661)</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jc w:val="right"/>
              <w:ind w:right="75"/>
              <w:spacing w:after="0"/>
              <w:rPr>
                <w:sz w:val="20"/>
                <w:szCs w:val="20"/>
                <w:color w:val="auto"/>
              </w:rPr>
            </w:pPr>
            <w:r>
              <w:rPr>
                <w:rFonts w:ascii="Arial" w:cs="Arial" w:eastAsia="Arial" w:hAnsi="Arial"/>
                <w:sz w:val="9"/>
                <w:szCs w:val="9"/>
                <w:color w:val="auto"/>
              </w:rPr>
              <w:t>10,667</w:t>
            </w:r>
          </w:p>
        </w:tc>
      </w:tr>
      <w:tr>
        <w:trPr>
          <w:trHeight w:val="185"/>
        </w:trPr>
        <w:tc>
          <w:tcPr>
            <w:tcW w:w="7700" w:type="dxa"/>
            <w:vAlign w:val="bottom"/>
            <w:shd w:val="clear" w:color="auto" w:fill="CCEEFF"/>
          </w:tcPr>
          <w:p>
            <w:pPr>
              <w:ind w:left="460"/>
              <w:spacing w:after="0"/>
              <w:rPr>
                <w:sz w:val="20"/>
                <w:szCs w:val="20"/>
                <w:color w:val="auto"/>
              </w:rPr>
            </w:pPr>
            <w:r>
              <w:rPr>
                <w:rFonts w:ascii="Arial" w:cs="Arial" w:eastAsia="Arial" w:hAnsi="Arial"/>
                <w:sz w:val="9"/>
                <w:szCs w:val="9"/>
                <w:color w:val="auto"/>
              </w:rPr>
              <w:t>Other current assets</w:t>
            </w:r>
          </w:p>
        </w:tc>
        <w:tc>
          <w:tcPr>
            <w:tcW w:w="1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(3,716)</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(5,569)</w:t>
            </w:r>
          </w:p>
        </w:tc>
      </w:tr>
      <w:tr>
        <w:trPr>
          <w:trHeight w:val="175"/>
        </w:trPr>
        <w:tc>
          <w:tcPr>
            <w:tcW w:w="7700" w:type="dxa"/>
            <w:vAlign w:val="bottom"/>
          </w:tcPr>
          <w:p>
            <w:pPr>
              <w:ind w:left="460"/>
              <w:spacing w:after="0"/>
              <w:rPr>
                <w:sz w:val="20"/>
                <w:szCs w:val="20"/>
                <w:color w:val="auto"/>
              </w:rPr>
            </w:pPr>
            <w:r>
              <w:rPr>
                <w:rFonts w:ascii="Arial" w:cs="Arial" w:eastAsia="Arial" w:hAnsi="Arial"/>
                <w:sz w:val="9"/>
                <w:szCs w:val="9"/>
                <w:color w:val="auto"/>
              </w:rPr>
              <w:t>Trade accounts payable</w:t>
            </w:r>
          </w:p>
        </w:tc>
        <w:tc>
          <w:tcPr>
            <w:tcW w:w="1160" w:type="dxa"/>
            <w:vAlign w:val="bottom"/>
          </w:tcPr>
          <w:p>
            <w:pPr>
              <w:spacing w:after="0"/>
              <w:rPr>
                <w:sz w:val="15"/>
                <w:szCs w:val="15"/>
                <w:color w:val="auto"/>
              </w:rPr>
            </w:pPr>
          </w:p>
        </w:tc>
        <w:tc>
          <w:tcPr>
            <w:tcW w:w="680" w:type="dxa"/>
            <w:vAlign w:val="bottom"/>
          </w:tcPr>
          <w:p>
            <w:pPr>
              <w:jc w:val="right"/>
              <w:ind w:right="75"/>
              <w:spacing w:after="0"/>
              <w:rPr>
                <w:sz w:val="20"/>
                <w:szCs w:val="20"/>
                <w:color w:val="auto"/>
              </w:rPr>
            </w:pPr>
            <w:r>
              <w:rPr>
                <w:rFonts w:ascii="Arial" w:cs="Arial" w:eastAsia="Arial" w:hAnsi="Arial"/>
                <w:sz w:val="9"/>
                <w:szCs w:val="9"/>
                <w:color w:val="auto"/>
              </w:rPr>
              <w:t>18,180</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jc w:val="right"/>
              <w:ind w:right="75"/>
              <w:spacing w:after="0"/>
              <w:rPr>
                <w:sz w:val="20"/>
                <w:szCs w:val="20"/>
                <w:color w:val="auto"/>
              </w:rPr>
            </w:pPr>
            <w:r>
              <w:rPr>
                <w:rFonts w:ascii="Arial" w:cs="Arial" w:eastAsia="Arial" w:hAnsi="Arial"/>
                <w:sz w:val="9"/>
                <w:szCs w:val="9"/>
                <w:color w:val="auto"/>
              </w:rPr>
              <w:t>2,536</w:t>
            </w:r>
          </w:p>
        </w:tc>
      </w:tr>
      <w:tr>
        <w:trPr>
          <w:trHeight w:val="185"/>
        </w:trPr>
        <w:tc>
          <w:tcPr>
            <w:tcW w:w="7700" w:type="dxa"/>
            <w:vAlign w:val="bottom"/>
            <w:shd w:val="clear" w:color="auto" w:fill="CCEEFF"/>
          </w:tcPr>
          <w:p>
            <w:pPr>
              <w:ind w:left="460"/>
              <w:spacing w:after="0"/>
              <w:rPr>
                <w:sz w:val="20"/>
                <w:szCs w:val="20"/>
                <w:color w:val="auto"/>
              </w:rPr>
            </w:pPr>
            <w:r>
              <w:rPr>
                <w:rFonts w:ascii="Arial" w:cs="Arial" w:eastAsia="Arial" w:hAnsi="Arial"/>
                <w:sz w:val="9"/>
                <w:szCs w:val="9"/>
                <w:color w:val="auto"/>
              </w:rPr>
              <w:t>Trade accounts payable - DISH Network</w:t>
            </w:r>
          </w:p>
        </w:tc>
        <w:tc>
          <w:tcPr>
            <w:tcW w:w="1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(984)</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(3,342)</w:t>
            </w:r>
          </w:p>
        </w:tc>
      </w:tr>
      <w:tr>
        <w:trPr>
          <w:trHeight w:val="175"/>
        </w:trPr>
        <w:tc>
          <w:tcPr>
            <w:tcW w:w="7700" w:type="dxa"/>
            <w:vAlign w:val="bottom"/>
          </w:tcPr>
          <w:p>
            <w:pPr>
              <w:ind w:left="460"/>
              <w:spacing w:after="0"/>
              <w:rPr>
                <w:sz w:val="20"/>
                <w:szCs w:val="20"/>
                <w:color w:val="auto"/>
              </w:rPr>
            </w:pPr>
            <w:r>
              <w:rPr>
                <w:rFonts w:ascii="Arial" w:cs="Arial" w:eastAsia="Arial" w:hAnsi="Arial"/>
                <w:sz w:val="9"/>
                <w:szCs w:val="9"/>
                <w:color w:val="auto"/>
              </w:rPr>
              <w:t>Accrued expenses and other</w:t>
            </w:r>
          </w:p>
        </w:tc>
        <w:tc>
          <w:tcPr>
            <w:tcW w:w="1160" w:type="dxa"/>
            <w:vAlign w:val="bottom"/>
          </w:tcPr>
          <w:p>
            <w:pPr>
              <w:spacing w:after="0"/>
              <w:rPr>
                <w:sz w:val="15"/>
                <w:szCs w:val="15"/>
                <w:color w:val="auto"/>
              </w:rPr>
            </w:pPr>
          </w:p>
        </w:tc>
        <w:tc>
          <w:tcPr>
            <w:tcW w:w="680" w:type="dxa"/>
            <w:vAlign w:val="bottom"/>
          </w:tcPr>
          <w:p>
            <w:pPr>
              <w:jc w:val="right"/>
              <w:ind w:right="75"/>
              <w:spacing w:after="0"/>
              <w:rPr>
                <w:sz w:val="20"/>
                <w:szCs w:val="20"/>
                <w:color w:val="auto"/>
              </w:rPr>
            </w:pPr>
            <w:r>
              <w:rPr>
                <w:rFonts w:ascii="Arial" w:cs="Arial" w:eastAsia="Arial" w:hAnsi="Arial"/>
                <w:sz w:val="9"/>
                <w:szCs w:val="9"/>
                <w:color w:val="auto"/>
              </w:rPr>
              <w:t>65,245</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jc w:val="right"/>
              <w:ind w:right="75"/>
              <w:spacing w:after="0"/>
              <w:rPr>
                <w:sz w:val="20"/>
                <w:szCs w:val="20"/>
                <w:color w:val="auto"/>
              </w:rPr>
            </w:pPr>
            <w:r>
              <w:rPr>
                <w:rFonts w:ascii="Arial" w:cs="Arial" w:eastAsia="Arial" w:hAnsi="Arial"/>
                <w:sz w:val="9"/>
                <w:szCs w:val="9"/>
                <w:color w:val="auto"/>
              </w:rPr>
              <w:t>19,450</w:t>
            </w:r>
          </w:p>
        </w:tc>
      </w:tr>
      <w:tr>
        <w:trPr>
          <w:trHeight w:val="185"/>
        </w:trPr>
        <w:tc>
          <w:tcPr>
            <w:tcW w:w="7700" w:type="dxa"/>
            <w:vAlign w:val="bottom"/>
            <w:shd w:val="clear" w:color="auto" w:fill="CCEEFF"/>
          </w:tcPr>
          <w:p>
            <w:pPr>
              <w:ind w:left="320"/>
              <w:spacing w:after="0"/>
              <w:rPr>
                <w:sz w:val="20"/>
                <w:szCs w:val="20"/>
                <w:color w:val="auto"/>
              </w:rPr>
            </w:pPr>
            <w:r>
              <w:rPr>
                <w:rFonts w:ascii="Arial" w:cs="Arial" w:eastAsia="Arial" w:hAnsi="Arial"/>
                <w:sz w:val="9"/>
                <w:szCs w:val="9"/>
                <w:color w:val="auto"/>
              </w:rPr>
              <w:t>Changes in noncurrent assets and noncurrent liabilities, net</w:t>
            </w:r>
          </w:p>
        </w:tc>
        <w:tc>
          <w:tcPr>
            <w:tcW w:w="1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1,303</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(16,123)</w:t>
            </w:r>
          </w:p>
        </w:tc>
      </w:tr>
      <w:tr>
        <w:trPr>
          <w:trHeight w:val="175"/>
        </w:trPr>
        <w:tc>
          <w:tcPr>
            <w:tcW w:w="7700" w:type="dxa"/>
            <w:vAlign w:val="bottom"/>
            <w:tcBorders>
              <w:bottom w:val="single" w:sz="8" w:color="CCEEFF"/>
            </w:tcBorders>
          </w:tcPr>
          <w:p>
            <w:pPr>
              <w:ind w:left="320"/>
              <w:spacing w:after="0"/>
              <w:rPr>
                <w:sz w:val="20"/>
                <w:szCs w:val="20"/>
                <w:color w:val="auto"/>
              </w:rPr>
            </w:pPr>
            <w:r>
              <w:rPr>
                <w:rFonts w:ascii="Arial" w:cs="Arial" w:eastAsia="Arial" w:hAnsi="Arial"/>
                <w:sz w:val="9"/>
                <w:szCs w:val="9"/>
                <w:color w:val="auto"/>
              </w:rPr>
              <w:t>Other, net</w:t>
            </w:r>
          </w:p>
        </w:tc>
        <w:tc>
          <w:tcPr>
            <w:tcW w:w="1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24,118</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12,043</w:t>
            </w:r>
          </w:p>
        </w:tc>
      </w:tr>
      <w:tr>
        <w:trPr>
          <w:trHeight w:val="165"/>
        </w:trPr>
        <w:tc>
          <w:tcPr>
            <w:tcW w:w="7700" w:type="dxa"/>
            <w:vAlign w:val="bottom"/>
            <w:shd w:val="clear" w:color="auto" w:fill="CCEEFF"/>
          </w:tcPr>
          <w:p>
            <w:pPr>
              <w:ind w:left="460"/>
              <w:spacing w:after="0"/>
              <w:rPr>
                <w:sz w:val="20"/>
                <w:szCs w:val="20"/>
                <w:color w:val="auto"/>
              </w:rPr>
            </w:pPr>
            <w:r>
              <w:rPr>
                <w:rFonts w:ascii="Arial" w:cs="Arial" w:eastAsia="Arial" w:hAnsi="Arial"/>
                <w:sz w:val="9"/>
                <w:szCs w:val="9"/>
                <w:color w:val="auto"/>
              </w:rPr>
              <w:t>Net cash flows from operating activities</w:t>
            </w:r>
          </w:p>
        </w:tc>
        <w:tc>
          <w:tcPr>
            <w:tcW w:w="1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533,060</w:t>
            </w:r>
          </w:p>
        </w:tc>
        <w:tc>
          <w:tcPr>
            <w:tcW w:w="12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543,912</w:t>
            </w:r>
          </w:p>
        </w:tc>
      </w:tr>
      <w:tr>
        <w:trPr>
          <w:trHeight w:val="155"/>
        </w:trPr>
        <w:tc>
          <w:tcPr>
            <w:tcW w:w="7700" w:type="dxa"/>
            <w:vAlign w:val="bottom"/>
          </w:tcPr>
          <w:p>
            <w:pPr>
              <w:ind w:left="20"/>
              <w:spacing w:after="0"/>
              <w:rPr>
                <w:sz w:val="20"/>
                <w:szCs w:val="20"/>
                <w:color w:val="auto"/>
              </w:rPr>
            </w:pPr>
            <w:r>
              <w:rPr>
                <w:rFonts w:ascii="Arial" w:cs="Arial" w:eastAsia="Arial" w:hAnsi="Arial"/>
                <w:sz w:val="9"/>
                <w:szCs w:val="9"/>
                <w:b w:val="1"/>
                <w:bCs w:val="1"/>
                <w:color w:val="auto"/>
              </w:rPr>
              <w:t>Cash flows from investing activities:</w:t>
            </w: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5"/>
        </w:trPr>
        <w:tc>
          <w:tcPr>
            <w:tcW w:w="7700" w:type="dxa"/>
            <w:vAlign w:val="bottom"/>
            <w:shd w:val="clear" w:color="auto" w:fill="CCEEFF"/>
          </w:tcPr>
          <w:p>
            <w:pPr>
              <w:ind w:left="180"/>
              <w:spacing w:after="0"/>
              <w:rPr>
                <w:sz w:val="20"/>
                <w:szCs w:val="20"/>
                <w:color w:val="auto"/>
              </w:rPr>
            </w:pPr>
            <w:r>
              <w:rPr>
                <w:rFonts w:ascii="Arial" w:cs="Arial" w:eastAsia="Arial" w:hAnsi="Arial"/>
                <w:sz w:val="9"/>
                <w:szCs w:val="9"/>
                <w:color w:val="auto"/>
              </w:rPr>
              <w:t>Purchases of marketable investment securities</w:t>
            </w:r>
          </w:p>
        </w:tc>
        <w:tc>
          <w:tcPr>
            <w:tcW w:w="1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(655,265)</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(2,323,090)</w:t>
            </w:r>
          </w:p>
        </w:tc>
      </w:tr>
      <w:tr>
        <w:trPr>
          <w:trHeight w:val="175"/>
        </w:trPr>
        <w:tc>
          <w:tcPr>
            <w:tcW w:w="7700" w:type="dxa"/>
            <w:vAlign w:val="bottom"/>
          </w:tcPr>
          <w:p>
            <w:pPr>
              <w:ind w:left="180"/>
              <w:spacing w:after="0"/>
              <w:rPr>
                <w:sz w:val="20"/>
                <w:szCs w:val="20"/>
                <w:color w:val="auto"/>
              </w:rPr>
            </w:pPr>
            <w:r>
              <w:rPr>
                <w:rFonts w:ascii="Arial" w:cs="Arial" w:eastAsia="Arial" w:hAnsi="Arial"/>
                <w:sz w:val="9"/>
                <w:szCs w:val="9"/>
                <w:color w:val="auto"/>
              </w:rPr>
              <w:t>Sales and maturities of marketable investment securities</w:t>
            </w:r>
          </w:p>
        </w:tc>
        <w:tc>
          <w:tcPr>
            <w:tcW w:w="1160" w:type="dxa"/>
            <w:vAlign w:val="bottom"/>
          </w:tcPr>
          <w:p>
            <w:pPr>
              <w:spacing w:after="0"/>
              <w:rPr>
                <w:sz w:val="15"/>
                <w:szCs w:val="15"/>
                <w:color w:val="auto"/>
              </w:rPr>
            </w:pPr>
          </w:p>
        </w:tc>
        <w:tc>
          <w:tcPr>
            <w:tcW w:w="680" w:type="dxa"/>
            <w:vAlign w:val="bottom"/>
          </w:tcPr>
          <w:p>
            <w:pPr>
              <w:jc w:val="right"/>
              <w:ind w:right="75"/>
              <w:spacing w:after="0"/>
              <w:rPr>
                <w:sz w:val="20"/>
                <w:szCs w:val="20"/>
                <w:color w:val="auto"/>
              </w:rPr>
            </w:pPr>
            <w:r>
              <w:rPr>
                <w:rFonts w:ascii="Arial" w:cs="Arial" w:eastAsia="Arial" w:hAnsi="Arial"/>
                <w:sz w:val="9"/>
                <w:szCs w:val="9"/>
                <w:color w:val="auto"/>
              </w:rPr>
              <w:t>1,988,078</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jc w:val="right"/>
              <w:ind w:right="75"/>
              <w:spacing w:after="0"/>
              <w:rPr>
                <w:sz w:val="20"/>
                <w:szCs w:val="20"/>
                <w:color w:val="auto"/>
              </w:rPr>
            </w:pPr>
            <w:r>
              <w:rPr>
                <w:rFonts w:ascii="Arial" w:cs="Arial" w:eastAsia="Arial" w:hAnsi="Arial"/>
                <w:sz w:val="9"/>
                <w:szCs w:val="9"/>
                <w:color w:val="auto"/>
              </w:rPr>
              <w:t>1,331,225</w:t>
            </w:r>
          </w:p>
        </w:tc>
      </w:tr>
      <w:tr>
        <w:trPr>
          <w:trHeight w:val="185"/>
        </w:trPr>
        <w:tc>
          <w:tcPr>
            <w:tcW w:w="7700" w:type="dxa"/>
            <w:vAlign w:val="bottom"/>
            <w:shd w:val="clear" w:color="auto" w:fill="CCEEFF"/>
          </w:tcPr>
          <w:p>
            <w:pPr>
              <w:ind w:left="180"/>
              <w:spacing w:after="0"/>
              <w:rPr>
                <w:sz w:val="20"/>
                <w:szCs w:val="20"/>
                <w:color w:val="auto"/>
              </w:rPr>
            </w:pPr>
            <w:r>
              <w:rPr>
                <w:rFonts w:ascii="Arial" w:cs="Arial" w:eastAsia="Arial" w:hAnsi="Arial"/>
                <w:sz w:val="9"/>
                <w:szCs w:val="9"/>
                <w:color w:val="auto"/>
              </w:rPr>
              <w:t>Expenditures for property and equipment</w:t>
            </w:r>
          </w:p>
        </w:tc>
        <w:tc>
          <w:tcPr>
            <w:tcW w:w="1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(314,861)</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(415,253)</w:t>
            </w:r>
          </w:p>
        </w:tc>
      </w:tr>
      <w:tr>
        <w:trPr>
          <w:trHeight w:val="175"/>
        </w:trPr>
        <w:tc>
          <w:tcPr>
            <w:tcW w:w="7700" w:type="dxa"/>
            <w:vAlign w:val="bottom"/>
          </w:tcPr>
          <w:p>
            <w:pPr>
              <w:ind w:left="180"/>
              <w:spacing w:after="0"/>
              <w:rPr>
                <w:sz w:val="20"/>
                <w:szCs w:val="20"/>
                <w:color w:val="auto"/>
              </w:rPr>
            </w:pPr>
            <w:r>
              <w:rPr>
                <w:rFonts w:ascii="Arial" w:cs="Arial" w:eastAsia="Arial" w:hAnsi="Arial"/>
                <w:sz w:val="9"/>
                <w:szCs w:val="9"/>
                <w:color w:val="auto"/>
              </w:rPr>
              <w:t>Refunds and other receipts related to property and equipment</w:t>
            </w:r>
          </w:p>
        </w:tc>
        <w:tc>
          <w:tcPr>
            <w:tcW w:w="116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140" w:type="dxa"/>
            <w:vAlign w:val="bottom"/>
          </w:tcPr>
          <w:p>
            <w:pPr>
              <w:spacing w:after="0"/>
              <w:rPr>
                <w:sz w:val="15"/>
                <w:szCs w:val="15"/>
                <w:color w:val="auto"/>
              </w:rPr>
            </w:pPr>
          </w:p>
        </w:tc>
        <w:tc>
          <w:tcPr>
            <w:tcW w:w="680" w:type="dxa"/>
            <w:vAlign w:val="bottom"/>
          </w:tcPr>
          <w:p>
            <w:pPr>
              <w:jc w:val="right"/>
              <w:ind w:right="75"/>
              <w:spacing w:after="0"/>
              <w:rPr>
                <w:sz w:val="20"/>
                <w:szCs w:val="20"/>
                <w:color w:val="auto"/>
              </w:rPr>
            </w:pPr>
            <w:r>
              <w:rPr>
                <w:rFonts w:ascii="Arial" w:cs="Arial" w:eastAsia="Arial" w:hAnsi="Arial"/>
                <w:sz w:val="9"/>
                <w:szCs w:val="9"/>
                <w:color w:val="auto"/>
              </w:rPr>
              <w:t>77,524</w:t>
            </w:r>
          </w:p>
        </w:tc>
      </w:tr>
      <w:tr>
        <w:trPr>
          <w:trHeight w:val="185"/>
        </w:trPr>
        <w:tc>
          <w:tcPr>
            <w:tcW w:w="7700" w:type="dxa"/>
            <w:vAlign w:val="bottom"/>
            <w:shd w:val="clear" w:color="auto" w:fill="CCEEFF"/>
          </w:tcPr>
          <w:p>
            <w:pPr>
              <w:ind w:left="180"/>
              <w:spacing w:after="0"/>
              <w:rPr>
                <w:sz w:val="20"/>
                <w:szCs w:val="20"/>
                <w:color w:val="auto"/>
              </w:rPr>
            </w:pPr>
            <w:r>
              <w:rPr>
                <w:rFonts w:ascii="Arial" w:cs="Arial" w:eastAsia="Arial" w:hAnsi="Arial"/>
                <w:sz w:val="9"/>
                <w:szCs w:val="9"/>
                <w:color w:val="auto"/>
              </w:rPr>
              <w:t>Expenditures for externally marketed software</w:t>
            </w:r>
          </w:p>
        </w:tc>
        <w:tc>
          <w:tcPr>
            <w:tcW w:w="1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(21,364)</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(24,568)</w:t>
            </w:r>
          </w:p>
        </w:tc>
      </w:tr>
      <w:tr>
        <w:trPr>
          <w:trHeight w:val="175"/>
        </w:trPr>
        <w:tc>
          <w:tcPr>
            <w:tcW w:w="7700" w:type="dxa"/>
            <w:vAlign w:val="bottom"/>
          </w:tcPr>
          <w:p>
            <w:pPr>
              <w:ind w:left="180"/>
              <w:spacing w:after="0"/>
              <w:rPr>
                <w:sz w:val="20"/>
                <w:szCs w:val="20"/>
                <w:color w:val="auto"/>
              </w:rPr>
            </w:pPr>
            <w:r>
              <w:rPr>
                <w:rFonts w:ascii="Arial" w:cs="Arial" w:eastAsia="Arial" w:hAnsi="Arial"/>
                <w:sz w:val="9"/>
                <w:szCs w:val="9"/>
                <w:color w:val="auto"/>
              </w:rPr>
              <w:t>Investment in unconsolidated entities</w:t>
            </w:r>
          </w:p>
        </w:tc>
        <w:tc>
          <w:tcPr>
            <w:tcW w:w="1160" w:type="dxa"/>
            <w:vAlign w:val="bottom"/>
          </w:tcPr>
          <w:p>
            <w:pPr>
              <w:spacing w:after="0"/>
              <w:rPr>
                <w:sz w:val="15"/>
                <w:szCs w:val="15"/>
                <w:color w:val="auto"/>
              </w:rPr>
            </w:pPr>
          </w:p>
        </w:tc>
        <w:tc>
          <w:tcPr>
            <w:tcW w:w="680" w:type="dxa"/>
            <w:vAlign w:val="bottom"/>
          </w:tcPr>
          <w:p>
            <w:pPr>
              <w:jc w:val="right"/>
              <w:ind w:right="35"/>
              <w:spacing w:after="0"/>
              <w:rPr>
                <w:sz w:val="20"/>
                <w:szCs w:val="20"/>
                <w:color w:val="auto"/>
              </w:rPr>
            </w:pPr>
            <w:r>
              <w:rPr>
                <w:rFonts w:ascii="Arial" w:cs="Arial" w:eastAsia="Arial" w:hAnsi="Arial"/>
                <w:sz w:val="9"/>
                <w:szCs w:val="9"/>
                <w:color w:val="auto"/>
              </w:rPr>
              <w:t>(7,503)</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jc w:val="right"/>
              <w:ind w:right="35"/>
              <w:spacing w:after="0"/>
              <w:rPr>
                <w:sz w:val="20"/>
                <w:szCs w:val="20"/>
                <w:color w:val="auto"/>
              </w:rPr>
            </w:pPr>
            <w:r>
              <w:rPr>
                <w:rFonts w:ascii="Arial" w:cs="Arial" w:eastAsia="Arial" w:hAnsi="Arial"/>
                <w:sz w:val="9"/>
                <w:szCs w:val="9"/>
                <w:color w:val="auto"/>
              </w:rPr>
              <w:t>(991)</w:t>
            </w:r>
          </w:p>
        </w:tc>
      </w:tr>
      <w:tr>
        <w:trPr>
          <w:trHeight w:val="185"/>
        </w:trPr>
        <w:tc>
          <w:tcPr>
            <w:tcW w:w="7700" w:type="dxa"/>
            <w:vAlign w:val="bottom"/>
            <w:shd w:val="clear" w:color="auto" w:fill="CCEEFF"/>
          </w:tcPr>
          <w:p>
            <w:pPr>
              <w:ind w:left="180"/>
              <w:spacing w:after="0"/>
              <w:rPr>
                <w:sz w:val="20"/>
                <w:szCs w:val="20"/>
                <w:color w:val="auto"/>
              </w:rPr>
            </w:pPr>
            <w:r>
              <w:rPr>
                <w:rFonts w:ascii="Arial" w:cs="Arial" w:eastAsia="Arial" w:hAnsi="Arial"/>
                <w:sz w:val="9"/>
                <w:szCs w:val="9"/>
                <w:color w:val="auto"/>
              </w:rPr>
              <w:t>Dividend received from unconsolidated entity</w:t>
            </w:r>
          </w:p>
        </w:tc>
        <w:tc>
          <w:tcPr>
            <w:tcW w:w="1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2,284</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r>
      <w:tr>
        <w:trPr>
          <w:trHeight w:val="175"/>
        </w:trPr>
        <w:tc>
          <w:tcPr>
            <w:tcW w:w="7700" w:type="dxa"/>
            <w:vAlign w:val="bottom"/>
          </w:tcPr>
          <w:p>
            <w:pPr>
              <w:ind w:left="180"/>
              <w:spacing w:after="0"/>
              <w:rPr>
                <w:sz w:val="20"/>
                <w:szCs w:val="20"/>
                <w:color w:val="auto"/>
              </w:rPr>
            </w:pPr>
            <w:r>
              <w:rPr>
                <w:rFonts w:ascii="Arial" w:cs="Arial" w:eastAsia="Arial" w:hAnsi="Arial"/>
                <w:sz w:val="9"/>
                <w:szCs w:val="9"/>
                <w:color w:val="auto"/>
              </w:rPr>
              <w:t>Sale of investment in unconsolidated entity</w:t>
            </w:r>
          </w:p>
        </w:tc>
        <w:tc>
          <w:tcPr>
            <w:tcW w:w="116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9"/>
                <w:szCs w:val="9"/>
                <w:color w:val="auto"/>
              </w:rPr>
              <w:t>—</w:t>
            </w:r>
          </w:p>
        </w:tc>
        <w:tc>
          <w:tcPr>
            <w:tcW w:w="1140" w:type="dxa"/>
            <w:vAlign w:val="bottom"/>
          </w:tcPr>
          <w:p>
            <w:pPr>
              <w:spacing w:after="0"/>
              <w:rPr>
                <w:sz w:val="15"/>
                <w:szCs w:val="15"/>
                <w:color w:val="auto"/>
              </w:rPr>
            </w:pPr>
          </w:p>
        </w:tc>
        <w:tc>
          <w:tcPr>
            <w:tcW w:w="680" w:type="dxa"/>
            <w:vAlign w:val="bottom"/>
          </w:tcPr>
          <w:p>
            <w:pPr>
              <w:jc w:val="right"/>
              <w:ind w:right="75"/>
              <w:spacing w:after="0"/>
              <w:rPr>
                <w:sz w:val="20"/>
                <w:szCs w:val="20"/>
                <w:color w:val="auto"/>
              </w:rPr>
            </w:pPr>
            <w:r>
              <w:rPr>
                <w:rFonts w:ascii="Arial" w:cs="Arial" w:eastAsia="Arial" w:hAnsi="Arial"/>
                <w:sz w:val="9"/>
                <w:szCs w:val="9"/>
                <w:color w:val="auto"/>
              </w:rPr>
              <w:t>1,558</w:t>
            </w:r>
          </w:p>
        </w:tc>
      </w:tr>
      <w:tr>
        <w:trPr>
          <w:trHeight w:val="165"/>
        </w:trPr>
        <w:tc>
          <w:tcPr>
            <w:tcW w:w="77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9"/>
                <w:szCs w:val="9"/>
                <w:color w:val="auto"/>
              </w:rPr>
              <w:t>Net cash flows from investing activities</w:t>
            </w:r>
          </w:p>
        </w:tc>
        <w:tc>
          <w:tcPr>
            <w:tcW w:w="116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991,369</w:t>
            </w:r>
          </w:p>
        </w:tc>
        <w:tc>
          <w:tcPr>
            <w:tcW w:w="12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rPr>
              <w:t>(1,353,595)</w:t>
            </w:r>
          </w:p>
        </w:tc>
      </w:tr>
      <w:tr>
        <w:trPr>
          <w:trHeight w:val="155"/>
        </w:trPr>
        <w:tc>
          <w:tcPr>
            <w:tcW w:w="7700" w:type="dxa"/>
            <w:vAlign w:val="bottom"/>
          </w:tcPr>
          <w:p>
            <w:pPr>
              <w:ind w:left="20"/>
              <w:spacing w:after="0"/>
              <w:rPr>
                <w:sz w:val="20"/>
                <w:szCs w:val="20"/>
                <w:color w:val="auto"/>
              </w:rPr>
            </w:pPr>
            <w:r>
              <w:rPr>
                <w:rFonts w:ascii="Arial" w:cs="Arial" w:eastAsia="Arial" w:hAnsi="Arial"/>
                <w:sz w:val="9"/>
                <w:szCs w:val="9"/>
                <w:b w:val="1"/>
                <w:bCs w:val="1"/>
                <w:color w:val="auto"/>
              </w:rPr>
              <w:t>Cash flows from financing activities:</w:t>
            </w:r>
          </w:p>
        </w:tc>
        <w:tc>
          <w:tcPr>
            <w:tcW w:w="1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85"/>
        </w:trPr>
        <w:tc>
          <w:tcPr>
            <w:tcW w:w="7700" w:type="dxa"/>
            <w:vAlign w:val="bottom"/>
            <w:shd w:val="clear" w:color="auto" w:fill="CCEEFF"/>
          </w:tcPr>
          <w:p>
            <w:pPr>
              <w:ind w:left="180"/>
              <w:spacing w:after="0"/>
              <w:rPr>
                <w:sz w:val="20"/>
                <w:szCs w:val="20"/>
                <w:color w:val="auto"/>
              </w:rPr>
            </w:pPr>
            <w:r>
              <w:rPr>
                <w:rFonts w:ascii="Arial" w:cs="Arial" w:eastAsia="Arial" w:hAnsi="Arial"/>
                <w:sz w:val="9"/>
                <w:szCs w:val="9"/>
                <w:color w:val="auto"/>
              </w:rPr>
              <w:t>Repayment of debt and finance lease obligations</w:t>
            </w:r>
          </w:p>
        </w:tc>
        <w:tc>
          <w:tcPr>
            <w:tcW w:w="1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(29,135)</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(27,764)</w:t>
            </w:r>
          </w:p>
        </w:tc>
      </w:tr>
      <w:tr>
        <w:trPr>
          <w:trHeight w:val="175"/>
        </w:trPr>
        <w:tc>
          <w:tcPr>
            <w:tcW w:w="7700" w:type="dxa"/>
            <w:vAlign w:val="bottom"/>
          </w:tcPr>
          <w:p>
            <w:pPr>
              <w:ind w:left="180"/>
              <w:spacing w:after="0"/>
              <w:rPr>
                <w:sz w:val="20"/>
                <w:szCs w:val="20"/>
                <w:color w:val="auto"/>
              </w:rPr>
            </w:pPr>
            <w:r>
              <w:rPr>
                <w:rFonts w:ascii="Arial" w:cs="Arial" w:eastAsia="Arial" w:hAnsi="Arial"/>
                <w:sz w:val="9"/>
                <w:szCs w:val="9"/>
                <w:color w:val="auto"/>
              </w:rPr>
              <w:t>Repurchase and maturity of debt</w:t>
            </w:r>
          </w:p>
        </w:tc>
        <w:tc>
          <w:tcPr>
            <w:tcW w:w="1160" w:type="dxa"/>
            <w:vAlign w:val="bottom"/>
          </w:tcPr>
          <w:p>
            <w:pPr>
              <w:spacing w:after="0"/>
              <w:rPr>
                <w:sz w:val="15"/>
                <w:szCs w:val="15"/>
                <w:color w:val="auto"/>
              </w:rPr>
            </w:pPr>
          </w:p>
        </w:tc>
        <w:tc>
          <w:tcPr>
            <w:tcW w:w="680" w:type="dxa"/>
            <w:vAlign w:val="bottom"/>
          </w:tcPr>
          <w:p>
            <w:pPr>
              <w:jc w:val="right"/>
              <w:ind w:right="35"/>
              <w:spacing w:after="0"/>
              <w:rPr>
                <w:sz w:val="20"/>
                <w:szCs w:val="20"/>
                <w:color w:val="auto"/>
              </w:rPr>
            </w:pPr>
            <w:r>
              <w:rPr>
                <w:rFonts w:ascii="Arial" w:cs="Arial" w:eastAsia="Arial" w:hAnsi="Arial"/>
                <w:sz w:val="9"/>
                <w:szCs w:val="9"/>
                <w:color w:val="auto"/>
              </w:rPr>
              <w:t>(920,923)</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jc w:val="right"/>
              <w:ind w:right="75"/>
              <w:spacing w:after="0"/>
              <w:rPr>
                <w:sz w:val="20"/>
                <w:szCs w:val="20"/>
                <w:color w:val="auto"/>
              </w:rPr>
            </w:pPr>
            <w:r>
              <w:rPr>
                <w:rFonts w:ascii="Arial" w:cs="Arial" w:eastAsia="Arial" w:hAnsi="Arial"/>
                <w:sz w:val="9"/>
                <w:szCs w:val="9"/>
                <w:color w:val="auto"/>
              </w:rPr>
              <w:t>—</w:t>
            </w:r>
          </w:p>
        </w:tc>
      </w:tr>
      <w:tr>
        <w:trPr>
          <w:trHeight w:val="185"/>
        </w:trPr>
        <w:tc>
          <w:tcPr>
            <w:tcW w:w="7700" w:type="dxa"/>
            <w:vAlign w:val="bottom"/>
            <w:shd w:val="clear" w:color="auto" w:fill="CCEEFF"/>
          </w:tcPr>
          <w:p>
            <w:pPr>
              <w:ind w:left="180"/>
              <w:spacing w:after="0"/>
              <w:rPr>
                <w:sz w:val="20"/>
                <w:szCs w:val="20"/>
                <w:color w:val="auto"/>
              </w:rPr>
            </w:pPr>
            <w:r>
              <w:rPr>
                <w:rFonts w:ascii="Arial" w:cs="Arial" w:eastAsia="Arial" w:hAnsi="Arial"/>
                <w:sz w:val="9"/>
                <w:szCs w:val="9"/>
                <w:color w:val="auto"/>
              </w:rPr>
              <w:t>Purchase of noncontrolling interest</w:t>
            </w:r>
          </w:p>
        </w:tc>
        <w:tc>
          <w:tcPr>
            <w:tcW w:w="1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(7,313)</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w:t>
            </w:r>
          </w:p>
        </w:tc>
      </w:tr>
      <w:tr>
        <w:trPr>
          <w:trHeight w:val="175"/>
        </w:trPr>
        <w:tc>
          <w:tcPr>
            <w:tcW w:w="7700" w:type="dxa"/>
            <w:vAlign w:val="bottom"/>
          </w:tcPr>
          <w:p>
            <w:pPr>
              <w:ind w:left="180"/>
              <w:spacing w:after="0"/>
              <w:rPr>
                <w:sz w:val="20"/>
                <w:szCs w:val="20"/>
                <w:color w:val="auto"/>
              </w:rPr>
            </w:pPr>
            <w:r>
              <w:rPr>
                <w:rFonts w:ascii="Arial" w:cs="Arial" w:eastAsia="Arial" w:hAnsi="Arial"/>
                <w:sz w:val="9"/>
                <w:szCs w:val="9"/>
                <w:color w:val="auto"/>
              </w:rPr>
              <w:t>Repayment of in-orbit incentive obligations</w:t>
            </w:r>
          </w:p>
        </w:tc>
        <w:tc>
          <w:tcPr>
            <w:tcW w:w="1160" w:type="dxa"/>
            <w:vAlign w:val="bottom"/>
          </w:tcPr>
          <w:p>
            <w:pPr>
              <w:spacing w:after="0"/>
              <w:rPr>
                <w:sz w:val="15"/>
                <w:szCs w:val="15"/>
                <w:color w:val="auto"/>
              </w:rPr>
            </w:pPr>
          </w:p>
        </w:tc>
        <w:tc>
          <w:tcPr>
            <w:tcW w:w="680" w:type="dxa"/>
            <w:vAlign w:val="bottom"/>
          </w:tcPr>
          <w:p>
            <w:pPr>
              <w:jc w:val="right"/>
              <w:ind w:right="35"/>
              <w:spacing w:after="0"/>
              <w:rPr>
                <w:sz w:val="20"/>
                <w:szCs w:val="20"/>
                <w:color w:val="auto"/>
              </w:rPr>
            </w:pPr>
            <w:r>
              <w:rPr>
                <w:rFonts w:ascii="Arial" w:cs="Arial" w:eastAsia="Arial" w:hAnsi="Arial"/>
                <w:sz w:val="9"/>
                <w:szCs w:val="9"/>
                <w:color w:val="auto"/>
              </w:rPr>
              <w:t>(5,269)</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jc w:val="right"/>
              <w:ind w:right="35"/>
              <w:spacing w:after="0"/>
              <w:rPr>
                <w:sz w:val="20"/>
                <w:szCs w:val="20"/>
                <w:color w:val="auto"/>
              </w:rPr>
            </w:pPr>
            <w:r>
              <w:rPr>
                <w:rFonts w:ascii="Arial" w:cs="Arial" w:eastAsia="Arial" w:hAnsi="Arial"/>
                <w:sz w:val="9"/>
                <w:szCs w:val="9"/>
                <w:color w:val="auto"/>
              </w:rPr>
              <w:t>(4,601)</w:t>
            </w:r>
          </w:p>
        </w:tc>
      </w:tr>
      <w:tr>
        <w:trPr>
          <w:trHeight w:val="185"/>
        </w:trPr>
        <w:tc>
          <w:tcPr>
            <w:tcW w:w="7700" w:type="dxa"/>
            <w:vAlign w:val="bottom"/>
            <w:shd w:val="clear" w:color="auto" w:fill="CCEEFF"/>
          </w:tcPr>
          <w:p>
            <w:pPr>
              <w:ind w:left="180"/>
              <w:spacing w:after="0"/>
              <w:rPr>
                <w:sz w:val="20"/>
                <w:szCs w:val="20"/>
                <w:color w:val="auto"/>
              </w:rPr>
            </w:pPr>
            <w:r>
              <w:rPr>
                <w:rFonts w:ascii="Arial" w:cs="Arial" w:eastAsia="Arial" w:hAnsi="Arial"/>
                <w:sz w:val="9"/>
                <w:szCs w:val="9"/>
                <w:color w:val="auto"/>
              </w:rPr>
              <w:t>Net proceeds from Class A common stock options exercised</w:t>
            </w:r>
          </w:p>
        </w:tc>
        <w:tc>
          <w:tcPr>
            <w:tcW w:w="116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64,143</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4,424</w:t>
            </w:r>
          </w:p>
        </w:tc>
      </w:tr>
      <w:tr>
        <w:trPr>
          <w:trHeight w:val="175"/>
        </w:trPr>
        <w:tc>
          <w:tcPr>
            <w:tcW w:w="7700" w:type="dxa"/>
            <w:vAlign w:val="bottom"/>
          </w:tcPr>
          <w:p>
            <w:pPr>
              <w:ind w:left="180"/>
              <w:spacing w:after="0"/>
              <w:rPr>
                <w:sz w:val="20"/>
                <w:szCs w:val="20"/>
                <w:color w:val="auto"/>
              </w:rPr>
            </w:pPr>
            <w:r>
              <w:rPr>
                <w:rFonts w:ascii="Arial" w:cs="Arial" w:eastAsia="Arial" w:hAnsi="Arial"/>
                <w:sz w:val="9"/>
                <w:szCs w:val="9"/>
                <w:color w:val="auto"/>
              </w:rPr>
              <w:t>Net proceeds from Class A common stock issued under the Employee Stock Purchase Plan</w:t>
            </w:r>
          </w:p>
        </w:tc>
        <w:tc>
          <w:tcPr>
            <w:tcW w:w="1160" w:type="dxa"/>
            <w:vAlign w:val="bottom"/>
          </w:tcPr>
          <w:p>
            <w:pPr>
              <w:spacing w:after="0"/>
              <w:rPr>
                <w:sz w:val="15"/>
                <w:szCs w:val="15"/>
                <w:color w:val="auto"/>
              </w:rPr>
            </w:pPr>
          </w:p>
        </w:tc>
        <w:tc>
          <w:tcPr>
            <w:tcW w:w="680" w:type="dxa"/>
            <w:vAlign w:val="bottom"/>
          </w:tcPr>
          <w:p>
            <w:pPr>
              <w:jc w:val="right"/>
              <w:ind w:right="75"/>
              <w:spacing w:after="0"/>
              <w:rPr>
                <w:sz w:val="20"/>
                <w:szCs w:val="20"/>
                <w:color w:val="auto"/>
              </w:rPr>
            </w:pPr>
            <w:r>
              <w:rPr>
                <w:rFonts w:ascii="Arial" w:cs="Arial" w:eastAsia="Arial" w:hAnsi="Arial"/>
                <w:sz w:val="9"/>
                <w:szCs w:val="9"/>
                <w:color w:val="auto"/>
              </w:rPr>
              <w:t>7,724</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jc w:val="right"/>
              <w:ind w:right="75"/>
              <w:spacing w:after="0"/>
              <w:rPr>
                <w:sz w:val="20"/>
                <w:szCs w:val="20"/>
                <w:color w:val="auto"/>
              </w:rPr>
            </w:pPr>
            <w:r>
              <w:rPr>
                <w:rFonts w:ascii="Arial" w:cs="Arial" w:eastAsia="Arial" w:hAnsi="Arial"/>
                <w:sz w:val="9"/>
                <w:szCs w:val="9"/>
                <w:color w:val="auto"/>
              </w:rPr>
              <w:t>7,428</w:t>
            </w:r>
          </w:p>
        </w:tc>
      </w:tr>
      <w:tr>
        <w:trPr>
          <w:trHeight w:val="180"/>
        </w:trPr>
        <w:tc>
          <w:tcPr>
            <w:tcW w:w="7700" w:type="dxa"/>
            <w:vAlign w:val="bottom"/>
            <w:shd w:val="clear" w:color="auto" w:fill="CCEEFF"/>
          </w:tcPr>
          <w:p>
            <w:pPr>
              <w:ind w:left="180"/>
              <w:spacing w:after="0"/>
              <w:rPr>
                <w:sz w:val="20"/>
                <w:szCs w:val="20"/>
                <w:color w:val="auto"/>
              </w:rPr>
            </w:pPr>
            <w:r>
              <w:rPr>
                <w:rFonts w:ascii="Arial" w:cs="Arial" w:eastAsia="Arial" w:hAnsi="Arial"/>
                <w:sz w:val="9"/>
                <w:szCs w:val="9"/>
                <w:color w:val="auto"/>
              </w:rPr>
              <w:t>Other, net</w:t>
            </w:r>
          </w:p>
        </w:tc>
        <w:tc>
          <w:tcPr>
            <w:tcW w:w="1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758</w:t>
            </w:r>
          </w:p>
        </w:tc>
        <w:tc>
          <w:tcPr>
            <w:tcW w:w="12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rPr>
              <w:t>(530)</w:t>
            </w:r>
          </w:p>
        </w:tc>
      </w:tr>
      <w:tr>
        <w:trPr>
          <w:trHeight w:val="160"/>
        </w:trPr>
        <w:tc>
          <w:tcPr>
            <w:tcW w:w="7700" w:type="dxa"/>
            <w:vAlign w:val="bottom"/>
            <w:tcBorders>
              <w:bottom w:val="single" w:sz="8" w:color="CCEEFF"/>
            </w:tcBorders>
          </w:tcPr>
          <w:p>
            <w:pPr>
              <w:ind w:left="460"/>
              <w:spacing w:after="0"/>
              <w:rPr>
                <w:sz w:val="20"/>
                <w:szCs w:val="20"/>
                <w:color w:val="auto"/>
              </w:rPr>
            </w:pPr>
            <w:r>
              <w:rPr>
                <w:rFonts w:ascii="Arial" w:cs="Arial" w:eastAsia="Arial" w:hAnsi="Arial"/>
                <w:sz w:val="9"/>
                <w:szCs w:val="9"/>
                <w:color w:val="auto"/>
              </w:rPr>
              <w:t>Net cash flows from financing activities</w:t>
            </w:r>
          </w:p>
        </w:tc>
        <w:tc>
          <w:tcPr>
            <w:tcW w:w="1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color w:val="auto"/>
              </w:rPr>
              <w:t>(890,015)</w:t>
            </w:r>
          </w:p>
        </w:tc>
        <w:tc>
          <w:tcPr>
            <w:tcW w:w="120" w:type="dxa"/>
            <w:vAlign w:val="bottom"/>
            <w:tcBorders>
              <w:bottom w:val="single" w:sz="8" w:color="CCEEFF"/>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5"/>
              <w:spacing w:after="0"/>
              <w:rPr>
                <w:sz w:val="20"/>
                <w:szCs w:val="20"/>
                <w:color w:val="auto"/>
              </w:rPr>
            </w:pPr>
            <w:r>
              <w:rPr>
                <w:rFonts w:ascii="Arial" w:cs="Arial" w:eastAsia="Arial" w:hAnsi="Arial"/>
                <w:sz w:val="9"/>
                <w:szCs w:val="9"/>
                <w:color w:val="auto"/>
              </w:rPr>
              <w:t>(21,043)</w:t>
            </w:r>
          </w:p>
        </w:tc>
      </w:tr>
      <w:tr>
        <w:trPr>
          <w:trHeight w:val="160"/>
        </w:trPr>
        <w:tc>
          <w:tcPr>
            <w:tcW w:w="7700" w:type="dxa"/>
            <w:vAlign w:val="bottom"/>
            <w:shd w:val="clear" w:color="auto" w:fill="CCEEFF"/>
          </w:tcPr>
          <w:p>
            <w:pPr>
              <w:ind w:left="460"/>
              <w:spacing w:after="0"/>
              <w:rPr>
                <w:sz w:val="20"/>
                <w:szCs w:val="20"/>
                <w:color w:val="auto"/>
              </w:rPr>
            </w:pPr>
            <w:r>
              <w:rPr>
                <w:rFonts w:ascii="Arial" w:cs="Arial" w:eastAsia="Arial" w:hAnsi="Arial"/>
                <w:sz w:val="9"/>
                <w:szCs w:val="9"/>
                <w:color w:val="auto"/>
              </w:rPr>
              <w:t>Effect of exchange rates on cash and cash equivalents</w:t>
            </w:r>
          </w:p>
        </w:tc>
        <w:tc>
          <w:tcPr>
            <w:tcW w:w="116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rPr>
              <w:t>(411)</w:t>
            </w:r>
          </w:p>
        </w:tc>
        <w:tc>
          <w:tcPr>
            <w:tcW w:w="120" w:type="dxa"/>
            <w:vAlign w:val="bottom"/>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rPr>
              <w:t>(3,449)</w:t>
            </w:r>
          </w:p>
        </w:tc>
      </w:tr>
      <w:tr>
        <w:trPr>
          <w:trHeight w:val="160"/>
        </w:trPr>
        <w:tc>
          <w:tcPr>
            <w:tcW w:w="7700" w:type="dxa"/>
            <w:vAlign w:val="bottom"/>
          </w:tcPr>
          <w:p>
            <w:pPr>
              <w:ind w:left="460"/>
              <w:spacing w:after="0"/>
              <w:rPr>
                <w:sz w:val="20"/>
                <w:szCs w:val="20"/>
                <w:color w:val="auto"/>
              </w:rPr>
            </w:pPr>
            <w:r>
              <w:rPr>
                <w:rFonts w:ascii="Arial" w:cs="Arial" w:eastAsia="Arial" w:hAnsi="Arial"/>
                <w:sz w:val="9"/>
                <w:szCs w:val="9"/>
                <w:color w:val="auto"/>
              </w:rPr>
              <w:t>Net increase (decrease) in cash and cash equivalents, including restricted amounts</w:t>
            </w:r>
          </w:p>
        </w:tc>
        <w:tc>
          <w:tcPr>
            <w:tcW w:w="1160" w:type="dxa"/>
            <w:vAlign w:val="bottom"/>
          </w:tcPr>
          <w:p>
            <w:pPr>
              <w:spacing w:after="0"/>
              <w:rPr>
                <w:sz w:val="13"/>
                <w:szCs w:val="13"/>
                <w:color w:val="auto"/>
              </w:rPr>
            </w:pPr>
          </w:p>
        </w:tc>
        <w:tc>
          <w:tcPr>
            <w:tcW w:w="680" w:type="dxa"/>
            <w:vAlign w:val="bottom"/>
          </w:tcPr>
          <w:p>
            <w:pPr>
              <w:jc w:val="right"/>
              <w:ind w:right="75"/>
              <w:spacing w:after="0"/>
              <w:rPr>
                <w:sz w:val="20"/>
                <w:szCs w:val="20"/>
                <w:color w:val="auto"/>
              </w:rPr>
            </w:pPr>
            <w:r>
              <w:rPr>
                <w:rFonts w:ascii="Arial" w:cs="Arial" w:eastAsia="Arial" w:hAnsi="Arial"/>
                <w:sz w:val="9"/>
                <w:szCs w:val="9"/>
                <w:color w:val="auto"/>
              </w:rPr>
              <w:t>634,003</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80" w:type="dxa"/>
            <w:vAlign w:val="bottom"/>
          </w:tcPr>
          <w:p>
            <w:pPr>
              <w:jc w:val="right"/>
              <w:ind w:right="35"/>
              <w:spacing w:after="0"/>
              <w:rPr>
                <w:sz w:val="20"/>
                <w:szCs w:val="20"/>
                <w:color w:val="auto"/>
              </w:rPr>
            </w:pPr>
            <w:r>
              <w:rPr>
                <w:rFonts w:ascii="Arial" w:cs="Arial" w:eastAsia="Arial" w:hAnsi="Arial"/>
                <w:sz w:val="9"/>
                <w:szCs w:val="9"/>
                <w:color w:val="auto"/>
              </w:rPr>
              <w:t>(834,175)</w:t>
            </w:r>
          </w:p>
        </w:tc>
      </w:tr>
      <w:tr>
        <w:trPr>
          <w:trHeight w:val="180"/>
        </w:trPr>
        <w:tc>
          <w:tcPr>
            <w:tcW w:w="7700" w:type="dxa"/>
            <w:vAlign w:val="bottom"/>
            <w:shd w:val="clear" w:color="auto" w:fill="CCEEFF"/>
          </w:tcPr>
          <w:p>
            <w:pPr>
              <w:ind w:left="20"/>
              <w:spacing w:after="0"/>
              <w:rPr>
                <w:sz w:val="20"/>
                <w:szCs w:val="20"/>
                <w:color w:val="auto"/>
              </w:rPr>
            </w:pPr>
            <w:r>
              <w:rPr>
                <w:rFonts w:ascii="Arial" w:cs="Arial" w:eastAsia="Arial" w:hAnsi="Arial"/>
                <w:sz w:val="9"/>
                <w:szCs w:val="9"/>
                <w:color w:val="auto"/>
              </w:rPr>
              <w:t>Cash and cash equivalents, including restricted amounts, beginning of period</w:t>
            </w:r>
          </w:p>
        </w:tc>
        <w:tc>
          <w:tcPr>
            <w:tcW w:w="1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929,495</w:t>
            </w:r>
          </w:p>
        </w:tc>
        <w:tc>
          <w:tcPr>
            <w:tcW w:w="120" w:type="dxa"/>
            <w:vAlign w:val="bottom"/>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2,432,249</w:t>
            </w:r>
          </w:p>
        </w:tc>
      </w:tr>
      <w:tr>
        <w:trPr>
          <w:trHeight w:val="16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9"/>
                <w:szCs w:val="9"/>
                <w:color w:val="auto"/>
              </w:rPr>
              <w:t>Cash and cash equivalents, including restricted amounts, end of period</w:t>
            </w:r>
          </w:p>
        </w:tc>
        <w:tc>
          <w:tcPr>
            <w:tcW w:w="1160" w:type="dxa"/>
            <w:vAlign w:val="bottom"/>
            <w:tcBorders>
              <w:bottom w:val="single" w:sz="8" w:color="auto"/>
            </w:tcBorders>
          </w:tcPr>
          <w:p>
            <w:pPr>
              <w:jc w:val="right"/>
              <w:ind w:right="1055"/>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1,563,498</w:t>
            </w:r>
          </w:p>
        </w:tc>
        <w:tc>
          <w:tcPr>
            <w:tcW w:w="1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1035"/>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1,598,074</w:t>
            </w:r>
          </w:p>
        </w:tc>
      </w:tr>
      <w:tr>
        <w:trPr>
          <w:trHeight w:val="180"/>
        </w:trPr>
        <w:tc>
          <w:tcPr>
            <w:tcW w:w="77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9"/>
                <w:szCs w:val="9"/>
                <w:b w:val="1"/>
                <w:bCs w:val="1"/>
                <w:color w:val="auto"/>
              </w:rPr>
              <w:t>Supplemental disclosure of cash flow information:</w:t>
            </w:r>
          </w:p>
        </w:tc>
        <w:tc>
          <w:tcPr>
            <w:tcW w:w="1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3"/>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9"/>
                <w:szCs w:val="9"/>
                <w:color w:val="auto"/>
              </w:rPr>
              <w:t>Cash paid for interest, net of amounts capitalized</w:t>
            </w:r>
          </w:p>
        </w:tc>
        <w:tc>
          <w:tcPr>
            <w:tcW w:w="1160" w:type="dxa"/>
            <w:vAlign w:val="bottom"/>
            <w:tcBorders>
              <w:bottom w:val="single" w:sz="8" w:color="auto"/>
            </w:tcBorders>
            <w:shd w:val="clear" w:color="auto" w:fill="CCEEFF"/>
          </w:tcPr>
          <w:p>
            <w:pPr>
              <w:jc w:val="right"/>
              <w:ind w:right="1055"/>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161,766</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035"/>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170,303</w:t>
            </w:r>
          </w:p>
        </w:tc>
      </w:tr>
      <w:tr>
        <w:trPr>
          <w:trHeight w:val="160"/>
        </w:trPr>
        <w:tc>
          <w:tcPr>
            <w:tcW w:w="7700" w:type="dxa"/>
            <w:vAlign w:val="bottom"/>
          </w:tcPr>
          <w:p>
            <w:pPr>
              <w:ind w:left="180"/>
              <w:spacing w:after="0"/>
              <w:rPr>
                <w:sz w:val="20"/>
                <w:szCs w:val="20"/>
                <w:color w:val="auto"/>
              </w:rPr>
            </w:pPr>
            <w:r>
              <w:rPr>
                <w:rFonts w:ascii="Arial" w:cs="Arial" w:eastAsia="Arial" w:hAnsi="Arial"/>
                <w:sz w:val="9"/>
                <w:szCs w:val="9"/>
                <w:color w:val="auto"/>
              </w:rPr>
              <w:t>Cash paid for income taxes</w:t>
            </w:r>
          </w:p>
        </w:tc>
        <w:tc>
          <w:tcPr>
            <w:tcW w:w="1160" w:type="dxa"/>
            <w:vAlign w:val="bottom"/>
            <w:tcBorders>
              <w:bottom w:val="single" w:sz="8" w:color="auto"/>
            </w:tcBorders>
          </w:tcPr>
          <w:p>
            <w:pPr>
              <w:jc w:val="right"/>
              <w:ind w:right="1055"/>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2,119</w:t>
            </w:r>
          </w:p>
        </w:tc>
        <w:tc>
          <w:tcPr>
            <w:tcW w:w="120" w:type="dxa"/>
            <w:vAlign w:val="bottom"/>
          </w:tcPr>
          <w:p>
            <w:pPr>
              <w:spacing w:after="0"/>
              <w:rPr>
                <w:sz w:val="13"/>
                <w:szCs w:val="13"/>
                <w:color w:val="auto"/>
              </w:rPr>
            </w:pPr>
          </w:p>
        </w:tc>
        <w:tc>
          <w:tcPr>
            <w:tcW w:w="1140" w:type="dxa"/>
            <w:vAlign w:val="bottom"/>
            <w:tcBorders>
              <w:bottom w:val="single" w:sz="8" w:color="auto"/>
            </w:tcBorders>
          </w:tcPr>
          <w:p>
            <w:pPr>
              <w:jc w:val="right"/>
              <w:ind w:right="1035"/>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ind w:right="75"/>
              <w:spacing w:after="0"/>
              <w:rPr>
                <w:sz w:val="20"/>
                <w:szCs w:val="20"/>
                <w:color w:val="auto"/>
              </w:rPr>
            </w:pPr>
            <w:r>
              <w:rPr>
                <w:rFonts w:ascii="Arial" w:cs="Arial" w:eastAsia="Arial" w:hAnsi="Arial"/>
                <w:sz w:val="9"/>
                <w:szCs w:val="9"/>
                <w:color w:val="auto"/>
              </w:rPr>
              <w:t>3,369</w:t>
            </w: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condensed consolidated financial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80"/>
          </w:cols>
          <w:pgMar w:left="220" w:top="140" w:right="199" w:bottom="1440" w:gutter="0" w:footer="0" w:header="0"/>
        </w:sectPr>
      </w:pPr>
    </w:p>
    <w:bookmarkStart w:id="9" w:name="page10"/>
    <w:bookmarkEnd w:id="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36"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NOTE 1.</w:t>
      </w:r>
      <w:r>
        <w:rPr>
          <w:sz w:val="20"/>
          <w:szCs w:val="20"/>
          <w:color w:val="auto"/>
        </w:rPr>
        <w:tab/>
      </w:r>
      <w:r>
        <w:rPr>
          <w:rFonts w:ascii="Arial" w:cs="Arial" w:eastAsia="Arial" w:hAnsi="Arial"/>
          <w:sz w:val="11"/>
          <w:szCs w:val="11"/>
          <w:b w:val="1"/>
          <w:bCs w:val="1"/>
          <w:color w:val="auto"/>
        </w:rPr>
        <w:t>ORGANIZATION AND BUSINESS ACTIVITIES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Principal Business</w:t>
      </w:r>
    </w:p>
    <w:p>
      <w:pPr>
        <w:spacing w:after="0" w:line="164" w:lineRule="exact"/>
        <w:rPr>
          <w:sz w:val="20"/>
          <w:szCs w:val="20"/>
          <w:color w:val="auto"/>
        </w:rPr>
      </w:pPr>
    </w:p>
    <w:p>
      <w:pPr>
        <w:jc w:val="both"/>
        <w:ind w:right="20"/>
        <w:spacing w:after="0" w:line="256" w:lineRule="auto"/>
        <w:rPr>
          <w:sz w:val="20"/>
          <w:szCs w:val="20"/>
          <w:color w:val="auto"/>
        </w:rPr>
      </w:pPr>
      <w:r>
        <w:rPr>
          <w:rFonts w:ascii="Arial" w:cs="Arial" w:eastAsia="Arial" w:hAnsi="Arial"/>
          <w:sz w:val="12"/>
          <w:szCs w:val="12"/>
          <w:color w:val="auto"/>
        </w:rPr>
        <w:t>EchoStar Corporation (which, together with its subsidiaries, is referred to as “EchoStar,” the “Company,” “we,” “us” and/or “our”) is a holding company that was organized in October 2007 as a corporation under the laws of the State of Nevada and has operated as a separately traded public company from DISH Network Corporation (“DISH”) since 2008. Our Class A common stock is publicly traded on the Nasdaq Global Select Market (“NASDAQ”) under the symbol “SATS.”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are a global provider of broadband satellite technologies, broadband internet services for home and small to medium-sized business customers, satellite operations and satellite services. We also deliver innovative network technologies, managed services and communications solutions for aeronautical, enterprise and government customers. We primarily operate in the following two business segments:</w:t>
      </w:r>
    </w:p>
    <w:p>
      <w:pPr>
        <w:spacing w:after="0" w:line="171" w:lineRule="exact"/>
        <w:rPr>
          <w:sz w:val="20"/>
          <w:szCs w:val="20"/>
          <w:color w:val="auto"/>
        </w:rPr>
      </w:pPr>
    </w:p>
    <w:p>
      <w:pPr>
        <w:jc w:val="both"/>
        <w:ind w:left="420" w:hanging="212"/>
        <w:spacing w:after="0" w:line="262" w:lineRule="auto"/>
        <w:tabs>
          <w:tab w:leader="none" w:pos="420" w:val="left"/>
        </w:tabs>
        <w:numPr>
          <w:ilvl w:val="0"/>
          <w:numId w:val="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Hughes </w:t>
      </w:r>
      <w:r>
        <w:rPr>
          <w:rFonts w:ascii="Arial" w:cs="Arial" w:eastAsia="Arial" w:hAnsi="Arial"/>
          <w:sz w:val="12"/>
          <w:szCs w:val="12"/>
          <w:color w:val="auto"/>
        </w:rPr>
        <w:t>— which provides broadband satellite technologies and broadband internet services to domestic and international home and small to medium-sized business customers and broadband network</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technologies, managed services, equipment, hardware, satellite services and communication solutions to service providers, aeronautical, enterprise and government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27" w:lineRule="exact"/>
        <w:rPr>
          <w:rFonts w:ascii="Arial" w:cs="Arial" w:eastAsia="Arial" w:hAnsi="Arial"/>
          <w:sz w:val="12"/>
          <w:szCs w:val="12"/>
          <w:b w:val="1"/>
          <w:bCs w:val="1"/>
          <w:i w:val="1"/>
          <w:iCs w:val="1"/>
          <w:color w:val="auto"/>
        </w:rPr>
      </w:pPr>
    </w:p>
    <w:p>
      <w:pPr>
        <w:ind w:left="420" w:hanging="212"/>
        <w:spacing w:after="0" w:line="286" w:lineRule="auto"/>
        <w:tabs>
          <w:tab w:leader="none" w:pos="420" w:val="left"/>
        </w:tabs>
        <w:numPr>
          <w:ilvl w:val="0"/>
          <w:numId w:val="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EchoStar Satellite Services (“ESS”) </w:t>
      </w:r>
      <w:r>
        <w:rPr>
          <w:rFonts w:ascii="Arial" w:cs="Arial" w:eastAsia="Arial" w:hAnsi="Arial"/>
          <w:sz w:val="12"/>
          <w:szCs w:val="12"/>
          <w:color w:val="auto"/>
        </w:rPr>
        <w:t>— which uses certain of our owned and leased in-orbit satellites and related licenses to provide satellite services on a full-time and/or occasional-use basis to United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States (“U.S.”) government service providers, internet service providers, broadcast news organizations, content providers and private enterprise customers.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Our operations also include various corporate departments (primarily Executive, Treasury, Strategic Development, Human Resources, IT, Finance, Real Estate, Accounting and Legal) and other activities that have not been assigned to our operating segments such as costs incurred in certain satellite development programs and other business development activities, and gains or losses from certain of our investments. These activities, costs and income, as well as eliminations of intersegment transactions, are accounted for in Corporate and Other in our segment reporting.</w:t>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In May 2019, we and one of our former subsidiaries, EchoStar BSS Corporation (“BSS Corp.”), entered into a master transaction agreement (the “Master Transaction Agreement”) with DISH and a wholly-owned subsidiary of DISH (“Merger Sub”). Pursuant to the terms of the Master Transaction Agreement, on September 10, 2019: (i) we transferred to BSS Corp. certain real property and the various businesses, products, licenses, technology, revenues, billings, operating activities, assets and liabilities primarily relating to the portion of our ESS satellite services business that manages, markets and provides (1) broadcast satellite services primarily to DISH and its subsidiaries (together with DISH, “DISH Network”) and our joint venture Dish Mexico, S. de R.L. de C.V., (“Dish Mexico”) and its subsidiaries and (2) telemetry, tracking and control (“TT&amp;C”) services for satellites owned by DISH Network and a portion of our other businesses (collectively, the “BSS Business”); (ii) we distributed to each holder of shares of our Class A or Class B common stock entitled to receive consideration in the transaction an amount of shares of common stock of BSS Corp., par value $0.001 per share (“BSS Common Stock”), equal to one share of BSS Common Stock for each share of our Class A or Class B common stock owned by such stockholder (the “Distribution”); and (iii) immediately after the Distribution, (1) Merger Sub merged with and into BSS Corp. (the “Merger”), such that BSS Corp. became a wholly-owned subsidiary of DISH and DISH owns and operates the BSS Business, and (2) each issued and outstanding share of BSS Common Stock owned by EchoStar stockholders was converted into the right to receive 0.23523769 shares of DISH Class A common stock, par value $0.001 per share (“DISH Common Stock”) ((i) - (iii) collectively, the “BSS Transaction”).</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The BSS Transaction was structured in a manner intended to be tax-free to us and our stockholders for U.S. federal income tax purposes. In connection with the BSS Transaction, we and DISH Network agreed to indemnify each other against certain losses with respect to breaches of certain representations and covenants and certain retained and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80"/>
          </w:cols>
          <w:pgMar w:left="220" w:top="140" w:right="199" w:bottom="1440" w:gutter="0" w:footer="0" w:header="0"/>
        </w:sectPr>
      </w:pPr>
    </w:p>
    <w:bookmarkStart w:id="10" w:name="page11"/>
    <w:bookmarkEnd w:id="1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assumed liabilities, respectively. Additionally, we and DISH and certain of our and their subsidiaries (i) entered into certain customary agreements covering, among other things, matters relating to taxes, employees, intellectual property and the provision of transitional services, (ii) terminated certain previously existing agreements, and (iii) amended certain existing agreements and entered into certain new agreements pursuant to which we and DISH Network will obtain and provide certain products, services and rights from and to each other.</w:t>
      </w:r>
    </w:p>
    <w:p>
      <w:pPr>
        <w:spacing w:after="0" w:line="135"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Following the consummation of the BSS Transaction, we no longer operate the BSS Business, which was a substantial portion of our ESS business segment. The BSS Transaction has been accounted for as a spin-off to our shareholders as the Company did not receive any consideration. As a result, the operating results of the BSS Business have been presented as discontinued operations and, as such, have been excluded from continuing operations and segment results for all periods presented. See Note 5 for further discussion of our discontinued operations.</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During 2017, we and certain of our subsidiaries entered into a share exchange agreement (the “Share Exchange Agreement”) with DISH and certain of its subsidiaries. We, and certain of our subsidiaries, received all the shares of the Hughes Retail Preferred Tracking Stock previously issued by us and one of our subsidiaries (together, the “Tracking Stock”) in exchange for 100% of the equity interests of certain of our subsidiaries that held substantially all of our former EchoStar Technologies businesses and certain other assets (collectively, the “Share Exchange”). Following the consummation of the Share Exchange, we no longer operate our former EchoStar Technologies businesses, the Tracking Stock was retired and is no longer outstanding, and all agreements, arrangements and policy statements with respect to the Tracking Stock terminated. As a result of the Share Exchange, the operating results of the EchoStar Technologies businesses were presented as discontinued operations in our historical consolidated financial statements in our Form 10-K.</w:t>
      </w:r>
    </w:p>
    <w:p>
      <w:pPr>
        <w:spacing w:after="0" w:line="123"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NOTE 2.</w:t>
      </w:r>
      <w:r>
        <w:rPr>
          <w:sz w:val="20"/>
          <w:szCs w:val="20"/>
          <w:color w:val="auto"/>
        </w:rPr>
        <w:tab/>
      </w:r>
      <w:r>
        <w:rPr>
          <w:rFonts w:ascii="Arial" w:cs="Arial" w:eastAsia="Arial" w:hAnsi="Arial"/>
          <w:sz w:val="11"/>
          <w:szCs w:val="11"/>
          <w:b w:val="1"/>
          <w:bCs w:val="1"/>
          <w:color w:val="auto"/>
        </w:rPr>
        <w:t>SUMMARY OF SIGNIFICANT ACCOUNTING POLICIES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of Presentation</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The accompanying unaudited condensed consolidated financial statements have been prepared in conformity with accounting principles generally accepted in the U.S. (“U.S. GAAP”) and with the instructions to Form 10-Q and Article 10 of Regulation S-X for interim financial information. Accordingly, these financial statements do not include all of the information and notes required for complete financial statements prepared in conformity with U.S. GAAP. In our opinion, all adjustments, consisting of normal recurring adjustments, considered necessary for a fair presentation have been included. However, our results of operations for the interim periods presented are not necessarily indicative of the results that may be expected for the full year. For further information, refer to the consolidated financial statements and notes thereto included in our Form 10-K for the year ended December 31, 2018.</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Principles of Consolidation</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consolidate all entities in which we have a controlling financial interest. We are deemed to have a controlling financial interest in variable interest entities where we are the primary beneficiary. We are deemed to have a controlling financial interest in other entities when we own more than 50% of the outstanding voting shares and other shareholders do not have substantive rights to participate in management. For entities we control but do not wholly own, we record a noncontrolling interest within stockholders’ equity for the portion of the entity’s equity attributed to the noncontrolling ownership interests. All significant intercompany balances and transactions have been eliminated in consolidation.</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ectPr>
          <w:pgSz w:w="11900" w:h="16838" w:orient="portrait"/>
          <w:cols w:equalWidth="0" w:num="1">
            <w:col w:w="11480"/>
          </w:cols>
          <w:pgMar w:left="220" w:top="140" w:right="199" w:bottom="1440" w:gutter="0" w:footer="0" w:header="0"/>
        </w:sectPr>
      </w:pPr>
    </w:p>
    <w:bookmarkStart w:id="11" w:name="page12"/>
    <w:bookmarkEnd w:id="1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Reclassification</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Certain prior period amounts have been reclassified to conform with the current period presentation.</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Adopted Accounting Pronouncements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Leases</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 xml:space="preserve">We adopted Accounting Standard Update (“ASU”) No. 2016-02 - </w:t>
      </w:r>
      <w:r>
        <w:rPr>
          <w:rFonts w:ascii="Arial" w:cs="Arial" w:eastAsia="Arial" w:hAnsi="Arial"/>
          <w:sz w:val="12"/>
          <w:szCs w:val="12"/>
          <w:i w:val="1"/>
          <w:iCs w:val="1"/>
          <w:color w:val="auto"/>
        </w:rPr>
        <w:t>Leases (Topic 842)</w:t>
      </w:r>
      <w:r>
        <w:rPr>
          <w:rFonts w:ascii="Arial" w:cs="Arial" w:eastAsia="Arial" w:hAnsi="Arial"/>
          <w:sz w:val="12"/>
          <w:szCs w:val="12"/>
          <w:color w:val="auto"/>
        </w:rPr>
        <w:t>, as amended, or Accounting Standard Codification (“ASC 842”), as of January 1, 2019. The primary impact of ASC 842 on our consolidated financial statements is the recognition of right-of-use assets and related liabilities on our consolidated balance sheet for operating leases where we are the lessee. We elected to apply the requirements of the new standard on January 1, 2019 and we have not restated our consolidated financial statements for prior periods. Consequently, certain amounts reported in our Condensed Consolidated Balance Sheet as of September 30, 2019 are not comparable to those reported as of December 31, 2018 or earlier dates. Our adoption of ASC 842 did not have a material impact on the results of our operations or on our cash flows for the three and nine months ended September 30, 2019.</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Under ASC 842, leases are classified either as operating leases or finance leases. The lease classification affects the recognition of lease expense by lessees in the statement of operations. Consistent with prior accounting standards, operating lease expense is included in operating expenses, while finance lease expense is split between depreciation expense and interest expense. ASC 842 does not fundamentally change the lessor accounting model, which requires leases to be classified as operating leases or sales-type leases. Operating lease revenue generally is recognized over the lease term, while sales-type lease revenue is recognized primarily upon lease commencement, except for amounts representing interest on related accounts receivable.</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Except for the new requirement to recognize assets and liabilities on the balance sheet for operating leases where we are the lessee, under our ASC 842 transition method we continue to apply prior accounting standards to leases that commenced prior to 2019. We fully apply ASC 842 requirements only to leases that commenced or were modified on or after January 1, 2019. We elected certain practical expedients under our transition method, including elections to not reassess (i) whether a contract is or contains a lease and (ii) the classification of existing leases. We also elected not to apply hindsight in determining whether optional renewal periods should be included in the lease term, which in some instances may impact the initial measurement of the lease liability and the calculation of straight-line expense over the lease term for operating leases. As a result of our transition elections, there was no change in our recognition of revenue and expense for leases that commenced prior to 2019. In addition, the application of ASC 842 requirements to new and modified leases did not materially affect our recognition of revenue or expenses for the three and nine months ended September 30, 2019.</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ectPr>
          <w:pgSz w:w="11900" w:h="16838" w:orient="portrait"/>
          <w:cols w:equalWidth="0" w:num="1">
            <w:col w:w="11480"/>
          </w:cols>
          <w:pgMar w:left="220" w:top="140" w:right="199" w:bottom="1440" w:gutter="0" w:footer="0" w:header="0"/>
        </w:sectPr>
      </w:pPr>
    </w:p>
    <w:bookmarkStart w:id="12" w:name="page13"/>
    <w:bookmarkEnd w:id="12"/>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(Unaudited)</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Our adoption of ASC 842 resulted in the following adjustments from our continuing operations to our Condensed Consolidated Balance Sheet as of December 31, 2018 (amounts in thousands):</w:t>
      </w:r>
    </w:p>
    <w:p>
      <w:pPr>
        <w:spacing w:after="0" w:line="97" w:lineRule="exact"/>
        <w:rPr>
          <w:sz w:val="20"/>
          <w:szCs w:val="20"/>
          <w:color w:val="auto"/>
        </w:rPr>
      </w:pPr>
    </w:p>
    <w:tbl>
      <w:tblPr>
        <w:tblLayout w:type="fixed"/>
        <w:tblInd w:w="748" w:type="dxa"/>
        <w:tblCellMar>
          <w:top w:w="0" w:type="dxa"/>
          <w:left w:w="0" w:type="dxa"/>
          <w:bottom w:w="0" w:type="dxa"/>
          <w:right w:w="0" w:type="dxa"/>
        </w:tblCellMar>
      </w:tblPr>
      <w:tr>
        <w:trPr>
          <w:trHeight w:val="138"/>
        </w:trPr>
        <w:tc>
          <w:tcPr>
            <w:tcW w:w="4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9"/>
              </w:rPr>
              <w:t>Balance</w:t>
            </w: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135"/>
        </w:trPr>
        <w:tc>
          <w:tcPr>
            <w:tcW w:w="4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0" w:type="dxa"/>
            <w:vAlign w:val="bottom"/>
            <w:gridSpan w:val="2"/>
          </w:tcPr>
          <w:p>
            <w:pPr>
              <w:jc w:val="center"/>
              <w:ind w:right="380"/>
              <w:spacing w:after="0" w:line="135" w:lineRule="exact"/>
              <w:rPr>
                <w:sz w:val="20"/>
                <w:szCs w:val="20"/>
                <w:color w:val="auto"/>
              </w:rPr>
            </w:pPr>
            <w:r>
              <w:rPr>
                <w:rFonts w:ascii="Arial" w:cs="Arial" w:eastAsia="Arial" w:hAnsi="Arial"/>
                <w:sz w:val="12"/>
                <w:szCs w:val="12"/>
                <w:b w:val="1"/>
                <w:bCs w:val="1"/>
                <w:color w:val="auto"/>
                <w:w w:val="99"/>
              </w:rPr>
              <w:t>December 31,</w:t>
            </w:r>
          </w:p>
        </w:tc>
        <w:tc>
          <w:tcPr>
            <w:tcW w:w="160" w:type="dxa"/>
            <w:vAlign w:val="bottom"/>
          </w:tcPr>
          <w:p>
            <w:pPr>
              <w:spacing w:after="0"/>
              <w:rPr>
                <w:sz w:val="11"/>
                <w:szCs w:val="11"/>
                <w:color w:val="auto"/>
              </w:rPr>
            </w:pPr>
          </w:p>
        </w:tc>
        <w:tc>
          <w:tcPr>
            <w:tcW w:w="164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rPr>
              <w:t>Adoption of ASC 842</w:t>
            </w:r>
          </w:p>
        </w:tc>
        <w:tc>
          <w:tcPr>
            <w:tcW w:w="140" w:type="dxa"/>
            <w:vAlign w:val="bottom"/>
          </w:tcPr>
          <w:p>
            <w:pPr>
              <w:spacing w:after="0"/>
              <w:rPr>
                <w:sz w:val="11"/>
                <w:szCs w:val="11"/>
                <w:color w:val="auto"/>
              </w:rPr>
            </w:pPr>
          </w:p>
        </w:tc>
        <w:tc>
          <w:tcPr>
            <w:tcW w:w="1640" w:type="dxa"/>
            <w:vAlign w:val="bottom"/>
          </w:tcPr>
          <w:p>
            <w:pPr>
              <w:spacing w:after="0"/>
              <w:rPr>
                <w:sz w:val="11"/>
                <w:szCs w:val="11"/>
                <w:color w:val="auto"/>
              </w:rPr>
            </w:pPr>
          </w:p>
        </w:tc>
      </w:tr>
      <w:tr>
        <w:trPr>
          <w:trHeight w:val="163"/>
        </w:trPr>
        <w:tc>
          <w:tcPr>
            <w:tcW w:w="4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00" w:type="dxa"/>
            <w:vAlign w:val="bottom"/>
          </w:tcPr>
          <w:p>
            <w:pPr>
              <w:jc w:val="center"/>
              <w:ind w:right="220"/>
              <w:spacing w:after="0"/>
              <w:rPr>
                <w:sz w:val="20"/>
                <w:szCs w:val="20"/>
                <w:color w:val="auto"/>
              </w:rPr>
            </w:pPr>
            <w:r>
              <w:rPr>
                <w:rFonts w:ascii="Arial" w:cs="Arial" w:eastAsia="Arial" w:hAnsi="Arial"/>
                <w:sz w:val="12"/>
                <w:szCs w:val="12"/>
                <w:b w:val="1"/>
                <w:bCs w:val="1"/>
                <w:color w:val="auto"/>
                <w:w w:val="97"/>
              </w:rPr>
              <w:t>2018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Increase (Decrease)</w:t>
            </w:r>
          </w:p>
        </w:tc>
        <w:tc>
          <w:tcPr>
            <w:tcW w:w="140" w:type="dxa"/>
            <w:vAlign w:val="bottom"/>
          </w:tcPr>
          <w:p>
            <w:pPr>
              <w:spacing w:after="0"/>
              <w:rPr>
                <w:sz w:val="14"/>
                <w:szCs w:val="14"/>
                <w:color w:val="auto"/>
              </w:rPr>
            </w:pPr>
          </w:p>
        </w:tc>
        <w:tc>
          <w:tcPr>
            <w:tcW w:w="1640" w:type="dxa"/>
            <w:vAlign w:val="bottom"/>
          </w:tcPr>
          <w:p>
            <w:pPr>
              <w:jc w:val="right"/>
              <w:ind w:right="140"/>
              <w:spacing w:after="0"/>
              <w:rPr>
                <w:sz w:val="20"/>
                <w:szCs w:val="20"/>
                <w:color w:val="auto"/>
              </w:rPr>
            </w:pPr>
            <w:r>
              <w:rPr>
                <w:rFonts w:ascii="Arial" w:cs="Arial" w:eastAsia="Arial" w:hAnsi="Arial"/>
                <w:sz w:val="12"/>
                <w:szCs w:val="12"/>
                <w:b w:val="1"/>
                <w:bCs w:val="1"/>
                <w:color w:val="auto"/>
              </w:rPr>
              <w:t>Balance January 1, 2019</w:t>
            </w:r>
          </w:p>
        </w:tc>
      </w:tr>
      <w:tr>
        <w:trPr>
          <w:trHeight w:val="210"/>
        </w:trPr>
        <w:tc>
          <w:tcPr>
            <w:tcW w:w="45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r>
      <w:tr>
        <w:trPr>
          <w:trHeight w:val="180"/>
        </w:trPr>
        <w:tc>
          <w:tcPr>
            <w:tcW w:w="4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Prepaids and deposits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57,691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57,663</w:t>
            </w:r>
          </w:p>
        </w:tc>
      </w:tr>
      <w:tr>
        <w:trPr>
          <w:trHeight w:val="176"/>
        </w:trPr>
        <w:tc>
          <w:tcPr>
            <w:tcW w:w="4520" w:type="dxa"/>
            <w:vAlign w:val="bottom"/>
          </w:tcPr>
          <w:p>
            <w:pPr>
              <w:ind w:left="20"/>
              <w:spacing w:after="0"/>
              <w:rPr>
                <w:sz w:val="20"/>
                <w:szCs w:val="20"/>
                <w:color w:val="auto"/>
              </w:rPr>
            </w:pPr>
            <w:r>
              <w:rPr>
                <w:rFonts w:ascii="Arial" w:cs="Arial" w:eastAsia="Arial" w:hAnsi="Arial"/>
                <w:sz w:val="12"/>
                <w:szCs w:val="12"/>
                <w:color w:val="auto"/>
              </w:rPr>
              <w:t>Operating lease right-of-use assets</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540" w:type="dxa"/>
            <w:vAlign w:val="bottom"/>
          </w:tcPr>
          <w:p>
            <w:pPr>
              <w:jc w:val="right"/>
              <w:ind w:right="40"/>
              <w:spacing w:after="0"/>
              <w:rPr>
                <w:sz w:val="20"/>
                <w:szCs w:val="20"/>
                <w:color w:val="auto"/>
              </w:rPr>
            </w:pPr>
            <w:r>
              <w:rPr>
                <w:rFonts w:ascii="Arial" w:cs="Arial" w:eastAsia="Arial" w:hAnsi="Arial"/>
                <w:sz w:val="12"/>
                <w:szCs w:val="12"/>
                <w:color w:val="auto"/>
              </w:rPr>
              <w:t>120,358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640" w:type="dxa"/>
            <w:vAlign w:val="bottom"/>
          </w:tcPr>
          <w:p>
            <w:pPr>
              <w:jc w:val="right"/>
              <w:ind w:right="40"/>
              <w:spacing w:after="0"/>
              <w:rPr>
                <w:sz w:val="20"/>
                <w:szCs w:val="20"/>
                <w:color w:val="auto"/>
              </w:rPr>
            </w:pPr>
            <w:r>
              <w:rPr>
                <w:rFonts w:ascii="Arial" w:cs="Arial" w:eastAsia="Arial" w:hAnsi="Arial"/>
                <w:sz w:val="12"/>
                <w:szCs w:val="12"/>
                <w:color w:val="auto"/>
              </w:rPr>
              <w:t>120,358</w:t>
            </w:r>
          </w:p>
        </w:tc>
      </w:tr>
      <w:tr>
        <w:trPr>
          <w:trHeight w:val="185"/>
        </w:trPr>
        <w:tc>
          <w:tcPr>
            <w:tcW w:w="4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noncurrent assets, net</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247,316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(7,272)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240,044</w:t>
            </w:r>
          </w:p>
        </w:tc>
      </w:tr>
      <w:tr>
        <w:trPr>
          <w:trHeight w:val="176"/>
        </w:trPr>
        <w:tc>
          <w:tcPr>
            <w:tcW w:w="4520" w:type="dxa"/>
            <w:vAlign w:val="bottom"/>
          </w:tcPr>
          <w:p>
            <w:pPr>
              <w:ind w:left="20"/>
              <w:spacing w:after="0"/>
              <w:rPr>
                <w:sz w:val="20"/>
                <w:szCs w:val="20"/>
                <w:color w:val="auto"/>
              </w:rPr>
            </w:pPr>
            <w:r>
              <w:rPr>
                <w:rFonts w:ascii="Arial" w:cs="Arial" w:eastAsia="Arial" w:hAnsi="Arial"/>
                <w:sz w:val="12"/>
                <w:szCs w:val="12"/>
                <w:color w:val="auto"/>
              </w:rPr>
              <w:t>Total assets</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40"/>
              <w:spacing w:after="0"/>
              <w:rPr>
                <w:sz w:val="20"/>
                <w:szCs w:val="20"/>
                <w:color w:val="auto"/>
              </w:rPr>
            </w:pPr>
            <w:r>
              <w:rPr>
                <w:rFonts w:ascii="Arial" w:cs="Arial" w:eastAsia="Arial" w:hAnsi="Arial"/>
                <w:sz w:val="12"/>
                <w:szCs w:val="12"/>
                <w:color w:val="auto"/>
              </w:rPr>
              <w:t>8,661,294</w:t>
            </w:r>
          </w:p>
        </w:tc>
        <w:tc>
          <w:tcPr>
            <w:tcW w:w="100" w:type="dxa"/>
            <w:vAlign w:val="bottom"/>
          </w:tcPr>
          <w:p>
            <w:pPr>
              <w:spacing w:after="0"/>
              <w:rPr>
                <w:sz w:val="15"/>
                <w:szCs w:val="15"/>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540" w:type="dxa"/>
            <w:vAlign w:val="bottom"/>
          </w:tcPr>
          <w:p>
            <w:pPr>
              <w:jc w:val="right"/>
              <w:ind w:right="40"/>
              <w:spacing w:after="0"/>
              <w:rPr>
                <w:sz w:val="20"/>
                <w:szCs w:val="20"/>
                <w:color w:val="auto"/>
              </w:rPr>
            </w:pPr>
            <w:r>
              <w:rPr>
                <w:rFonts w:ascii="Arial" w:cs="Arial" w:eastAsia="Arial" w:hAnsi="Arial"/>
                <w:sz w:val="12"/>
                <w:szCs w:val="12"/>
                <w:color w:val="auto"/>
              </w:rPr>
              <w:t>113,058</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640" w:type="dxa"/>
            <w:vAlign w:val="bottom"/>
          </w:tcPr>
          <w:p>
            <w:pPr>
              <w:jc w:val="right"/>
              <w:ind w:right="40"/>
              <w:spacing w:after="0"/>
              <w:rPr>
                <w:sz w:val="20"/>
                <w:szCs w:val="20"/>
                <w:color w:val="auto"/>
              </w:rPr>
            </w:pPr>
            <w:r>
              <w:rPr>
                <w:rFonts w:ascii="Arial" w:cs="Arial" w:eastAsia="Arial" w:hAnsi="Arial"/>
                <w:sz w:val="12"/>
                <w:szCs w:val="12"/>
                <w:color w:val="auto"/>
              </w:rPr>
              <w:t>8,774,352</w:t>
            </w:r>
          </w:p>
        </w:tc>
      </w:tr>
      <w:tr>
        <w:trPr>
          <w:trHeight w:val="185"/>
        </w:trPr>
        <w:tc>
          <w:tcPr>
            <w:tcW w:w="4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Accrued expenses and other</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64,395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17,453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81,848</w:t>
            </w:r>
          </w:p>
        </w:tc>
      </w:tr>
      <w:tr>
        <w:trPr>
          <w:trHeight w:val="176"/>
        </w:trPr>
        <w:tc>
          <w:tcPr>
            <w:tcW w:w="4520" w:type="dxa"/>
            <w:vAlign w:val="bottom"/>
          </w:tcPr>
          <w:p>
            <w:pPr>
              <w:ind w:left="20"/>
              <w:spacing w:after="0"/>
              <w:rPr>
                <w:sz w:val="20"/>
                <w:szCs w:val="20"/>
                <w:color w:val="auto"/>
              </w:rPr>
            </w:pPr>
            <w:r>
              <w:rPr>
                <w:rFonts w:ascii="Arial" w:cs="Arial" w:eastAsia="Arial" w:hAnsi="Arial"/>
                <w:sz w:val="12"/>
                <w:szCs w:val="12"/>
                <w:color w:val="auto"/>
              </w:rPr>
              <w:t>Operating lease liabilities</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6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540" w:type="dxa"/>
            <w:vAlign w:val="bottom"/>
          </w:tcPr>
          <w:p>
            <w:pPr>
              <w:jc w:val="right"/>
              <w:ind w:right="40"/>
              <w:spacing w:after="0"/>
              <w:rPr>
                <w:sz w:val="20"/>
                <w:szCs w:val="20"/>
                <w:color w:val="auto"/>
              </w:rPr>
            </w:pPr>
            <w:r>
              <w:rPr>
                <w:rFonts w:ascii="Arial" w:cs="Arial" w:eastAsia="Arial" w:hAnsi="Arial"/>
                <w:sz w:val="12"/>
                <w:szCs w:val="12"/>
                <w:color w:val="auto"/>
              </w:rPr>
              <w:t>100,085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640" w:type="dxa"/>
            <w:vAlign w:val="bottom"/>
          </w:tcPr>
          <w:p>
            <w:pPr>
              <w:jc w:val="right"/>
              <w:ind w:right="40"/>
              <w:spacing w:after="0"/>
              <w:rPr>
                <w:sz w:val="20"/>
                <w:szCs w:val="20"/>
                <w:color w:val="auto"/>
              </w:rPr>
            </w:pPr>
            <w:r>
              <w:rPr>
                <w:rFonts w:ascii="Arial" w:cs="Arial" w:eastAsia="Arial" w:hAnsi="Arial"/>
                <w:sz w:val="12"/>
                <w:szCs w:val="12"/>
                <w:color w:val="auto"/>
              </w:rPr>
              <w:t>100,085</w:t>
            </w:r>
          </w:p>
        </w:tc>
      </w:tr>
      <w:tr>
        <w:trPr>
          <w:trHeight w:val="185"/>
        </w:trPr>
        <w:tc>
          <w:tcPr>
            <w:tcW w:w="4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noncurrent liabilities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80,304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(3,871)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76,433</w:t>
            </w:r>
          </w:p>
        </w:tc>
      </w:tr>
      <w:tr>
        <w:trPr>
          <w:trHeight w:val="176"/>
        </w:trPr>
        <w:tc>
          <w:tcPr>
            <w:tcW w:w="4520" w:type="dxa"/>
            <w:vAlign w:val="bottom"/>
          </w:tcPr>
          <w:p>
            <w:pPr>
              <w:ind w:left="20"/>
              <w:spacing w:after="0"/>
              <w:rPr>
                <w:sz w:val="20"/>
                <w:szCs w:val="20"/>
                <w:color w:val="auto"/>
              </w:rPr>
            </w:pPr>
            <w:r>
              <w:rPr>
                <w:rFonts w:ascii="Arial" w:cs="Arial" w:eastAsia="Arial" w:hAnsi="Arial"/>
                <w:sz w:val="12"/>
                <w:szCs w:val="12"/>
                <w:color w:val="auto"/>
              </w:rPr>
              <w:t>Total liabilities</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40"/>
              <w:spacing w:after="0"/>
              <w:rPr>
                <w:sz w:val="20"/>
                <w:szCs w:val="20"/>
                <w:color w:val="auto"/>
              </w:rPr>
            </w:pPr>
            <w:r>
              <w:rPr>
                <w:rFonts w:ascii="Arial" w:cs="Arial" w:eastAsia="Arial" w:hAnsi="Arial"/>
                <w:sz w:val="12"/>
                <w:szCs w:val="12"/>
                <w:color w:val="auto"/>
              </w:rPr>
              <w:t>4,505,820</w:t>
            </w:r>
          </w:p>
        </w:tc>
        <w:tc>
          <w:tcPr>
            <w:tcW w:w="100" w:type="dxa"/>
            <w:vAlign w:val="bottom"/>
          </w:tcPr>
          <w:p>
            <w:pPr>
              <w:spacing w:after="0"/>
              <w:rPr>
                <w:sz w:val="15"/>
                <w:szCs w:val="15"/>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540" w:type="dxa"/>
            <w:vAlign w:val="bottom"/>
          </w:tcPr>
          <w:p>
            <w:pPr>
              <w:jc w:val="right"/>
              <w:ind w:right="40"/>
              <w:spacing w:after="0"/>
              <w:rPr>
                <w:sz w:val="20"/>
                <w:szCs w:val="20"/>
                <w:color w:val="auto"/>
              </w:rPr>
            </w:pPr>
            <w:r>
              <w:rPr>
                <w:rFonts w:ascii="Arial" w:cs="Arial" w:eastAsia="Arial" w:hAnsi="Arial"/>
                <w:sz w:val="12"/>
                <w:szCs w:val="12"/>
                <w:color w:val="auto"/>
              </w:rPr>
              <w:t>113,667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640" w:type="dxa"/>
            <w:vAlign w:val="bottom"/>
          </w:tcPr>
          <w:p>
            <w:pPr>
              <w:jc w:val="right"/>
              <w:ind w:right="40"/>
              <w:spacing w:after="0"/>
              <w:rPr>
                <w:sz w:val="20"/>
                <w:szCs w:val="20"/>
                <w:color w:val="auto"/>
              </w:rPr>
            </w:pPr>
            <w:r>
              <w:rPr>
                <w:rFonts w:ascii="Arial" w:cs="Arial" w:eastAsia="Arial" w:hAnsi="Arial"/>
                <w:sz w:val="12"/>
                <w:szCs w:val="12"/>
                <w:color w:val="auto"/>
              </w:rPr>
              <w:t>4,619,487</w:t>
            </w:r>
          </w:p>
        </w:tc>
      </w:tr>
      <w:tr>
        <w:trPr>
          <w:trHeight w:val="185"/>
        </w:trPr>
        <w:tc>
          <w:tcPr>
            <w:tcW w:w="4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Accumulated earnings</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694,129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693,520</w:t>
            </w:r>
          </w:p>
        </w:tc>
      </w:tr>
      <w:tr>
        <w:trPr>
          <w:trHeight w:val="176"/>
        </w:trPr>
        <w:tc>
          <w:tcPr>
            <w:tcW w:w="4520" w:type="dxa"/>
            <w:vAlign w:val="bottom"/>
          </w:tcPr>
          <w:p>
            <w:pPr>
              <w:ind w:left="20"/>
              <w:spacing w:after="0"/>
              <w:rPr>
                <w:sz w:val="20"/>
                <w:szCs w:val="20"/>
                <w:color w:val="auto"/>
              </w:rPr>
            </w:pPr>
            <w:r>
              <w:rPr>
                <w:rFonts w:ascii="Arial" w:cs="Arial" w:eastAsia="Arial" w:hAnsi="Arial"/>
                <w:sz w:val="12"/>
                <w:szCs w:val="12"/>
                <w:color w:val="auto"/>
              </w:rPr>
              <w:t>Total stockholders’ equity</w:t>
            </w: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500" w:type="dxa"/>
            <w:vAlign w:val="bottom"/>
          </w:tcPr>
          <w:p>
            <w:pPr>
              <w:jc w:val="right"/>
              <w:ind w:right="40"/>
              <w:spacing w:after="0"/>
              <w:rPr>
                <w:sz w:val="20"/>
                <w:szCs w:val="20"/>
                <w:color w:val="auto"/>
              </w:rPr>
            </w:pPr>
            <w:r>
              <w:rPr>
                <w:rFonts w:ascii="Arial" w:cs="Arial" w:eastAsia="Arial" w:hAnsi="Arial"/>
                <w:sz w:val="12"/>
                <w:szCs w:val="12"/>
                <w:color w:val="auto"/>
              </w:rPr>
              <w:t>4,155,474</w:t>
            </w:r>
          </w:p>
        </w:tc>
        <w:tc>
          <w:tcPr>
            <w:tcW w:w="100" w:type="dxa"/>
            <w:vAlign w:val="bottom"/>
          </w:tcPr>
          <w:p>
            <w:pPr>
              <w:spacing w:after="0"/>
              <w:rPr>
                <w:sz w:val="15"/>
                <w:szCs w:val="15"/>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1540" w:type="dxa"/>
            <w:vAlign w:val="bottom"/>
          </w:tcPr>
          <w:p>
            <w:pPr>
              <w:jc w:val="right"/>
              <w:spacing w:after="0"/>
              <w:rPr>
                <w:sz w:val="20"/>
                <w:szCs w:val="20"/>
                <w:color w:val="auto"/>
              </w:rPr>
            </w:pPr>
            <w:r>
              <w:rPr>
                <w:rFonts w:ascii="Arial" w:cs="Arial" w:eastAsia="Arial" w:hAnsi="Arial"/>
                <w:sz w:val="12"/>
                <w:szCs w:val="12"/>
                <w:color w:val="auto"/>
              </w:rPr>
              <w:t>(609)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640" w:type="dxa"/>
            <w:vAlign w:val="bottom"/>
          </w:tcPr>
          <w:p>
            <w:pPr>
              <w:jc w:val="right"/>
              <w:ind w:right="40"/>
              <w:spacing w:after="0"/>
              <w:rPr>
                <w:sz w:val="20"/>
                <w:szCs w:val="20"/>
                <w:color w:val="auto"/>
              </w:rPr>
            </w:pPr>
            <w:r>
              <w:rPr>
                <w:rFonts w:ascii="Arial" w:cs="Arial" w:eastAsia="Arial" w:hAnsi="Arial"/>
                <w:sz w:val="12"/>
                <w:szCs w:val="12"/>
                <w:color w:val="auto"/>
              </w:rPr>
              <w:t>4,154,865</w:t>
            </w:r>
          </w:p>
        </w:tc>
      </w:tr>
      <w:tr>
        <w:trPr>
          <w:trHeight w:val="185"/>
        </w:trPr>
        <w:tc>
          <w:tcPr>
            <w:tcW w:w="452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liabilities and stockholders’ equity</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8,661,294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113,058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6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8,774,352</w:t>
            </w:r>
          </w:p>
        </w:tc>
      </w:tr>
    </w:tbl>
    <w:p>
      <w:pPr>
        <w:spacing w:after="0" w:line="288" w:lineRule="exact"/>
        <w:rPr>
          <w:sz w:val="20"/>
          <w:szCs w:val="20"/>
          <w:color w:val="auto"/>
        </w:rPr>
      </w:pPr>
    </w:p>
    <w:p>
      <w:pPr>
        <w:ind w:left="8"/>
        <w:spacing w:after="0"/>
        <w:rPr>
          <w:sz w:val="20"/>
          <w:szCs w:val="20"/>
          <w:color w:val="auto"/>
        </w:rPr>
      </w:pPr>
      <w:r>
        <w:rPr>
          <w:rFonts w:ascii="Arial" w:cs="Arial" w:eastAsia="Arial" w:hAnsi="Arial"/>
          <w:sz w:val="12"/>
          <w:szCs w:val="12"/>
          <w:color w:val="auto"/>
        </w:rPr>
        <w:t>Our accounting policies under ASC 842 are summarized below. Additional disclosures required by the new standard are included in Note 4.</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Lessee Accounting</w:t>
      </w:r>
    </w:p>
    <w:p>
      <w:pPr>
        <w:spacing w:after="0" w:line="162" w:lineRule="exact"/>
        <w:rPr>
          <w:sz w:val="20"/>
          <w:szCs w:val="20"/>
          <w:color w:val="auto"/>
        </w:rPr>
      </w:pPr>
    </w:p>
    <w:p>
      <w:pPr>
        <w:ind w:left="8"/>
        <w:spacing w:after="0" w:line="250" w:lineRule="auto"/>
        <w:rPr>
          <w:sz w:val="20"/>
          <w:szCs w:val="20"/>
          <w:color w:val="auto"/>
        </w:rPr>
      </w:pPr>
      <w:r>
        <w:rPr>
          <w:rFonts w:ascii="Arial" w:cs="Arial" w:eastAsia="Arial" w:hAnsi="Arial"/>
          <w:sz w:val="12"/>
          <w:szCs w:val="12"/>
          <w:color w:val="auto"/>
        </w:rPr>
        <w:t>We lease real estate, satellite capacity and equipment in the conduct of our business operations. For contracts entered into on or after January 1, 2019, we assess at contract inception whether the contract is, or contains, a lease. Generally, we determine that a lease exists when (i) the contract involves the use of a distinct identified asset, (ii) we obtain the right to substantially all economic benefits from use of the asset and</w:t>
      </w:r>
    </w:p>
    <w:p>
      <w:pPr>
        <w:spacing w:after="0" w:line="1" w:lineRule="exact"/>
        <w:rPr>
          <w:sz w:val="20"/>
          <w:szCs w:val="20"/>
          <w:color w:val="auto"/>
        </w:rPr>
      </w:pPr>
    </w:p>
    <w:p>
      <w:pPr>
        <w:ind w:left="188" w:hanging="188"/>
        <w:spacing w:after="0"/>
        <w:tabs>
          <w:tab w:leader="none" w:pos="188" w:val="left"/>
        </w:tabs>
        <w:numPr>
          <w:ilvl w:val="0"/>
          <w:numId w:val="3"/>
        </w:numPr>
        <w:rPr>
          <w:rFonts w:ascii="Arial" w:cs="Arial" w:eastAsia="Arial" w:hAnsi="Arial"/>
          <w:sz w:val="12"/>
          <w:szCs w:val="12"/>
          <w:color w:val="auto"/>
        </w:rPr>
      </w:pPr>
      <w:r>
        <w:rPr>
          <w:rFonts w:ascii="Arial" w:cs="Arial" w:eastAsia="Arial" w:hAnsi="Arial"/>
          <w:sz w:val="12"/>
          <w:szCs w:val="12"/>
          <w:color w:val="auto"/>
        </w:rPr>
        <w:t>we have the right to direct the use of the asset. A lease is classified as a finance lease when one or more of the following criteria are met: (i) the lease transfers ownership of the asset by the end of the lease term,</w:t>
      </w:r>
    </w:p>
    <w:p>
      <w:pPr>
        <w:spacing w:after="0" w:line="6" w:lineRule="exact"/>
        <w:rPr>
          <w:rFonts w:ascii="Arial" w:cs="Arial" w:eastAsia="Arial" w:hAnsi="Arial"/>
          <w:sz w:val="12"/>
          <w:szCs w:val="12"/>
          <w:color w:val="auto"/>
        </w:rPr>
      </w:pPr>
    </w:p>
    <w:p>
      <w:pPr>
        <w:jc w:val="both"/>
        <w:ind w:left="8" w:hanging="8"/>
        <w:spacing w:after="0" w:line="256" w:lineRule="auto"/>
        <w:tabs>
          <w:tab w:leader="none" w:pos="187"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asset is of a specialized nature and there is not expected to be an alternative use to the lessor at the end of the lease term. A lease is classified as an operating lease if it does not meet any of these criteria.</w:t>
      </w:r>
    </w:p>
    <w:p>
      <w:pPr>
        <w:spacing w:after="0" w:line="135" w:lineRule="exact"/>
        <w:rPr>
          <w:sz w:val="20"/>
          <w:szCs w:val="20"/>
          <w:color w:val="auto"/>
        </w:rPr>
      </w:pPr>
    </w:p>
    <w:p>
      <w:pPr>
        <w:jc w:val="both"/>
        <w:ind w:left="8"/>
        <w:spacing w:after="0" w:line="252" w:lineRule="auto"/>
        <w:rPr>
          <w:sz w:val="20"/>
          <w:szCs w:val="20"/>
          <w:color w:val="auto"/>
        </w:rPr>
      </w:pPr>
      <w:r>
        <w:rPr>
          <w:rFonts w:ascii="Arial" w:cs="Arial" w:eastAsia="Arial" w:hAnsi="Arial"/>
          <w:sz w:val="12"/>
          <w:szCs w:val="12"/>
          <w:color w:val="auto"/>
        </w:rPr>
        <w:t>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plus any prepayments to the lessor and initial direct costs such as brokerage commissions,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 The incremental borrowing rates used for the initial measurement of lease liabilities as of January 1, 2019 were based on the original lease terms.</w:t>
      </w:r>
    </w:p>
    <w:p>
      <w:pPr>
        <w:spacing w:after="0" w:line="139" w:lineRule="exact"/>
        <w:rPr>
          <w:sz w:val="20"/>
          <w:szCs w:val="20"/>
          <w:color w:val="auto"/>
        </w:rPr>
      </w:pPr>
    </w:p>
    <w:p>
      <w:pPr>
        <w:jc w:val="both"/>
        <w:ind w:left="8"/>
        <w:spacing w:after="0" w:line="254" w:lineRule="auto"/>
        <w:rPr>
          <w:sz w:val="20"/>
          <w:szCs w:val="20"/>
          <w:color w:val="auto"/>
        </w:rPr>
      </w:pPr>
      <w:r>
        <w:rPr>
          <w:rFonts w:ascii="Arial" w:cs="Arial" w:eastAsia="Arial" w:hAnsi="Arial"/>
          <w:sz w:val="12"/>
          <w:szCs w:val="12"/>
          <w:color w:val="auto"/>
        </w:rPr>
        <w:t>Lease payments included in the measurement of lease liabilities consist of (i) fixed lease payments for the noncancelable lease term, (ii) fixed lease payments for optional renewal periods where it is reasonably certain the renewal option will be exercised, and (iii) variable lease payments that depend on an underlying index or rate, based on the index or rate in effect at lease commencement. Certain of our real estate lease agreements require payments for non-lease costs such as utilities and common area maintenance. We have elected an accounting policy, as permitted by ASC 842, not to account for such payments separately from the related lease payments. Our policy election results in a higher</w:t>
      </w:r>
    </w:p>
    <w:p>
      <w:pPr>
        <w:spacing w:after="0" w:line="1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10</w:t>
      </w:r>
    </w:p>
    <w:p>
      <w:pPr>
        <w:sectPr>
          <w:pgSz w:w="11900" w:h="16838" w:orient="portrait"/>
          <w:cols w:equalWidth="0" w:num="1">
            <w:col w:w="11488"/>
          </w:cols>
          <w:pgMar w:left="212" w:top="140" w:right="199" w:bottom="1440" w:gutter="0" w:footer="0" w:header="0"/>
        </w:sectPr>
      </w:pPr>
    </w:p>
    <w:bookmarkStart w:id="13" w:name="page14"/>
    <w:bookmarkEnd w:id="1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initial measurement of lease liabilities when such non-lease payments are fixed amounts. Certain of our real estate lease agreements require variable lease payments that do not depend on an underlying index or rate, such as sales and value-added taxes and our proportionate share of actual property taxes, insurance and utilities. Such payments and changes in payments based on a rate or index are recognized in operating expenses when incurred.</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Lease expense for operating leases consists of the fixed lease payments recognized on a straight-line basis over the lease term plus variable lease payments as incurred. Lease expense for finance leases consists of the amortization of the right-of-use asset on a straight-line basis over the lease term and interest expense on the lease liability based on the discount rate at lease commencement. For both operating and finance leases, lease payments are allocated between a reduction of the lease liability and interest expense. Amortization of the right-of-use asset for operating leases reflects amortization of the lease liability, any differences between straight-line expense and related lease payments during the accounting period, and any impairments.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Lessor Accounting</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 xml:space="preserve">We lease satellite capacity, communications equipment and real estate to certain of our customers. We identify and determine the classification of such leases as operating leases or sales-type leases based on the criteria discussed above for lessees. A lease is classified as a sales-type lease if it meets the above criteria for a finance lease; otherwise it is classified as an operating lease. Some of our leases are embedded in contracts with customers that include non-lease performance obligations. For such contracts, except where we have elected otherwise as discussed below, we allocate consideration in the contract between lease and non-lease components based on their relative standalone selling prices. We have elected an accounting policy, as permitted by ASC 842, to not separate the lease of equipment from related services in our HughesNet satellite internet service (the “HughesNet service”) contracts with consumers. We account for all revenue from such contracts as non-lease service revenue in accordance with ASC Topic 606, </w:t>
      </w:r>
      <w:r>
        <w:rPr>
          <w:rFonts w:ascii="Arial" w:cs="Arial" w:eastAsia="Arial" w:hAnsi="Arial"/>
          <w:sz w:val="12"/>
          <w:szCs w:val="12"/>
          <w:i w:val="1"/>
          <w:iCs w:val="1"/>
          <w:color w:val="auto"/>
        </w:rPr>
        <w:t>Revenue from Contracts</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with Customers </w:t>
      </w:r>
      <w:r>
        <w:rPr>
          <w:rFonts w:ascii="Arial" w:cs="Arial" w:eastAsia="Arial" w:hAnsi="Arial"/>
          <w:sz w:val="12"/>
          <w:szCs w:val="12"/>
          <w:color w:val="auto"/>
        </w:rPr>
        <w:t>(“ASC 606”).</w:t>
      </w:r>
    </w:p>
    <w:p>
      <w:pPr>
        <w:spacing w:after="0" w:line="139" w:lineRule="exact"/>
        <w:rPr>
          <w:sz w:val="20"/>
          <w:szCs w:val="20"/>
          <w:color w:val="auto"/>
        </w:rPr>
      </w:pPr>
    </w:p>
    <w:p>
      <w:pPr>
        <w:jc w:val="both"/>
        <w:ind w:right="20"/>
        <w:spacing w:after="0" w:line="254" w:lineRule="auto"/>
        <w:rPr>
          <w:sz w:val="20"/>
          <w:szCs w:val="20"/>
          <w:color w:val="auto"/>
        </w:rPr>
      </w:pPr>
      <w:r>
        <w:rPr>
          <w:rFonts w:ascii="Arial" w:cs="Arial" w:eastAsia="Arial" w:hAnsi="Arial"/>
          <w:sz w:val="12"/>
          <w:szCs w:val="12"/>
          <w:color w:val="auto"/>
        </w:rPr>
        <w:t>Our accounting for revenue from operating leases and sales-type leases was not substantially changed by our adoption of ASC 842. However, we anticipate that certain leases that would have been classified as operating leases under prior accounting standards may be classified as sales-type leases under ASC 842. Operating lease revenue generally is recognized on a straight-line basis over the lease term. Sales-type lease revenue and a corresponding receivable generally are recognized at lease commencement based on the present value of the future lease payments and related interest income on the receivable is recognized over the lease term. Payments under sales-type leases generally are discounted at the interest rate implicit in the lease.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Issued Accounting Pronouncements Not Yet Adopted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Credit Losses</w:t>
      </w:r>
    </w:p>
    <w:p>
      <w:pPr>
        <w:spacing w:after="0" w:line="152"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 xml:space="preserve">In June 2016, the Financial Accounting Standards Board issued ASU No. 2016-13, </w:t>
      </w:r>
      <w:r>
        <w:rPr>
          <w:rFonts w:ascii="Arial" w:cs="Arial" w:eastAsia="Arial" w:hAnsi="Arial"/>
          <w:sz w:val="12"/>
          <w:szCs w:val="12"/>
          <w:i w:val="1"/>
          <w:iCs w:val="1"/>
          <w:color w:val="auto"/>
        </w:rPr>
        <w:t>Measurement of Credit Losses on Financial Instruments</w:t>
      </w:r>
      <w:r>
        <w:rPr>
          <w:rFonts w:ascii="Arial" w:cs="Arial" w:eastAsia="Arial" w:hAnsi="Arial"/>
          <w:sz w:val="12"/>
          <w:szCs w:val="12"/>
          <w:color w:val="auto"/>
        </w:rPr>
        <w:t>, which introduces a new approach to estimate credit losses on certain types of financial instruments based on expected losses instead of incurred losses. It also modifies the impairment model for available-for-sale debt securities and provides a simplified accounting model for purchased financial assets with credit deterioration since their origination. ASU No. 2016-13 is effective for fiscal years beginning after December 15, 2019 and interim periods within those fiscal years. Early adoption is permitted. We are currently assessing the impact of adopting this new accounting standard on our Consolidated Financial Statements and related disclosures.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480"/>
          </w:cols>
          <w:pgMar w:left="220" w:top="140" w:right="199" w:bottom="1440" w:gutter="0" w:footer="0" w:header="0"/>
        </w:sectPr>
      </w:pPr>
    </w:p>
    <w:bookmarkStart w:id="14" w:name="page15"/>
    <w:bookmarkEnd w:id="1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4" w:lineRule="exact"/>
        <w:rPr>
          <w:sz w:val="20"/>
          <w:szCs w:val="20"/>
          <w:color w:val="auto"/>
        </w:rPr>
      </w:pPr>
    </w:p>
    <w:p>
      <w:pPr>
        <w:spacing w:after="0"/>
        <w:tabs>
          <w:tab w:leader="none" w:pos="600" w:val="left"/>
        </w:tabs>
        <w:rPr>
          <w:sz w:val="20"/>
          <w:szCs w:val="20"/>
          <w:color w:val="auto"/>
        </w:rPr>
      </w:pPr>
      <w:r>
        <w:rPr>
          <w:rFonts w:ascii="Arial" w:cs="Arial" w:eastAsia="Arial" w:hAnsi="Arial"/>
          <w:sz w:val="12"/>
          <w:szCs w:val="12"/>
          <w:b w:val="1"/>
          <w:bCs w:val="1"/>
          <w:color w:val="auto"/>
        </w:rPr>
        <w:t>NOTE 3.</w:t>
      </w:r>
      <w:r>
        <w:rPr>
          <w:sz w:val="20"/>
          <w:szCs w:val="20"/>
          <w:color w:val="auto"/>
        </w:rPr>
        <w:tab/>
      </w:r>
      <w:r>
        <w:rPr>
          <w:rFonts w:ascii="Arial" w:cs="Arial" w:eastAsia="Arial" w:hAnsi="Arial"/>
          <w:sz w:val="11"/>
          <w:szCs w:val="11"/>
          <w:b w:val="1"/>
          <w:bCs w:val="1"/>
          <w:color w:val="auto"/>
        </w:rPr>
        <w:t>REVENUE RECOGNITION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Information About Contract Balances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information about our contract balances from our continuing operations with customers, including amounts for certain embedded leases (amounts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780" w:type="dxa"/>
            <w:vAlign w:val="bottom"/>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2"/>
                <w:szCs w:val="12"/>
                <w:b w:val="1"/>
                <w:bCs w:val="1"/>
                <w:color w:val="auto"/>
                <w:w w:val="93"/>
              </w:rPr>
              <w:t>As of</w:t>
            </w:r>
          </w:p>
        </w:tc>
        <w:tc>
          <w:tcPr>
            <w:tcW w:w="1940" w:type="dxa"/>
            <w:vAlign w:val="bottom"/>
            <w:tcBorders>
              <w:bottom w:val="single" w:sz="8" w:color="auto"/>
            </w:tcBorders>
          </w:tcPr>
          <w:p>
            <w:pPr>
              <w:spacing w:after="0"/>
              <w:rPr>
                <w:sz w:val="14"/>
                <w:szCs w:val="14"/>
                <w:color w:val="auto"/>
              </w:rPr>
            </w:pPr>
          </w:p>
        </w:tc>
      </w:tr>
      <w:tr>
        <w:trPr>
          <w:trHeight w:val="169"/>
        </w:trPr>
        <w:tc>
          <w:tcPr>
            <w:tcW w:w="6780" w:type="dxa"/>
            <w:vAlign w:val="bottom"/>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September 30, 2019</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December 31, 2018</w:t>
            </w:r>
          </w:p>
        </w:tc>
      </w:tr>
      <w:tr>
        <w:trPr>
          <w:trHeight w:val="210"/>
        </w:trPr>
        <w:tc>
          <w:tcPr>
            <w:tcW w:w="67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180"/>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Trade accounts receivable:</w:t>
            </w:r>
          </w:p>
        </w:tc>
        <w:tc>
          <w:tcPr>
            <w:tcW w:w="1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176"/>
        </w:trPr>
        <w:tc>
          <w:tcPr>
            <w:tcW w:w="6780" w:type="dxa"/>
            <w:vAlign w:val="bottom"/>
          </w:tcPr>
          <w:p>
            <w:pPr>
              <w:ind w:left="180"/>
              <w:spacing w:after="0"/>
              <w:rPr>
                <w:sz w:val="20"/>
                <w:szCs w:val="20"/>
                <w:color w:val="auto"/>
              </w:rPr>
            </w:pPr>
            <w:r>
              <w:rPr>
                <w:rFonts w:ascii="Arial" w:cs="Arial" w:eastAsia="Arial" w:hAnsi="Arial"/>
                <w:sz w:val="12"/>
                <w:szCs w:val="12"/>
                <w:color w:val="auto"/>
              </w:rPr>
              <w:t>Sales and services</w:t>
            </w:r>
          </w:p>
        </w:tc>
        <w:tc>
          <w:tcPr>
            <w:tcW w:w="1720" w:type="dxa"/>
            <w:vAlign w:val="bottom"/>
          </w:tcPr>
          <w:p>
            <w:pPr>
              <w:jc w:val="right"/>
              <w:ind w:right="1580"/>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163,006</w:t>
            </w:r>
          </w:p>
        </w:tc>
        <w:tc>
          <w:tcPr>
            <w:tcW w:w="56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940" w:type="dxa"/>
            <w:vAlign w:val="bottom"/>
          </w:tcPr>
          <w:p>
            <w:pPr>
              <w:jc w:val="right"/>
              <w:ind w:right="60"/>
              <w:spacing w:after="0"/>
              <w:rPr>
                <w:sz w:val="20"/>
                <w:szCs w:val="20"/>
                <w:color w:val="auto"/>
              </w:rPr>
            </w:pPr>
            <w:r>
              <w:rPr>
                <w:rFonts w:ascii="Arial" w:cs="Arial" w:eastAsia="Arial" w:hAnsi="Arial"/>
                <w:sz w:val="12"/>
                <w:szCs w:val="12"/>
                <w:color w:val="auto"/>
              </w:rPr>
              <w:t>154,415</w:t>
            </w:r>
          </w:p>
        </w:tc>
      </w:tr>
      <w:tr>
        <w:trPr>
          <w:trHeight w:val="185"/>
        </w:trPr>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Leasing</w:t>
            </w:r>
          </w:p>
        </w:tc>
        <w:tc>
          <w:tcPr>
            <w:tcW w:w="17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3,013</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7,990</w:t>
            </w:r>
          </w:p>
        </w:tc>
      </w:tr>
      <w:tr>
        <w:trPr>
          <w:trHeight w:val="156"/>
        </w:trPr>
        <w:tc>
          <w:tcPr>
            <w:tcW w:w="6780" w:type="dxa"/>
            <w:vAlign w:val="bottom"/>
          </w:tcPr>
          <w:p>
            <w:pPr>
              <w:ind w:left="320"/>
              <w:spacing w:after="0"/>
              <w:rPr>
                <w:sz w:val="20"/>
                <w:szCs w:val="20"/>
                <w:color w:val="auto"/>
              </w:rPr>
            </w:pPr>
            <w:r>
              <w:rPr>
                <w:rFonts w:ascii="Arial" w:cs="Arial" w:eastAsia="Arial" w:hAnsi="Arial"/>
                <w:sz w:val="12"/>
                <w:szCs w:val="12"/>
                <w:color w:val="auto"/>
              </w:rPr>
              <w:t>Total</w:t>
            </w:r>
          </w:p>
        </w:tc>
        <w:tc>
          <w:tcPr>
            <w:tcW w:w="17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166,019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tcPr>
          <w:p>
            <w:pPr>
              <w:jc w:val="right"/>
              <w:ind w:right="60"/>
              <w:spacing w:after="0"/>
              <w:rPr>
                <w:sz w:val="20"/>
                <w:szCs w:val="20"/>
                <w:color w:val="auto"/>
              </w:rPr>
            </w:pPr>
            <w:r>
              <w:rPr>
                <w:rFonts w:ascii="Arial" w:cs="Arial" w:eastAsia="Arial" w:hAnsi="Arial"/>
                <w:sz w:val="12"/>
                <w:szCs w:val="12"/>
                <w:color w:val="auto"/>
              </w:rPr>
              <w:t>162,405</w:t>
            </w:r>
          </w:p>
        </w:tc>
      </w:tr>
      <w:tr>
        <w:trPr>
          <w:trHeight w:val="185"/>
        </w:trPr>
        <w:tc>
          <w:tcPr>
            <w:tcW w:w="67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Contract assets</w:t>
            </w:r>
          </w:p>
        </w:tc>
        <w:tc>
          <w:tcPr>
            <w:tcW w:w="17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60,012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55,295</w:t>
            </w:r>
          </w:p>
        </w:tc>
      </w:tr>
      <w:tr>
        <w:trPr>
          <w:trHeight w:val="176"/>
        </w:trPr>
        <w:tc>
          <w:tcPr>
            <w:tcW w:w="678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Allowance for doubtful accounts</w:t>
            </w:r>
          </w:p>
        </w:tc>
        <w:tc>
          <w:tcPr>
            <w:tcW w:w="17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(25,252)</w:t>
            </w: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(16,604)</w:t>
            </w:r>
          </w:p>
        </w:tc>
      </w:tr>
      <w:tr>
        <w:trPr>
          <w:trHeight w:val="172"/>
        </w:trPr>
        <w:tc>
          <w:tcPr>
            <w:tcW w:w="6780" w:type="dxa"/>
            <w:vAlign w:val="bottom"/>
            <w:shd w:val="clear" w:color="auto" w:fill="CCEEFF"/>
          </w:tcPr>
          <w:p>
            <w:pPr>
              <w:ind w:left="460"/>
              <w:spacing w:after="0"/>
              <w:rPr>
                <w:sz w:val="20"/>
                <w:szCs w:val="20"/>
                <w:color w:val="auto"/>
              </w:rPr>
            </w:pPr>
            <w:r>
              <w:rPr>
                <w:rFonts w:ascii="Arial" w:cs="Arial" w:eastAsia="Arial" w:hAnsi="Arial"/>
                <w:sz w:val="12"/>
                <w:szCs w:val="12"/>
                <w:color w:val="auto"/>
              </w:rPr>
              <w:t>Total trade accounts receivable and contract assets, net</w:t>
            </w:r>
          </w:p>
        </w:tc>
        <w:tc>
          <w:tcPr>
            <w:tcW w:w="1720" w:type="dxa"/>
            <w:vAlign w:val="bottom"/>
            <w:shd w:val="clear" w:color="auto" w:fill="CCEEFF"/>
          </w:tcPr>
          <w:p>
            <w:pPr>
              <w:jc w:val="right"/>
              <w:ind w:right="1580"/>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200,779</w:t>
            </w: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201,096</w:t>
            </w:r>
          </w:p>
        </w:tc>
      </w:tr>
      <w:tr>
        <w:trPr>
          <w:trHeight w:val="216"/>
        </w:trPr>
        <w:tc>
          <w:tcPr>
            <w:tcW w:w="6780" w:type="dxa"/>
            <w:vAlign w:val="bottom"/>
            <w:tcBorders>
              <w:top w:val="single" w:sz="8" w:color="CCEEFF"/>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r>
      <w:tr>
        <w:trPr>
          <w:trHeight w:val="180"/>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Trade accounts receivable - DISH Network:</w:t>
            </w:r>
          </w:p>
        </w:tc>
        <w:tc>
          <w:tcPr>
            <w:tcW w:w="17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176"/>
        </w:trPr>
        <w:tc>
          <w:tcPr>
            <w:tcW w:w="6780" w:type="dxa"/>
            <w:vAlign w:val="bottom"/>
          </w:tcPr>
          <w:p>
            <w:pPr>
              <w:ind w:left="180"/>
              <w:spacing w:after="0"/>
              <w:rPr>
                <w:sz w:val="20"/>
                <w:szCs w:val="20"/>
                <w:color w:val="auto"/>
              </w:rPr>
            </w:pPr>
            <w:r>
              <w:rPr>
                <w:rFonts w:ascii="Arial" w:cs="Arial" w:eastAsia="Arial" w:hAnsi="Arial"/>
                <w:sz w:val="12"/>
                <w:szCs w:val="12"/>
                <w:color w:val="auto"/>
              </w:rPr>
              <w:t>Sales and services</w:t>
            </w:r>
          </w:p>
        </w:tc>
        <w:tc>
          <w:tcPr>
            <w:tcW w:w="1720" w:type="dxa"/>
            <w:vAlign w:val="bottom"/>
          </w:tcPr>
          <w:p>
            <w:pPr>
              <w:jc w:val="right"/>
              <w:ind w:right="1580"/>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12,272</w:t>
            </w:r>
          </w:p>
        </w:tc>
        <w:tc>
          <w:tcPr>
            <w:tcW w:w="56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940" w:type="dxa"/>
            <w:vAlign w:val="bottom"/>
          </w:tcPr>
          <w:p>
            <w:pPr>
              <w:jc w:val="right"/>
              <w:ind w:right="60"/>
              <w:spacing w:after="0"/>
              <w:rPr>
                <w:sz w:val="20"/>
                <w:szCs w:val="20"/>
                <w:color w:val="auto"/>
              </w:rPr>
            </w:pPr>
            <w:r>
              <w:rPr>
                <w:rFonts w:ascii="Arial" w:cs="Arial" w:eastAsia="Arial" w:hAnsi="Arial"/>
                <w:sz w:val="12"/>
                <w:szCs w:val="12"/>
                <w:color w:val="auto"/>
              </w:rPr>
              <w:t>12,274</w:t>
            </w:r>
          </w:p>
        </w:tc>
      </w:tr>
      <w:tr>
        <w:trPr>
          <w:trHeight w:val="185"/>
        </w:trPr>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Leasing</w:t>
            </w:r>
          </w:p>
        </w:tc>
        <w:tc>
          <w:tcPr>
            <w:tcW w:w="17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3,853</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1,926</w:t>
            </w:r>
          </w:p>
        </w:tc>
      </w:tr>
      <w:tr>
        <w:trPr>
          <w:trHeight w:val="167"/>
        </w:trPr>
        <w:tc>
          <w:tcPr>
            <w:tcW w:w="6780" w:type="dxa"/>
            <w:vAlign w:val="bottom"/>
          </w:tcPr>
          <w:p>
            <w:pPr>
              <w:ind w:left="460"/>
              <w:spacing w:after="0"/>
              <w:rPr>
                <w:sz w:val="20"/>
                <w:szCs w:val="20"/>
                <w:color w:val="auto"/>
              </w:rPr>
            </w:pPr>
            <w:r>
              <w:rPr>
                <w:rFonts w:ascii="Arial" w:cs="Arial" w:eastAsia="Arial" w:hAnsi="Arial"/>
                <w:sz w:val="12"/>
                <w:szCs w:val="12"/>
                <w:color w:val="auto"/>
              </w:rPr>
              <w:t>Total trade accounts receivable - DISH Network, net</w:t>
            </w:r>
          </w:p>
        </w:tc>
        <w:tc>
          <w:tcPr>
            <w:tcW w:w="1720" w:type="dxa"/>
            <w:vAlign w:val="bottom"/>
          </w:tcPr>
          <w:p>
            <w:pPr>
              <w:jc w:val="right"/>
              <w:ind w:right="1580"/>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spacing w:after="0"/>
              <w:rPr>
                <w:sz w:val="20"/>
                <w:szCs w:val="20"/>
                <w:color w:val="auto"/>
              </w:rPr>
            </w:pPr>
            <w:r>
              <w:rPr>
                <w:rFonts w:ascii="Arial" w:cs="Arial" w:eastAsia="Arial" w:hAnsi="Arial"/>
                <w:sz w:val="12"/>
                <w:szCs w:val="12"/>
                <w:color w:val="auto"/>
              </w:rPr>
              <w:t>16,125</w:t>
            </w:r>
          </w:p>
        </w:tc>
        <w:tc>
          <w:tcPr>
            <w:tcW w:w="56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940" w:type="dxa"/>
            <w:vAlign w:val="bottom"/>
          </w:tcPr>
          <w:p>
            <w:pPr>
              <w:jc w:val="right"/>
              <w:ind w:right="60"/>
              <w:spacing w:after="0"/>
              <w:rPr>
                <w:sz w:val="20"/>
                <w:szCs w:val="20"/>
                <w:color w:val="auto"/>
              </w:rPr>
            </w:pPr>
            <w:r>
              <w:rPr>
                <w:rFonts w:ascii="Arial" w:cs="Arial" w:eastAsia="Arial" w:hAnsi="Arial"/>
                <w:sz w:val="12"/>
                <w:szCs w:val="12"/>
                <w:color w:val="auto"/>
              </w:rPr>
              <w:t>14,200</w:t>
            </w:r>
          </w:p>
        </w:tc>
      </w:tr>
      <w:tr>
        <w:trPr>
          <w:trHeight w:val="216"/>
        </w:trPr>
        <w:tc>
          <w:tcPr>
            <w:tcW w:w="67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r>
      <w:tr>
        <w:trPr>
          <w:trHeight w:val="171"/>
        </w:trPr>
        <w:tc>
          <w:tcPr>
            <w:tcW w:w="6780" w:type="dxa"/>
            <w:vAlign w:val="bottom"/>
          </w:tcPr>
          <w:p>
            <w:pPr>
              <w:ind w:left="20"/>
              <w:spacing w:after="0"/>
              <w:rPr>
                <w:sz w:val="20"/>
                <w:szCs w:val="20"/>
                <w:color w:val="auto"/>
              </w:rPr>
            </w:pPr>
            <w:r>
              <w:rPr>
                <w:rFonts w:ascii="Arial" w:cs="Arial" w:eastAsia="Arial" w:hAnsi="Arial"/>
                <w:sz w:val="12"/>
                <w:szCs w:val="12"/>
                <w:b w:val="1"/>
                <w:bCs w:val="1"/>
                <w:color w:val="auto"/>
              </w:rPr>
              <w:t>Contract liabilities:</w:t>
            </w:r>
          </w:p>
        </w:tc>
        <w:tc>
          <w:tcPr>
            <w:tcW w:w="1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189"/>
        </w:trPr>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Current</w:t>
            </w:r>
          </w:p>
        </w:tc>
        <w:tc>
          <w:tcPr>
            <w:tcW w:w="1720" w:type="dxa"/>
            <w:vAlign w:val="bottom"/>
            <w:shd w:val="clear" w:color="auto" w:fill="CCEEFF"/>
          </w:tcPr>
          <w:p>
            <w:pPr>
              <w:jc w:val="right"/>
              <w:ind w:right="1580"/>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109,557</w:t>
            </w: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72,284</w:t>
            </w:r>
          </w:p>
        </w:tc>
      </w:tr>
      <w:tr>
        <w:trPr>
          <w:trHeight w:val="176"/>
        </w:trPr>
        <w:tc>
          <w:tcPr>
            <w:tcW w:w="67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Noncurrent</w:t>
            </w:r>
          </w:p>
        </w:tc>
        <w:tc>
          <w:tcPr>
            <w:tcW w:w="17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10,730</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10,133</w:t>
            </w:r>
          </w:p>
        </w:tc>
      </w:tr>
      <w:tr>
        <w:trPr>
          <w:trHeight w:val="172"/>
        </w:trPr>
        <w:tc>
          <w:tcPr>
            <w:tcW w:w="6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2"/>
                <w:szCs w:val="12"/>
                <w:color w:val="auto"/>
              </w:rPr>
              <w:t>Total contract liabilities</w:t>
            </w:r>
          </w:p>
        </w:tc>
        <w:tc>
          <w:tcPr>
            <w:tcW w:w="1720" w:type="dxa"/>
            <w:vAlign w:val="bottom"/>
            <w:tcBorders>
              <w:bottom w:val="single" w:sz="8" w:color="auto"/>
            </w:tcBorders>
            <w:shd w:val="clear" w:color="auto" w:fill="CCEEFF"/>
          </w:tcPr>
          <w:p>
            <w:pPr>
              <w:jc w:val="right"/>
              <w:ind w:right="1580"/>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120,287</w:t>
            </w:r>
          </w:p>
        </w:tc>
        <w:tc>
          <w:tcPr>
            <w:tcW w:w="1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82,417</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2"/>
          <w:szCs w:val="12"/>
          <w:color w:val="auto"/>
        </w:rPr>
        <w:t>For the nine months ended September 30, 2019, we recognized revenue of $67.3 million that was previously included in the contract liability balance at December 31, 2018.</w:t>
      </w:r>
    </w:p>
    <w:p>
      <w:pPr>
        <w:spacing w:after="0" w:line="150"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Our bad debt expense was $3.2 million and $8.6 million for the three months ended September 30, 2019 and 2018, respectively, and $23.2 million and $16.6 million for the nine months ended September 30, 2019 and 2018,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Transaction Price Allocated to Remaining Performance Obligations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As of September 30, 2019, the remaining performance obligations for our customer contracts with original expected durations of more than one year was $1.1 billion. We expect to recognize approximately 37.8% of our remaining performance obligations of these contracts as revenue in the next twelve months. This amount excludes agreements with consumer customers in our Hughes segment, our leasing arrangements and agreements with certain customers under which collectibility of all amounts due through the term of contracts is uncertain.</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80"/>
          </w:cols>
          <w:pgMar w:left="220" w:top="140" w:right="199" w:bottom="1440" w:gutter="0" w:footer="0" w:header="0"/>
        </w:sectPr>
      </w:pPr>
    </w:p>
    <w:bookmarkStart w:id="15" w:name="page16"/>
    <w:bookmarkEnd w:id="1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Disaggregation of Revenue</w:t>
      </w:r>
    </w:p>
    <w:p>
      <w:pPr>
        <w:spacing w:after="0" w:line="164"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In the following tables, revenue from our continuing operations is disaggregated by segment, primary geographic market, nature of the products and services and transactions with major customers. See Note 4 for additional information about revenue associated with leases.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Geographic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disaggregates revenue from customer contracts attributed to our North America (the U.S. and its territories, Mexico and Canada), South and Central America and other foreign locations (Asia,</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Africa, Australia, Europe, and the Middle East) as well as by segment, based on the location where the goods or services are provided (amounts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ind w:right="360"/>
              <w:spacing w:after="0"/>
              <w:rPr>
                <w:sz w:val="20"/>
                <w:szCs w:val="20"/>
                <w:color w:val="auto"/>
              </w:rPr>
            </w:pPr>
            <w:r>
              <w:rPr>
                <w:rFonts w:ascii="Arial" w:cs="Arial" w:eastAsia="Arial" w:hAnsi="Arial"/>
                <w:sz w:val="12"/>
                <w:szCs w:val="12"/>
                <w:b w:val="1"/>
                <w:bCs w:val="1"/>
                <w:color w:val="auto"/>
              </w:rPr>
              <w:t>Consolidated</w:t>
            </w:r>
          </w:p>
        </w:tc>
      </w:tr>
      <w:tr>
        <w:trPr>
          <w:trHeight w:val="163"/>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280"/>
              <w:spacing w:after="0"/>
              <w:rPr>
                <w:sz w:val="20"/>
                <w:szCs w:val="20"/>
                <w:color w:val="auto"/>
              </w:rPr>
            </w:pPr>
            <w:r>
              <w:rPr>
                <w:rFonts w:ascii="Arial" w:cs="Arial" w:eastAsia="Arial" w:hAnsi="Arial"/>
                <w:sz w:val="12"/>
                <w:szCs w:val="12"/>
                <w:b w:val="1"/>
                <w:bCs w:val="1"/>
                <w:color w:val="auto"/>
              </w:rPr>
              <w:t>Hughes</w:t>
            </w:r>
          </w:p>
        </w:tc>
        <w:tc>
          <w:tcPr>
            <w:tcW w:w="320" w:type="dxa"/>
            <w:vAlign w:val="bottom"/>
          </w:tcPr>
          <w:p>
            <w:pPr>
              <w:spacing w:after="0"/>
              <w:rPr>
                <w:sz w:val="14"/>
                <w:szCs w:val="14"/>
                <w:color w:val="auto"/>
              </w:rPr>
            </w:pPr>
          </w:p>
        </w:tc>
        <w:tc>
          <w:tcPr>
            <w:tcW w:w="1180" w:type="dxa"/>
            <w:vAlign w:val="bottom"/>
            <w:gridSpan w:val="2"/>
          </w:tcPr>
          <w:p>
            <w:pPr>
              <w:ind w:left="260"/>
              <w:spacing w:after="0"/>
              <w:rPr>
                <w:sz w:val="20"/>
                <w:szCs w:val="20"/>
                <w:color w:val="auto"/>
              </w:rPr>
            </w:pPr>
            <w:r>
              <w:rPr>
                <w:rFonts w:ascii="Arial" w:cs="Arial" w:eastAsia="Arial" w:hAnsi="Arial"/>
                <w:sz w:val="12"/>
                <w:szCs w:val="12"/>
                <w:b w:val="1"/>
                <w:bCs w:val="1"/>
                <w:color w:val="auto"/>
              </w:rPr>
              <w:t>ESS</w:t>
            </w:r>
          </w:p>
        </w:tc>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2"/>
                <w:szCs w:val="12"/>
                <w:b w:val="1"/>
                <w:bCs w:val="1"/>
                <w:color w:val="auto"/>
              </w:rPr>
              <w:t>Corporate and Other</w:t>
            </w:r>
          </w:p>
        </w:tc>
        <w:tc>
          <w:tcPr>
            <w:tcW w:w="260" w:type="dxa"/>
            <w:vAlign w:val="bottom"/>
          </w:tcPr>
          <w:p>
            <w:pPr>
              <w:spacing w:after="0"/>
              <w:rPr>
                <w:sz w:val="14"/>
                <w:szCs w:val="14"/>
                <w:color w:val="auto"/>
              </w:rPr>
            </w:pPr>
          </w:p>
        </w:tc>
        <w:tc>
          <w:tcPr>
            <w:tcW w:w="1340" w:type="dxa"/>
            <w:vAlign w:val="bottom"/>
          </w:tcPr>
          <w:p>
            <w:pPr>
              <w:jc w:val="right"/>
              <w:ind w:right="600"/>
              <w:spacing w:after="0"/>
              <w:rPr>
                <w:sz w:val="20"/>
                <w:szCs w:val="20"/>
                <w:color w:val="auto"/>
              </w:rPr>
            </w:pPr>
            <w:r>
              <w:rPr>
                <w:rFonts w:ascii="Arial" w:cs="Arial" w:eastAsia="Arial" w:hAnsi="Arial"/>
                <w:sz w:val="12"/>
                <w:szCs w:val="12"/>
                <w:b w:val="1"/>
                <w:bCs w:val="1"/>
                <w:color w:val="auto"/>
              </w:rPr>
              <w:t>Total</w:t>
            </w:r>
          </w:p>
        </w:tc>
      </w:tr>
      <w:tr>
        <w:trPr>
          <w:trHeight w:val="210"/>
        </w:trPr>
        <w:tc>
          <w:tcPr>
            <w:tcW w:w="5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180"/>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For the three months ended September 30, 2019</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76"/>
        </w:trPr>
        <w:tc>
          <w:tcPr>
            <w:tcW w:w="5400" w:type="dxa"/>
            <w:vAlign w:val="bottom"/>
          </w:tcPr>
          <w:p>
            <w:pPr>
              <w:ind w:left="20"/>
              <w:spacing w:after="0"/>
              <w:rPr>
                <w:sz w:val="20"/>
                <w:szCs w:val="20"/>
                <w:color w:val="auto"/>
              </w:rPr>
            </w:pPr>
            <w:r>
              <w:rPr>
                <w:rFonts w:ascii="Arial" w:cs="Arial" w:eastAsia="Arial" w:hAnsi="Arial"/>
                <w:sz w:val="12"/>
                <w:szCs w:val="12"/>
                <w:color w:val="auto"/>
              </w:rPr>
              <w:t>North America</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389,264</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4,098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4,323</w:t>
            </w:r>
          </w:p>
        </w:tc>
        <w:tc>
          <w:tcPr>
            <w:tcW w:w="10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397,685</w:t>
            </w:r>
          </w:p>
        </w:tc>
      </w:tr>
      <w:tr>
        <w:trPr>
          <w:trHeight w:val="185"/>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South and Central America</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31,747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31,853</w:t>
            </w:r>
          </w:p>
        </w:tc>
      </w:tr>
      <w:tr>
        <w:trPr>
          <w:trHeight w:val="176"/>
        </w:trPr>
        <w:tc>
          <w:tcPr>
            <w:tcW w:w="5400" w:type="dxa"/>
            <w:vAlign w:val="bottom"/>
          </w:tcPr>
          <w:p>
            <w:pPr>
              <w:ind w:left="20"/>
              <w:spacing w:after="0"/>
              <w:rPr>
                <w:sz w:val="20"/>
                <w:szCs w:val="20"/>
                <w:color w:val="auto"/>
              </w:rPr>
            </w:pPr>
            <w:r>
              <w:rPr>
                <w:rFonts w:ascii="Arial" w:cs="Arial" w:eastAsia="Arial" w:hAnsi="Arial"/>
                <w:sz w:val="12"/>
                <w:szCs w:val="12"/>
                <w:color w:val="auto"/>
              </w:rPr>
              <w:t>All other</w:t>
            </w:r>
          </w:p>
        </w:tc>
        <w:tc>
          <w:tcPr>
            <w:tcW w:w="180" w:type="dxa"/>
            <w:vAlign w:val="bottom"/>
          </w:tcPr>
          <w:p>
            <w:pPr>
              <w:spacing w:after="0"/>
              <w:rPr>
                <w:sz w:val="15"/>
                <w:szCs w:val="15"/>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42,724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42,724</w:t>
            </w:r>
          </w:p>
        </w:tc>
      </w:tr>
      <w:tr>
        <w:trPr>
          <w:trHeight w:val="172"/>
        </w:trPr>
        <w:tc>
          <w:tcPr>
            <w:tcW w:w="54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 revenue</w:t>
            </w: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463,735</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4,098</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4,429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472,262</w:t>
            </w:r>
          </w:p>
        </w:tc>
      </w:tr>
      <w:tr>
        <w:trPr>
          <w:trHeight w:val="180"/>
        </w:trPr>
        <w:tc>
          <w:tcPr>
            <w:tcW w:w="5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0"/>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For the three months ended September 30, 2018</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76"/>
        </w:trPr>
        <w:tc>
          <w:tcPr>
            <w:tcW w:w="5400" w:type="dxa"/>
            <w:vAlign w:val="bottom"/>
          </w:tcPr>
          <w:p>
            <w:pPr>
              <w:ind w:left="20"/>
              <w:spacing w:after="0"/>
              <w:rPr>
                <w:sz w:val="20"/>
                <w:szCs w:val="20"/>
                <w:color w:val="auto"/>
              </w:rPr>
            </w:pPr>
            <w:r>
              <w:rPr>
                <w:rFonts w:ascii="Arial" w:cs="Arial" w:eastAsia="Arial" w:hAnsi="Arial"/>
                <w:sz w:val="12"/>
                <w:szCs w:val="12"/>
                <w:color w:val="auto"/>
              </w:rPr>
              <w:t>North America</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373,460</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6,802</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4,607</w:t>
            </w:r>
          </w:p>
        </w:tc>
        <w:tc>
          <w:tcPr>
            <w:tcW w:w="10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384,869</w:t>
            </w:r>
          </w:p>
        </w:tc>
      </w:tr>
      <w:tr>
        <w:trPr>
          <w:trHeight w:val="185"/>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South and Central America</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27,593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27,696</w:t>
            </w:r>
          </w:p>
        </w:tc>
      </w:tr>
      <w:tr>
        <w:trPr>
          <w:trHeight w:val="176"/>
        </w:trPr>
        <w:tc>
          <w:tcPr>
            <w:tcW w:w="5400" w:type="dxa"/>
            <w:vAlign w:val="bottom"/>
          </w:tcPr>
          <w:p>
            <w:pPr>
              <w:ind w:left="20"/>
              <w:spacing w:after="0"/>
              <w:rPr>
                <w:sz w:val="20"/>
                <w:szCs w:val="20"/>
                <w:color w:val="auto"/>
              </w:rPr>
            </w:pPr>
            <w:r>
              <w:rPr>
                <w:rFonts w:ascii="Arial" w:cs="Arial" w:eastAsia="Arial" w:hAnsi="Arial"/>
                <w:sz w:val="12"/>
                <w:szCs w:val="12"/>
                <w:color w:val="auto"/>
              </w:rPr>
              <w:t>All other</w:t>
            </w:r>
          </w:p>
        </w:tc>
        <w:tc>
          <w:tcPr>
            <w:tcW w:w="180" w:type="dxa"/>
            <w:vAlign w:val="bottom"/>
          </w:tcPr>
          <w:p>
            <w:pPr>
              <w:spacing w:after="0"/>
              <w:rPr>
                <w:sz w:val="15"/>
                <w:szCs w:val="15"/>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43,709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43,709</w:t>
            </w:r>
          </w:p>
        </w:tc>
      </w:tr>
      <w:tr>
        <w:trPr>
          <w:trHeight w:val="172"/>
        </w:trPr>
        <w:tc>
          <w:tcPr>
            <w:tcW w:w="54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 revenue</w:t>
            </w: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444,762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6,802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4,710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456,274</w:t>
            </w:r>
          </w:p>
        </w:tc>
      </w:tr>
      <w:tr>
        <w:trPr>
          <w:trHeight w:val="180"/>
        </w:trPr>
        <w:tc>
          <w:tcPr>
            <w:tcW w:w="5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0"/>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For the nine months ended September 30, 2019</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76"/>
        </w:trPr>
        <w:tc>
          <w:tcPr>
            <w:tcW w:w="5400" w:type="dxa"/>
            <w:vAlign w:val="bottom"/>
          </w:tcPr>
          <w:p>
            <w:pPr>
              <w:ind w:left="20"/>
              <w:spacing w:after="0"/>
              <w:rPr>
                <w:sz w:val="20"/>
                <w:szCs w:val="20"/>
                <w:color w:val="auto"/>
              </w:rPr>
            </w:pPr>
            <w:r>
              <w:rPr>
                <w:rFonts w:ascii="Arial" w:cs="Arial" w:eastAsia="Arial" w:hAnsi="Arial"/>
                <w:sz w:val="12"/>
                <w:szCs w:val="12"/>
                <w:color w:val="auto"/>
              </w:rPr>
              <w:t>North America</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1,129,491</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11,873</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13,934</w:t>
            </w:r>
          </w:p>
        </w:tc>
        <w:tc>
          <w:tcPr>
            <w:tcW w:w="10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1,155,298</w:t>
            </w:r>
          </w:p>
        </w:tc>
      </w:tr>
      <w:tr>
        <w:trPr>
          <w:trHeight w:val="185"/>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South and Central America</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89,005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349</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89,354</w:t>
            </w:r>
          </w:p>
        </w:tc>
      </w:tr>
      <w:tr>
        <w:trPr>
          <w:trHeight w:val="176"/>
        </w:trPr>
        <w:tc>
          <w:tcPr>
            <w:tcW w:w="5400" w:type="dxa"/>
            <w:vAlign w:val="bottom"/>
          </w:tcPr>
          <w:p>
            <w:pPr>
              <w:ind w:left="20"/>
              <w:spacing w:after="0"/>
              <w:rPr>
                <w:sz w:val="20"/>
                <w:szCs w:val="20"/>
                <w:color w:val="auto"/>
              </w:rPr>
            </w:pPr>
            <w:r>
              <w:rPr>
                <w:rFonts w:ascii="Arial" w:cs="Arial" w:eastAsia="Arial" w:hAnsi="Arial"/>
                <w:sz w:val="12"/>
                <w:szCs w:val="12"/>
                <w:color w:val="auto"/>
              </w:rPr>
              <w:t>All other</w:t>
            </w:r>
          </w:p>
        </w:tc>
        <w:tc>
          <w:tcPr>
            <w:tcW w:w="180" w:type="dxa"/>
            <w:vAlign w:val="bottom"/>
          </w:tcPr>
          <w:p>
            <w:pPr>
              <w:spacing w:after="0"/>
              <w:rPr>
                <w:sz w:val="15"/>
                <w:szCs w:val="15"/>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142,423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142,423</w:t>
            </w:r>
          </w:p>
        </w:tc>
      </w:tr>
      <w:tr>
        <w:trPr>
          <w:trHeight w:val="172"/>
        </w:trPr>
        <w:tc>
          <w:tcPr>
            <w:tcW w:w="54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 revenue</w:t>
            </w: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1,360,919</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11,873</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14,283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1,387,075</w:t>
            </w:r>
          </w:p>
        </w:tc>
      </w:tr>
      <w:tr>
        <w:trPr>
          <w:trHeight w:val="180"/>
        </w:trPr>
        <w:tc>
          <w:tcPr>
            <w:tcW w:w="5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0"/>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For the nine months ended September 30, 2018</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76"/>
        </w:trPr>
        <w:tc>
          <w:tcPr>
            <w:tcW w:w="5400" w:type="dxa"/>
            <w:vAlign w:val="bottom"/>
          </w:tcPr>
          <w:p>
            <w:pPr>
              <w:ind w:left="20"/>
              <w:spacing w:after="0"/>
              <w:rPr>
                <w:sz w:val="20"/>
                <w:szCs w:val="20"/>
                <w:color w:val="auto"/>
              </w:rPr>
            </w:pPr>
            <w:r>
              <w:rPr>
                <w:rFonts w:ascii="Arial" w:cs="Arial" w:eastAsia="Arial" w:hAnsi="Arial"/>
                <w:sz w:val="12"/>
                <w:szCs w:val="12"/>
                <w:color w:val="auto"/>
              </w:rPr>
              <w:t>North America</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1,072,187</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22,562</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13,932</w:t>
            </w:r>
          </w:p>
        </w:tc>
        <w:tc>
          <w:tcPr>
            <w:tcW w:w="10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1,108,681</w:t>
            </w:r>
          </w:p>
        </w:tc>
      </w:tr>
      <w:tr>
        <w:trPr>
          <w:trHeight w:val="185"/>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South and Central America</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75,813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76,088</w:t>
            </w:r>
          </w:p>
        </w:tc>
      </w:tr>
      <w:tr>
        <w:trPr>
          <w:trHeight w:val="176"/>
        </w:trPr>
        <w:tc>
          <w:tcPr>
            <w:tcW w:w="5400" w:type="dxa"/>
            <w:vAlign w:val="bottom"/>
          </w:tcPr>
          <w:p>
            <w:pPr>
              <w:ind w:left="20"/>
              <w:spacing w:after="0"/>
              <w:rPr>
                <w:sz w:val="20"/>
                <w:szCs w:val="20"/>
                <w:color w:val="auto"/>
              </w:rPr>
            </w:pPr>
            <w:r>
              <w:rPr>
                <w:rFonts w:ascii="Arial" w:cs="Arial" w:eastAsia="Arial" w:hAnsi="Arial"/>
                <w:sz w:val="12"/>
                <w:szCs w:val="12"/>
                <w:color w:val="auto"/>
              </w:rPr>
              <w:t>All other</w:t>
            </w:r>
          </w:p>
        </w:tc>
        <w:tc>
          <w:tcPr>
            <w:tcW w:w="180" w:type="dxa"/>
            <w:vAlign w:val="bottom"/>
          </w:tcPr>
          <w:p>
            <w:pPr>
              <w:spacing w:after="0"/>
              <w:rPr>
                <w:sz w:val="15"/>
                <w:szCs w:val="15"/>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123,886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123,886</w:t>
            </w:r>
          </w:p>
        </w:tc>
      </w:tr>
      <w:tr>
        <w:trPr>
          <w:trHeight w:val="172"/>
        </w:trPr>
        <w:tc>
          <w:tcPr>
            <w:tcW w:w="54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 revenue</w:t>
            </w: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1,271,886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22,562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14,207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1,308,655</w:t>
            </w:r>
          </w:p>
        </w:tc>
      </w:tr>
      <w:tr>
        <w:trPr>
          <w:trHeight w:val="558"/>
        </w:trPr>
        <w:tc>
          <w:tcPr>
            <w:tcW w:w="5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920"/>
              <w:spacing w:after="0"/>
              <w:rPr>
                <w:sz w:val="20"/>
                <w:szCs w:val="20"/>
                <w:color w:val="auto"/>
              </w:rPr>
            </w:pPr>
            <w:r>
              <w:rPr>
                <w:rFonts w:ascii="Arial" w:cs="Arial" w:eastAsia="Arial" w:hAnsi="Arial"/>
                <w:sz w:val="12"/>
                <w:szCs w:val="12"/>
                <w:color w:val="auto"/>
              </w:rPr>
              <w:t>13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80"/>
          </w:cols>
          <w:pgMar w:left="220" w:top="140" w:right="199" w:bottom="1440" w:gutter="0" w:footer="0" w:header="0"/>
        </w:sectPr>
      </w:pPr>
    </w:p>
    <w:bookmarkStart w:id="16" w:name="page17"/>
    <w:bookmarkEnd w:id="1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Nature of Products and Services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disaggregates revenue based on the nature of products and services and by segment (amounts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3"/>
          </w:tcPr>
          <w:p>
            <w:pPr>
              <w:ind w:left="80"/>
              <w:spacing w:after="0"/>
              <w:rPr>
                <w:sz w:val="20"/>
                <w:szCs w:val="20"/>
                <w:color w:val="auto"/>
              </w:rPr>
            </w:pPr>
            <w:r>
              <w:rPr>
                <w:rFonts w:ascii="Arial" w:cs="Arial" w:eastAsia="Arial" w:hAnsi="Arial"/>
                <w:sz w:val="12"/>
                <w:szCs w:val="12"/>
                <w:b w:val="1"/>
                <w:bCs w:val="1"/>
                <w:color w:val="auto"/>
              </w:rPr>
              <w:t>Corporate</w:t>
            </w:r>
          </w:p>
        </w:tc>
        <w:tc>
          <w:tcPr>
            <w:tcW w:w="860" w:type="dxa"/>
            <w:vAlign w:val="bottom"/>
            <w:gridSpan w:val="2"/>
          </w:tcPr>
          <w:p>
            <w:pPr>
              <w:jc w:val="right"/>
              <w:spacing w:after="0"/>
              <w:rPr>
                <w:sz w:val="20"/>
                <w:szCs w:val="20"/>
                <w:color w:val="auto"/>
              </w:rPr>
            </w:pPr>
            <w:r>
              <w:rPr>
                <w:rFonts w:ascii="Arial" w:cs="Arial" w:eastAsia="Arial" w:hAnsi="Arial"/>
                <w:sz w:val="12"/>
                <w:szCs w:val="12"/>
                <w:b w:val="1"/>
                <w:bCs w:val="1"/>
                <w:color w:val="auto"/>
              </w:rPr>
              <w:t>Consolidated</w:t>
            </w:r>
          </w:p>
        </w:tc>
      </w:tr>
      <w:tr>
        <w:trPr>
          <w:trHeight w:val="163"/>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Hughes</w:t>
            </w:r>
          </w:p>
        </w:tc>
        <w:tc>
          <w:tcPr>
            <w:tcW w:w="16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ESS</w:t>
            </w:r>
          </w:p>
        </w:tc>
        <w:tc>
          <w:tcPr>
            <w:tcW w:w="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and Other</w:t>
            </w:r>
          </w:p>
        </w:tc>
        <w:tc>
          <w:tcPr>
            <w:tcW w:w="180" w:type="dxa"/>
            <w:vAlign w:val="bottom"/>
          </w:tcPr>
          <w:p>
            <w:pPr>
              <w:spacing w:after="0"/>
              <w:rPr>
                <w:sz w:val="14"/>
                <w:szCs w:val="14"/>
                <w:color w:val="auto"/>
              </w:rPr>
            </w:pPr>
          </w:p>
        </w:tc>
        <w:tc>
          <w:tcPr>
            <w:tcW w:w="680" w:type="dxa"/>
            <w:vAlign w:val="bottom"/>
          </w:tcPr>
          <w:p>
            <w:pPr>
              <w:jc w:val="right"/>
              <w:ind w:right="220"/>
              <w:spacing w:after="0"/>
              <w:rPr>
                <w:sz w:val="20"/>
                <w:szCs w:val="20"/>
                <w:color w:val="auto"/>
              </w:rPr>
            </w:pPr>
            <w:r>
              <w:rPr>
                <w:rFonts w:ascii="Arial" w:cs="Arial" w:eastAsia="Arial" w:hAnsi="Arial"/>
                <w:sz w:val="12"/>
                <w:szCs w:val="12"/>
                <w:b w:val="1"/>
                <w:bCs w:val="1"/>
                <w:color w:val="auto"/>
              </w:rPr>
              <w:t>Total</w:t>
            </w:r>
          </w:p>
        </w:tc>
      </w:tr>
      <w:tr>
        <w:trPr>
          <w:trHeight w:val="210"/>
        </w:trPr>
        <w:tc>
          <w:tcPr>
            <w:tcW w:w="28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r>
      <w:tr>
        <w:trPr>
          <w:trHeight w:val="139"/>
        </w:trPr>
        <w:tc>
          <w:tcPr>
            <w:tcW w:w="2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For the three months ended September 30,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68"/>
        </w:trPr>
        <w:tc>
          <w:tcPr>
            <w:tcW w:w="2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2019</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6"/>
        </w:trPr>
        <w:tc>
          <w:tcPr>
            <w:tcW w:w="2820" w:type="dxa"/>
            <w:vAlign w:val="bottom"/>
          </w:tcPr>
          <w:p>
            <w:pPr>
              <w:ind w:left="20"/>
              <w:spacing w:after="0"/>
              <w:rPr>
                <w:sz w:val="20"/>
                <w:szCs w:val="20"/>
                <w:color w:val="auto"/>
              </w:rPr>
            </w:pPr>
            <w:r>
              <w:rPr>
                <w:rFonts w:ascii="Arial" w:cs="Arial" w:eastAsia="Arial" w:hAnsi="Arial"/>
                <w:sz w:val="12"/>
                <w:szCs w:val="12"/>
                <w:color w:val="auto"/>
              </w:rPr>
              <w:t>Equipment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21,106</w:t>
            </w:r>
          </w:p>
        </w:tc>
        <w:tc>
          <w:tcPr>
            <w:tcW w:w="80" w:type="dxa"/>
            <w:vAlign w:val="bottom"/>
          </w:tcPr>
          <w:p>
            <w:pPr>
              <w:spacing w:after="0"/>
              <w:rPr>
                <w:sz w:val="15"/>
                <w:szCs w:val="15"/>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21,106</w:t>
            </w:r>
          </w:p>
        </w:tc>
      </w:tr>
      <w:tr>
        <w:trPr>
          <w:trHeight w:val="185"/>
        </w:trPr>
        <w:tc>
          <w:tcPr>
            <w:tcW w:w="2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Services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385,477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2,737</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1,732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389,946</w:t>
            </w:r>
          </w:p>
        </w:tc>
      </w:tr>
      <w:tr>
        <w:trPr>
          <w:trHeight w:val="176"/>
        </w:trPr>
        <w:tc>
          <w:tcPr>
            <w:tcW w:w="2820" w:type="dxa"/>
            <w:vAlign w:val="bottom"/>
          </w:tcPr>
          <w:p>
            <w:pPr>
              <w:ind w:left="20"/>
              <w:spacing w:after="0"/>
              <w:rPr>
                <w:sz w:val="20"/>
                <w:szCs w:val="20"/>
                <w:color w:val="auto"/>
              </w:rPr>
            </w:pPr>
            <w:r>
              <w:rPr>
                <w:rFonts w:ascii="Arial" w:cs="Arial" w:eastAsia="Arial" w:hAnsi="Arial"/>
                <w:sz w:val="12"/>
                <w:szCs w:val="12"/>
                <w:color w:val="auto"/>
              </w:rPr>
              <w:t>Design, development and construction services</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42,328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42,328</w:t>
            </w:r>
          </w:p>
        </w:tc>
      </w:tr>
      <w:tr>
        <w:trPr>
          <w:trHeight w:val="165"/>
        </w:trPr>
        <w:tc>
          <w:tcPr>
            <w:tcW w:w="28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Revenue from sales and services</w:t>
            </w: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448,911</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2,737</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1,732</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453,380</w:t>
            </w:r>
          </w:p>
        </w:tc>
      </w:tr>
      <w:tr>
        <w:trPr>
          <w:trHeight w:val="176"/>
        </w:trPr>
        <w:tc>
          <w:tcPr>
            <w:tcW w:w="28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Lease revenue</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14,824</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1,361</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2,697</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18,882</w:t>
            </w:r>
          </w:p>
        </w:tc>
      </w:tr>
      <w:tr>
        <w:trPr>
          <w:trHeight w:val="172"/>
        </w:trPr>
        <w:tc>
          <w:tcPr>
            <w:tcW w:w="2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463,735</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4,098</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4,429</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472,262</w:t>
            </w: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39"/>
        </w:trPr>
        <w:tc>
          <w:tcPr>
            <w:tcW w:w="2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For the three months ended September 30,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68"/>
        </w:trPr>
        <w:tc>
          <w:tcPr>
            <w:tcW w:w="2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2018</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6"/>
        </w:trPr>
        <w:tc>
          <w:tcPr>
            <w:tcW w:w="2820" w:type="dxa"/>
            <w:vAlign w:val="bottom"/>
          </w:tcPr>
          <w:p>
            <w:pPr>
              <w:ind w:left="20"/>
              <w:spacing w:after="0"/>
              <w:rPr>
                <w:sz w:val="20"/>
                <w:szCs w:val="20"/>
                <w:color w:val="auto"/>
              </w:rPr>
            </w:pPr>
            <w:r>
              <w:rPr>
                <w:rFonts w:ascii="Arial" w:cs="Arial" w:eastAsia="Arial" w:hAnsi="Arial"/>
                <w:sz w:val="12"/>
                <w:szCs w:val="12"/>
                <w:color w:val="auto"/>
              </w:rPr>
              <w:t>Equipment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40,222</w:t>
            </w:r>
          </w:p>
        </w:tc>
        <w:tc>
          <w:tcPr>
            <w:tcW w:w="80" w:type="dxa"/>
            <w:vAlign w:val="bottom"/>
          </w:tcPr>
          <w:p>
            <w:pPr>
              <w:spacing w:after="0"/>
              <w:rPr>
                <w:sz w:val="15"/>
                <w:szCs w:val="15"/>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40,222</w:t>
            </w:r>
          </w:p>
        </w:tc>
      </w:tr>
      <w:tr>
        <w:trPr>
          <w:trHeight w:val="185"/>
        </w:trPr>
        <w:tc>
          <w:tcPr>
            <w:tcW w:w="2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Services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337,585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5,766</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344,734</w:t>
            </w:r>
          </w:p>
        </w:tc>
      </w:tr>
      <w:tr>
        <w:trPr>
          <w:trHeight w:val="176"/>
        </w:trPr>
        <w:tc>
          <w:tcPr>
            <w:tcW w:w="2820" w:type="dxa"/>
            <w:vAlign w:val="bottom"/>
          </w:tcPr>
          <w:p>
            <w:pPr>
              <w:ind w:left="20"/>
              <w:spacing w:after="0"/>
              <w:rPr>
                <w:sz w:val="20"/>
                <w:szCs w:val="20"/>
                <w:color w:val="auto"/>
              </w:rPr>
            </w:pPr>
            <w:r>
              <w:rPr>
                <w:rFonts w:ascii="Arial" w:cs="Arial" w:eastAsia="Arial" w:hAnsi="Arial"/>
                <w:sz w:val="12"/>
                <w:szCs w:val="12"/>
                <w:color w:val="auto"/>
              </w:rPr>
              <w:t>Design, development and construction services</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16,624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16,624</w:t>
            </w:r>
          </w:p>
        </w:tc>
      </w:tr>
      <w:tr>
        <w:trPr>
          <w:trHeight w:val="165"/>
        </w:trPr>
        <w:tc>
          <w:tcPr>
            <w:tcW w:w="28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Revenue from sales and services</w:t>
            </w: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394,431</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5,766</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1,383</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401,580</w:t>
            </w:r>
          </w:p>
        </w:tc>
      </w:tr>
      <w:tr>
        <w:trPr>
          <w:trHeight w:val="176"/>
        </w:trPr>
        <w:tc>
          <w:tcPr>
            <w:tcW w:w="28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Lease revenue</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50,331</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1,036</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3,327</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54,694</w:t>
            </w:r>
          </w:p>
        </w:tc>
      </w:tr>
      <w:tr>
        <w:trPr>
          <w:trHeight w:val="172"/>
        </w:trPr>
        <w:tc>
          <w:tcPr>
            <w:tcW w:w="2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444,762</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6,802</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4,710</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456,274</w:t>
            </w: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80"/>
        </w:trPr>
        <w:tc>
          <w:tcPr>
            <w:tcW w:w="2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For the nine months ended September 30, 2019</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76"/>
        </w:trPr>
        <w:tc>
          <w:tcPr>
            <w:tcW w:w="2820" w:type="dxa"/>
            <w:vAlign w:val="bottom"/>
          </w:tcPr>
          <w:p>
            <w:pPr>
              <w:ind w:left="20"/>
              <w:spacing w:after="0"/>
              <w:rPr>
                <w:sz w:val="20"/>
                <w:szCs w:val="20"/>
                <w:color w:val="auto"/>
              </w:rPr>
            </w:pPr>
            <w:r>
              <w:rPr>
                <w:rFonts w:ascii="Arial" w:cs="Arial" w:eastAsia="Arial" w:hAnsi="Arial"/>
                <w:sz w:val="12"/>
                <w:szCs w:val="12"/>
                <w:color w:val="auto"/>
              </w:rPr>
              <w:t>Equipment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77,663</w:t>
            </w:r>
          </w:p>
        </w:tc>
        <w:tc>
          <w:tcPr>
            <w:tcW w:w="80" w:type="dxa"/>
            <w:vAlign w:val="bottom"/>
          </w:tcPr>
          <w:p>
            <w:pPr>
              <w:spacing w:after="0"/>
              <w:rPr>
                <w:sz w:val="15"/>
                <w:szCs w:val="15"/>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77,663</w:t>
            </w:r>
          </w:p>
        </w:tc>
      </w:tr>
      <w:tr>
        <w:trPr>
          <w:trHeight w:val="185"/>
        </w:trPr>
        <w:tc>
          <w:tcPr>
            <w:tcW w:w="2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Services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1,147,868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7,953</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5,185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1,161,006</w:t>
            </w:r>
          </w:p>
        </w:tc>
      </w:tr>
      <w:tr>
        <w:trPr>
          <w:trHeight w:val="176"/>
        </w:trPr>
        <w:tc>
          <w:tcPr>
            <w:tcW w:w="2820" w:type="dxa"/>
            <w:vAlign w:val="bottom"/>
          </w:tcPr>
          <w:p>
            <w:pPr>
              <w:ind w:left="20"/>
              <w:spacing w:after="0"/>
              <w:rPr>
                <w:sz w:val="20"/>
                <w:szCs w:val="20"/>
                <w:color w:val="auto"/>
              </w:rPr>
            </w:pPr>
            <w:r>
              <w:rPr>
                <w:rFonts w:ascii="Arial" w:cs="Arial" w:eastAsia="Arial" w:hAnsi="Arial"/>
                <w:sz w:val="12"/>
                <w:szCs w:val="12"/>
                <w:color w:val="auto"/>
              </w:rPr>
              <w:t>Design, development and construction services</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93,254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93,254</w:t>
            </w:r>
          </w:p>
        </w:tc>
      </w:tr>
      <w:tr>
        <w:trPr>
          <w:trHeight w:val="165"/>
        </w:trPr>
        <w:tc>
          <w:tcPr>
            <w:tcW w:w="28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Revenue from sales and services</w:t>
            </w: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1,318,785</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7,953</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5,185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1,331,923</w:t>
            </w:r>
          </w:p>
        </w:tc>
      </w:tr>
      <w:tr>
        <w:trPr>
          <w:trHeight w:val="176"/>
        </w:trPr>
        <w:tc>
          <w:tcPr>
            <w:tcW w:w="28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Lease revenue</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42,134</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3,920</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9,098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55,152</w:t>
            </w:r>
          </w:p>
        </w:tc>
      </w:tr>
      <w:tr>
        <w:trPr>
          <w:trHeight w:val="172"/>
        </w:trPr>
        <w:tc>
          <w:tcPr>
            <w:tcW w:w="2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1,360,919</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11,873</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14,283</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1,387,075</w:t>
            </w:r>
          </w:p>
        </w:tc>
      </w:tr>
      <w:tr>
        <w:trPr>
          <w:trHeight w:val="180"/>
        </w:trPr>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80"/>
        </w:trPr>
        <w:tc>
          <w:tcPr>
            <w:tcW w:w="28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For the nine months ended September 30, 2018</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76"/>
        </w:trPr>
        <w:tc>
          <w:tcPr>
            <w:tcW w:w="2820" w:type="dxa"/>
            <w:vAlign w:val="bottom"/>
          </w:tcPr>
          <w:p>
            <w:pPr>
              <w:ind w:left="20"/>
              <w:spacing w:after="0"/>
              <w:rPr>
                <w:sz w:val="20"/>
                <w:szCs w:val="20"/>
                <w:color w:val="auto"/>
              </w:rPr>
            </w:pPr>
            <w:r>
              <w:rPr>
                <w:rFonts w:ascii="Arial" w:cs="Arial" w:eastAsia="Arial" w:hAnsi="Arial"/>
                <w:sz w:val="12"/>
                <w:szCs w:val="12"/>
                <w:color w:val="auto"/>
              </w:rPr>
              <w:t>Equipment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103,458</w:t>
            </w:r>
          </w:p>
        </w:tc>
        <w:tc>
          <w:tcPr>
            <w:tcW w:w="80" w:type="dxa"/>
            <w:vAlign w:val="bottom"/>
          </w:tcPr>
          <w:p>
            <w:pPr>
              <w:spacing w:after="0"/>
              <w:rPr>
                <w:sz w:val="15"/>
                <w:szCs w:val="15"/>
                <w:color w:val="auto"/>
              </w:rPr>
            </w:pPr>
          </w:p>
        </w:tc>
        <w:tc>
          <w:tcPr>
            <w:tcW w:w="160" w:type="dxa"/>
            <w:vAlign w:val="bottom"/>
          </w:tcPr>
          <w:p>
            <w:pPr>
              <w:jc w:val="right"/>
              <w:ind w:right="20"/>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103,458</w:t>
            </w:r>
          </w:p>
        </w:tc>
      </w:tr>
      <w:tr>
        <w:trPr>
          <w:trHeight w:val="185"/>
        </w:trPr>
        <w:tc>
          <w:tcPr>
            <w:tcW w:w="2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Services</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975,647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17,632</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4,291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997,570</w:t>
            </w:r>
          </w:p>
        </w:tc>
      </w:tr>
      <w:tr>
        <w:trPr>
          <w:trHeight w:val="176"/>
        </w:trPr>
        <w:tc>
          <w:tcPr>
            <w:tcW w:w="2820" w:type="dxa"/>
            <w:vAlign w:val="bottom"/>
          </w:tcPr>
          <w:p>
            <w:pPr>
              <w:ind w:left="20"/>
              <w:spacing w:after="0"/>
              <w:rPr>
                <w:sz w:val="20"/>
                <w:szCs w:val="20"/>
                <w:color w:val="auto"/>
              </w:rPr>
            </w:pPr>
            <w:r>
              <w:rPr>
                <w:rFonts w:ascii="Arial" w:cs="Arial" w:eastAsia="Arial" w:hAnsi="Arial"/>
                <w:sz w:val="12"/>
                <w:szCs w:val="12"/>
                <w:color w:val="auto"/>
              </w:rPr>
              <w:t>Design, development and construction services</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46,676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46,676</w:t>
            </w:r>
          </w:p>
        </w:tc>
      </w:tr>
      <w:tr>
        <w:trPr>
          <w:trHeight w:val="165"/>
        </w:trPr>
        <w:tc>
          <w:tcPr>
            <w:tcW w:w="28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Revenue from sales and services</w:t>
            </w: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1,125,781</w:t>
            </w: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17,632</w:t>
            </w:r>
          </w:p>
        </w:tc>
        <w:tc>
          <w:tcPr>
            <w:tcW w:w="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4,291</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1,147,704</w:t>
            </w:r>
          </w:p>
        </w:tc>
      </w:tr>
      <w:tr>
        <w:trPr>
          <w:trHeight w:val="176"/>
        </w:trPr>
        <w:tc>
          <w:tcPr>
            <w:tcW w:w="28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Lease revenue</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146,105</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4,930</w:t>
            </w:r>
          </w:p>
        </w:tc>
        <w:tc>
          <w:tcPr>
            <w:tcW w:w="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9,916</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160,951</w:t>
            </w:r>
          </w:p>
        </w:tc>
      </w:tr>
      <w:tr>
        <w:trPr>
          <w:trHeight w:val="172"/>
        </w:trPr>
        <w:tc>
          <w:tcPr>
            <w:tcW w:w="2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1,271,886</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22,562</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14,207</w:t>
            </w: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1,308,655</w:t>
            </w:r>
          </w:p>
        </w:tc>
      </w:tr>
    </w:tbl>
    <w:p>
      <w:pPr>
        <w:spacing w:after="0" w:line="288"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Effective January 1, 2019, we account for and report revenue from leases of Hughes consumer broadband equipment as services revenue under ASC 606 rather than lease revenue due to our election to not separate lease and non-lease components in consumer broadband service contracts in connection with our adoption of ASC 842 (see Note 2).</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ectPr>
          <w:pgSz w:w="11900" w:h="16838" w:orient="portrait"/>
          <w:cols w:equalWidth="0" w:num="1">
            <w:col w:w="11480"/>
          </w:cols>
          <w:pgMar w:left="220" w:top="140" w:right="199" w:bottom="1440" w:gutter="0" w:footer="0" w:header="0"/>
        </w:sectPr>
      </w:pPr>
    </w:p>
    <w:bookmarkStart w:id="17" w:name="page18"/>
    <w:bookmarkEnd w:id="1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4"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NOTE 4.</w:t>
      </w:r>
      <w:r>
        <w:rPr>
          <w:sz w:val="20"/>
          <w:szCs w:val="20"/>
          <w:color w:val="auto"/>
        </w:rPr>
        <w:tab/>
      </w:r>
      <w:r>
        <w:rPr>
          <w:rFonts w:ascii="Arial" w:cs="Arial" w:eastAsia="Arial" w:hAnsi="Arial"/>
          <w:sz w:val="11"/>
          <w:szCs w:val="11"/>
          <w:b w:val="1"/>
          <w:bCs w:val="1"/>
          <w:color w:val="auto"/>
        </w:rPr>
        <w:t>LEASES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Lessee Disclosures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 xml:space="preserve">Our operating leases consist primarily of leases for office space, data centers and satellite ground facilities. We recognized right-of-use assets and lease liabilities for such leases in connection with our adoption of ASC 842 as of January 1, 2019 (see Note 2). We report operating lease right-of-use assets in </w:t>
      </w:r>
      <w:r>
        <w:rPr>
          <w:rFonts w:ascii="Arial" w:cs="Arial" w:eastAsia="Arial" w:hAnsi="Arial"/>
          <w:sz w:val="12"/>
          <w:szCs w:val="12"/>
          <w:i w:val="1"/>
          <w:iCs w:val="1"/>
          <w:color w:val="auto"/>
        </w:rPr>
        <w:t>Operating lease right-of-use assets</w:t>
      </w:r>
      <w:r>
        <w:rPr>
          <w:rFonts w:ascii="Arial" w:cs="Arial" w:eastAsia="Arial" w:hAnsi="Arial"/>
          <w:sz w:val="12"/>
          <w:szCs w:val="12"/>
          <w:color w:val="auto"/>
        </w:rPr>
        <w:t xml:space="preserve"> and we report the current and noncurrent portions of our operating lease liabilities in </w:t>
      </w:r>
      <w:r>
        <w:rPr>
          <w:rFonts w:ascii="Arial" w:cs="Arial" w:eastAsia="Arial" w:hAnsi="Arial"/>
          <w:sz w:val="12"/>
          <w:szCs w:val="12"/>
          <w:i w:val="1"/>
          <w:iCs w:val="1"/>
          <w:color w:val="auto"/>
        </w:rPr>
        <w:t xml:space="preserve">Accrued expenses and other </w:t>
      </w:r>
      <w:r>
        <w:rPr>
          <w:rFonts w:ascii="Arial" w:cs="Arial" w:eastAsia="Arial" w:hAnsi="Arial"/>
          <w:sz w:val="12"/>
          <w:szCs w:val="12"/>
          <w:color w:val="auto"/>
        </w:rPr>
        <w:t>and</w:t>
      </w:r>
      <w:r>
        <w:rPr>
          <w:rFonts w:ascii="Arial" w:cs="Arial" w:eastAsia="Arial" w:hAnsi="Arial"/>
          <w:sz w:val="12"/>
          <w:szCs w:val="12"/>
          <w:i w:val="1"/>
          <w:iCs w:val="1"/>
          <w:color w:val="auto"/>
        </w:rPr>
        <w:t xml:space="preserve"> Operating lease liabilities</w:t>
      </w:r>
      <w:r>
        <w:rPr>
          <w:rFonts w:ascii="Arial" w:cs="Arial" w:eastAsia="Arial" w:hAnsi="Arial"/>
          <w:sz w:val="12"/>
          <w:szCs w:val="12"/>
          <w:color w:val="auto"/>
        </w:rPr>
        <w:t>, respectively. Our finance leases consist primarily of leases of satellite capacity. We report finance lease right-of-use assets in</w:t>
      </w:r>
      <w:r>
        <w:rPr>
          <w:rFonts w:ascii="Arial" w:cs="Arial" w:eastAsia="Arial" w:hAnsi="Arial"/>
          <w:sz w:val="12"/>
          <w:szCs w:val="12"/>
          <w:i w:val="1"/>
          <w:iCs w:val="1"/>
          <w:color w:val="auto"/>
        </w:rPr>
        <w:t xml:space="preserve"> Property and equipment, net </w:t>
      </w:r>
      <w:r>
        <w:rPr>
          <w:rFonts w:ascii="Arial" w:cs="Arial" w:eastAsia="Arial" w:hAnsi="Arial"/>
          <w:sz w:val="12"/>
          <w:szCs w:val="12"/>
          <w:color w:val="auto"/>
        </w:rPr>
        <w:t xml:space="preserve">and we report the current and noncurrent portions of our finance lease liabilities in </w:t>
      </w:r>
      <w:r>
        <w:rPr>
          <w:rFonts w:ascii="Arial" w:cs="Arial" w:eastAsia="Arial" w:hAnsi="Arial"/>
          <w:sz w:val="12"/>
          <w:szCs w:val="12"/>
          <w:i w:val="1"/>
          <w:iCs w:val="1"/>
          <w:color w:val="auto"/>
        </w:rPr>
        <w:t>Current portion of long-term debt and finance lease obligations</w:t>
      </w:r>
      <w:r>
        <w:rPr>
          <w:rFonts w:ascii="Arial" w:cs="Arial" w:eastAsia="Arial" w:hAnsi="Arial"/>
          <w:sz w:val="12"/>
          <w:szCs w:val="12"/>
          <w:color w:val="auto"/>
        </w:rPr>
        <w:t xml:space="preserve"> and </w:t>
      </w:r>
      <w:r>
        <w:rPr>
          <w:rFonts w:ascii="Arial" w:cs="Arial" w:eastAsia="Arial" w:hAnsi="Arial"/>
          <w:sz w:val="12"/>
          <w:szCs w:val="12"/>
          <w:i w:val="1"/>
          <w:iCs w:val="1"/>
          <w:color w:val="auto"/>
        </w:rPr>
        <w:t>Long-term debt and finance lease obligations, net</w:t>
      </w:r>
      <w:r>
        <w:rPr>
          <w:rFonts w:ascii="Arial" w:cs="Arial" w:eastAsia="Arial" w:hAnsi="Arial"/>
          <w:sz w:val="12"/>
          <w:szCs w:val="12"/>
          <w:color w:val="auto"/>
        </w:rPr>
        <w:t>, respectively. Our Condensed Consolidated Balance Sheets includes the following amounts for right-of-use assets and lease liabilities from our continuing operations as of September 30, 2019 (amounts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960" w:type="dxa"/>
            <w:vAlign w:val="bottom"/>
          </w:tcPr>
          <w:p>
            <w:pPr>
              <w:jc w:val="right"/>
              <w:ind w:right="940"/>
              <w:spacing w:after="0"/>
              <w:rPr>
                <w:sz w:val="20"/>
                <w:szCs w:val="20"/>
                <w:color w:val="auto"/>
              </w:rPr>
            </w:pPr>
            <w:r>
              <w:rPr>
                <w:rFonts w:ascii="Arial" w:cs="Arial" w:eastAsia="Arial" w:hAnsi="Arial"/>
                <w:sz w:val="12"/>
                <w:szCs w:val="12"/>
                <w:b w:val="1"/>
                <w:bCs w:val="1"/>
                <w:color w:val="auto"/>
              </w:rPr>
              <w:t>As of</w:t>
            </w:r>
          </w:p>
        </w:tc>
      </w:tr>
      <w:tr>
        <w:trPr>
          <w:trHeight w:val="163"/>
        </w:trPr>
        <w:tc>
          <w:tcPr>
            <w:tcW w:w="91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September 30, 2019</w:t>
            </w:r>
          </w:p>
        </w:tc>
      </w:tr>
      <w:tr>
        <w:trPr>
          <w:trHeight w:val="210"/>
        </w:trPr>
        <w:tc>
          <w:tcPr>
            <w:tcW w:w="9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180"/>
        </w:trPr>
        <w:tc>
          <w:tcPr>
            <w:tcW w:w="91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Right-of-use assets:</w:t>
            </w:r>
          </w:p>
        </w:tc>
        <w:tc>
          <w:tcPr>
            <w:tcW w:w="3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176"/>
        </w:trPr>
        <w:tc>
          <w:tcPr>
            <w:tcW w:w="9180" w:type="dxa"/>
            <w:vAlign w:val="bottom"/>
          </w:tcPr>
          <w:p>
            <w:pPr>
              <w:ind w:left="180"/>
              <w:spacing w:after="0"/>
              <w:rPr>
                <w:sz w:val="20"/>
                <w:szCs w:val="20"/>
                <w:color w:val="auto"/>
              </w:rPr>
            </w:pPr>
            <w:r>
              <w:rPr>
                <w:rFonts w:ascii="Arial" w:cs="Arial" w:eastAsia="Arial" w:hAnsi="Arial"/>
                <w:sz w:val="12"/>
                <w:szCs w:val="12"/>
                <w:color w:val="auto"/>
              </w:rPr>
              <w:t>Operating</w:t>
            </w:r>
          </w:p>
        </w:tc>
        <w:tc>
          <w:tcPr>
            <w:tcW w:w="3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960" w:type="dxa"/>
            <w:vAlign w:val="bottom"/>
          </w:tcPr>
          <w:p>
            <w:pPr>
              <w:jc w:val="right"/>
              <w:ind w:right="60"/>
              <w:spacing w:after="0"/>
              <w:rPr>
                <w:sz w:val="20"/>
                <w:szCs w:val="20"/>
                <w:color w:val="auto"/>
              </w:rPr>
            </w:pPr>
            <w:r>
              <w:rPr>
                <w:rFonts w:ascii="Arial" w:cs="Arial" w:eastAsia="Arial" w:hAnsi="Arial"/>
                <w:sz w:val="12"/>
                <w:szCs w:val="12"/>
                <w:color w:val="auto"/>
              </w:rPr>
              <w:t>112,263</w:t>
            </w:r>
          </w:p>
        </w:tc>
      </w:tr>
      <w:tr>
        <w:trPr>
          <w:trHeight w:val="180"/>
        </w:trPr>
        <w:tc>
          <w:tcPr>
            <w:tcW w:w="91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Finance</w:t>
            </w:r>
          </w:p>
        </w:tc>
        <w:tc>
          <w:tcPr>
            <w:tcW w:w="340" w:type="dxa"/>
            <w:vAlign w:val="bottom"/>
            <w:tcBorders>
              <w:bottom w:val="single" w:sz="8" w:color="auto"/>
            </w:tcBorders>
            <w:shd w:val="clear" w:color="auto" w:fill="CCEEFF"/>
          </w:tcPr>
          <w:p>
            <w:pPr>
              <w:spacing w:after="0"/>
              <w:rPr>
                <w:sz w:val="15"/>
                <w:szCs w:val="15"/>
                <w:color w:val="auto"/>
              </w:rPr>
            </w:pPr>
          </w:p>
        </w:tc>
        <w:tc>
          <w:tcPr>
            <w:tcW w:w="1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328,519</w:t>
            </w:r>
          </w:p>
        </w:tc>
      </w:tr>
      <w:tr>
        <w:trPr>
          <w:trHeight w:val="172"/>
        </w:trPr>
        <w:tc>
          <w:tcPr>
            <w:tcW w:w="918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Total right-of-use assets</w:t>
            </w:r>
          </w:p>
        </w:tc>
        <w:tc>
          <w:tcPr>
            <w:tcW w:w="34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w:t>
            </w:r>
          </w:p>
        </w:tc>
        <w:tc>
          <w:tcPr>
            <w:tcW w:w="1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440,782</w:t>
            </w:r>
          </w:p>
        </w:tc>
      </w:tr>
      <w:tr>
        <w:trPr>
          <w:trHeight w:val="216"/>
        </w:trPr>
        <w:tc>
          <w:tcPr>
            <w:tcW w:w="9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176"/>
        </w:trPr>
        <w:tc>
          <w:tcPr>
            <w:tcW w:w="9180" w:type="dxa"/>
            <w:vAlign w:val="bottom"/>
          </w:tcPr>
          <w:p>
            <w:pPr>
              <w:ind w:left="20"/>
              <w:spacing w:after="0"/>
              <w:rPr>
                <w:sz w:val="20"/>
                <w:szCs w:val="20"/>
                <w:color w:val="auto"/>
              </w:rPr>
            </w:pPr>
            <w:r>
              <w:rPr>
                <w:rFonts w:ascii="Arial" w:cs="Arial" w:eastAsia="Arial" w:hAnsi="Arial"/>
                <w:sz w:val="12"/>
                <w:szCs w:val="12"/>
                <w:b w:val="1"/>
                <w:bCs w:val="1"/>
                <w:color w:val="auto"/>
              </w:rPr>
              <w:t>Lease liabilities:</w:t>
            </w:r>
          </w:p>
        </w:tc>
        <w:tc>
          <w:tcPr>
            <w:tcW w:w="34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85"/>
        </w:trPr>
        <w:tc>
          <w:tcPr>
            <w:tcW w:w="9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Current:</w:t>
            </w:r>
          </w:p>
        </w:tc>
        <w:tc>
          <w:tcPr>
            <w:tcW w:w="34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r>
      <w:tr>
        <w:trPr>
          <w:trHeight w:val="176"/>
        </w:trPr>
        <w:tc>
          <w:tcPr>
            <w:tcW w:w="9180" w:type="dxa"/>
            <w:vAlign w:val="bottom"/>
          </w:tcPr>
          <w:p>
            <w:pPr>
              <w:ind w:left="180"/>
              <w:spacing w:after="0"/>
              <w:rPr>
                <w:sz w:val="20"/>
                <w:szCs w:val="20"/>
                <w:color w:val="auto"/>
              </w:rPr>
            </w:pPr>
            <w:r>
              <w:rPr>
                <w:rFonts w:ascii="Arial" w:cs="Arial" w:eastAsia="Arial" w:hAnsi="Arial"/>
                <w:sz w:val="12"/>
                <w:szCs w:val="12"/>
                <w:color w:val="auto"/>
              </w:rPr>
              <w:t>Operating</w:t>
            </w:r>
          </w:p>
        </w:tc>
        <w:tc>
          <w:tcPr>
            <w:tcW w:w="340" w:type="dxa"/>
            <w:vAlign w:val="bottom"/>
          </w:tcPr>
          <w:p>
            <w:pPr>
              <w:jc w:val="right"/>
              <w:ind w:right="180"/>
              <w:spacing w:after="0"/>
              <w:rPr>
                <w:sz w:val="20"/>
                <w:szCs w:val="20"/>
                <w:color w:val="auto"/>
              </w:rPr>
            </w:pPr>
            <w:r>
              <w:rPr>
                <w:rFonts w:ascii="Arial" w:cs="Arial" w:eastAsia="Arial" w:hAnsi="Arial"/>
                <w:sz w:val="12"/>
                <w:szCs w:val="12"/>
                <w:color w:val="auto"/>
              </w:rPr>
              <w:t>$</w:t>
            </w:r>
          </w:p>
        </w:tc>
        <w:tc>
          <w:tcPr>
            <w:tcW w:w="1960" w:type="dxa"/>
            <w:vAlign w:val="bottom"/>
          </w:tcPr>
          <w:p>
            <w:pPr>
              <w:jc w:val="right"/>
              <w:ind w:right="60"/>
              <w:spacing w:after="0"/>
              <w:rPr>
                <w:sz w:val="20"/>
                <w:szCs w:val="20"/>
                <w:color w:val="auto"/>
              </w:rPr>
            </w:pPr>
            <w:r>
              <w:rPr>
                <w:rFonts w:ascii="Arial" w:cs="Arial" w:eastAsia="Arial" w:hAnsi="Arial"/>
                <w:sz w:val="12"/>
                <w:szCs w:val="12"/>
                <w:color w:val="auto"/>
              </w:rPr>
              <w:t>15,394</w:t>
            </w:r>
          </w:p>
        </w:tc>
      </w:tr>
      <w:tr>
        <w:trPr>
          <w:trHeight w:val="185"/>
        </w:trPr>
        <w:tc>
          <w:tcPr>
            <w:tcW w:w="91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Finance</w:t>
            </w:r>
          </w:p>
        </w:tc>
        <w:tc>
          <w:tcPr>
            <w:tcW w:w="340" w:type="dxa"/>
            <w:vAlign w:val="bottom"/>
            <w:shd w:val="clear" w:color="auto" w:fill="CCEEFF"/>
          </w:tcPr>
          <w:p>
            <w:pPr>
              <w:spacing w:after="0"/>
              <w:rPr>
                <w:sz w:val="16"/>
                <w:szCs w:val="16"/>
                <w:color w:val="auto"/>
              </w:rPr>
            </w:pPr>
          </w:p>
        </w:tc>
        <w:tc>
          <w:tcPr>
            <w:tcW w:w="1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407</w:t>
            </w:r>
          </w:p>
        </w:tc>
      </w:tr>
      <w:tr>
        <w:trPr>
          <w:trHeight w:val="176"/>
        </w:trPr>
        <w:tc>
          <w:tcPr>
            <w:tcW w:w="9180" w:type="dxa"/>
            <w:vAlign w:val="bottom"/>
          </w:tcPr>
          <w:p>
            <w:pPr>
              <w:ind w:left="20"/>
              <w:spacing w:after="0"/>
              <w:rPr>
                <w:sz w:val="20"/>
                <w:szCs w:val="20"/>
                <w:color w:val="auto"/>
              </w:rPr>
            </w:pPr>
            <w:r>
              <w:rPr>
                <w:rFonts w:ascii="Arial" w:cs="Arial" w:eastAsia="Arial" w:hAnsi="Arial"/>
                <w:sz w:val="12"/>
                <w:szCs w:val="12"/>
                <w:color w:val="auto"/>
              </w:rPr>
              <w:t>Noncurrent:</w:t>
            </w:r>
          </w:p>
        </w:tc>
        <w:tc>
          <w:tcPr>
            <w:tcW w:w="34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85"/>
        </w:trPr>
        <w:tc>
          <w:tcPr>
            <w:tcW w:w="91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Operating</w:t>
            </w:r>
          </w:p>
        </w:tc>
        <w:tc>
          <w:tcPr>
            <w:tcW w:w="340" w:type="dxa"/>
            <w:vAlign w:val="bottom"/>
            <w:shd w:val="clear" w:color="auto" w:fill="CCEEFF"/>
          </w:tcPr>
          <w:p>
            <w:pPr>
              <w:spacing w:after="0"/>
              <w:rPr>
                <w:sz w:val="16"/>
                <w:szCs w:val="16"/>
                <w:color w:val="auto"/>
              </w:rPr>
            </w:pPr>
          </w:p>
        </w:tc>
        <w:tc>
          <w:tcPr>
            <w:tcW w:w="1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94,332</w:t>
            </w:r>
          </w:p>
        </w:tc>
      </w:tr>
      <w:tr>
        <w:trPr>
          <w:trHeight w:val="176"/>
        </w:trPr>
        <w:tc>
          <w:tcPr>
            <w:tcW w:w="91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Finance</w:t>
            </w:r>
          </w:p>
        </w:tc>
        <w:tc>
          <w:tcPr>
            <w:tcW w:w="3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793</w:t>
            </w:r>
          </w:p>
        </w:tc>
      </w:tr>
      <w:tr>
        <w:trPr>
          <w:trHeight w:val="172"/>
        </w:trPr>
        <w:tc>
          <w:tcPr>
            <w:tcW w:w="9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Total lease liabilities</w:t>
            </w:r>
          </w:p>
        </w:tc>
        <w:tc>
          <w:tcPr>
            <w:tcW w:w="3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110,926</w:t>
            </w:r>
          </w:p>
        </w:tc>
      </w:tr>
    </w:tbl>
    <w:p>
      <w:pPr>
        <w:spacing w:after="0" w:line="288"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As of September 30, 2019, we have prepaid our obligations regarding most of our finance right-of-use assets. Finance lease assets from our continuing operations that have a corresponding liability are reported net of accumulated amortization of $50.9 million as of September 30, 2019.</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tables detail components of lease cost and weighted average lease terms and discount rates for operating leases and finance leases from our continuing operations (amounts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00" w:type="dxa"/>
            <w:vAlign w:val="bottom"/>
            <w:gridSpan w:val="2"/>
          </w:tcPr>
          <w:p>
            <w:pPr>
              <w:ind w:left="60"/>
              <w:spacing w:after="0"/>
              <w:rPr>
                <w:sz w:val="20"/>
                <w:szCs w:val="20"/>
                <w:color w:val="auto"/>
              </w:rPr>
            </w:pPr>
            <w:r>
              <w:rPr>
                <w:rFonts w:ascii="Arial" w:cs="Arial" w:eastAsia="Arial" w:hAnsi="Arial"/>
                <w:sz w:val="12"/>
                <w:szCs w:val="12"/>
                <w:b w:val="1"/>
                <w:bCs w:val="1"/>
                <w:color w:val="auto"/>
              </w:rPr>
              <w:t>For the three months ended September 30, 2019</w:t>
            </w:r>
          </w:p>
        </w:tc>
        <w:tc>
          <w:tcPr>
            <w:tcW w:w="140" w:type="dxa"/>
            <w:vAlign w:val="bottom"/>
          </w:tcPr>
          <w:p>
            <w:pPr>
              <w:spacing w:after="0"/>
              <w:rPr>
                <w:sz w:val="14"/>
                <w:szCs w:val="14"/>
                <w:color w:val="auto"/>
              </w:rPr>
            </w:pPr>
          </w:p>
        </w:tc>
        <w:tc>
          <w:tcPr>
            <w:tcW w:w="2940" w:type="dxa"/>
            <w:vAlign w:val="bottom"/>
          </w:tcPr>
          <w:p>
            <w:pPr>
              <w:jc w:val="right"/>
              <w:ind w:right="140"/>
              <w:spacing w:after="0"/>
              <w:rPr>
                <w:sz w:val="20"/>
                <w:szCs w:val="20"/>
                <w:color w:val="auto"/>
              </w:rPr>
            </w:pPr>
            <w:r>
              <w:rPr>
                <w:rFonts w:ascii="Arial" w:cs="Arial" w:eastAsia="Arial" w:hAnsi="Arial"/>
                <w:sz w:val="12"/>
                <w:szCs w:val="12"/>
                <w:b w:val="1"/>
                <w:bCs w:val="1"/>
                <w:color w:val="auto"/>
              </w:rPr>
              <w:t>For the nine months ended September 30, 2019</w:t>
            </w:r>
          </w:p>
        </w:tc>
      </w:tr>
      <w:tr>
        <w:trPr>
          <w:trHeight w:val="210"/>
        </w:trPr>
        <w:tc>
          <w:tcPr>
            <w:tcW w:w="5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tcPr>
          <w:p>
            <w:pPr>
              <w:spacing w:after="0"/>
              <w:rPr>
                <w:sz w:val="18"/>
                <w:szCs w:val="18"/>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Lease cost:</w:t>
            </w:r>
          </w:p>
        </w:tc>
        <w:tc>
          <w:tcPr>
            <w:tcW w:w="12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r>
      <w:tr>
        <w:trPr>
          <w:trHeight w:val="176"/>
        </w:trPr>
        <w:tc>
          <w:tcPr>
            <w:tcW w:w="5180" w:type="dxa"/>
            <w:vAlign w:val="bottom"/>
          </w:tcPr>
          <w:p>
            <w:pPr>
              <w:ind w:left="180"/>
              <w:spacing w:after="0"/>
              <w:rPr>
                <w:sz w:val="20"/>
                <w:szCs w:val="20"/>
                <w:color w:val="auto"/>
              </w:rPr>
            </w:pPr>
            <w:r>
              <w:rPr>
                <w:rFonts w:ascii="Arial" w:cs="Arial" w:eastAsia="Arial" w:hAnsi="Arial"/>
                <w:sz w:val="12"/>
                <w:szCs w:val="12"/>
                <w:color w:val="auto"/>
              </w:rPr>
              <w:t>Operating lease cost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2980" w:type="dxa"/>
            <w:vAlign w:val="bottom"/>
          </w:tcPr>
          <w:p>
            <w:pPr>
              <w:jc w:val="right"/>
              <w:ind w:right="60"/>
              <w:spacing w:after="0"/>
              <w:rPr>
                <w:sz w:val="20"/>
                <w:szCs w:val="20"/>
                <w:color w:val="auto"/>
              </w:rPr>
            </w:pPr>
            <w:r>
              <w:rPr>
                <w:rFonts w:ascii="Arial" w:cs="Arial" w:eastAsia="Arial" w:hAnsi="Arial"/>
                <w:sz w:val="12"/>
                <w:szCs w:val="12"/>
                <w:color w:val="auto"/>
              </w:rPr>
              <w:t>6,078</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2940" w:type="dxa"/>
            <w:vAlign w:val="bottom"/>
          </w:tcPr>
          <w:p>
            <w:pPr>
              <w:jc w:val="right"/>
              <w:ind w:right="60"/>
              <w:spacing w:after="0"/>
              <w:rPr>
                <w:sz w:val="20"/>
                <w:szCs w:val="20"/>
                <w:color w:val="auto"/>
              </w:rPr>
            </w:pPr>
            <w:r>
              <w:rPr>
                <w:rFonts w:ascii="Arial" w:cs="Arial" w:eastAsia="Arial" w:hAnsi="Arial"/>
                <w:sz w:val="12"/>
                <w:szCs w:val="12"/>
                <w:color w:val="auto"/>
              </w:rPr>
              <w:t>18,355</w:t>
            </w:r>
          </w:p>
        </w:tc>
      </w:tr>
      <w:tr>
        <w:trPr>
          <w:trHeight w:val="185"/>
        </w:trPr>
        <w:tc>
          <w:tcPr>
            <w:tcW w:w="51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Finance lease cost:</w:t>
            </w:r>
          </w:p>
        </w:tc>
        <w:tc>
          <w:tcPr>
            <w:tcW w:w="120" w:type="dxa"/>
            <w:vAlign w:val="bottom"/>
            <w:shd w:val="clear" w:color="auto" w:fill="CCEEFF"/>
          </w:tcPr>
          <w:p>
            <w:pPr>
              <w:spacing w:after="0"/>
              <w:rPr>
                <w:sz w:val="16"/>
                <w:szCs w:val="16"/>
                <w:color w:val="auto"/>
              </w:rPr>
            </w:pPr>
          </w:p>
        </w:tc>
        <w:tc>
          <w:tcPr>
            <w:tcW w:w="2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940" w:type="dxa"/>
            <w:vAlign w:val="bottom"/>
            <w:shd w:val="clear" w:color="auto" w:fill="CCEEFF"/>
          </w:tcPr>
          <w:p>
            <w:pPr>
              <w:spacing w:after="0"/>
              <w:rPr>
                <w:sz w:val="16"/>
                <w:szCs w:val="16"/>
                <w:color w:val="auto"/>
              </w:rPr>
            </w:pPr>
          </w:p>
        </w:tc>
      </w:tr>
      <w:tr>
        <w:trPr>
          <w:trHeight w:val="176"/>
        </w:trPr>
        <w:tc>
          <w:tcPr>
            <w:tcW w:w="5180" w:type="dxa"/>
            <w:vAlign w:val="bottom"/>
          </w:tcPr>
          <w:p>
            <w:pPr>
              <w:ind w:left="320"/>
              <w:spacing w:after="0"/>
              <w:rPr>
                <w:sz w:val="20"/>
                <w:szCs w:val="20"/>
                <w:color w:val="auto"/>
              </w:rPr>
            </w:pPr>
            <w:r>
              <w:rPr>
                <w:rFonts w:ascii="Arial" w:cs="Arial" w:eastAsia="Arial" w:hAnsi="Arial"/>
                <w:sz w:val="12"/>
                <w:szCs w:val="12"/>
                <w:color w:val="auto"/>
              </w:rPr>
              <w:t>Amortization of right-of-use assets</w:t>
            </w:r>
          </w:p>
        </w:tc>
        <w:tc>
          <w:tcPr>
            <w:tcW w:w="120" w:type="dxa"/>
            <w:vAlign w:val="bottom"/>
          </w:tcPr>
          <w:p>
            <w:pPr>
              <w:spacing w:after="0"/>
              <w:rPr>
                <w:sz w:val="15"/>
                <w:szCs w:val="15"/>
                <w:color w:val="auto"/>
              </w:rPr>
            </w:pPr>
          </w:p>
        </w:tc>
        <w:tc>
          <w:tcPr>
            <w:tcW w:w="2980" w:type="dxa"/>
            <w:vAlign w:val="bottom"/>
          </w:tcPr>
          <w:p>
            <w:pPr>
              <w:jc w:val="right"/>
              <w:ind w:right="60"/>
              <w:spacing w:after="0"/>
              <w:rPr>
                <w:sz w:val="20"/>
                <w:szCs w:val="20"/>
                <w:color w:val="auto"/>
              </w:rPr>
            </w:pPr>
            <w:r>
              <w:rPr>
                <w:rFonts w:ascii="Arial" w:cs="Arial" w:eastAsia="Arial" w:hAnsi="Arial"/>
                <w:sz w:val="12"/>
                <w:szCs w:val="12"/>
                <w:color w:val="auto"/>
              </w:rPr>
              <w:t>6,506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tcPr>
          <w:p>
            <w:pPr>
              <w:jc w:val="right"/>
              <w:ind w:right="60"/>
              <w:spacing w:after="0"/>
              <w:rPr>
                <w:sz w:val="20"/>
                <w:szCs w:val="20"/>
                <w:color w:val="auto"/>
              </w:rPr>
            </w:pPr>
            <w:r>
              <w:rPr>
                <w:rFonts w:ascii="Arial" w:cs="Arial" w:eastAsia="Arial" w:hAnsi="Arial"/>
                <w:sz w:val="12"/>
                <w:szCs w:val="12"/>
                <w:color w:val="auto"/>
              </w:rPr>
              <w:t>19,656</w:t>
            </w:r>
          </w:p>
        </w:tc>
      </w:tr>
      <w:tr>
        <w:trPr>
          <w:trHeight w:val="185"/>
        </w:trPr>
        <w:tc>
          <w:tcPr>
            <w:tcW w:w="51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Interest on lease liabilities</w:t>
            </w:r>
          </w:p>
        </w:tc>
        <w:tc>
          <w:tcPr>
            <w:tcW w:w="120" w:type="dxa"/>
            <w:vAlign w:val="bottom"/>
            <w:shd w:val="clear" w:color="auto" w:fill="CCEEFF"/>
          </w:tcPr>
          <w:p>
            <w:pPr>
              <w:spacing w:after="0"/>
              <w:rPr>
                <w:sz w:val="16"/>
                <w:szCs w:val="16"/>
                <w:color w:val="auto"/>
              </w:rPr>
            </w:pPr>
          </w:p>
        </w:tc>
        <w:tc>
          <w:tcPr>
            <w:tcW w:w="2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135</w:t>
            </w:r>
          </w:p>
        </w:tc>
      </w:tr>
      <w:tr>
        <w:trPr>
          <w:trHeight w:val="176"/>
        </w:trPr>
        <w:tc>
          <w:tcPr>
            <w:tcW w:w="5180" w:type="dxa"/>
            <w:vAlign w:val="bottom"/>
          </w:tcPr>
          <w:p>
            <w:pPr>
              <w:ind w:left="180"/>
              <w:spacing w:after="0"/>
              <w:rPr>
                <w:sz w:val="20"/>
                <w:szCs w:val="20"/>
                <w:color w:val="auto"/>
              </w:rPr>
            </w:pPr>
            <w:r>
              <w:rPr>
                <w:rFonts w:ascii="Arial" w:cs="Arial" w:eastAsia="Arial" w:hAnsi="Arial"/>
                <w:sz w:val="12"/>
                <w:szCs w:val="12"/>
                <w:color w:val="auto"/>
              </w:rPr>
              <w:t>Short-term lease cost</w:t>
            </w:r>
          </w:p>
        </w:tc>
        <w:tc>
          <w:tcPr>
            <w:tcW w:w="120" w:type="dxa"/>
            <w:vAlign w:val="bottom"/>
          </w:tcPr>
          <w:p>
            <w:pPr>
              <w:spacing w:after="0"/>
              <w:rPr>
                <w:sz w:val="15"/>
                <w:szCs w:val="15"/>
                <w:color w:val="auto"/>
              </w:rPr>
            </w:pPr>
          </w:p>
        </w:tc>
        <w:tc>
          <w:tcPr>
            <w:tcW w:w="2980" w:type="dxa"/>
            <w:vAlign w:val="bottom"/>
          </w:tcPr>
          <w:p>
            <w:pPr>
              <w:jc w:val="right"/>
              <w:ind w:right="60"/>
              <w:spacing w:after="0"/>
              <w:rPr>
                <w:sz w:val="20"/>
                <w:szCs w:val="20"/>
                <w:color w:val="auto"/>
              </w:rPr>
            </w:pPr>
            <w:r>
              <w:rPr>
                <w:rFonts w:ascii="Arial" w:cs="Arial" w:eastAsia="Arial" w:hAnsi="Arial"/>
                <w:sz w:val="12"/>
                <w:szCs w:val="12"/>
                <w:color w:val="auto"/>
              </w:rPr>
              <w:t>105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40" w:type="dxa"/>
            <w:vAlign w:val="bottom"/>
          </w:tcPr>
          <w:p>
            <w:pPr>
              <w:jc w:val="right"/>
              <w:ind w:right="60"/>
              <w:spacing w:after="0"/>
              <w:rPr>
                <w:sz w:val="20"/>
                <w:szCs w:val="20"/>
                <w:color w:val="auto"/>
              </w:rPr>
            </w:pPr>
            <w:r>
              <w:rPr>
                <w:rFonts w:ascii="Arial" w:cs="Arial" w:eastAsia="Arial" w:hAnsi="Arial"/>
                <w:sz w:val="12"/>
                <w:szCs w:val="12"/>
                <w:color w:val="auto"/>
              </w:rPr>
              <w:t>381</w:t>
            </w:r>
          </w:p>
        </w:tc>
      </w:tr>
      <w:tr>
        <w:trPr>
          <w:trHeight w:val="180"/>
        </w:trPr>
        <w:tc>
          <w:tcPr>
            <w:tcW w:w="51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Variable lease cost</w:t>
            </w:r>
          </w:p>
        </w:tc>
        <w:tc>
          <w:tcPr>
            <w:tcW w:w="120" w:type="dxa"/>
            <w:vAlign w:val="bottom"/>
            <w:tcBorders>
              <w:bottom w:val="single" w:sz="8" w:color="auto"/>
            </w:tcBorders>
            <w:shd w:val="clear" w:color="auto" w:fill="CCEEFF"/>
          </w:tcPr>
          <w:p>
            <w:pPr>
              <w:spacing w:after="0"/>
              <w:rPr>
                <w:sz w:val="15"/>
                <w:szCs w:val="15"/>
                <w:color w:val="auto"/>
              </w:rPr>
            </w:pPr>
          </w:p>
        </w:tc>
        <w:tc>
          <w:tcPr>
            <w:tcW w:w="2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2,426</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2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5,818</w:t>
            </w:r>
          </w:p>
        </w:tc>
      </w:tr>
      <w:tr>
        <w:trPr>
          <w:trHeight w:val="172"/>
        </w:trPr>
        <w:tc>
          <w:tcPr>
            <w:tcW w:w="5180" w:type="dxa"/>
            <w:vAlign w:val="bottom"/>
          </w:tcPr>
          <w:p>
            <w:pPr>
              <w:ind w:left="460"/>
              <w:spacing w:after="0"/>
              <w:rPr>
                <w:sz w:val="20"/>
                <w:szCs w:val="20"/>
                <w:color w:val="auto"/>
              </w:rPr>
            </w:pPr>
            <w:r>
              <w:rPr>
                <w:rFonts w:ascii="Arial" w:cs="Arial" w:eastAsia="Arial" w:hAnsi="Arial"/>
                <w:sz w:val="12"/>
                <w:szCs w:val="12"/>
                <w:color w:val="auto"/>
              </w:rPr>
              <w:t>Total lease cost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2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15,161</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2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44,345</w:t>
            </w:r>
          </w:p>
        </w:tc>
      </w:tr>
      <w:tr>
        <w:trPr>
          <w:trHeight w:val="306"/>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tcPr>
          <w:p>
            <w:pPr>
              <w:jc w:val="right"/>
              <w:ind w:right="2420"/>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tcPr>
          <w:p>
            <w:pPr>
              <w:spacing w:after="0"/>
              <w:rPr>
                <w:sz w:val="24"/>
                <w:szCs w:val="24"/>
                <w:color w:val="auto"/>
              </w:rPr>
            </w:pPr>
          </w:p>
        </w:tc>
      </w:tr>
    </w:tbl>
    <w:p>
      <w:pPr>
        <w:sectPr>
          <w:pgSz w:w="11900" w:h="16838" w:orient="portrait"/>
          <w:cols w:equalWidth="0" w:num="1">
            <w:col w:w="11480"/>
          </w:cols>
          <w:pgMar w:left="220" w:top="140" w:right="199" w:bottom="1440" w:gutter="0" w:footer="0" w:header="0"/>
        </w:sectPr>
      </w:pPr>
    </w:p>
    <w:bookmarkStart w:id="18" w:name="page19"/>
    <w:bookmarkEnd w:id="18"/>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bl>
      <w:tblPr>
        <w:tblLayout w:type="fixed"/>
        <w:tblInd w:w="0" w:type="dxa"/>
        <w:tblCellMar>
          <w:top w:w="0" w:type="dxa"/>
          <w:left w:w="0" w:type="dxa"/>
          <w:bottom w:w="0" w:type="dxa"/>
          <w:right w:w="0" w:type="dxa"/>
        </w:tblCellMar>
      </w:tblPr>
      <w:tr>
        <w:trPr>
          <w:trHeight w:val="137"/>
        </w:trPr>
        <w:tc>
          <w:tcPr>
            <w:tcW w:w="20" w:type="dxa"/>
            <w:vAlign w:val="bottom"/>
            <w:tcBorders>
              <w:top w:val="single" w:sz="8" w:color="0000EE"/>
            </w:tcBorders>
          </w:tcPr>
          <w:p>
            <w:pPr>
              <w:spacing w:after="0"/>
              <w:rPr>
                <w:sz w:val="11"/>
                <w:szCs w:val="11"/>
                <w:color w:val="auto"/>
              </w:rPr>
            </w:pPr>
          </w:p>
        </w:tc>
        <w:tc>
          <w:tcPr>
            <w:tcW w:w="780" w:type="dxa"/>
            <w:vAlign w:val="bottom"/>
            <w:tcBorders>
              <w:top w:val="single" w:sz="8" w:color="0000EE"/>
            </w:tcBorders>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720" w:type="dxa"/>
            <w:vAlign w:val="bottom"/>
          </w:tcPr>
          <w:p>
            <w:pPr>
              <w:spacing w:after="0"/>
              <w:rPr>
                <w:sz w:val="11"/>
                <w:szCs w:val="11"/>
                <w:color w:val="auto"/>
              </w:rPr>
            </w:pPr>
          </w:p>
        </w:tc>
        <w:tc>
          <w:tcPr>
            <w:tcW w:w="4140" w:type="dxa"/>
            <w:vAlign w:val="bottom"/>
            <w:gridSpan w:val="2"/>
          </w:tcPr>
          <w:p>
            <w:pPr>
              <w:jc w:val="center"/>
              <w:spacing w:after="0" w:line="137" w:lineRule="exact"/>
              <w:rPr>
                <w:sz w:val="20"/>
                <w:szCs w:val="20"/>
                <w:color w:val="auto"/>
              </w:rPr>
            </w:pPr>
            <w:r>
              <w:rPr>
                <w:rFonts w:ascii="Arial" w:cs="Arial" w:eastAsia="Arial" w:hAnsi="Arial"/>
                <w:sz w:val="12"/>
                <w:szCs w:val="12"/>
                <w:b w:val="1"/>
                <w:bCs w:val="1"/>
                <w:color w:val="auto"/>
                <w:w w:val="98"/>
              </w:rPr>
              <w:t>ECHOSTAR CORPORATION</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14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NOTES TO CONDENSED CONSOLIDATED FINANCIAL STATEMENTS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600" w:type="dxa"/>
            <w:vAlign w:val="bottom"/>
          </w:tcPr>
          <w:p>
            <w:pPr>
              <w:jc w:val="center"/>
              <w:ind w:right="1440"/>
              <w:spacing w:after="0"/>
              <w:rPr>
                <w:sz w:val="20"/>
                <w:szCs w:val="20"/>
                <w:color w:val="auto"/>
              </w:rPr>
            </w:pPr>
            <w:r>
              <w:rPr>
                <w:rFonts w:ascii="Arial" w:cs="Arial" w:eastAsia="Arial" w:hAnsi="Arial"/>
                <w:sz w:val="12"/>
                <w:szCs w:val="12"/>
                <w:b w:val="1"/>
                <w:bCs w:val="1"/>
                <w:color w:val="auto"/>
                <w:w w:val="98"/>
              </w:rPr>
              <w:t>(Unaudited)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91"/>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gridSpan w:val="2"/>
          </w:tcPr>
          <w:p>
            <w:pPr>
              <w:jc w:val="right"/>
              <w:ind w:right="1880"/>
              <w:spacing w:after="0"/>
              <w:rPr>
                <w:sz w:val="20"/>
                <w:szCs w:val="20"/>
                <w:color w:val="auto"/>
              </w:rPr>
            </w:pPr>
            <w:r>
              <w:rPr>
                <w:rFonts w:ascii="Arial" w:cs="Arial" w:eastAsia="Arial" w:hAnsi="Arial"/>
                <w:sz w:val="12"/>
                <w:szCs w:val="12"/>
                <w:b w:val="1"/>
                <w:bCs w:val="1"/>
                <w:color w:val="auto"/>
              </w:rPr>
              <w:t>As of</w:t>
            </w:r>
          </w:p>
        </w:tc>
      </w:tr>
      <w:tr>
        <w:trPr>
          <w:trHeight w:val="163"/>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gridSpan w:val="2"/>
          </w:tcPr>
          <w:p>
            <w:pPr>
              <w:jc w:val="right"/>
              <w:ind w:right="1480"/>
              <w:spacing w:after="0"/>
              <w:rPr>
                <w:sz w:val="20"/>
                <w:szCs w:val="20"/>
                <w:color w:val="auto"/>
              </w:rPr>
            </w:pPr>
            <w:r>
              <w:rPr>
                <w:rFonts w:ascii="Arial" w:cs="Arial" w:eastAsia="Arial" w:hAnsi="Arial"/>
                <w:sz w:val="12"/>
                <w:szCs w:val="12"/>
                <w:b w:val="1"/>
                <w:bCs w:val="1"/>
                <w:color w:val="auto"/>
              </w:rPr>
              <w:t>September 30, 2019</w:t>
            </w:r>
          </w:p>
        </w:tc>
      </w:tr>
      <w:tr>
        <w:trPr>
          <w:trHeight w:val="210"/>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tcPr>
          <w:p>
            <w:pPr>
              <w:spacing w:after="0"/>
              <w:rPr>
                <w:sz w:val="18"/>
                <w:szCs w:val="18"/>
                <w:color w:val="auto"/>
              </w:rPr>
            </w:pPr>
          </w:p>
        </w:tc>
        <w:tc>
          <w:tcPr>
            <w:tcW w:w="780" w:type="dxa"/>
            <w:vAlign w:val="bottom"/>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Lease term and discount rate:</w:t>
            </w:r>
          </w:p>
        </w:tc>
        <w:tc>
          <w:tcPr>
            <w:tcW w:w="154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40" w:type="dxa"/>
            <w:vAlign w:val="bottom"/>
            <w:gridSpan w:val="2"/>
          </w:tcPr>
          <w:p>
            <w:pPr>
              <w:ind w:left="20"/>
              <w:spacing w:after="0"/>
              <w:rPr>
                <w:sz w:val="20"/>
                <w:szCs w:val="20"/>
                <w:color w:val="auto"/>
              </w:rPr>
            </w:pPr>
            <w:r>
              <w:rPr>
                <w:rFonts w:ascii="Arial" w:cs="Arial" w:eastAsia="Arial" w:hAnsi="Arial"/>
                <w:sz w:val="12"/>
                <w:szCs w:val="12"/>
                <w:color w:val="auto"/>
              </w:rPr>
              <w:t>Weighted average remaining lease term (in years):</w:t>
            </w:r>
          </w:p>
        </w:tc>
        <w:tc>
          <w:tcPr>
            <w:tcW w:w="15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720" w:type="dxa"/>
            <w:vAlign w:val="bottom"/>
            <w:shd w:val="clear" w:color="auto" w:fill="CCEEFF"/>
          </w:tcPr>
          <w:p>
            <w:pPr>
              <w:ind w:left="60"/>
              <w:spacing w:after="0"/>
              <w:rPr>
                <w:sz w:val="20"/>
                <w:szCs w:val="20"/>
                <w:color w:val="auto"/>
              </w:rPr>
            </w:pPr>
            <w:r>
              <w:rPr>
                <w:rFonts w:ascii="Arial" w:cs="Arial" w:eastAsia="Arial" w:hAnsi="Arial"/>
                <w:sz w:val="12"/>
                <w:szCs w:val="12"/>
                <w:color w:val="auto"/>
              </w:rPr>
              <w:t>Finance leases</w:t>
            </w:r>
          </w:p>
        </w:tc>
        <w:tc>
          <w:tcPr>
            <w:tcW w:w="154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1.90</w:t>
            </w:r>
          </w:p>
        </w:tc>
        <w:tc>
          <w:tcPr>
            <w:tcW w:w="78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20" w:type="dxa"/>
            <w:vAlign w:val="bottom"/>
          </w:tcPr>
          <w:p>
            <w:pPr>
              <w:ind w:left="60"/>
              <w:spacing w:after="0"/>
              <w:rPr>
                <w:sz w:val="20"/>
                <w:szCs w:val="20"/>
                <w:color w:val="auto"/>
              </w:rPr>
            </w:pPr>
            <w:r>
              <w:rPr>
                <w:rFonts w:ascii="Arial" w:cs="Arial" w:eastAsia="Arial" w:hAnsi="Arial"/>
                <w:sz w:val="12"/>
                <w:szCs w:val="12"/>
                <w:color w:val="auto"/>
              </w:rPr>
              <w:t>Operating leases</w:t>
            </w:r>
          </w:p>
        </w:tc>
        <w:tc>
          <w:tcPr>
            <w:tcW w:w="15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tcPr>
          <w:p>
            <w:pPr>
              <w:jc w:val="right"/>
              <w:ind w:right="80"/>
              <w:spacing w:after="0"/>
              <w:rPr>
                <w:sz w:val="20"/>
                <w:szCs w:val="20"/>
                <w:color w:val="auto"/>
              </w:rPr>
            </w:pPr>
            <w:r>
              <w:rPr>
                <w:rFonts w:ascii="Arial" w:cs="Arial" w:eastAsia="Arial" w:hAnsi="Arial"/>
                <w:sz w:val="12"/>
                <w:szCs w:val="12"/>
                <w:color w:val="auto"/>
              </w:rPr>
              <w:t>10.09</w:t>
            </w:r>
          </w:p>
        </w:tc>
        <w:tc>
          <w:tcPr>
            <w:tcW w:w="78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78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40" w:type="dxa"/>
            <w:vAlign w:val="bottom"/>
            <w:gridSpan w:val="2"/>
          </w:tcPr>
          <w:p>
            <w:pPr>
              <w:ind w:left="20"/>
              <w:spacing w:after="0"/>
              <w:rPr>
                <w:sz w:val="20"/>
                <w:szCs w:val="20"/>
                <w:color w:val="auto"/>
              </w:rPr>
            </w:pPr>
            <w:r>
              <w:rPr>
                <w:rFonts w:ascii="Arial" w:cs="Arial" w:eastAsia="Arial" w:hAnsi="Arial"/>
                <w:sz w:val="12"/>
                <w:szCs w:val="12"/>
                <w:color w:val="auto"/>
              </w:rPr>
              <w:t>Weighted average discount rate:</w:t>
            </w:r>
          </w:p>
        </w:tc>
        <w:tc>
          <w:tcPr>
            <w:tcW w:w="15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720" w:type="dxa"/>
            <w:vAlign w:val="bottom"/>
            <w:shd w:val="clear" w:color="auto" w:fill="CCEEFF"/>
          </w:tcPr>
          <w:p>
            <w:pPr>
              <w:ind w:left="60"/>
              <w:spacing w:after="0"/>
              <w:rPr>
                <w:sz w:val="20"/>
                <w:szCs w:val="20"/>
                <w:color w:val="auto"/>
              </w:rPr>
            </w:pPr>
            <w:r>
              <w:rPr>
                <w:rFonts w:ascii="Arial" w:cs="Arial" w:eastAsia="Arial" w:hAnsi="Arial"/>
                <w:sz w:val="12"/>
                <w:szCs w:val="12"/>
                <w:color w:val="auto"/>
              </w:rPr>
              <w:t>Finance leases</w:t>
            </w:r>
          </w:p>
        </w:tc>
        <w:tc>
          <w:tcPr>
            <w:tcW w:w="1540" w:type="dxa"/>
            <w:vAlign w:val="bottom"/>
            <w:shd w:val="clear" w:color="auto" w:fill="CCEEFF"/>
          </w:tcPr>
          <w:p>
            <w:pPr>
              <w:spacing w:after="0"/>
              <w:rPr>
                <w:sz w:val="16"/>
                <w:szCs w:val="16"/>
                <w:color w:val="auto"/>
              </w:rPr>
            </w:pPr>
          </w:p>
        </w:tc>
        <w:tc>
          <w:tcPr>
            <w:tcW w:w="26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11.47%</w:t>
            </w:r>
          </w:p>
        </w:tc>
        <w:tc>
          <w:tcPr>
            <w:tcW w:w="780" w:type="dxa"/>
            <w:vAlign w:val="bottom"/>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ind w:left="60"/>
              <w:spacing w:after="0"/>
              <w:rPr>
                <w:sz w:val="20"/>
                <w:szCs w:val="20"/>
                <w:color w:val="auto"/>
              </w:rPr>
            </w:pPr>
            <w:r>
              <w:rPr>
                <w:rFonts w:ascii="Arial" w:cs="Arial" w:eastAsia="Arial" w:hAnsi="Arial"/>
                <w:sz w:val="12"/>
                <w:szCs w:val="12"/>
                <w:color w:val="auto"/>
              </w:rPr>
              <w:t>Operating leases</w:t>
            </w:r>
          </w:p>
        </w:tc>
        <w:tc>
          <w:tcPr>
            <w:tcW w:w="15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tcPr>
          <w:p>
            <w:pPr>
              <w:jc w:val="right"/>
              <w:spacing w:after="0"/>
              <w:rPr>
                <w:sz w:val="20"/>
                <w:szCs w:val="20"/>
                <w:color w:val="auto"/>
              </w:rPr>
            </w:pPr>
            <w:r>
              <w:rPr>
                <w:rFonts w:ascii="Arial" w:cs="Arial" w:eastAsia="Arial" w:hAnsi="Arial"/>
                <w:sz w:val="12"/>
                <w:szCs w:val="12"/>
                <w:color w:val="auto"/>
              </w:rPr>
              <w:t>6.18%</w:t>
            </w:r>
          </w:p>
        </w:tc>
        <w:tc>
          <w:tcPr>
            <w:tcW w:w="780" w:type="dxa"/>
            <w:vAlign w:val="bottom"/>
          </w:tcPr>
          <w:p>
            <w:pPr>
              <w:spacing w:after="0"/>
              <w:rPr>
                <w:sz w:val="14"/>
                <w:szCs w:val="14"/>
                <w:color w:val="auto"/>
              </w:rPr>
            </w:pPr>
          </w:p>
        </w:tc>
      </w:tr>
      <w:tr>
        <w:trPr>
          <w:trHeight w:val="297"/>
        </w:trPr>
        <w:tc>
          <w:tcPr>
            <w:tcW w:w="7780" w:type="dxa"/>
            <w:vAlign w:val="bottom"/>
            <w:gridSpan w:val="6"/>
          </w:tcPr>
          <w:p>
            <w:pPr>
              <w:jc w:val="right"/>
              <w:ind w:right="660"/>
              <w:spacing w:after="0"/>
              <w:rPr>
                <w:sz w:val="20"/>
                <w:szCs w:val="20"/>
                <w:color w:val="auto"/>
              </w:rPr>
            </w:pPr>
            <w:r>
              <w:rPr>
                <w:rFonts w:ascii="Arial" w:cs="Arial" w:eastAsia="Arial" w:hAnsi="Arial"/>
                <w:sz w:val="12"/>
                <w:szCs w:val="12"/>
                <w:color w:val="auto"/>
                <w:w w:val="99"/>
              </w:rPr>
              <w:t>The following table details cash flows for operating leases and finance leases from our continuing operations (amounts in thousands):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6"/>
        </w:trPr>
        <w:tc>
          <w:tcPr>
            <w:tcW w:w="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3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For the three months ended September 30, 2019</w:t>
            </w:r>
          </w:p>
        </w:tc>
        <w:tc>
          <w:tcPr>
            <w:tcW w:w="1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b w:val="1"/>
                <w:bCs w:val="1"/>
                <w:color w:val="auto"/>
              </w:rPr>
              <w:t>For the nine months ended September 30, 2019</w:t>
            </w:r>
          </w:p>
        </w:tc>
      </w:tr>
      <w:tr>
        <w:trPr>
          <w:trHeight w:val="210"/>
        </w:trPr>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80"/>
        </w:trPr>
        <w:tc>
          <w:tcPr>
            <w:tcW w:w="20" w:type="dxa"/>
            <w:vAlign w:val="bottom"/>
          </w:tcPr>
          <w:p>
            <w:pPr>
              <w:spacing w:after="0"/>
              <w:rPr>
                <w:sz w:val="15"/>
                <w:szCs w:val="15"/>
                <w:color w:val="auto"/>
              </w:rPr>
            </w:pPr>
          </w:p>
        </w:tc>
        <w:tc>
          <w:tcPr>
            <w:tcW w:w="7760" w:type="dxa"/>
            <w:vAlign w:val="bottom"/>
            <w:gridSpan w:val="5"/>
            <w:shd w:val="clear" w:color="auto" w:fill="CCEEFF"/>
          </w:tcPr>
          <w:p>
            <w:pPr>
              <w:spacing w:after="0"/>
              <w:rPr>
                <w:sz w:val="20"/>
                <w:szCs w:val="20"/>
                <w:color w:val="auto"/>
              </w:rPr>
            </w:pPr>
            <w:r>
              <w:rPr>
                <w:rFonts w:ascii="Arial" w:cs="Arial" w:eastAsia="Arial" w:hAnsi="Arial"/>
                <w:sz w:val="12"/>
                <w:szCs w:val="12"/>
                <w:b w:val="1"/>
                <w:bCs w:val="1"/>
                <w:color w:val="auto"/>
              </w:rPr>
              <w:t>Cash paid for amounts included in the measurement of lease liabilities:</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3620" w:type="dxa"/>
            <w:vAlign w:val="bottom"/>
            <w:gridSpan w:val="3"/>
          </w:tcPr>
          <w:p>
            <w:pPr>
              <w:spacing w:after="0"/>
              <w:rPr>
                <w:sz w:val="20"/>
                <w:szCs w:val="20"/>
                <w:color w:val="auto"/>
              </w:rPr>
            </w:pPr>
            <w:r>
              <w:rPr>
                <w:rFonts w:ascii="Arial" w:cs="Arial" w:eastAsia="Arial" w:hAnsi="Arial"/>
                <w:sz w:val="12"/>
                <w:szCs w:val="12"/>
                <w:color w:val="auto"/>
              </w:rPr>
              <w:t>Operating cash flows from operating leases</w:t>
            </w:r>
          </w:p>
        </w:tc>
        <w:tc>
          <w:tcPr>
            <w:tcW w:w="4140" w:type="dxa"/>
            <w:vAlign w:val="bottom"/>
            <w:gridSpan w:val="2"/>
          </w:tcPr>
          <w:p>
            <w:pPr>
              <w:jc w:val="right"/>
              <w:ind w:right="246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5,880</w:t>
            </w:r>
          </w:p>
        </w:tc>
        <w:tc>
          <w:tcPr>
            <w:tcW w:w="34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2940" w:type="dxa"/>
            <w:vAlign w:val="bottom"/>
            <w:gridSpan w:val="2"/>
          </w:tcPr>
          <w:p>
            <w:pPr>
              <w:jc w:val="right"/>
              <w:ind w:right="100"/>
              <w:spacing w:after="0"/>
              <w:rPr>
                <w:sz w:val="20"/>
                <w:szCs w:val="20"/>
                <w:color w:val="auto"/>
              </w:rPr>
            </w:pPr>
            <w:r>
              <w:rPr>
                <w:rFonts w:ascii="Arial" w:cs="Arial" w:eastAsia="Arial" w:hAnsi="Arial"/>
                <w:sz w:val="12"/>
                <w:szCs w:val="12"/>
                <w:color w:val="auto"/>
              </w:rPr>
              <w:t>17,297</w:t>
            </w:r>
          </w:p>
        </w:tc>
      </w:tr>
      <w:tr>
        <w:trPr>
          <w:trHeight w:val="185"/>
        </w:trPr>
        <w:tc>
          <w:tcPr>
            <w:tcW w:w="20" w:type="dxa"/>
            <w:vAlign w:val="bottom"/>
          </w:tcPr>
          <w:p>
            <w:pPr>
              <w:spacing w:after="0"/>
              <w:rPr>
                <w:sz w:val="16"/>
                <w:szCs w:val="16"/>
                <w:color w:val="auto"/>
              </w:rPr>
            </w:pPr>
          </w:p>
        </w:tc>
        <w:tc>
          <w:tcPr>
            <w:tcW w:w="362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Operating cash flows from finance leases</w:t>
            </w:r>
          </w:p>
        </w:tc>
        <w:tc>
          <w:tcPr>
            <w:tcW w:w="4140" w:type="dxa"/>
            <w:vAlign w:val="bottom"/>
            <w:gridSpan w:val="2"/>
            <w:shd w:val="clear" w:color="auto" w:fill="CCEEFF"/>
          </w:tcPr>
          <w:p>
            <w:pPr>
              <w:jc w:val="right"/>
              <w:ind w:right="2460"/>
              <w:spacing w:after="0"/>
              <w:rPr>
                <w:sz w:val="20"/>
                <w:szCs w:val="20"/>
                <w:color w:val="auto"/>
              </w:rPr>
            </w:pPr>
            <w:r>
              <w:rPr>
                <w:rFonts w:ascii="Arial" w:cs="Arial" w:eastAsia="Arial" w:hAnsi="Arial"/>
                <w:sz w:val="12"/>
                <w:szCs w:val="12"/>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2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135</w:t>
            </w:r>
          </w:p>
        </w:tc>
      </w:tr>
      <w:tr>
        <w:trPr>
          <w:trHeight w:val="171"/>
        </w:trPr>
        <w:tc>
          <w:tcPr>
            <w:tcW w:w="20" w:type="dxa"/>
            <w:vAlign w:val="bottom"/>
          </w:tcPr>
          <w:p>
            <w:pPr>
              <w:spacing w:after="0"/>
              <w:rPr>
                <w:sz w:val="14"/>
                <w:szCs w:val="14"/>
                <w:color w:val="auto"/>
              </w:rPr>
            </w:pPr>
          </w:p>
        </w:tc>
        <w:tc>
          <w:tcPr>
            <w:tcW w:w="3620" w:type="dxa"/>
            <w:vAlign w:val="bottom"/>
            <w:gridSpan w:val="3"/>
          </w:tcPr>
          <w:p>
            <w:pPr>
              <w:spacing w:after="0"/>
              <w:rPr>
                <w:sz w:val="20"/>
                <w:szCs w:val="20"/>
                <w:color w:val="auto"/>
              </w:rPr>
            </w:pPr>
            <w:r>
              <w:rPr>
                <w:rFonts w:ascii="Arial" w:cs="Arial" w:eastAsia="Arial" w:hAnsi="Arial"/>
                <w:sz w:val="12"/>
                <w:szCs w:val="12"/>
                <w:color w:val="auto"/>
              </w:rPr>
              <w:t>Financing cash flows from finance leases</w:t>
            </w:r>
          </w:p>
        </w:tc>
        <w:tc>
          <w:tcPr>
            <w:tcW w:w="4140" w:type="dxa"/>
            <w:vAlign w:val="bottom"/>
            <w:gridSpan w:val="2"/>
          </w:tcPr>
          <w:p>
            <w:pPr>
              <w:jc w:val="right"/>
              <w:ind w:right="2460"/>
              <w:spacing w:after="0"/>
              <w:rPr>
                <w:sz w:val="20"/>
                <w:szCs w:val="20"/>
                <w:color w:val="auto"/>
              </w:rPr>
            </w:pPr>
            <w:r>
              <w:rPr>
                <w:rFonts w:ascii="Arial" w:cs="Arial" w:eastAsia="Arial" w:hAnsi="Arial"/>
                <w:sz w:val="12"/>
                <w:szCs w:val="12"/>
                <w:color w:val="auto"/>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168</w:t>
            </w:r>
          </w:p>
        </w:tc>
        <w:tc>
          <w:tcPr>
            <w:tcW w:w="34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2940" w:type="dxa"/>
            <w:vAlign w:val="bottom"/>
            <w:gridSpan w:val="2"/>
          </w:tcPr>
          <w:p>
            <w:pPr>
              <w:jc w:val="right"/>
              <w:ind w:right="100"/>
              <w:spacing w:after="0"/>
              <w:rPr>
                <w:sz w:val="20"/>
                <w:szCs w:val="20"/>
                <w:color w:val="auto"/>
              </w:rPr>
            </w:pPr>
            <w:r>
              <w:rPr>
                <w:rFonts w:ascii="Arial" w:cs="Arial" w:eastAsia="Arial" w:hAnsi="Arial"/>
                <w:sz w:val="12"/>
                <w:szCs w:val="12"/>
                <w:color w:val="auto"/>
              </w:rPr>
              <w:t>505</w:t>
            </w:r>
          </w:p>
        </w:tc>
      </w:tr>
    </w:tbl>
    <w:p>
      <w:pPr>
        <w:spacing w:after="0" w:line="297" w:lineRule="exact"/>
        <w:rPr>
          <w:sz w:val="20"/>
          <w:szCs w:val="20"/>
          <w:color w:val="auto"/>
        </w:rPr>
      </w:pPr>
    </w:p>
    <w:p>
      <w:pPr>
        <w:spacing w:after="0"/>
        <w:rPr>
          <w:sz w:val="20"/>
          <w:szCs w:val="20"/>
          <w:color w:val="auto"/>
        </w:rPr>
      </w:pPr>
      <w:r>
        <w:rPr>
          <w:rFonts w:ascii="Arial" w:cs="Arial" w:eastAsia="Arial" w:hAnsi="Arial"/>
          <w:sz w:val="12"/>
          <w:szCs w:val="12"/>
          <w:color w:val="auto"/>
        </w:rPr>
        <w:t>We obtained right-of-use assets in exchange for lease liabilities of $1.1 million and $2.5 million upon commencement of operating leases for the three and nine months ended September 30, 2019,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maturities of our lease liabilities from our continuing operations as of September 30, 2019 (amounts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2"/>
          </w:tcPr>
          <w:p>
            <w:pPr>
              <w:ind w:left="240"/>
              <w:spacing w:after="0"/>
              <w:rPr>
                <w:sz w:val="20"/>
                <w:szCs w:val="20"/>
                <w:color w:val="auto"/>
              </w:rPr>
            </w:pPr>
            <w:r>
              <w:rPr>
                <w:rFonts w:ascii="Arial" w:cs="Arial" w:eastAsia="Arial" w:hAnsi="Arial"/>
                <w:sz w:val="12"/>
                <w:szCs w:val="12"/>
                <w:b w:val="1"/>
                <w:bCs w:val="1"/>
                <w:color w:val="auto"/>
              </w:rPr>
              <w:t>Operating Leases</w:t>
            </w:r>
          </w:p>
        </w:tc>
        <w:tc>
          <w:tcPr>
            <w:tcW w:w="320" w:type="dxa"/>
            <w:vAlign w:val="bottom"/>
          </w:tcPr>
          <w:p>
            <w:pPr>
              <w:spacing w:after="0"/>
              <w:rPr>
                <w:sz w:val="14"/>
                <w:szCs w:val="14"/>
                <w:color w:val="auto"/>
              </w:rPr>
            </w:pPr>
          </w:p>
        </w:tc>
        <w:tc>
          <w:tcPr>
            <w:tcW w:w="1840" w:type="dxa"/>
            <w:vAlign w:val="bottom"/>
            <w:gridSpan w:val="2"/>
          </w:tcPr>
          <w:p>
            <w:pPr>
              <w:ind w:left="260"/>
              <w:spacing w:after="0"/>
              <w:rPr>
                <w:sz w:val="20"/>
                <w:szCs w:val="20"/>
                <w:color w:val="auto"/>
              </w:rPr>
            </w:pPr>
            <w:r>
              <w:rPr>
                <w:rFonts w:ascii="Arial" w:cs="Arial" w:eastAsia="Arial" w:hAnsi="Arial"/>
                <w:sz w:val="12"/>
                <w:szCs w:val="12"/>
                <w:b w:val="1"/>
                <w:bCs w:val="1"/>
                <w:color w:val="auto"/>
              </w:rPr>
              <w:t>Finance Leases</w:t>
            </w:r>
          </w:p>
        </w:tc>
        <w:tc>
          <w:tcPr>
            <w:tcW w:w="480" w:type="dxa"/>
            <w:vAlign w:val="bottom"/>
          </w:tcPr>
          <w:p>
            <w:pPr>
              <w:spacing w:after="0"/>
              <w:rPr>
                <w:sz w:val="14"/>
                <w:szCs w:val="14"/>
                <w:color w:val="auto"/>
              </w:rPr>
            </w:pPr>
          </w:p>
        </w:tc>
        <w:tc>
          <w:tcPr>
            <w:tcW w:w="1580" w:type="dxa"/>
            <w:vAlign w:val="bottom"/>
          </w:tcPr>
          <w:p>
            <w:pPr>
              <w:jc w:val="right"/>
              <w:ind w:right="840"/>
              <w:spacing w:after="0"/>
              <w:rPr>
                <w:sz w:val="20"/>
                <w:szCs w:val="20"/>
                <w:color w:val="auto"/>
              </w:rPr>
            </w:pPr>
            <w:r>
              <w:rPr>
                <w:rFonts w:ascii="Arial" w:cs="Arial" w:eastAsia="Arial" w:hAnsi="Arial"/>
                <w:sz w:val="12"/>
                <w:szCs w:val="12"/>
                <w:b w:val="1"/>
                <w:bCs w:val="1"/>
                <w:color w:val="auto"/>
              </w:rPr>
              <w:t>Total</w:t>
            </w:r>
          </w:p>
        </w:tc>
      </w:tr>
      <w:tr>
        <w:trPr>
          <w:trHeight w:val="210"/>
        </w:trPr>
        <w:tc>
          <w:tcPr>
            <w:tcW w:w="50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r>
      <w:tr>
        <w:trPr>
          <w:trHeight w:val="180"/>
        </w:trPr>
        <w:tc>
          <w:tcPr>
            <w:tcW w:w="5060" w:type="dxa"/>
            <w:vAlign w:val="bottom"/>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Year ending December 31,</w:t>
            </w:r>
          </w:p>
        </w:tc>
        <w:tc>
          <w:tcPr>
            <w:tcW w:w="3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76"/>
        </w:trPr>
        <w:tc>
          <w:tcPr>
            <w:tcW w:w="5060" w:type="dxa"/>
            <w:vAlign w:val="bottom"/>
          </w:tcPr>
          <w:p>
            <w:pPr>
              <w:jc w:val="right"/>
              <w:ind w:right="80"/>
              <w:spacing w:after="0"/>
              <w:rPr>
                <w:sz w:val="20"/>
                <w:szCs w:val="20"/>
                <w:color w:val="auto"/>
              </w:rPr>
            </w:pPr>
            <w:r>
              <w:rPr>
                <w:rFonts w:ascii="Arial" w:cs="Arial" w:eastAsia="Arial" w:hAnsi="Arial"/>
                <w:sz w:val="12"/>
                <w:szCs w:val="12"/>
                <w:color w:val="auto"/>
              </w:rPr>
              <w:t>2019 (remainder)</w:t>
            </w: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780" w:type="dxa"/>
            <w:vAlign w:val="bottom"/>
          </w:tcPr>
          <w:p>
            <w:pPr>
              <w:jc w:val="right"/>
              <w:ind w:right="60"/>
              <w:spacing w:after="0"/>
              <w:rPr>
                <w:sz w:val="20"/>
                <w:szCs w:val="20"/>
                <w:color w:val="auto"/>
              </w:rPr>
            </w:pPr>
            <w:r>
              <w:rPr>
                <w:rFonts w:ascii="Arial" w:cs="Arial" w:eastAsia="Arial" w:hAnsi="Arial"/>
                <w:sz w:val="12"/>
                <w:szCs w:val="12"/>
                <w:color w:val="auto"/>
              </w:rPr>
              <w:t>5,988</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740" w:type="dxa"/>
            <w:vAlign w:val="bottom"/>
          </w:tcPr>
          <w:p>
            <w:pPr>
              <w:jc w:val="right"/>
              <w:ind w:right="60"/>
              <w:spacing w:after="0"/>
              <w:rPr>
                <w:sz w:val="20"/>
                <w:szCs w:val="20"/>
                <w:color w:val="auto"/>
              </w:rPr>
            </w:pPr>
            <w:r>
              <w:rPr>
                <w:rFonts w:ascii="Arial" w:cs="Arial" w:eastAsia="Arial" w:hAnsi="Arial"/>
                <w:sz w:val="12"/>
                <w:szCs w:val="12"/>
                <w:color w:val="auto"/>
              </w:rPr>
              <w:t>174</w:t>
            </w:r>
          </w:p>
        </w:tc>
        <w:tc>
          <w:tcPr>
            <w:tcW w:w="100" w:type="dxa"/>
            <w:vAlign w:val="bottom"/>
          </w:tcPr>
          <w:p>
            <w:pPr>
              <w:spacing w:after="0"/>
              <w:rPr>
                <w:sz w:val="15"/>
                <w:szCs w:val="15"/>
                <w:color w:val="auto"/>
              </w:rPr>
            </w:pPr>
          </w:p>
        </w:tc>
        <w:tc>
          <w:tcPr>
            <w:tcW w:w="480" w:type="dxa"/>
            <w:vAlign w:val="bottom"/>
          </w:tcPr>
          <w:p>
            <w:pPr>
              <w:jc w:val="right"/>
              <w:ind w:right="340"/>
              <w:spacing w:after="0"/>
              <w:rPr>
                <w:sz w:val="20"/>
                <w:szCs w:val="20"/>
                <w:color w:val="auto"/>
              </w:rPr>
            </w:pPr>
            <w:r>
              <w:rPr>
                <w:rFonts w:ascii="Arial" w:cs="Arial" w:eastAsia="Arial" w:hAnsi="Arial"/>
                <w:sz w:val="12"/>
                <w:szCs w:val="12"/>
                <w:color w:val="auto"/>
                <w:w w:val="89"/>
              </w:rPr>
              <w:t>$</w:t>
            </w:r>
          </w:p>
        </w:tc>
        <w:tc>
          <w:tcPr>
            <w:tcW w:w="1580" w:type="dxa"/>
            <w:vAlign w:val="bottom"/>
          </w:tcPr>
          <w:p>
            <w:pPr>
              <w:jc w:val="right"/>
              <w:ind w:right="60"/>
              <w:spacing w:after="0"/>
              <w:rPr>
                <w:sz w:val="20"/>
                <w:szCs w:val="20"/>
                <w:color w:val="auto"/>
              </w:rPr>
            </w:pPr>
            <w:r>
              <w:rPr>
                <w:rFonts w:ascii="Arial" w:cs="Arial" w:eastAsia="Arial" w:hAnsi="Arial"/>
                <w:sz w:val="12"/>
                <w:szCs w:val="12"/>
                <w:color w:val="auto"/>
              </w:rPr>
              <w:t>6,162</w:t>
            </w:r>
          </w:p>
        </w:tc>
      </w:tr>
      <w:tr>
        <w:trPr>
          <w:trHeight w:val="185"/>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2020</w:t>
            </w:r>
          </w:p>
        </w:tc>
        <w:tc>
          <w:tcPr>
            <w:tcW w:w="30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20,734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636</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21,370</w:t>
            </w:r>
          </w:p>
        </w:tc>
      </w:tr>
      <w:tr>
        <w:trPr>
          <w:trHeight w:val="176"/>
        </w:trPr>
        <w:tc>
          <w:tcPr>
            <w:tcW w:w="5060" w:type="dxa"/>
            <w:vAlign w:val="bottom"/>
          </w:tcPr>
          <w:p>
            <w:pPr>
              <w:ind w:left="20"/>
              <w:spacing w:after="0"/>
              <w:rPr>
                <w:sz w:val="20"/>
                <w:szCs w:val="20"/>
                <w:color w:val="auto"/>
              </w:rPr>
            </w:pPr>
            <w:r>
              <w:rPr>
                <w:rFonts w:ascii="Arial" w:cs="Arial" w:eastAsia="Arial" w:hAnsi="Arial"/>
                <w:sz w:val="12"/>
                <w:szCs w:val="12"/>
                <w:color w:val="auto"/>
              </w:rPr>
              <w:t>2021</w:t>
            </w:r>
          </w:p>
        </w:tc>
        <w:tc>
          <w:tcPr>
            <w:tcW w:w="300" w:type="dxa"/>
            <w:vAlign w:val="bottom"/>
          </w:tcPr>
          <w:p>
            <w:pPr>
              <w:spacing w:after="0"/>
              <w:rPr>
                <w:sz w:val="15"/>
                <w:szCs w:val="15"/>
                <w:color w:val="auto"/>
              </w:rPr>
            </w:pPr>
          </w:p>
        </w:tc>
        <w:tc>
          <w:tcPr>
            <w:tcW w:w="1780" w:type="dxa"/>
            <w:vAlign w:val="bottom"/>
          </w:tcPr>
          <w:p>
            <w:pPr>
              <w:jc w:val="right"/>
              <w:ind w:right="60"/>
              <w:spacing w:after="0"/>
              <w:rPr>
                <w:sz w:val="20"/>
                <w:szCs w:val="20"/>
                <w:color w:val="auto"/>
              </w:rPr>
            </w:pPr>
            <w:r>
              <w:rPr>
                <w:rFonts w:ascii="Arial" w:cs="Arial" w:eastAsia="Arial" w:hAnsi="Arial"/>
                <w:sz w:val="12"/>
                <w:szCs w:val="12"/>
                <w:color w:val="auto"/>
              </w:rPr>
              <w:t>17,326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tcPr>
          <w:p>
            <w:pPr>
              <w:jc w:val="right"/>
              <w:ind w:right="60"/>
              <w:spacing w:after="0"/>
              <w:rPr>
                <w:sz w:val="20"/>
                <w:szCs w:val="20"/>
                <w:color w:val="auto"/>
              </w:rPr>
            </w:pPr>
            <w:r>
              <w:rPr>
                <w:rFonts w:ascii="Arial" w:cs="Arial" w:eastAsia="Arial" w:hAnsi="Arial"/>
                <w:sz w:val="12"/>
                <w:szCs w:val="12"/>
                <w:color w:val="auto"/>
              </w:rPr>
              <w:t>493</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Pr>
          <w:p>
            <w:pPr>
              <w:jc w:val="right"/>
              <w:ind w:right="60"/>
              <w:spacing w:after="0"/>
              <w:rPr>
                <w:sz w:val="20"/>
                <w:szCs w:val="20"/>
                <w:color w:val="auto"/>
              </w:rPr>
            </w:pPr>
            <w:r>
              <w:rPr>
                <w:rFonts w:ascii="Arial" w:cs="Arial" w:eastAsia="Arial" w:hAnsi="Arial"/>
                <w:sz w:val="12"/>
                <w:szCs w:val="12"/>
                <w:color w:val="auto"/>
              </w:rPr>
              <w:t>17,819</w:t>
            </w:r>
          </w:p>
        </w:tc>
      </w:tr>
      <w:tr>
        <w:trPr>
          <w:trHeight w:val="185"/>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2022</w:t>
            </w:r>
          </w:p>
        </w:tc>
        <w:tc>
          <w:tcPr>
            <w:tcW w:w="30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14,993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96</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15,089</w:t>
            </w:r>
          </w:p>
        </w:tc>
      </w:tr>
      <w:tr>
        <w:trPr>
          <w:trHeight w:val="176"/>
        </w:trPr>
        <w:tc>
          <w:tcPr>
            <w:tcW w:w="5060" w:type="dxa"/>
            <w:vAlign w:val="bottom"/>
          </w:tcPr>
          <w:p>
            <w:pPr>
              <w:ind w:left="20"/>
              <w:spacing w:after="0"/>
              <w:rPr>
                <w:sz w:val="20"/>
                <w:szCs w:val="20"/>
                <w:color w:val="auto"/>
              </w:rPr>
            </w:pPr>
            <w:r>
              <w:rPr>
                <w:rFonts w:ascii="Arial" w:cs="Arial" w:eastAsia="Arial" w:hAnsi="Arial"/>
                <w:sz w:val="12"/>
                <w:szCs w:val="12"/>
                <w:color w:val="auto"/>
              </w:rPr>
              <w:t>2023</w:t>
            </w:r>
          </w:p>
        </w:tc>
        <w:tc>
          <w:tcPr>
            <w:tcW w:w="300" w:type="dxa"/>
            <w:vAlign w:val="bottom"/>
          </w:tcPr>
          <w:p>
            <w:pPr>
              <w:spacing w:after="0"/>
              <w:rPr>
                <w:sz w:val="15"/>
                <w:szCs w:val="15"/>
                <w:color w:val="auto"/>
              </w:rPr>
            </w:pPr>
          </w:p>
        </w:tc>
        <w:tc>
          <w:tcPr>
            <w:tcW w:w="1780" w:type="dxa"/>
            <w:vAlign w:val="bottom"/>
          </w:tcPr>
          <w:p>
            <w:pPr>
              <w:jc w:val="right"/>
              <w:ind w:right="60"/>
              <w:spacing w:after="0"/>
              <w:rPr>
                <w:sz w:val="20"/>
                <w:szCs w:val="20"/>
                <w:color w:val="auto"/>
              </w:rPr>
            </w:pPr>
            <w:r>
              <w:rPr>
                <w:rFonts w:ascii="Arial" w:cs="Arial" w:eastAsia="Arial" w:hAnsi="Arial"/>
                <w:sz w:val="12"/>
                <w:szCs w:val="12"/>
                <w:color w:val="auto"/>
              </w:rPr>
              <w:t>14,073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80" w:type="dxa"/>
            <w:vAlign w:val="bottom"/>
          </w:tcPr>
          <w:p>
            <w:pPr>
              <w:spacing w:after="0"/>
              <w:rPr>
                <w:sz w:val="15"/>
                <w:szCs w:val="15"/>
                <w:color w:val="auto"/>
              </w:rPr>
            </w:pPr>
          </w:p>
        </w:tc>
        <w:tc>
          <w:tcPr>
            <w:tcW w:w="1580" w:type="dxa"/>
            <w:vAlign w:val="bottom"/>
          </w:tcPr>
          <w:p>
            <w:pPr>
              <w:jc w:val="right"/>
              <w:ind w:right="60"/>
              <w:spacing w:after="0"/>
              <w:rPr>
                <w:sz w:val="20"/>
                <w:szCs w:val="20"/>
                <w:color w:val="auto"/>
              </w:rPr>
            </w:pPr>
            <w:r>
              <w:rPr>
                <w:rFonts w:ascii="Arial" w:cs="Arial" w:eastAsia="Arial" w:hAnsi="Arial"/>
                <w:sz w:val="12"/>
                <w:szCs w:val="12"/>
                <w:color w:val="auto"/>
              </w:rPr>
              <w:t>14,073</w:t>
            </w:r>
          </w:p>
        </w:tc>
      </w:tr>
      <w:tr>
        <w:trPr>
          <w:trHeight w:val="180"/>
        </w:trPr>
        <w:tc>
          <w:tcPr>
            <w:tcW w:w="5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After 2023</w:t>
            </w:r>
          </w:p>
        </w:tc>
        <w:tc>
          <w:tcPr>
            <w:tcW w:w="30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80,796</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80,796</w:t>
            </w:r>
          </w:p>
        </w:tc>
      </w:tr>
      <w:tr>
        <w:trPr>
          <w:trHeight w:val="160"/>
        </w:trPr>
        <w:tc>
          <w:tcPr>
            <w:tcW w:w="5060" w:type="dxa"/>
            <w:vAlign w:val="bottom"/>
          </w:tcPr>
          <w:p>
            <w:pPr>
              <w:ind w:left="180"/>
              <w:spacing w:after="0"/>
              <w:rPr>
                <w:sz w:val="20"/>
                <w:szCs w:val="20"/>
                <w:color w:val="auto"/>
              </w:rPr>
            </w:pPr>
            <w:r>
              <w:rPr>
                <w:rFonts w:ascii="Arial" w:cs="Arial" w:eastAsia="Arial" w:hAnsi="Arial"/>
                <w:sz w:val="12"/>
                <w:szCs w:val="12"/>
                <w:color w:val="auto"/>
              </w:rPr>
              <w:t>Total lease payments</w:t>
            </w:r>
          </w:p>
        </w:tc>
        <w:tc>
          <w:tcPr>
            <w:tcW w:w="30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153,910</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1,399</w:t>
            </w:r>
          </w:p>
        </w:tc>
        <w:tc>
          <w:tcPr>
            <w:tcW w:w="100" w:type="dxa"/>
            <w:vAlign w:val="bottom"/>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155,309</w:t>
            </w:r>
          </w:p>
        </w:tc>
      </w:tr>
      <w:tr>
        <w:trPr>
          <w:trHeight w:val="180"/>
        </w:trPr>
        <w:tc>
          <w:tcPr>
            <w:tcW w:w="50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Less: Interest</w:t>
            </w:r>
          </w:p>
        </w:tc>
        <w:tc>
          <w:tcPr>
            <w:tcW w:w="30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(44,184)</w:t>
            </w:r>
          </w:p>
        </w:tc>
        <w:tc>
          <w:tcPr>
            <w:tcW w:w="12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(199)</w:t>
            </w:r>
          </w:p>
        </w:tc>
        <w:tc>
          <w:tcPr>
            <w:tcW w:w="10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(44,383)</w:t>
            </w:r>
          </w:p>
        </w:tc>
      </w:tr>
      <w:tr>
        <w:trPr>
          <w:trHeight w:val="172"/>
        </w:trPr>
        <w:tc>
          <w:tcPr>
            <w:tcW w:w="5060" w:type="dxa"/>
            <w:vAlign w:val="bottom"/>
          </w:tcPr>
          <w:p>
            <w:pPr>
              <w:ind w:left="320"/>
              <w:spacing w:after="0"/>
              <w:rPr>
                <w:sz w:val="20"/>
                <w:szCs w:val="20"/>
                <w:color w:val="auto"/>
              </w:rPr>
            </w:pPr>
            <w:r>
              <w:rPr>
                <w:rFonts w:ascii="Arial" w:cs="Arial" w:eastAsia="Arial" w:hAnsi="Arial"/>
                <w:sz w:val="12"/>
                <w:szCs w:val="12"/>
                <w:color w:val="auto"/>
              </w:rPr>
              <w:t>Present value of lease liabilities</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109,726</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7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1,200</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w w:val="89"/>
              </w:rPr>
              <w:t>$</w:t>
            </w:r>
          </w:p>
        </w:tc>
        <w:tc>
          <w:tcPr>
            <w:tcW w:w="1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110,926</w:t>
            </w:r>
          </w:p>
        </w:tc>
      </w:tr>
      <w:tr>
        <w:trPr>
          <w:trHeight w:val="594"/>
        </w:trPr>
        <w:tc>
          <w:tcPr>
            <w:tcW w:w="5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jc w:val="right"/>
              <w:ind w:right="1280"/>
              <w:spacing w:after="0"/>
              <w:rPr>
                <w:sz w:val="20"/>
                <w:szCs w:val="20"/>
                <w:color w:val="auto"/>
              </w:rPr>
            </w:pPr>
            <w:r>
              <w:rPr>
                <w:rFonts w:ascii="Arial" w:cs="Arial" w:eastAsia="Arial" w:hAnsi="Arial"/>
                <w:sz w:val="12"/>
                <w:szCs w:val="12"/>
                <w:color w:val="auto"/>
              </w:rPr>
              <w:t>16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80"/>
          </w:cols>
          <w:pgMar w:left="220" w:top="119" w:right="199" w:bottom="1440" w:gutter="0" w:footer="0" w:header="0"/>
        </w:sectPr>
      </w:pPr>
    </w:p>
    <w:bookmarkStart w:id="19" w:name="page20"/>
    <w:bookmarkEnd w:id="1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Lessor Disclosures</w:t>
      </w:r>
    </w:p>
    <w:p>
      <w:pPr>
        <w:spacing w:after="0" w:line="152" w:lineRule="exact"/>
        <w:rPr>
          <w:sz w:val="20"/>
          <w:szCs w:val="20"/>
          <w:color w:val="auto"/>
        </w:rPr>
      </w:pPr>
    </w:p>
    <w:p>
      <w:pPr>
        <w:spacing w:after="0" w:line="283" w:lineRule="auto"/>
        <w:rPr>
          <w:sz w:val="20"/>
          <w:szCs w:val="20"/>
          <w:color w:val="auto"/>
        </w:rPr>
      </w:pPr>
      <w:r>
        <w:rPr>
          <w:rFonts w:ascii="Arial" w:cs="Arial" w:eastAsia="Arial" w:hAnsi="Arial"/>
          <w:sz w:val="12"/>
          <w:szCs w:val="12"/>
          <w:color w:val="auto"/>
        </w:rPr>
        <w:t xml:space="preserve">We report revenue from sales-type leases at the commencement date in </w:t>
      </w:r>
      <w:r>
        <w:rPr>
          <w:rFonts w:ascii="Arial" w:cs="Arial" w:eastAsia="Arial" w:hAnsi="Arial"/>
          <w:sz w:val="12"/>
          <w:szCs w:val="12"/>
          <w:i w:val="1"/>
          <w:iCs w:val="1"/>
          <w:color w:val="auto"/>
        </w:rPr>
        <w:t>Equipment revenue</w:t>
      </w:r>
      <w:r>
        <w:rPr>
          <w:rFonts w:ascii="Arial" w:cs="Arial" w:eastAsia="Arial" w:hAnsi="Arial"/>
          <w:sz w:val="12"/>
          <w:szCs w:val="12"/>
          <w:color w:val="auto"/>
        </w:rPr>
        <w:t xml:space="preserve"> and we report periodic interest income on sales-type lease receivables in </w:t>
      </w:r>
      <w:r>
        <w:rPr>
          <w:rFonts w:ascii="Arial" w:cs="Arial" w:eastAsia="Arial" w:hAnsi="Arial"/>
          <w:sz w:val="12"/>
          <w:szCs w:val="12"/>
          <w:i w:val="1"/>
          <w:iCs w:val="1"/>
          <w:color w:val="auto"/>
        </w:rPr>
        <w:t>Services and other revenue.</w:t>
      </w:r>
      <w:r>
        <w:rPr>
          <w:rFonts w:ascii="Arial" w:cs="Arial" w:eastAsia="Arial" w:hAnsi="Arial"/>
          <w:sz w:val="12"/>
          <w:szCs w:val="12"/>
          <w:color w:val="auto"/>
        </w:rPr>
        <w:t xml:space="preserve"> We report operating lease revenue in </w:t>
      </w:r>
      <w:r>
        <w:rPr>
          <w:rFonts w:ascii="Arial" w:cs="Arial" w:eastAsia="Arial" w:hAnsi="Arial"/>
          <w:sz w:val="12"/>
          <w:szCs w:val="12"/>
          <w:i w:val="1"/>
          <w:iCs w:val="1"/>
          <w:color w:val="auto"/>
        </w:rPr>
        <w:t>Services and other revenue</w:t>
      </w:r>
      <w:r>
        <w:rPr>
          <w:rFonts w:ascii="Arial" w:cs="Arial" w:eastAsia="Arial" w:hAnsi="Arial"/>
          <w:sz w:val="12"/>
          <w:szCs w:val="12"/>
          <w:color w:val="auto"/>
        </w:rPr>
        <w:t>. The following table details our lease revenue from our continuing operations as follows (amounts in thousands):</w:t>
      </w:r>
    </w:p>
    <w:p>
      <w:pPr>
        <w:spacing w:after="0" w:line="78" w:lineRule="exact"/>
        <w:rPr>
          <w:sz w:val="20"/>
          <w:szCs w:val="20"/>
          <w:color w:val="auto"/>
        </w:rPr>
      </w:pPr>
    </w:p>
    <w:tbl>
      <w:tblPr>
        <w:tblLayout w:type="fixed"/>
        <w:tblInd w:w="20" w:type="dxa"/>
        <w:tblCellMar>
          <w:top w:w="0" w:type="dxa"/>
          <w:left w:w="0" w:type="dxa"/>
          <w:bottom w:w="0" w:type="dxa"/>
          <w:right w:w="0" w:type="dxa"/>
        </w:tblCellMar>
      </w:tblPr>
      <w:tr>
        <w:trPr>
          <w:trHeight w:val="163"/>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0" w:type="dxa"/>
            <w:vAlign w:val="bottom"/>
            <w:gridSpan w:val="2"/>
          </w:tcPr>
          <w:p>
            <w:pPr>
              <w:ind w:left="20"/>
              <w:spacing w:after="0"/>
              <w:rPr>
                <w:sz w:val="20"/>
                <w:szCs w:val="20"/>
                <w:color w:val="auto"/>
              </w:rPr>
            </w:pPr>
            <w:r>
              <w:rPr>
                <w:rFonts w:ascii="Arial" w:cs="Arial" w:eastAsia="Arial" w:hAnsi="Arial"/>
                <w:sz w:val="12"/>
                <w:szCs w:val="12"/>
                <w:b w:val="1"/>
                <w:bCs w:val="1"/>
                <w:color w:val="auto"/>
              </w:rPr>
              <w:t>For the three months ended September 30, 2019</w:t>
            </w:r>
          </w:p>
        </w:tc>
        <w:tc>
          <w:tcPr>
            <w:tcW w:w="100" w:type="dxa"/>
            <w:vAlign w:val="bottom"/>
          </w:tcPr>
          <w:p>
            <w:pPr>
              <w:spacing w:after="0"/>
              <w:rPr>
                <w:sz w:val="14"/>
                <w:szCs w:val="14"/>
                <w:color w:val="auto"/>
              </w:rPr>
            </w:pPr>
          </w:p>
        </w:tc>
        <w:tc>
          <w:tcPr>
            <w:tcW w:w="2860" w:type="dxa"/>
            <w:vAlign w:val="bottom"/>
          </w:tcPr>
          <w:p>
            <w:pPr>
              <w:jc w:val="right"/>
              <w:ind w:right="80"/>
              <w:spacing w:after="0"/>
              <w:rPr>
                <w:sz w:val="20"/>
                <w:szCs w:val="20"/>
                <w:color w:val="auto"/>
              </w:rPr>
            </w:pPr>
            <w:r>
              <w:rPr>
                <w:rFonts w:ascii="Arial" w:cs="Arial" w:eastAsia="Arial" w:hAnsi="Arial"/>
                <w:sz w:val="12"/>
                <w:szCs w:val="12"/>
                <w:b w:val="1"/>
                <w:bCs w:val="1"/>
                <w:color w:val="auto"/>
              </w:rPr>
              <w:t>For the nine months ended September 30, 2019</w:t>
            </w:r>
          </w:p>
        </w:tc>
      </w:tr>
      <w:tr>
        <w:trPr>
          <w:trHeight w:val="210"/>
        </w:trPr>
        <w:tc>
          <w:tcPr>
            <w:tcW w:w="5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r>
      <w:tr>
        <w:trPr>
          <w:trHeight w:val="180"/>
        </w:trPr>
        <w:tc>
          <w:tcPr>
            <w:tcW w:w="5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Sales-type lease revenue:</w:t>
            </w:r>
          </w:p>
        </w:tc>
        <w:tc>
          <w:tcPr>
            <w:tcW w:w="100" w:type="dxa"/>
            <w:vAlign w:val="bottom"/>
            <w:shd w:val="clear" w:color="auto" w:fill="CCEEFF"/>
          </w:tcPr>
          <w:p>
            <w:pPr>
              <w:spacing w:after="0"/>
              <w:rPr>
                <w:sz w:val="15"/>
                <w:szCs w:val="15"/>
                <w:color w:val="auto"/>
              </w:rPr>
            </w:pPr>
          </w:p>
        </w:tc>
        <w:tc>
          <w:tcPr>
            <w:tcW w:w="2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r>
      <w:tr>
        <w:trPr>
          <w:trHeight w:val="176"/>
        </w:trPr>
        <w:tc>
          <w:tcPr>
            <w:tcW w:w="5380" w:type="dxa"/>
            <w:vAlign w:val="bottom"/>
          </w:tcPr>
          <w:p>
            <w:pPr>
              <w:ind w:left="180"/>
              <w:spacing w:after="0"/>
              <w:rPr>
                <w:sz w:val="20"/>
                <w:szCs w:val="20"/>
                <w:color w:val="auto"/>
              </w:rPr>
            </w:pPr>
            <w:r>
              <w:rPr>
                <w:rFonts w:ascii="Arial" w:cs="Arial" w:eastAsia="Arial" w:hAnsi="Arial"/>
                <w:sz w:val="12"/>
                <w:szCs w:val="12"/>
                <w:color w:val="auto"/>
              </w:rPr>
              <w:t>Revenue at lease commencement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2880" w:type="dxa"/>
            <w:vAlign w:val="bottom"/>
          </w:tcPr>
          <w:p>
            <w:pPr>
              <w:jc w:val="right"/>
              <w:ind w:right="60"/>
              <w:spacing w:after="0"/>
              <w:rPr>
                <w:sz w:val="20"/>
                <w:szCs w:val="20"/>
                <w:color w:val="auto"/>
              </w:rPr>
            </w:pPr>
            <w:r>
              <w:rPr>
                <w:rFonts w:ascii="Arial" w:cs="Arial" w:eastAsia="Arial" w:hAnsi="Arial"/>
                <w:sz w:val="12"/>
                <w:szCs w:val="12"/>
                <w:color w:val="auto"/>
              </w:rPr>
              <w:t>2,291</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2860" w:type="dxa"/>
            <w:vAlign w:val="bottom"/>
          </w:tcPr>
          <w:p>
            <w:pPr>
              <w:jc w:val="right"/>
              <w:ind w:right="60"/>
              <w:spacing w:after="0"/>
              <w:rPr>
                <w:sz w:val="20"/>
                <w:szCs w:val="20"/>
                <w:color w:val="auto"/>
              </w:rPr>
            </w:pPr>
            <w:r>
              <w:rPr>
                <w:rFonts w:ascii="Arial" w:cs="Arial" w:eastAsia="Arial" w:hAnsi="Arial"/>
                <w:sz w:val="12"/>
                <w:szCs w:val="12"/>
                <w:color w:val="auto"/>
              </w:rPr>
              <w:t>4,167</w:t>
            </w:r>
          </w:p>
        </w:tc>
      </w:tr>
      <w:tr>
        <w:trPr>
          <w:trHeight w:val="185"/>
        </w:trPr>
        <w:tc>
          <w:tcPr>
            <w:tcW w:w="53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Interest income</w:t>
            </w:r>
          </w:p>
        </w:tc>
        <w:tc>
          <w:tcPr>
            <w:tcW w:w="100" w:type="dxa"/>
            <w:vAlign w:val="bottom"/>
            <w:shd w:val="clear" w:color="auto" w:fill="CCEEFF"/>
          </w:tcPr>
          <w:p>
            <w:pPr>
              <w:spacing w:after="0"/>
              <w:rPr>
                <w:sz w:val="16"/>
                <w:szCs w:val="16"/>
                <w:color w:val="auto"/>
              </w:rPr>
            </w:pPr>
          </w:p>
        </w:tc>
        <w:tc>
          <w:tcPr>
            <w:tcW w:w="28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716</w:t>
            </w:r>
          </w:p>
        </w:tc>
      </w:tr>
      <w:tr>
        <w:trPr>
          <w:trHeight w:val="216"/>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176"/>
        </w:trPr>
        <w:tc>
          <w:tcPr>
            <w:tcW w:w="53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lease revenue</w:t>
            </w:r>
          </w:p>
        </w:tc>
        <w:tc>
          <w:tcPr>
            <w:tcW w:w="100" w:type="dxa"/>
            <w:vAlign w:val="bottom"/>
            <w:tcBorders>
              <w:bottom w:val="single" w:sz="8" w:color="auto"/>
            </w:tcBorders>
            <w:shd w:val="clear" w:color="auto" w:fill="CCEEFF"/>
          </w:tcPr>
          <w:p>
            <w:pPr>
              <w:spacing w:after="0"/>
              <w:rPr>
                <w:sz w:val="15"/>
                <w:szCs w:val="15"/>
                <w:color w:val="auto"/>
              </w:rPr>
            </w:pPr>
          </w:p>
        </w:tc>
        <w:tc>
          <w:tcPr>
            <w:tcW w:w="2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16,385</w:t>
            </w: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28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50,269</w:t>
            </w:r>
          </w:p>
        </w:tc>
      </w:tr>
      <w:tr>
        <w:trPr>
          <w:trHeight w:val="172"/>
        </w:trPr>
        <w:tc>
          <w:tcPr>
            <w:tcW w:w="5380" w:type="dxa"/>
            <w:vAlign w:val="bottom"/>
          </w:tcPr>
          <w:p>
            <w:pPr>
              <w:ind w:left="320"/>
              <w:spacing w:after="0"/>
              <w:rPr>
                <w:sz w:val="20"/>
                <w:szCs w:val="20"/>
                <w:color w:val="auto"/>
              </w:rPr>
            </w:pPr>
            <w:r>
              <w:rPr>
                <w:rFonts w:ascii="Arial" w:cs="Arial" w:eastAsia="Arial" w:hAnsi="Arial"/>
                <w:sz w:val="12"/>
                <w:szCs w:val="12"/>
                <w:color w:val="auto"/>
              </w:rPr>
              <w:t>Total lease revenue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28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18,882</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28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55,152</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2"/>
          <w:szCs w:val="12"/>
          <w:color w:val="auto"/>
        </w:rPr>
        <w:t>Substantially all of our net investment in sales-type leases consisted of lease receivables totaling $5.6 million as of September 30, 2019.</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maturities of our operating lease payments from our continuing operations as of September 30, 2019 (amounts in thousands):</w:t>
      </w:r>
    </w:p>
    <w:p>
      <w:pPr>
        <w:spacing w:after="0" w:line="109" w:lineRule="exact"/>
        <w:rPr>
          <w:sz w:val="20"/>
          <w:szCs w:val="20"/>
          <w:color w:val="auto"/>
        </w:rPr>
      </w:pPr>
    </w:p>
    <w:tbl>
      <w:tblPr>
        <w:tblLayout w:type="fixed"/>
        <w:tblInd w:w="1900" w:type="dxa"/>
        <w:tblCellMar>
          <w:top w:w="0" w:type="dxa"/>
          <w:left w:w="0" w:type="dxa"/>
          <w:bottom w:w="0" w:type="dxa"/>
          <w:right w:w="0" w:type="dxa"/>
        </w:tblCellMar>
      </w:tblPr>
      <w:tr>
        <w:trPr>
          <w:trHeight w:val="163"/>
        </w:trPr>
        <w:tc>
          <w:tcPr>
            <w:tcW w:w="25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800"/>
              <w:spacing w:after="0"/>
              <w:rPr>
                <w:sz w:val="20"/>
                <w:szCs w:val="20"/>
                <w:color w:val="auto"/>
              </w:rPr>
            </w:pPr>
            <w:r>
              <w:rPr>
                <w:rFonts w:ascii="Arial" w:cs="Arial" w:eastAsia="Arial" w:hAnsi="Arial"/>
                <w:sz w:val="12"/>
                <w:szCs w:val="12"/>
                <w:b w:val="1"/>
                <w:bCs w:val="1"/>
                <w:color w:val="auto"/>
              </w:rPr>
              <w:t>Amounts</w:t>
            </w:r>
          </w:p>
        </w:tc>
      </w:tr>
      <w:tr>
        <w:trPr>
          <w:trHeight w:val="210"/>
        </w:trPr>
        <w:tc>
          <w:tcPr>
            <w:tcW w:w="25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80"/>
        </w:trPr>
        <w:tc>
          <w:tcPr>
            <w:tcW w:w="2580" w:type="dxa"/>
            <w:vAlign w:val="bottom"/>
            <w:shd w:val="clear" w:color="auto" w:fill="CCEEFF"/>
          </w:tcPr>
          <w:p>
            <w:pPr>
              <w:spacing w:after="0"/>
              <w:rPr>
                <w:sz w:val="15"/>
                <w:szCs w:val="15"/>
                <w:color w:val="auto"/>
              </w:rPr>
            </w:pPr>
          </w:p>
        </w:tc>
        <w:tc>
          <w:tcPr>
            <w:tcW w:w="3320" w:type="dxa"/>
            <w:vAlign w:val="bottom"/>
            <w:gridSpan w:val="2"/>
            <w:shd w:val="clear" w:color="auto" w:fill="CCEEFF"/>
          </w:tcPr>
          <w:p>
            <w:pPr>
              <w:jc w:val="right"/>
              <w:ind w:right="500"/>
              <w:spacing w:after="0"/>
              <w:rPr>
                <w:sz w:val="20"/>
                <w:szCs w:val="20"/>
                <w:color w:val="auto"/>
              </w:rPr>
            </w:pPr>
            <w:r>
              <w:rPr>
                <w:rFonts w:ascii="Arial" w:cs="Arial" w:eastAsia="Arial" w:hAnsi="Arial"/>
                <w:sz w:val="12"/>
                <w:szCs w:val="12"/>
                <w:b w:val="1"/>
                <w:bCs w:val="1"/>
                <w:color w:val="auto"/>
              </w:rPr>
              <w:t>Year ending December 31,</w:t>
            </w:r>
          </w:p>
        </w:tc>
        <w:tc>
          <w:tcPr>
            <w:tcW w:w="1780" w:type="dxa"/>
            <w:vAlign w:val="bottom"/>
            <w:shd w:val="clear" w:color="auto" w:fill="CCEEFF"/>
          </w:tcPr>
          <w:p>
            <w:pPr>
              <w:spacing w:after="0"/>
              <w:rPr>
                <w:sz w:val="15"/>
                <w:szCs w:val="15"/>
                <w:color w:val="auto"/>
              </w:rPr>
            </w:pPr>
          </w:p>
        </w:tc>
      </w:tr>
      <w:tr>
        <w:trPr>
          <w:trHeight w:val="176"/>
        </w:trPr>
        <w:tc>
          <w:tcPr>
            <w:tcW w:w="2580" w:type="dxa"/>
            <w:vAlign w:val="bottom"/>
          </w:tcPr>
          <w:p>
            <w:pPr>
              <w:ind w:left="20"/>
              <w:spacing w:after="0"/>
              <w:rPr>
                <w:sz w:val="20"/>
                <w:szCs w:val="20"/>
                <w:color w:val="auto"/>
              </w:rPr>
            </w:pPr>
            <w:r>
              <w:rPr>
                <w:rFonts w:ascii="Arial" w:cs="Arial" w:eastAsia="Arial" w:hAnsi="Arial"/>
                <w:sz w:val="12"/>
                <w:szCs w:val="12"/>
                <w:color w:val="auto"/>
              </w:rPr>
              <w:t>2019 (remainder)</w:t>
            </w:r>
          </w:p>
        </w:tc>
        <w:tc>
          <w:tcPr>
            <w:tcW w:w="332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1780" w:type="dxa"/>
            <w:vAlign w:val="bottom"/>
          </w:tcPr>
          <w:p>
            <w:pPr>
              <w:jc w:val="right"/>
              <w:ind w:right="20"/>
              <w:spacing w:after="0"/>
              <w:rPr>
                <w:sz w:val="20"/>
                <w:szCs w:val="20"/>
                <w:color w:val="auto"/>
              </w:rPr>
            </w:pPr>
            <w:r>
              <w:rPr>
                <w:rFonts w:ascii="Arial" w:cs="Arial" w:eastAsia="Arial" w:hAnsi="Arial"/>
                <w:sz w:val="12"/>
                <w:szCs w:val="12"/>
                <w:color w:val="auto"/>
              </w:rPr>
              <w:t>11,199</w:t>
            </w:r>
          </w:p>
        </w:tc>
      </w:tr>
      <w:tr>
        <w:trPr>
          <w:trHeight w:val="185"/>
        </w:trPr>
        <w:tc>
          <w:tcPr>
            <w:tcW w:w="2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2020</w:t>
            </w:r>
          </w:p>
        </w:tc>
        <w:tc>
          <w:tcPr>
            <w:tcW w:w="2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36,154</w:t>
            </w:r>
          </w:p>
        </w:tc>
      </w:tr>
      <w:tr>
        <w:trPr>
          <w:trHeight w:val="176"/>
        </w:trPr>
        <w:tc>
          <w:tcPr>
            <w:tcW w:w="2580" w:type="dxa"/>
            <w:vAlign w:val="bottom"/>
          </w:tcPr>
          <w:p>
            <w:pPr>
              <w:ind w:left="20"/>
              <w:spacing w:after="0"/>
              <w:rPr>
                <w:sz w:val="20"/>
                <w:szCs w:val="20"/>
                <w:color w:val="auto"/>
              </w:rPr>
            </w:pPr>
            <w:r>
              <w:rPr>
                <w:rFonts w:ascii="Arial" w:cs="Arial" w:eastAsia="Arial" w:hAnsi="Arial"/>
                <w:sz w:val="12"/>
                <w:szCs w:val="12"/>
                <w:color w:val="auto"/>
              </w:rPr>
              <w:t>2021</w:t>
            </w:r>
          </w:p>
        </w:tc>
        <w:tc>
          <w:tcPr>
            <w:tcW w:w="2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80" w:type="dxa"/>
            <w:vAlign w:val="bottom"/>
          </w:tcPr>
          <w:p>
            <w:pPr>
              <w:jc w:val="right"/>
              <w:ind w:right="20"/>
              <w:spacing w:after="0"/>
              <w:rPr>
                <w:sz w:val="20"/>
                <w:szCs w:val="20"/>
                <w:color w:val="auto"/>
              </w:rPr>
            </w:pPr>
            <w:r>
              <w:rPr>
                <w:rFonts w:ascii="Arial" w:cs="Arial" w:eastAsia="Arial" w:hAnsi="Arial"/>
                <w:sz w:val="12"/>
                <w:szCs w:val="12"/>
                <w:color w:val="auto"/>
              </w:rPr>
              <w:t>33,352</w:t>
            </w:r>
          </w:p>
        </w:tc>
      </w:tr>
      <w:tr>
        <w:trPr>
          <w:trHeight w:val="185"/>
        </w:trPr>
        <w:tc>
          <w:tcPr>
            <w:tcW w:w="2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2022</w:t>
            </w:r>
          </w:p>
        </w:tc>
        <w:tc>
          <w:tcPr>
            <w:tcW w:w="28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31,912</w:t>
            </w:r>
          </w:p>
        </w:tc>
      </w:tr>
      <w:tr>
        <w:trPr>
          <w:trHeight w:val="176"/>
        </w:trPr>
        <w:tc>
          <w:tcPr>
            <w:tcW w:w="2580" w:type="dxa"/>
            <w:vAlign w:val="bottom"/>
          </w:tcPr>
          <w:p>
            <w:pPr>
              <w:ind w:left="20"/>
              <w:spacing w:after="0"/>
              <w:rPr>
                <w:sz w:val="20"/>
                <w:szCs w:val="20"/>
                <w:color w:val="auto"/>
              </w:rPr>
            </w:pPr>
            <w:r>
              <w:rPr>
                <w:rFonts w:ascii="Arial" w:cs="Arial" w:eastAsia="Arial" w:hAnsi="Arial"/>
                <w:sz w:val="12"/>
                <w:szCs w:val="12"/>
                <w:color w:val="auto"/>
              </w:rPr>
              <w:t>2023</w:t>
            </w:r>
          </w:p>
        </w:tc>
        <w:tc>
          <w:tcPr>
            <w:tcW w:w="2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80" w:type="dxa"/>
            <w:vAlign w:val="bottom"/>
          </w:tcPr>
          <w:p>
            <w:pPr>
              <w:jc w:val="right"/>
              <w:ind w:right="20"/>
              <w:spacing w:after="0"/>
              <w:rPr>
                <w:sz w:val="20"/>
                <w:szCs w:val="20"/>
                <w:color w:val="auto"/>
              </w:rPr>
            </w:pPr>
            <w:r>
              <w:rPr>
                <w:rFonts w:ascii="Arial" w:cs="Arial" w:eastAsia="Arial" w:hAnsi="Arial"/>
                <w:sz w:val="12"/>
                <w:szCs w:val="12"/>
                <w:color w:val="auto"/>
              </w:rPr>
              <w:t>30,241</w:t>
            </w:r>
          </w:p>
        </w:tc>
      </w:tr>
      <w:tr>
        <w:trPr>
          <w:trHeight w:val="180"/>
        </w:trPr>
        <w:tc>
          <w:tcPr>
            <w:tcW w:w="2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After 2023</w:t>
            </w:r>
          </w:p>
        </w:tc>
        <w:tc>
          <w:tcPr>
            <w:tcW w:w="286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151,284</w:t>
            </w:r>
          </w:p>
        </w:tc>
      </w:tr>
      <w:tr>
        <w:trPr>
          <w:trHeight w:val="172"/>
        </w:trPr>
        <w:tc>
          <w:tcPr>
            <w:tcW w:w="2580" w:type="dxa"/>
            <w:vAlign w:val="bottom"/>
          </w:tcPr>
          <w:p>
            <w:pPr>
              <w:ind w:left="180"/>
              <w:spacing w:after="0"/>
              <w:rPr>
                <w:sz w:val="20"/>
                <w:szCs w:val="20"/>
                <w:color w:val="auto"/>
              </w:rPr>
            </w:pPr>
            <w:r>
              <w:rPr>
                <w:rFonts w:ascii="Arial" w:cs="Arial" w:eastAsia="Arial" w:hAnsi="Arial"/>
                <w:sz w:val="12"/>
                <w:szCs w:val="12"/>
                <w:color w:val="auto"/>
              </w:rPr>
              <w:t>Total lease payments</w:t>
            </w:r>
          </w:p>
        </w:tc>
        <w:tc>
          <w:tcPr>
            <w:tcW w:w="2860" w:type="dxa"/>
            <w:vAlign w:val="bottom"/>
          </w:tcPr>
          <w:p>
            <w:pPr>
              <w:spacing w:after="0"/>
              <w:rPr>
                <w:sz w:val="14"/>
                <w:szCs w:val="14"/>
                <w:color w:val="auto"/>
              </w:rPr>
            </w:pPr>
          </w:p>
        </w:tc>
        <w:tc>
          <w:tcPr>
            <w:tcW w:w="460" w:type="dxa"/>
            <w:vAlign w:val="bottom"/>
            <w:tcBorders>
              <w:bottom w:val="single" w:sz="8" w:color="auto"/>
            </w:tcBorders>
          </w:tcPr>
          <w:p>
            <w:pPr>
              <w:jc w:val="right"/>
              <w:ind w:right="320"/>
              <w:spacing w:after="0"/>
              <w:rPr>
                <w:sz w:val="20"/>
                <w:szCs w:val="20"/>
                <w:color w:val="auto"/>
              </w:rPr>
            </w:pPr>
            <w:r>
              <w:rPr>
                <w:rFonts w:ascii="Arial" w:cs="Arial" w:eastAsia="Arial" w:hAnsi="Arial"/>
                <w:sz w:val="12"/>
                <w:szCs w:val="12"/>
                <w:color w:val="auto"/>
                <w:w w:val="89"/>
              </w:rPr>
              <w:t>$</w:t>
            </w:r>
          </w:p>
        </w:tc>
        <w:tc>
          <w:tcPr>
            <w:tcW w:w="17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294,142</w:t>
            </w:r>
          </w:p>
        </w:tc>
      </w:tr>
    </w:tbl>
    <w:p>
      <w:pPr>
        <w:spacing w:after="0" w:line="276"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i w:val="1"/>
          <w:iCs w:val="1"/>
          <w:color w:val="auto"/>
        </w:rPr>
        <w:t xml:space="preserve">Property and equipment, net </w:t>
      </w:r>
      <w:r>
        <w:rPr>
          <w:rFonts w:ascii="Arial" w:cs="Arial" w:eastAsia="Arial" w:hAnsi="Arial"/>
          <w:sz w:val="12"/>
          <w:szCs w:val="12"/>
          <w:color w:val="auto"/>
        </w:rPr>
        <w:t>as of September 30, 2019 and</w:t>
      </w:r>
      <w:r>
        <w:rPr>
          <w:rFonts w:ascii="Arial" w:cs="Arial" w:eastAsia="Arial" w:hAnsi="Arial"/>
          <w:sz w:val="12"/>
          <w:szCs w:val="12"/>
          <w:i w:val="1"/>
          <w:iCs w:val="1"/>
          <w:color w:val="auto"/>
        </w:rPr>
        <w:t xml:space="preserve"> Depreciation and amortization </w:t>
      </w:r>
      <w:r>
        <w:rPr>
          <w:rFonts w:ascii="Arial" w:cs="Arial" w:eastAsia="Arial" w:hAnsi="Arial"/>
          <w:sz w:val="12"/>
          <w:szCs w:val="12"/>
          <w:color w:val="auto"/>
        </w:rPr>
        <w:t>for the three and nine months then ended included the following amounts for assets subject to operating leases from our</w:t>
      </w:r>
      <w:r>
        <w:rPr>
          <w:rFonts w:ascii="Arial" w:cs="Arial" w:eastAsia="Arial" w:hAnsi="Arial"/>
          <w:sz w:val="12"/>
          <w:szCs w:val="12"/>
          <w:i w:val="1"/>
          <w:iCs w:val="1"/>
          <w:color w:val="auto"/>
        </w:rPr>
        <w:t xml:space="preserve"> </w:t>
      </w:r>
      <w:r>
        <w:rPr>
          <w:rFonts w:ascii="Arial" w:cs="Arial" w:eastAsia="Arial" w:hAnsi="Arial"/>
          <w:sz w:val="12"/>
          <w:szCs w:val="12"/>
          <w:color w:val="auto"/>
        </w:rPr>
        <w:t>continuing operations (amounts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As of</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2"/>
                <w:szCs w:val="12"/>
                <w:b w:val="1"/>
                <w:bCs w:val="1"/>
                <w:color w:val="auto"/>
                <w:w w:val="99"/>
              </w:rPr>
              <w:t>For the three months ended</w:t>
            </w:r>
          </w:p>
        </w:tc>
        <w:tc>
          <w:tcPr>
            <w:tcW w:w="170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For the nine months ended</w:t>
            </w:r>
          </w:p>
        </w:tc>
      </w:tr>
      <w:tr>
        <w:trPr>
          <w:trHeight w:val="163"/>
        </w:trPr>
        <w:tc>
          <w:tcPr>
            <w:tcW w:w="33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9"/>
              </w:rPr>
              <w:t>September 30, 2019</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2"/>
                <w:szCs w:val="12"/>
                <w:b w:val="1"/>
                <w:bCs w:val="1"/>
                <w:color w:val="auto"/>
                <w:w w:val="99"/>
              </w:rPr>
              <w:t>September 30, 2019</w:t>
            </w:r>
          </w:p>
        </w:tc>
        <w:tc>
          <w:tcPr>
            <w:tcW w:w="1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September 30, 2019</w:t>
            </w:r>
          </w:p>
        </w:tc>
      </w:tr>
      <w:tr>
        <w:trPr>
          <w:trHeight w:val="132"/>
        </w:trPr>
        <w:tc>
          <w:tcPr>
            <w:tcW w:w="3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center"/>
              <w:ind w:right="260"/>
              <w:spacing w:after="0" w:line="132" w:lineRule="exact"/>
              <w:rPr>
                <w:sz w:val="20"/>
                <w:szCs w:val="20"/>
                <w:color w:val="auto"/>
              </w:rPr>
            </w:pPr>
            <w:r>
              <w:rPr>
                <w:rFonts w:ascii="Arial" w:cs="Arial" w:eastAsia="Arial" w:hAnsi="Arial"/>
                <w:sz w:val="12"/>
                <w:szCs w:val="12"/>
                <w:b w:val="1"/>
                <w:bCs w:val="1"/>
                <w:color w:val="auto"/>
                <w:w w:val="98"/>
              </w:rPr>
              <w:t>Accumulated</w:t>
            </w: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163"/>
        </w:trPr>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ind w:left="240"/>
              <w:spacing w:after="0"/>
              <w:rPr>
                <w:sz w:val="20"/>
                <w:szCs w:val="20"/>
                <w:color w:val="auto"/>
              </w:rPr>
            </w:pPr>
            <w:r>
              <w:rPr>
                <w:rFonts w:ascii="Arial" w:cs="Arial" w:eastAsia="Arial" w:hAnsi="Arial"/>
                <w:sz w:val="12"/>
                <w:szCs w:val="12"/>
                <w:b w:val="1"/>
                <w:bCs w:val="1"/>
                <w:color w:val="auto"/>
              </w:rPr>
              <w:t>Cost</w:t>
            </w:r>
          </w:p>
        </w:tc>
        <w:tc>
          <w:tcPr>
            <w:tcW w:w="1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Depreciation</w:t>
            </w:r>
          </w:p>
        </w:tc>
        <w:tc>
          <w:tcPr>
            <w:tcW w:w="340" w:type="dxa"/>
            <w:vAlign w:val="bottom"/>
          </w:tcPr>
          <w:p>
            <w:pPr>
              <w:spacing w:after="0"/>
              <w:rPr>
                <w:sz w:val="14"/>
                <w:szCs w:val="14"/>
                <w:color w:val="auto"/>
              </w:rPr>
            </w:pP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Net</w:t>
            </w:r>
          </w:p>
        </w:tc>
        <w:tc>
          <w:tcPr>
            <w:tcW w:w="200" w:type="dxa"/>
            <w:vAlign w:val="bottom"/>
          </w:tcPr>
          <w:p>
            <w:pPr>
              <w:spacing w:after="0"/>
              <w:rPr>
                <w:sz w:val="14"/>
                <w:szCs w:val="14"/>
                <w:color w:val="auto"/>
              </w:rPr>
            </w:pPr>
          </w:p>
        </w:tc>
        <w:tc>
          <w:tcPr>
            <w:tcW w:w="3320" w:type="dxa"/>
            <w:vAlign w:val="bottom"/>
            <w:gridSpan w:val="4"/>
          </w:tcPr>
          <w:p>
            <w:pPr>
              <w:jc w:val="right"/>
              <w:ind w:right="1060"/>
              <w:spacing w:after="0"/>
              <w:rPr>
                <w:sz w:val="20"/>
                <w:szCs w:val="20"/>
                <w:color w:val="auto"/>
              </w:rPr>
            </w:pPr>
            <w:r>
              <w:rPr>
                <w:rFonts w:ascii="Arial" w:cs="Arial" w:eastAsia="Arial" w:hAnsi="Arial"/>
                <w:sz w:val="12"/>
                <w:szCs w:val="12"/>
                <w:b w:val="1"/>
                <w:bCs w:val="1"/>
                <w:color w:val="auto"/>
              </w:rPr>
              <w:t>Depreciation Expense</w:t>
            </w:r>
          </w:p>
        </w:tc>
      </w:tr>
      <w:tr>
        <w:trPr>
          <w:trHeight w:val="210"/>
        </w:trPr>
        <w:tc>
          <w:tcPr>
            <w:tcW w:w="33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r>
      <w:tr>
        <w:trPr>
          <w:trHeight w:val="180"/>
        </w:trPr>
        <w:tc>
          <w:tcPr>
            <w:tcW w:w="3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Customer premises equipment</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1,322,084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(999,186)</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322,898</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45,546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5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138,197</w:t>
            </w:r>
          </w:p>
        </w:tc>
      </w:tr>
      <w:tr>
        <w:trPr>
          <w:trHeight w:val="176"/>
        </w:trPr>
        <w:tc>
          <w:tcPr>
            <w:tcW w:w="3340" w:type="dxa"/>
            <w:vAlign w:val="bottom"/>
          </w:tcPr>
          <w:p>
            <w:pPr>
              <w:ind w:left="20"/>
              <w:spacing w:after="0"/>
              <w:rPr>
                <w:sz w:val="20"/>
                <w:szCs w:val="20"/>
                <w:color w:val="auto"/>
              </w:rPr>
            </w:pPr>
            <w:r>
              <w:rPr>
                <w:rFonts w:ascii="Arial" w:cs="Arial" w:eastAsia="Arial" w:hAnsi="Arial"/>
                <w:sz w:val="12"/>
                <w:szCs w:val="12"/>
                <w:color w:val="auto"/>
              </w:rPr>
              <w:t>Satellites</w:t>
            </w:r>
          </w:p>
        </w:tc>
        <w:tc>
          <w:tcPr>
            <w:tcW w:w="320" w:type="dxa"/>
            <w:vAlign w:val="bottom"/>
          </w:tcPr>
          <w:p>
            <w:pPr>
              <w:spacing w:after="0"/>
              <w:rPr>
                <w:sz w:val="15"/>
                <w:szCs w:val="15"/>
                <w:color w:val="auto"/>
              </w:rPr>
            </w:pPr>
          </w:p>
        </w:tc>
        <w:tc>
          <w:tcPr>
            <w:tcW w:w="1060" w:type="dxa"/>
            <w:vAlign w:val="bottom"/>
          </w:tcPr>
          <w:p>
            <w:pPr>
              <w:jc w:val="right"/>
              <w:ind w:right="60"/>
              <w:spacing w:after="0"/>
              <w:rPr>
                <w:sz w:val="20"/>
                <w:szCs w:val="20"/>
                <w:color w:val="auto"/>
              </w:rPr>
            </w:pPr>
            <w:r>
              <w:rPr>
                <w:rFonts w:ascii="Arial" w:cs="Arial" w:eastAsia="Arial" w:hAnsi="Arial"/>
                <w:sz w:val="12"/>
                <w:szCs w:val="12"/>
                <w:color w:val="auto"/>
              </w:rPr>
              <w:t>104,620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ind w:right="20"/>
              <w:spacing w:after="0"/>
              <w:rPr>
                <w:sz w:val="20"/>
                <w:szCs w:val="20"/>
                <w:color w:val="auto"/>
              </w:rPr>
            </w:pPr>
            <w:r>
              <w:rPr>
                <w:rFonts w:ascii="Arial" w:cs="Arial" w:eastAsia="Arial" w:hAnsi="Arial"/>
                <w:sz w:val="12"/>
                <w:szCs w:val="12"/>
                <w:color w:val="auto"/>
              </w:rPr>
              <w:t>(29,616)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60"/>
              <w:spacing w:after="0"/>
              <w:rPr>
                <w:sz w:val="20"/>
                <w:szCs w:val="20"/>
                <w:color w:val="auto"/>
              </w:rPr>
            </w:pPr>
            <w:r>
              <w:rPr>
                <w:rFonts w:ascii="Arial" w:cs="Arial" w:eastAsia="Arial" w:hAnsi="Arial"/>
                <w:sz w:val="12"/>
                <w:szCs w:val="12"/>
                <w:color w:val="auto"/>
              </w:rPr>
              <w:t>75,004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jc w:val="right"/>
              <w:ind w:right="40"/>
              <w:spacing w:after="0"/>
              <w:rPr>
                <w:sz w:val="20"/>
                <w:szCs w:val="20"/>
                <w:color w:val="auto"/>
              </w:rPr>
            </w:pPr>
            <w:r>
              <w:rPr>
                <w:rFonts w:ascii="Arial" w:cs="Arial" w:eastAsia="Arial" w:hAnsi="Arial"/>
                <w:sz w:val="12"/>
                <w:szCs w:val="12"/>
                <w:color w:val="auto"/>
              </w:rPr>
              <w:t>1,802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right"/>
              <w:ind w:right="60"/>
              <w:spacing w:after="0"/>
              <w:rPr>
                <w:sz w:val="20"/>
                <w:szCs w:val="20"/>
                <w:color w:val="auto"/>
              </w:rPr>
            </w:pPr>
            <w:r>
              <w:rPr>
                <w:rFonts w:ascii="Arial" w:cs="Arial" w:eastAsia="Arial" w:hAnsi="Arial"/>
                <w:sz w:val="12"/>
                <w:szCs w:val="12"/>
                <w:color w:val="auto"/>
              </w:rPr>
              <w:t>5,277</w:t>
            </w:r>
          </w:p>
        </w:tc>
      </w:tr>
      <w:tr>
        <w:trPr>
          <w:trHeight w:val="180"/>
        </w:trPr>
        <w:tc>
          <w:tcPr>
            <w:tcW w:w="3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Real estate</w:t>
            </w:r>
          </w:p>
        </w:tc>
        <w:tc>
          <w:tcPr>
            <w:tcW w:w="32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47,061</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(15,909)</w:t>
            </w: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31,152</w:t>
            </w:r>
          </w:p>
        </w:tc>
        <w:tc>
          <w:tcPr>
            <w:tcW w:w="12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232</w:t>
            </w: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697</w:t>
            </w:r>
          </w:p>
        </w:tc>
      </w:tr>
      <w:tr>
        <w:trPr>
          <w:trHeight w:val="172"/>
        </w:trPr>
        <w:tc>
          <w:tcPr>
            <w:tcW w:w="3340" w:type="dxa"/>
            <w:vAlign w:val="bottom"/>
          </w:tcPr>
          <w:p>
            <w:pPr>
              <w:ind w:left="180"/>
              <w:spacing w:after="0"/>
              <w:rPr>
                <w:sz w:val="20"/>
                <w:szCs w:val="20"/>
                <w:color w:val="auto"/>
              </w:rPr>
            </w:pPr>
            <w:r>
              <w:rPr>
                <w:rFonts w:ascii="Arial" w:cs="Arial" w:eastAsia="Arial" w:hAnsi="Arial"/>
                <w:sz w:val="12"/>
                <w:szCs w:val="12"/>
                <w:color w:val="auto"/>
              </w:rPr>
              <w:t>Total</w:t>
            </w: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1,473,765</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(1,044,711)</w:t>
            </w:r>
          </w:p>
        </w:tc>
        <w:tc>
          <w:tcPr>
            <w:tcW w:w="120" w:type="dxa"/>
            <w:vAlign w:val="bottom"/>
          </w:tcPr>
          <w:p>
            <w:pPr>
              <w:spacing w:after="0"/>
              <w:rPr>
                <w:sz w:val="14"/>
                <w:szCs w:val="14"/>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429,054</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w w:val="89"/>
              </w:rPr>
              <w:t>$</w:t>
            </w:r>
          </w:p>
        </w:tc>
        <w:tc>
          <w:tcPr>
            <w:tcW w:w="15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47,580</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5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144,171</w:t>
            </w:r>
          </w:p>
        </w:tc>
      </w:tr>
      <w:tr>
        <w:trPr>
          <w:trHeight w:val="594"/>
        </w:trPr>
        <w:tc>
          <w:tcPr>
            <w:tcW w:w="3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480"/>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80"/>
          </w:cols>
          <w:pgMar w:left="220" w:top="140" w:right="199" w:bottom="1440" w:gutter="0" w:footer="0" w:header="0"/>
        </w:sectPr>
      </w:pPr>
    </w:p>
    <w:bookmarkStart w:id="20" w:name="page21"/>
    <w:bookmarkEnd w:id="2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4"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NOTE 5.</w:t>
      </w:r>
      <w:r>
        <w:rPr>
          <w:sz w:val="20"/>
          <w:szCs w:val="20"/>
          <w:color w:val="auto"/>
        </w:rPr>
        <w:tab/>
      </w:r>
      <w:r>
        <w:rPr>
          <w:rFonts w:ascii="Arial" w:cs="Arial" w:eastAsia="Arial" w:hAnsi="Arial"/>
          <w:sz w:val="11"/>
          <w:szCs w:val="11"/>
          <w:b w:val="1"/>
          <w:bCs w:val="1"/>
          <w:color w:val="auto"/>
        </w:rPr>
        <w:t>Discontinued Operations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Following the consummation of the BSS Transaction in September 2019, we no longer operate the BSS Business, which was a substantial portion of our ESS business segment. The BSS Transaction has been accounted for as a spin-off to our shareholders as the Company did not receive any consideration. As a result, the operating results of the BSS Business have been presented as discontinued operations and, as such, have been excluded from continuing operations and segment results for all periods presented.</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operating results of our discontinued operations (amounts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80" w:type="dxa"/>
            <w:vAlign w:val="bottom"/>
            <w:gridSpan w:val="3"/>
          </w:tcPr>
          <w:p>
            <w:pPr>
              <w:jc w:val="right"/>
              <w:spacing w:after="0"/>
              <w:rPr>
                <w:sz w:val="20"/>
                <w:szCs w:val="20"/>
                <w:color w:val="auto"/>
              </w:rPr>
            </w:pPr>
            <w:r>
              <w:rPr>
                <w:rFonts w:ascii="Arial" w:cs="Arial" w:eastAsia="Arial" w:hAnsi="Arial"/>
                <w:sz w:val="12"/>
                <w:szCs w:val="12"/>
                <w:b w:val="1"/>
                <w:bCs w:val="1"/>
                <w:color w:val="auto"/>
              </w:rPr>
              <w:t>For the three months</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For the nine months</w:t>
            </w:r>
          </w:p>
        </w:tc>
        <w:tc>
          <w:tcPr>
            <w:tcW w:w="900" w:type="dxa"/>
            <w:vAlign w:val="bottom"/>
          </w:tcPr>
          <w:p>
            <w:pPr>
              <w:spacing w:after="0"/>
              <w:rPr>
                <w:sz w:val="12"/>
                <w:szCs w:val="12"/>
                <w:color w:val="auto"/>
              </w:rPr>
            </w:pPr>
          </w:p>
        </w:tc>
      </w:tr>
      <w:tr>
        <w:trPr>
          <w:trHeight w:val="163"/>
        </w:trPr>
        <w:tc>
          <w:tcPr>
            <w:tcW w:w="52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ended September 30,</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ended September 30,</w:t>
            </w:r>
          </w:p>
        </w:tc>
        <w:tc>
          <w:tcPr>
            <w:tcW w:w="900" w:type="dxa"/>
            <w:vAlign w:val="bottom"/>
            <w:tcBorders>
              <w:bottom w:val="single" w:sz="8" w:color="auto"/>
            </w:tcBorders>
          </w:tcPr>
          <w:p>
            <w:pPr>
              <w:spacing w:after="0"/>
              <w:rPr>
                <w:sz w:val="14"/>
                <w:szCs w:val="14"/>
                <w:color w:val="auto"/>
              </w:rPr>
            </w:pPr>
          </w:p>
        </w:tc>
      </w:tr>
      <w:tr>
        <w:trPr>
          <w:trHeight w:val="169"/>
        </w:trPr>
        <w:tc>
          <w:tcPr>
            <w:tcW w:w="52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w w:val="89"/>
              </w:rPr>
              <w:t>2018</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2018</w:t>
            </w:r>
          </w:p>
        </w:tc>
      </w:tr>
      <w:tr>
        <w:trPr>
          <w:trHeight w:val="210"/>
        </w:trPr>
        <w:tc>
          <w:tcPr>
            <w:tcW w:w="5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80"/>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Revenue:</w:t>
            </w: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6"/>
        </w:trPr>
        <w:tc>
          <w:tcPr>
            <w:tcW w:w="5280" w:type="dxa"/>
            <w:vAlign w:val="bottom"/>
          </w:tcPr>
          <w:p>
            <w:pPr>
              <w:ind w:left="180"/>
              <w:spacing w:after="0"/>
              <w:rPr>
                <w:sz w:val="20"/>
                <w:szCs w:val="20"/>
                <w:color w:val="auto"/>
              </w:rPr>
            </w:pPr>
            <w:r>
              <w:rPr>
                <w:rFonts w:ascii="Arial" w:cs="Arial" w:eastAsia="Arial" w:hAnsi="Arial"/>
                <w:sz w:val="12"/>
                <w:szCs w:val="12"/>
                <w:color w:val="auto"/>
              </w:rPr>
              <w:t>Services and other revenue - DISH Network</w:t>
            </w:r>
          </w:p>
        </w:tc>
        <w:tc>
          <w:tcPr>
            <w:tcW w:w="840" w:type="dxa"/>
            <w:vAlign w:val="bottom"/>
          </w:tcPr>
          <w:p>
            <w:pPr>
              <w:jc w:val="right"/>
              <w:ind w:right="700"/>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54,297</w:t>
            </w:r>
          </w:p>
        </w:tc>
        <w:tc>
          <w:tcPr>
            <w:tcW w:w="120" w:type="dxa"/>
            <w:vAlign w:val="bottom"/>
          </w:tcPr>
          <w:p>
            <w:pPr>
              <w:spacing w:after="0"/>
              <w:rPr>
                <w:sz w:val="15"/>
                <w:szCs w:val="15"/>
                <w:color w:val="auto"/>
              </w:rPr>
            </w:pPr>
          </w:p>
        </w:tc>
        <w:tc>
          <w:tcPr>
            <w:tcW w:w="620" w:type="dxa"/>
            <w:vAlign w:val="bottom"/>
          </w:tcPr>
          <w:p>
            <w:pPr>
              <w:jc w:val="right"/>
              <w:ind w:right="48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70,805</w:t>
            </w:r>
          </w:p>
        </w:tc>
        <w:tc>
          <w:tcPr>
            <w:tcW w:w="120" w:type="dxa"/>
            <w:vAlign w:val="bottom"/>
          </w:tcPr>
          <w:p>
            <w:pPr>
              <w:spacing w:after="0"/>
              <w:rPr>
                <w:sz w:val="15"/>
                <w:szCs w:val="15"/>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195,942</w:t>
            </w:r>
          </w:p>
        </w:tc>
        <w:tc>
          <w:tcPr>
            <w:tcW w:w="100" w:type="dxa"/>
            <w:vAlign w:val="bottom"/>
          </w:tcPr>
          <w:p>
            <w:pPr>
              <w:spacing w:after="0"/>
              <w:rPr>
                <w:sz w:val="15"/>
                <w:szCs w:val="15"/>
                <w:color w:val="auto"/>
              </w:rPr>
            </w:pPr>
          </w:p>
        </w:tc>
        <w:tc>
          <w:tcPr>
            <w:tcW w:w="580" w:type="dxa"/>
            <w:vAlign w:val="bottom"/>
          </w:tcPr>
          <w:p>
            <w:pPr>
              <w:jc w:val="right"/>
              <w:ind w:right="440"/>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234,425</w:t>
            </w:r>
          </w:p>
        </w:tc>
      </w:tr>
      <w:tr>
        <w:trPr>
          <w:trHeight w:val="180"/>
        </w:trPr>
        <w:tc>
          <w:tcPr>
            <w:tcW w:w="52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Services and other revenue - other</w:t>
            </w: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4,512</w:t>
            </w:r>
          </w:p>
        </w:tc>
        <w:tc>
          <w:tcPr>
            <w:tcW w:w="12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5,874</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16,261</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17,622</w:t>
            </w:r>
          </w:p>
        </w:tc>
      </w:tr>
      <w:tr>
        <w:trPr>
          <w:trHeight w:val="160"/>
        </w:trPr>
        <w:tc>
          <w:tcPr>
            <w:tcW w:w="5280" w:type="dxa"/>
            <w:vAlign w:val="bottom"/>
          </w:tcPr>
          <w:p>
            <w:pPr>
              <w:ind w:left="320"/>
              <w:spacing w:after="0"/>
              <w:rPr>
                <w:sz w:val="20"/>
                <w:szCs w:val="20"/>
                <w:color w:val="auto"/>
              </w:rPr>
            </w:pPr>
            <w:r>
              <w:rPr>
                <w:rFonts w:ascii="Arial" w:cs="Arial" w:eastAsia="Arial" w:hAnsi="Arial"/>
                <w:sz w:val="12"/>
                <w:szCs w:val="12"/>
                <w:color w:val="auto"/>
              </w:rPr>
              <w:t>Total revenue</w:t>
            </w:r>
          </w:p>
        </w:tc>
        <w:tc>
          <w:tcPr>
            <w:tcW w:w="840" w:type="dxa"/>
            <w:vAlign w:val="bottom"/>
          </w:tcPr>
          <w:p>
            <w:pPr>
              <w:spacing w:after="0"/>
              <w:rPr>
                <w:sz w:val="13"/>
                <w:szCs w:val="13"/>
                <w:color w:val="auto"/>
              </w:rPr>
            </w:pP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58,809</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76,679</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212,203</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252,047</w:t>
            </w:r>
          </w:p>
        </w:tc>
      </w:tr>
      <w:tr>
        <w:trPr>
          <w:trHeight w:val="185"/>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Costs and Expenses:</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76"/>
        </w:trPr>
        <w:tc>
          <w:tcPr>
            <w:tcW w:w="5280" w:type="dxa"/>
            <w:vAlign w:val="bottom"/>
          </w:tcPr>
          <w:p>
            <w:pPr>
              <w:ind w:left="180"/>
              <w:spacing w:after="0"/>
              <w:rPr>
                <w:sz w:val="20"/>
                <w:szCs w:val="20"/>
                <w:color w:val="auto"/>
              </w:rPr>
            </w:pPr>
            <w:r>
              <w:rPr>
                <w:rFonts w:ascii="Arial" w:cs="Arial" w:eastAsia="Arial" w:hAnsi="Arial"/>
                <w:sz w:val="12"/>
                <w:szCs w:val="12"/>
                <w:color w:val="auto"/>
              </w:rPr>
              <w:t>Cost of equipment, services and other</w:t>
            </w:r>
          </w:p>
        </w:tc>
        <w:tc>
          <w:tcPr>
            <w:tcW w:w="840" w:type="dxa"/>
            <w:vAlign w:val="bottom"/>
          </w:tcPr>
          <w:p>
            <w:pPr>
              <w:spacing w:after="0"/>
              <w:rPr>
                <w:sz w:val="15"/>
                <w:szCs w:val="15"/>
                <w:color w:val="auto"/>
              </w:rPr>
            </w:pP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7,315</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9,721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28,057</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30,291</w:t>
            </w:r>
          </w:p>
        </w:tc>
      </w:tr>
      <w:tr>
        <w:trPr>
          <w:trHeight w:val="185"/>
        </w:trPr>
        <w:tc>
          <w:tcPr>
            <w:tcW w:w="52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Selling, general and administrative expenses</w:t>
            </w:r>
          </w:p>
        </w:tc>
        <w:tc>
          <w:tcPr>
            <w:tcW w:w="8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5,322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8,610</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(201)</w:t>
            </w:r>
          </w:p>
        </w:tc>
      </w:tr>
      <w:tr>
        <w:trPr>
          <w:trHeight w:val="176"/>
        </w:trPr>
        <w:tc>
          <w:tcPr>
            <w:tcW w:w="52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Depreciation and amortization</w:t>
            </w:r>
          </w:p>
        </w:tc>
        <w:tc>
          <w:tcPr>
            <w:tcW w:w="8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27,048</w:t>
            </w:r>
          </w:p>
        </w:tc>
        <w:tc>
          <w:tcPr>
            <w:tcW w:w="1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35,230</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97,435</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105,821</w:t>
            </w:r>
          </w:p>
        </w:tc>
      </w:tr>
      <w:tr>
        <w:trPr>
          <w:trHeight w:val="160"/>
        </w:trPr>
        <w:tc>
          <w:tcPr>
            <w:tcW w:w="52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costs and expenses</w:t>
            </w:r>
          </w:p>
        </w:tc>
        <w:tc>
          <w:tcPr>
            <w:tcW w:w="8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39,685</w:t>
            </w:r>
          </w:p>
        </w:tc>
        <w:tc>
          <w:tcPr>
            <w:tcW w:w="12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44,901</w:t>
            </w:r>
          </w:p>
        </w:tc>
        <w:tc>
          <w:tcPr>
            <w:tcW w:w="1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134,102</w:t>
            </w:r>
          </w:p>
        </w:tc>
        <w:tc>
          <w:tcPr>
            <w:tcW w:w="10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135,911</w:t>
            </w:r>
          </w:p>
        </w:tc>
      </w:tr>
      <w:tr>
        <w:trPr>
          <w:trHeight w:val="160"/>
        </w:trPr>
        <w:tc>
          <w:tcPr>
            <w:tcW w:w="528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Operating income</w:t>
            </w:r>
          </w:p>
        </w:tc>
        <w:tc>
          <w:tcPr>
            <w:tcW w:w="8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19,124</w:t>
            </w:r>
          </w:p>
        </w:tc>
        <w:tc>
          <w:tcPr>
            <w:tcW w:w="12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31,778</w:t>
            </w:r>
          </w:p>
        </w:tc>
        <w:tc>
          <w:tcPr>
            <w:tcW w:w="1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78,101</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116,136</w:t>
            </w:r>
          </w:p>
        </w:tc>
      </w:tr>
      <w:tr>
        <w:trPr>
          <w:trHeight w:val="174"/>
        </w:trPr>
        <w:tc>
          <w:tcPr>
            <w:tcW w:w="52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Other Income (Expense):</w:t>
            </w:r>
          </w:p>
        </w:tc>
        <w:tc>
          <w:tcPr>
            <w:tcW w:w="8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76"/>
        </w:trPr>
        <w:tc>
          <w:tcPr>
            <w:tcW w:w="52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Interest expense</w:t>
            </w:r>
          </w:p>
        </w:tc>
        <w:tc>
          <w:tcPr>
            <w:tcW w:w="8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(4,767)</w:t>
            </w:r>
          </w:p>
        </w:tc>
        <w:tc>
          <w:tcPr>
            <w:tcW w:w="1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(7,208)</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(17,865)</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(22,333)</w:t>
            </w:r>
          </w:p>
        </w:tc>
      </w:tr>
      <w:tr>
        <w:trPr>
          <w:trHeight w:val="160"/>
        </w:trPr>
        <w:tc>
          <w:tcPr>
            <w:tcW w:w="528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Total other income (expense), net</w:t>
            </w:r>
          </w:p>
        </w:tc>
        <w:tc>
          <w:tcPr>
            <w:tcW w:w="8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(4,767)</w:t>
            </w:r>
          </w:p>
        </w:tc>
        <w:tc>
          <w:tcPr>
            <w:tcW w:w="120" w:type="dxa"/>
            <w:vAlign w:val="bottom"/>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(7,208)</w:t>
            </w:r>
          </w:p>
        </w:tc>
        <w:tc>
          <w:tcPr>
            <w:tcW w:w="1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(17,865)</w:t>
            </w:r>
          </w:p>
        </w:tc>
        <w:tc>
          <w:tcPr>
            <w:tcW w:w="10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(22,333)</w:t>
            </w:r>
          </w:p>
        </w:tc>
      </w:tr>
      <w:tr>
        <w:trPr>
          <w:trHeight w:val="160"/>
        </w:trPr>
        <w:tc>
          <w:tcPr>
            <w:tcW w:w="5280" w:type="dxa"/>
            <w:vAlign w:val="bottom"/>
          </w:tcPr>
          <w:p>
            <w:pPr>
              <w:ind w:left="460"/>
              <w:spacing w:after="0"/>
              <w:rPr>
                <w:sz w:val="20"/>
                <w:szCs w:val="20"/>
                <w:color w:val="auto"/>
              </w:rPr>
            </w:pPr>
            <w:r>
              <w:rPr>
                <w:rFonts w:ascii="Arial" w:cs="Arial" w:eastAsia="Arial" w:hAnsi="Arial"/>
                <w:sz w:val="12"/>
                <w:szCs w:val="12"/>
                <w:color w:val="auto"/>
              </w:rPr>
              <w:t>Income from discontinued operations before income taxes</w:t>
            </w:r>
          </w:p>
        </w:tc>
        <w:tc>
          <w:tcPr>
            <w:tcW w:w="840" w:type="dxa"/>
            <w:vAlign w:val="bottom"/>
          </w:tcPr>
          <w:p>
            <w:pPr>
              <w:spacing w:after="0"/>
              <w:rPr>
                <w:sz w:val="13"/>
                <w:szCs w:val="13"/>
                <w:color w:val="auto"/>
              </w:rPr>
            </w:pPr>
          </w:p>
        </w:tc>
        <w:tc>
          <w:tcPr>
            <w:tcW w:w="540" w:type="dxa"/>
            <w:vAlign w:val="bottom"/>
          </w:tcPr>
          <w:p>
            <w:pPr>
              <w:jc w:val="right"/>
              <w:ind w:right="60"/>
              <w:spacing w:after="0"/>
              <w:rPr>
                <w:sz w:val="20"/>
                <w:szCs w:val="20"/>
                <w:color w:val="auto"/>
              </w:rPr>
            </w:pPr>
            <w:r>
              <w:rPr>
                <w:rFonts w:ascii="Arial" w:cs="Arial" w:eastAsia="Arial" w:hAnsi="Arial"/>
                <w:sz w:val="12"/>
                <w:szCs w:val="12"/>
                <w:color w:val="auto"/>
              </w:rPr>
              <w:t>14,357</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jc w:val="right"/>
              <w:ind w:right="40"/>
              <w:spacing w:after="0"/>
              <w:rPr>
                <w:sz w:val="20"/>
                <w:szCs w:val="20"/>
                <w:color w:val="auto"/>
              </w:rPr>
            </w:pPr>
            <w:r>
              <w:rPr>
                <w:rFonts w:ascii="Arial" w:cs="Arial" w:eastAsia="Arial" w:hAnsi="Arial"/>
                <w:sz w:val="12"/>
                <w:szCs w:val="12"/>
                <w:color w:val="auto"/>
              </w:rPr>
              <w:t>24,570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60,236</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00" w:type="dxa"/>
            <w:vAlign w:val="bottom"/>
          </w:tcPr>
          <w:p>
            <w:pPr>
              <w:jc w:val="right"/>
              <w:ind w:right="60"/>
              <w:spacing w:after="0"/>
              <w:rPr>
                <w:sz w:val="20"/>
                <w:szCs w:val="20"/>
                <w:color w:val="auto"/>
              </w:rPr>
            </w:pPr>
            <w:r>
              <w:rPr>
                <w:rFonts w:ascii="Arial" w:cs="Arial" w:eastAsia="Arial" w:hAnsi="Arial"/>
                <w:sz w:val="12"/>
                <w:szCs w:val="12"/>
                <w:color w:val="auto"/>
              </w:rPr>
              <w:t>93,803</w:t>
            </w:r>
          </w:p>
        </w:tc>
      </w:tr>
      <w:tr>
        <w:trPr>
          <w:trHeight w:val="180"/>
        </w:trPr>
        <w:tc>
          <w:tcPr>
            <w:tcW w:w="5280" w:type="dxa"/>
            <w:vAlign w:val="bottom"/>
            <w:shd w:val="clear" w:color="auto" w:fill="CCEEFF"/>
          </w:tcPr>
          <w:p>
            <w:pPr>
              <w:ind w:left="460"/>
              <w:spacing w:after="0"/>
              <w:rPr>
                <w:sz w:val="20"/>
                <w:szCs w:val="20"/>
                <w:color w:val="auto"/>
              </w:rPr>
            </w:pPr>
            <w:r>
              <w:rPr>
                <w:rFonts w:ascii="Arial" w:cs="Arial" w:eastAsia="Arial" w:hAnsi="Arial"/>
                <w:sz w:val="12"/>
                <w:szCs w:val="12"/>
                <w:color w:val="auto"/>
              </w:rPr>
              <w:t>Income tax benefit (provision), net</w:t>
            </w:r>
          </w:p>
        </w:tc>
        <w:tc>
          <w:tcPr>
            <w:tcW w:w="8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98"/>
              </w:rPr>
              <w:t>(12,302)</w:t>
            </w:r>
          </w:p>
        </w:tc>
        <w:tc>
          <w:tcPr>
            <w:tcW w:w="12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(4,873)</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(13,813)</w:t>
            </w:r>
          </w:p>
        </w:tc>
        <w:tc>
          <w:tcPr>
            <w:tcW w:w="10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(16,960)</w:t>
            </w:r>
          </w:p>
        </w:tc>
      </w:tr>
      <w:tr>
        <w:trPr>
          <w:trHeight w:val="172"/>
        </w:trPr>
        <w:tc>
          <w:tcPr>
            <w:tcW w:w="5280" w:type="dxa"/>
            <w:vAlign w:val="bottom"/>
          </w:tcPr>
          <w:p>
            <w:pPr>
              <w:ind w:left="600"/>
              <w:spacing w:after="0"/>
              <w:rPr>
                <w:sz w:val="20"/>
                <w:szCs w:val="20"/>
                <w:color w:val="auto"/>
              </w:rPr>
            </w:pPr>
            <w:r>
              <w:rPr>
                <w:rFonts w:ascii="Arial" w:cs="Arial" w:eastAsia="Arial" w:hAnsi="Arial"/>
                <w:sz w:val="12"/>
                <w:szCs w:val="12"/>
                <w:color w:val="auto"/>
              </w:rPr>
              <w:t>Net income (loss) from discontinued operations</w:t>
            </w:r>
          </w:p>
        </w:tc>
        <w:tc>
          <w:tcPr>
            <w:tcW w:w="840" w:type="dxa"/>
            <w:vAlign w:val="bottom"/>
            <w:tcBorders>
              <w:bottom w:val="single" w:sz="8" w:color="auto"/>
            </w:tcBorders>
          </w:tcPr>
          <w:p>
            <w:pPr>
              <w:jc w:val="right"/>
              <w:ind w:right="700"/>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2,055</w:t>
            </w:r>
          </w:p>
        </w:tc>
        <w:tc>
          <w:tcPr>
            <w:tcW w:w="120" w:type="dxa"/>
            <w:vAlign w:val="bottom"/>
          </w:tcPr>
          <w:p>
            <w:pPr>
              <w:spacing w:after="0"/>
              <w:rPr>
                <w:sz w:val="14"/>
                <w:szCs w:val="14"/>
                <w:color w:val="auto"/>
              </w:rPr>
            </w:pPr>
          </w:p>
        </w:tc>
        <w:tc>
          <w:tcPr>
            <w:tcW w:w="6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19,697</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46,423</w:t>
            </w:r>
          </w:p>
        </w:tc>
        <w:tc>
          <w:tcPr>
            <w:tcW w:w="100" w:type="dxa"/>
            <w:vAlign w:val="bottom"/>
          </w:tcPr>
          <w:p>
            <w:pPr>
              <w:spacing w:after="0"/>
              <w:rPr>
                <w:sz w:val="14"/>
                <w:szCs w:val="14"/>
                <w:color w:val="auto"/>
              </w:rPr>
            </w:pPr>
          </w:p>
        </w:tc>
        <w:tc>
          <w:tcPr>
            <w:tcW w:w="5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76,843</w:t>
            </w:r>
          </w:p>
        </w:tc>
      </w:tr>
    </w:tbl>
    <w:p>
      <w:pPr>
        <w:spacing w:after="0" w:line="288" w:lineRule="exact"/>
        <w:rPr>
          <w:sz w:val="20"/>
          <w:szCs w:val="20"/>
          <w:color w:val="auto"/>
        </w:rPr>
      </w:pPr>
    </w:p>
    <w:p>
      <w:pPr>
        <w:ind w:right="200"/>
        <w:spacing w:after="0" w:line="262" w:lineRule="auto"/>
        <w:rPr>
          <w:sz w:val="20"/>
          <w:szCs w:val="20"/>
          <w:color w:val="auto"/>
        </w:rPr>
      </w:pPr>
      <w:r>
        <w:rPr>
          <w:rFonts w:ascii="Arial" w:cs="Arial" w:eastAsia="Arial" w:hAnsi="Arial"/>
          <w:sz w:val="12"/>
          <w:szCs w:val="12"/>
          <w:color w:val="auto"/>
        </w:rPr>
        <w:t>Expenditures for property and equipment of our discontinued operations totaled $0.3 million and de minimis three months ended September 30, 2019 and 2018, respectively, and $0.5 million and $0.1 million for the nine months ended September 30, 2019 and 2018, respectively.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ectPr>
          <w:pgSz w:w="11900" w:h="16838" w:orient="portrait"/>
          <w:cols w:equalWidth="0" w:num="1">
            <w:col w:w="11480"/>
          </w:cols>
          <w:pgMar w:left="220" w:top="140" w:right="199" w:bottom="1440" w:gutter="0" w:footer="0" w:header="0"/>
        </w:sectPr>
      </w:pPr>
    </w:p>
    <w:bookmarkStart w:id="21" w:name="page22"/>
    <w:bookmarkEnd w:id="2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the aggregate carrying amounts of assets and liabilities of our discontinued operations (amounts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780" w:type="dxa"/>
            <w:vAlign w:val="bottom"/>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2"/>
                <w:szCs w:val="12"/>
                <w:b w:val="1"/>
                <w:bCs w:val="1"/>
                <w:color w:val="auto"/>
                <w:w w:val="93"/>
              </w:rPr>
              <w:t>As of</w:t>
            </w:r>
          </w:p>
        </w:tc>
        <w:tc>
          <w:tcPr>
            <w:tcW w:w="1940" w:type="dxa"/>
            <w:vAlign w:val="bottom"/>
            <w:tcBorders>
              <w:bottom w:val="single" w:sz="8" w:color="auto"/>
            </w:tcBorders>
          </w:tcPr>
          <w:p>
            <w:pPr>
              <w:spacing w:after="0"/>
              <w:rPr>
                <w:sz w:val="14"/>
                <w:szCs w:val="14"/>
                <w:color w:val="auto"/>
              </w:rPr>
            </w:pPr>
          </w:p>
        </w:tc>
      </w:tr>
      <w:tr>
        <w:trPr>
          <w:trHeight w:val="169"/>
        </w:trPr>
        <w:tc>
          <w:tcPr>
            <w:tcW w:w="6780" w:type="dxa"/>
            <w:vAlign w:val="bottom"/>
          </w:tcPr>
          <w:p>
            <w:pPr>
              <w:spacing w:after="0"/>
              <w:rPr>
                <w:sz w:val="14"/>
                <w:szCs w:val="14"/>
                <w:color w:val="auto"/>
              </w:rPr>
            </w:pPr>
          </w:p>
        </w:tc>
        <w:tc>
          <w:tcPr>
            <w:tcW w:w="18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September 30, 2019</w:t>
            </w: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rPr>
              <w:t>December 31, 2018</w:t>
            </w:r>
          </w:p>
        </w:tc>
      </w:tr>
      <w:tr>
        <w:trPr>
          <w:trHeight w:val="210"/>
        </w:trPr>
        <w:tc>
          <w:tcPr>
            <w:tcW w:w="67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180"/>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18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176"/>
        </w:trPr>
        <w:tc>
          <w:tcPr>
            <w:tcW w:w="6780" w:type="dxa"/>
            <w:vAlign w:val="bottom"/>
          </w:tcPr>
          <w:p>
            <w:pPr>
              <w:ind w:left="180"/>
              <w:spacing w:after="0"/>
              <w:rPr>
                <w:sz w:val="20"/>
                <w:szCs w:val="20"/>
                <w:color w:val="auto"/>
              </w:rPr>
            </w:pPr>
            <w:r>
              <w:rPr>
                <w:rFonts w:ascii="Arial" w:cs="Arial" w:eastAsia="Arial" w:hAnsi="Arial"/>
                <w:sz w:val="12"/>
                <w:szCs w:val="12"/>
                <w:color w:val="auto"/>
              </w:rPr>
              <w:t>Trade accounts receivable and contract assets, net</w:t>
            </w:r>
          </w:p>
        </w:tc>
        <w:tc>
          <w:tcPr>
            <w:tcW w:w="1800" w:type="dxa"/>
            <w:vAlign w:val="bottom"/>
          </w:tcPr>
          <w:p>
            <w:pPr>
              <w:jc w:val="right"/>
              <w:ind w:right="1660"/>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5,866</w:t>
            </w:r>
          </w:p>
        </w:tc>
        <w:tc>
          <w:tcPr>
            <w:tcW w:w="56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9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0"/>
        </w:trPr>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Prepaids and deposits</w:t>
            </w:r>
          </w:p>
        </w:tc>
        <w:tc>
          <w:tcPr>
            <w:tcW w:w="18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3,486</w:t>
            </w:r>
          </w:p>
        </w:tc>
      </w:tr>
      <w:tr>
        <w:trPr>
          <w:trHeight w:val="160"/>
        </w:trPr>
        <w:tc>
          <w:tcPr>
            <w:tcW w:w="678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Current assets of discontinued operations</w:t>
            </w:r>
          </w:p>
        </w:tc>
        <w:tc>
          <w:tcPr>
            <w:tcW w:w="1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5,866</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3,486</w:t>
            </w:r>
          </w:p>
        </w:tc>
      </w:tr>
      <w:tr>
        <w:trPr>
          <w:trHeight w:val="165"/>
        </w:trPr>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Property and equipment, net</w:t>
            </w:r>
          </w:p>
        </w:tc>
        <w:tc>
          <w:tcPr>
            <w:tcW w:w="1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880,242</w:t>
            </w:r>
          </w:p>
        </w:tc>
      </w:tr>
      <w:tr>
        <w:trPr>
          <w:trHeight w:val="176"/>
        </w:trPr>
        <w:tc>
          <w:tcPr>
            <w:tcW w:w="6780" w:type="dxa"/>
            <w:vAlign w:val="bottom"/>
          </w:tcPr>
          <w:p>
            <w:pPr>
              <w:ind w:left="180"/>
              <w:spacing w:after="0"/>
              <w:rPr>
                <w:sz w:val="20"/>
                <w:szCs w:val="20"/>
                <w:color w:val="auto"/>
              </w:rPr>
            </w:pPr>
            <w:r>
              <w:rPr>
                <w:rFonts w:ascii="Arial" w:cs="Arial" w:eastAsia="Arial" w:hAnsi="Arial"/>
                <w:sz w:val="12"/>
                <w:szCs w:val="12"/>
                <w:color w:val="auto"/>
              </w:rPr>
              <w:t>Regulatory authorizations, net</w:t>
            </w:r>
          </w:p>
        </w:tc>
        <w:tc>
          <w:tcPr>
            <w:tcW w:w="18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40" w:type="dxa"/>
            <w:vAlign w:val="bottom"/>
          </w:tcPr>
          <w:p>
            <w:pPr>
              <w:jc w:val="right"/>
              <w:ind w:right="60"/>
              <w:spacing w:after="0"/>
              <w:rPr>
                <w:sz w:val="20"/>
                <w:szCs w:val="20"/>
                <w:color w:val="auto"/>
              </w:rPr>
            </w:pPr>
            <w:r>
              <w:rPr>
                <w:rFonts w:ascii="Arial" w:cs="Arial" w:eastAsia="Arial" w:hAnsi="Arial"/>
                <w:sz w:val="12"/>
                <w:szCs w:val="12"/>
                <w:color w:val="auto"/>
              </w:rPr>
              <w:t>65,615</w:t>
            </w:r>
          </w:p>
        </w:tc>
      </w:tr>
      <w:tr>
        <w:trPr>
          <w:trHeight w:val="180"/>
        </w:trPr>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noncurrent assets, net</w:t>
            </w:r>
          </w:p>
        </w:tc>
        <w:tc>
          <w:tcPr>
            <w:tcW w:w="18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16,576</w:t>
            </w:r>
          </w:p>
        </w:tc>
      </w:tr>
      <w:tr>
        <w:trPr>
          <w:trHeight w:val="160"/>
        </w:trPr>
        <w:tc>
          <w:tcPr>
            <w:tcW w:w="678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Noncurrent assets of discontinued operations</w:t>
            </w:r>
          </w:p>
        </w:tc>
        <w:tc>
          <w:tcPr>
            <w:tcW w:w="1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962,433</w:t>
            </w:r>
          </w:p>
        </w:tc>
      </w:tr>
      <w:tr>
        <w:trPr>
          <w:trHeight w:val="172"/>
        </w:trPr>
        <w:tc>
          <w:tcPr>
            <w:tcW w:w="6780" w:type="dxa"/>
            <w:vAlign w:val="bottom"/>
            <w:shd w:val="clear" w:color="auto" w:fill="CCEEFF"/>
          </w:tcPr>
          <w:p>
            <w:pPr>
              <w:ind w:left="460"/>
              <w:spacing w:after="0"/>
              <w:rPr>
                <w:sz w:val="20"/>
                <w:szCs w:val="20"/>
                <w:color w:val="auto"/>
              </w:rPr>
            </w:pPr>
            <w:r>
              <w:rPr>
                <w:rFonts w:ascii="Arial" w:cs="Arial" w:eastAsia="Arial" w:hAnsi="Arial"/>
                <w:sz w:val="12"/>
                <w:szCs w:val="12"/>
                <w:color w:val="auto"/>
              </w:rPr>
              <w:t>Total assets of discontinued operations</w:t>
            </w:r>
          </w:p>
        </w:tc>
        <w:tc>
          <w:tcPr>
            <w:tcW w:w="1800" w:type="dxa"/>
            <w:vAlign w:val="bottom"/>
            <w:shd w:val="clear" w:color="auto" w:fill="CCEEFF"/>
          </w:tcPr>
          <w:p>
            <w:pPr>
              <w:jc w:val="right"/>
              <w:ind w:right="1660"/>
              <w:spacing w:after="0"/>
              <w:rPr>
                <w:sz w:val="20"/>
                <w:szCs w:val="20"/>
                <w:color w:val="auto"/>
              </w:rPr>
            </w:pPr>
            <w:r>
              <w:rPr>
                <w:rFonts w:ascii="Arial" w:cs="Arial" w:eastAsia="Arial" w:hAnsi="Arial"/>
                <w:sz w:val="12"/>
                <w:szCs w:val="12"/>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5,866</w:t>
            </w: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1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965,919</w:t>
            </w:r>
          </w:p>
        </w:tc>
      </w:tr>
      <w:tr>
        <w:trPr>
          <w:trHeight w:val="198"/>
        </w:trPr>
        <w:tc>
          <w:tcPr>
            <w:tcW w:w="6780" w:type="dxa"/>
            <w:vAlign w:val="bottom"/>
            <w:tcBorders>
              <w:top w:val="single" w:sz="8" w:color="CCEEFF"/>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r>
      <w:tr>
        <w:trPr>
          <w:trHeight w:val="180"/>
        </w:trPr>
        <w:tc>
          <w:tcPr>
            <w:tcW w:w="678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Liabilities:</w:t>
            </w:r>
          </w:p>
        </w:tc>
        <w:tc>
          <w:tcPr>
            <w:tcW w:w="18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r>
      <w:tr>
        <w:trPr>
          <w:trHeight w:val="176"/>
        </w:trPr>
        <w:tc>
          <w:tcPr>
            <w:tcW w:w="6780" w:type="dxa"/>
            <w:vAlign w:val="bottom"/>
          </w:tcPr>
          <w:p>
            <w:pPr>
              <w:ind w:left="180"/>
              <w:spacing w:after="0"/>
              <w:rPr>
                <w:sz w:val="20"/>
                <w:szCs w:val="20"/>
                <w:color w:val="auto"/>
              </w:rPr>
            </w:pPr>
            <w:r>
              <w:rPr>
                <w:rFonts w:ascii="Arial" w:cs="Arial" w:eastAsia="Arial" w:hAnsi="Arial"/>
                <w:sz w:val="12"/>
                <w:szCs w:val="12"/>
                <w:color w:val="auto"/>
              </w:rPr>
              <w:t>Trade accounts payable</w:t>
            </w:r>
          </w:p>
        </w:tc>
        <w:tc>
          <w:tcPr>
            <w:tcW w:w="1800" w:type="dxa"/>
            <w:vAlign w:val="bottom"/>
          </w:tcPr>
          <w:p>
            <w:pPr>
              <w:jc w:val="right"/>
              <w:ind w:right="1660"/>
              <w:spacing w:after="0"/>
              <w:rPr>
                <w:sz w:val="20"/>
                <w:szCs w:val="20"/>
                <w:color w:val="auto"/>
              </w:rPr>
            </w:pPr>
            <w:r>
              <w:rPr>
                <w:rFonts w:ascii="Arial" w:cs="Arial" w:eastAsia="Arial" w:hAnsi="Arial"/>
                <w:sz w:val="12"/>
                <w:szCs w:val="12"/>
                <w:color w:val="auto"/>
                <w:w w:val="89"/>
              </w:rPr>
              <w:t>$</w:t>
            </w:r>
          </w:p>
        </w:tc>
        <w:tc>
          <w:tcPr>
            <w:tcW w:w="400" w:type="dxa"/>
            <w:vAlign w:val="bottom"/>
          </w:tcPr>
          <w:p>
            <w:pPr>
              <w:jc w:val="right"/>
              <w:spacing w:after="0"/>
              <w:rPr>
                <w:sz w:val="20"/>
                <w:szCs w:val="20"/>
                <w:color w:val="auto"/>
              </w:rPr>
            </w:pPr>
            <w:r>
              <w:rPr>
                <w:rFonts w:ascii="Arial" w:cs="Arial" w:eastAsia="Arial" w:hAnsi="Arial"/>
                <w:sz w:val="12"/>
                <w:szCs w:val="12"/>
                <w:color w:val="auto"/>
              </w:rPr>
              <w:t>661</w:t>
            </w:r>
          </w:p>
        </w:tc>
        <w:tc>
          <w:tcPr>
            <w:tcW w:w="560" w:type="dxa"/>
            <w:vAlign w:val="bottom"/>
            <w:gridSpan w:val="3"/>
          </w:tcPr>
          <w:p>
            <w:pPr>
              <w:jc w:val="right"/>
              <w:ind w:right="200"/>
              <w:spacing w:after="0"/>
              <w:rPr>
                <w:sz w:val="20"/>
                <w:szCs w:val="20"/>
                <w:color w:val="auto"/>
              </w:rPr>
            </w:pPr>
            <w:r>
              <w:rPr>
                <w:rFonts w:ascii="Arial" w:cs="Arial" w:eastAsia="Arial" w:hAnsi="Arial"/>
                <w:sz w:val="12"/>
                <w:szCs w:val="12"/>
                <w:color w:val="auto"/>
              </w:rPr>
              <w:t>$</w:t>
            </w:r>
          </w:p>
        </w:tc>
        <w:tc>
          <w:tcPr>
            <w:tcW w:w="19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5"/>
        </w:trPr>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Current portion of finance lease obligations</w:t>
            </w:r>
          </w:p>
        </w:tc>
        <w:tc>
          <w:tcPr>
            <w:tcW w:w="18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39,995</w:t>
            </w:r>
          </w:p>
        </w:tc>
      </w:tr>
      <w:tr>
        <w:trPr>
          <w:trHeight w:val="176"/>
        </w:trPr>
        <w:tc>
          <w:tcPr>
            <w:tcW w:w="6780" w:type="dxa"/>
            <w:vAlign w:val="bottom"/>
          </w:tcPr>
          <w:p>
            <w:pPr>
              <w:ind w:left="180"/>
              <w:spacing w:after="0"/>
              <w:rPr>
                <w:sz w:val="20"/>
                <w:szCs w:val="20"/>
                <w:color w:val="auto"/>
              </w:rPr>
            </w:pPr>
            <w:r>
              <w:rPr>
                <w:rFonts w:ascii="Arial" w:cs="Arial" w:eastAsia="Arial" w:hAnsi="Arial"/>
                <w:sz w:val="12"/>
                <w:szCs w:val="12"/>
                <w:color w:val="auto"/>
              </w:rPr>
              <w:t>Accrued interest</w:t>
            </w:r>
          </w:p>
        </w:tc>
        <w:tc>
          <w:tcPr>
            <w:tcW w:w="18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40" w:type="dxa"/>
            <w:vAlign w:val="bottom"/>
          </w:tcPr>
          <w:p>
            <w:pPr>
              <w:jc w:val="right"/>
              <w:ind w:right="60"/>
              <w:spacing w:after="0"/>
              <w:rPr>
                <w:sz w:val="20"/>
                <w:szCs w:val="20"/>
                <w:color w:val="auto"/>
              </w:rPr>
            </w:pPr>
            <w:r>
              <w:rPr>
                <w:rFonts w:ascii="Arial" w:cs="Arial" w:eastAsia="Arial" w:hAnsi="Arial"/>
                <w:sz w:val="12"/>
                <w:szCs w:val="12"/>
                <w:color w:val="auto"/>
              </w:rPr>
              <w:t>2,066</w:t>
            </w:r>
          </w:p>
        </w:tc>
      </w:tr>
      <w:tr>
        <w:trPr>
          <w:trHeight w:val="180"/>
        </w:trPr>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Accrued expenses and other</w:t>
            </w:r>
          </w:p>
        </w:tc>
        <w:tc>
          <w:tcPr>
            <w:tcW w:w="18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3,904</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8,075</w:t>
            </w:r>
          </w:p>
        </w:tc>
      </w:tr>
      <w:tr>
        <w:trPr>
          <w:trHeight w:val="160"/>
        </w:trPr>
        <w:tc>
          <w:tcPr>
            <w:tcW w:w="678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Current liabilities of discontinued operations</w:t>
            </w:r>
          </w:p>
        </w:tc>
        <w:tc>
          <w:tcPr>
            <w:tcW w:w="1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4,565</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50,136</w:t>
            </w:r>
          </w:p>
        </w:tc>
      </w:tr>
      <w:tr>
        <w:trPr>
          <w:trHeight w:val="165"/>
        </w:trPr>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Finance lease obligations</w:t>
            </w:r>
          </w:p>
        </w:tc>
        <w:tc>
          <w:tcPr>
            <w:tcW w:w="18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9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187,002</w:t>
            </w:r>
          </w:p>
        </w:tc>
      </w:tr>
      <w:tr>
        <w:trPr>
          <w:trHeight w:val="176"/>
        </w:trPr>
        <w:tc>
          <w:tcPr>
            <w:tcW w:w="6780" w:type="dxa"/>
            <w:vAlign w:val="bottom"/>
          </w:tcPr>
          <w:p>
            <w:pPr>
              <w:ind w:left="180"/>
              <w:spacing w:after="0"/>
              <w:rPr>
                <w:sz w:val="20"/>
                <w:szCs w:val="20"/>
                <w:color w:val="auto"/>
              </w:rPr>
            </w:pPr>
            <w:r>
              <w:rPr>
                <w:rFonts w:ascii="Arial" w:cs="Arial" w:eastAsia="Arial" w:hAnsi="Arial"/>
                <w:sz w:val="12"/>
                <w:szCs w:val="12"/>
                <w:color w:val="auto"/>
              </w:rPr>
              <w:t>Deferred tax liabilities, net</w:t>
            </w:r>
          </w:p>
        </w:tc>
        <w:tc>
          <w:tcPr>
            <w:tcW w:w="18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40" w:type="dxa"/>
            <w:vAlign w:val="bottom"/>
          </w:tcPr>
          <w:p>
            <w:pPr>
              <w:jc w:val="right"/>
              <w:ind w:right="60"/>
              <w:spacing w:after="0"/>
              <w:rPr>
                <w:sz w:val="20"/>
                <w:szCs w:val="20"/>
                <w:color w:val="auto"/>
              </w:rPr>
            </w:pPr>
            <w:r>
              <w:rPr>
                <w:rFonts w:ascii="Arial" w:cs="Arial" w:eastAsia="Arial" w:hAnsi="Arial"/>
                <w:sz w:val="12"/>
                <w:szCs w:val="12"/>
                <w:color w:val="auto"/>
              </w:rPr>
              <w:t>178,513</w:t>
            </w:r>
          </w:p>
        </w:tc>
      </w:tr>
      <w:tr>
        <w:trPr>
          <w:trHeight w:val="180"/>
        </w:trPr>
        <w:tc>
          <w:tcPr>
            <w:tcW w:w="67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noncurrent liabilities</w:t>
            </w:r>
          </w:p>
        </w:tc>
        <w:tc>
          <w:tcPr>
            <w:tcW w:w="180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41,242</w:t>
            </w:r>
          </w:p>
        </w:tc>
      </w:tr>
      <w:tr>
        <w:trPr>
          <w:trHeight w:val="160"/>
        </w:trPr>
        <w:tc>
          <w:tcPr>
            <w:tcW w:w="678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Noncurrent liabilities of discontinued operations</w:t>
            </w:r>
          </w:p>
        </w:tc>
        <w:tc>
          <w:tcPr>
            <w:tcW w:w="18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406,757</w:t>
            </w:r>
          </w:p>
        </w:tc>
      </w:tr>
      <w:tr>
        <w:trPr>
          <w:trHeight w:val="172"/>
        </w:trPr>
        <w:tc>
          <w:tcPr>
            <w:tcW w:w="6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2"/>
                <w:szCs w:val="12"/>
                <w:color w:val="auto"/>
              </w:rPr>
              <w:t>Total liabilities of discontinued operations</w:t>
            </w:r>
          </w:p>
        </w:tc>
        <w:tc>
          <w:tcPr>
            <w:tcW w:w="1800" w:type="dxa"/>
            <w:vAlign w:val="bottom"/>
            <w:tcBorders>
              <w:bottom w:val="single" w:sz="8" w:color="auto"/>
            </w:tcBorders>
            <w:shd w:val="clear" w:color="auto" w:fill="CCEEFF"/>
          </w:tcPr>
          <w:p>
            <w:pPr>
              <w:jc w:val="right"/>
              <w:ind w:right="1660"/>
              <w:spacing w:after="0"/>
              <w:rPr>
                <w:sz w:val="20"/>
                <w:szCs w:val="20"/>
                <w:color w:val="auto"/>
              </w:rPr>
            </w:pPr>
            <w:r>
              <w:rPr>
                <w:rFonts w:ascii="Arial" w:cs="Arial" w:eastAsia="Arial" w:hAnsi="Arial"/>
                <w:sz w:val="12"/>
                <w:szCs w:val="12"/>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4,565</w:t>
            </w:r>
          </w:p>
        </w:tc>
        <w:tc>
          <w:tcPr>
            <w:tcW w:w="1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9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456,893</w:t>
            </w:r>
          </w:p>
        </w:tc>
      </w:tr>
    </w:tbl>
    <w:p>
      <w:pPr>
        <w:spacing w:after="0" w:line="274"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NOTE 6.</w:t>
      </w:r>
      <w:r>
        <w:rPr>
          <w:sz w:val="20"/>
          <w:szCs w:val="20"/>
          <w:color w:val="auto"/>
        </w:rPr>
        <w:tab/>
      </w:r>
      <w:r>
        <w:rPr>
          <w:rFonts w:ascii="Arial" w:cs="Arial" w:eastAsia="Arial" w:hAnsi="Arial"/>
          <w:sz w:val="11"/>
          <w:szCs w:val="11"/>
          <w:b w:val="1"/>
          <w:bCs w:val="1"/>
          <w:color w:val="auto"/>
        </w:rPr>
        <w:t>EARNINGS PER SHARE</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present basic earnings or losses per share (“EPS”) and diluted EPS for our Class A and Class B common stock. Basic EPS for our Class A and Class B common stock excludes potential dilution and is computed by dividing Net income (loss) attributable to EchoStar Corporation common stock by the weighted-average number of common shares outstanding for the period. Diluted EPS reflects the potential dilution that could occur if shares of common stock were issued pursuant to our stock-based compensation awards. The potential dilution from common stock awards was computed using the treasury stock method based on the average market value of our Class A common stock during the period. The calculation of our diluted weighted-average common shares outstanding excluded options to purchase shares of our Class A common stock, whose effect would be anti-dilutive, of 3.7 million as of September 30, 2019 and 5.0 million shares as of September 30, 2018.</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ectPr>
          <w:pgSz w:w="11900" w:h="16838" w:orient="portrait"/>
          <w:cols w:equalWidth="0" w:num="1">
            <w:col w:w="11480"/>
          </w:cols>
          <w:pgMar w:left="220" w:top="140" w:right="199" w:bottom="1440" w:gutter="0" w:footer="0" w:header="0"/>
        </w:sectPr>
      </w:pPr>
    </w:p>
    <w:bookmarkStart w:id="22" w:name="page23"/>
    <w:bookmarkEnd w:id="2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presents basic and diluted EPS amounts for all periods and the corresponding weighted-average shares outstanding used in the calculations (amounts in thousands, except per share amounts):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80" w:type="dxa"/>
            <w:vAlign w:val="bottom"/>
            <w:gridSpan w:val="5"/>
          </w:tcPr>
          <w:p>
            <w:pPr>
              <w:ind w:left="440"/>
              <w:spacing w:after="0"/>
              <w:rPr>
                <w:sz w:val="20"/>
                <w:szCs w:val="20"/>
                <w:color w:val="auto"/>
              </w:rPr>
            </w:pPr>
            <w:r>
              <w:rPr>
                <w:rFonts w:ascii="Arial" w:cs="Arial" w:eastAsia="Arial" w:hAnsi="Arial"/>
                <w:sz w:val="12"/>
                <w:szCs w:val="12"/>
                <w:b w:val="1"/>
                <w:bCs w:val="1"/>
                <w:color w:val="auto"/>
              </w:rPr>
              <w:t>For the three months</w:t>
            </w:r>
          </w:p>
        </w:tc>
        <w:tc>
          <w:tcPr>
            <w:tcW w:w="300" w:type="dxa"/>
            <w:vAlign w:val="bottom"/>
          </w:tcPr>
          <w:p>
            <w:pPr>
              <w:spacing w:after="0"/>
              <w:rPr>
                <w:sz w:val="12"/>
                <w:szCs w:val="12"/>
                <w:color w:val="auto"/>
              </w:rPr>
            </w:pPr>
          </w:p>
        </w:tc>
        <w:tc>
          <w:tcPr>
            <w:tcW w:w="2320" w:type="dxa"/>
            <w:vAlign w:val="bottom"/>
            <w:gridSpan w:val="4"/>
          </w:tcPr>
          <w:p>
            <w:pPr>
              <w:jc w:val="right"/>
              <w:ind w:right="680"/>
              <w:spacing w:after="0"/>
              <w:rPr>
                <w:sz w:val="20"/>
                <w:szCs w:val="20"/>
                <w:color w:val="auto"/>
              </w:rPr>
            </w:pPr>
            <w:r>
              <w:rPr>
                <w:rFonts w:ascii="Arial" w:cs="Arial" w:eastAsia="Arial" w:hAnsi="Arial"/>
                <w:sz w:val="12"/>
                <w:szCs w:val="12"/>
                <w:b w:val="1"/>
                <w:bCs w:val="1"/>
                <w:color w:val="auto"/>
              </w:rPr>
              <w:t>For the nine months</w:t>
            </w:r>
          </w:p>
        </w:tc>
      </w:tr>
      <w:tr>
        <w:trPr>
          <w:trHeight w:val="163"/>
        </w:trPr>
        <w:tc>
          <w:tcPr>
            <w:tcW w:w="4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ind w:left="440"/>
              <w:spacing w:after="0"/>
              <w:rPr>
                <w:sz w:val="20"/>
                <w:szCs w:val="20"/>
                <w:color w:val="auto"/>
              </w:rPr>
            </w:pPr>
            <w:r>
              <w:rPr>
                <w:rFonts w:ascii="Arial" w:cs="Arial" w:eastAsia="Arial" w:hAnsi="Arial"/>
                <w:sz w:val="12"/>
                <w:szCs w:val="12"/>
                <w:b w:val="1"/>
                <w:bCs w:val="1"/>
                <w:color w:val="auto"/>
              </w:rPr>
              <w:t>ended September 30,</w:t>
            </w:r>
          </w:p>
        </w:tc>
        <w:tc>
          <w:tcPr>
            <w:tcW w:w="300" w:type="dxa"/>
            <w:vAlign w:val="bottom"/>
          </w:tcPr>
          <w:p>
            <w:pPr>
              <w:spacing w:after="0"/>
              <w:rPr>
                <w:sz w:val="14"/>
                <w:szCs w:val="14"/>
                <w:color w:val="auto"/>
              </w:rPr>
            </w:pPr>
          </w:p>
        </w:tc>
        <w:tc>
          <w:tcPr>
            <w:tcW w:w="2320" w:type="dxa"/>
            <w:vAlign w:val="bottom"/>
            <w:gridSpan w:val="4"/>
          </w:tcPr>
          <w:p>
            <w:pPr>
              <w:jc w:val="right"/>
              <w:ind w:right="640"/>
              <w:spacing w:after="0"/>
              <w:rPr>
                <w:sz w:val="20"/>
                <w:szCs w:val="20"/>
                <w:color w:val="auto"/>
              </w:rPr>
            </w:pPr>
            <w:r>
              <w:rPr>
                <w:rFonts w:ascii="Arial" w:cs="Arial" w:eastAsia="Arial" w:hAnsi="Arial"/>
                <w:sz w:val="12"/>
                <w:szCs w:val="12"/>
                <w:b w:val="1"/>
                <w:bCs w:val="1"/>
                <w:color w:val="auto"/>
              </w:rPr>
              <w:t>ended September 30,</w:t>
            </w:r>
          </w:p>
        </w:tc>
      </w:tr>
      <w:tr>
        <w:trPr>
          <w:trHeight w:val="169"/>
        </w:trPr>
        <w:tc>
          <w:tcPr>
            <w:tcW w:w="4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2018</w:t>
            </w:r>
          </w:p>
        </w:tc>
      </w:tr>
      <w:tr>
        <w:trPr>
          <w:trHeight w:val="210"/>
        </w:trPr>
        <w:tc>
          <w:tcPr>
            <w:tcW w:w="4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80"/>
        </w:trPr>
        <w:tc>
          <w:tcPr>
            <w:tcW w:w="476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 from continuing operations</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(20,364)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(3,645)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(56,222)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(5,120)</w:t>
            </w:r>
          </w:p>
        </w:tc>
      </w:tr>
      <w:tr>
        <w:trPr>
          <w:trHeight w:val="176"/>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income from discontinued operations</w:t>
            </w:r>
          </w:p>
        </w:tc>
        <w:tc>
          <w:tcPr>
            <w:tcW w:w="13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2,055</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19,697</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46,423</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76,843</w:t>
            </w:r>
          </w:p>
        </w:tc>
      </w:tr>
      <w:tr>
        <w:trPr>
          <w:trHeight w:val="172"/>
        </w:trPr>
        <w:tc>
          <w:tcPr>
            <w:tcW w:w="47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income (loss) attributable to EchoStar Corporation common stock</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(18,309)</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16,052</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(9,799)</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71,723</w:t>
            </w:r>
          </w:p>
        </w:tc>
      </w:tr>
      <w:tr>
        <w:trPr>
          <w:trHeight w:val="198"/>
        </w:trPr>
        <w:tc>
          <w:tcPr>
            <w:tcW w:w="476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180"/>
        </w:trPr>
        <w:tc>
          <w:tcPr>
            <w:tcW w:w="47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Weighted-average common shares outstanding:</w:t>
            </w:r>
          </w:p>
        </w:tc>
        <w:tc>
          <w:tcPr>
            <w:tcW w:w="1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1"/>
        </w:trPr>
        <w:tc>
          <w:tcPr>
            <w:tcW w:w="4760" w:type="dxa"/>
            <w:vAlign w:val="bottom"/>
          </w:tcPr>
          <w:p>
            <w:pPr>
              <w:ind w:left="180"/>
              <w:spacing w:after="0"/>
              <w:rPr>
                <w:sz w:val="20"/>
                <w:szCs w:val="20"/>
                <w:color w:val="auto"/>
              </w:rPr>
            </w:pPr>
            <w:r>
              <w:rPr>
                <w:rFonts w:ascii="Arial" w:cs="Arial" w:eastAsia="Arial" w:hAnsi="Arial"/>
                <w:sz w:val="12"/>
                <w:szCs w:val="12"/>
                <w:b w:val="1"/>
                <w:bCs w:val="1"/>
                <w:color w:val="auto"/>
              </w:rPr>
              <w:t>Class A and B common stock:</w:t>
            </w: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9"/>
        </w:trPr>
        <w:tc>
          <w:tcPr>
            <w:tcW w:w="4760" w:type="dxa"/>
            <w:vAlign w:val="bottom"/>
            <w:shd w:val="clear" w:color="auto" w:fill="CCEEFF"/>
          </w:tcPr>
          <w:p>
            <w:pPr>
              <w:ind w:left="320"/>
              <w:spacing w:after="0"/>
              <w:rPr>
                <w:sz w:val="20"/>
                <w:szCs w:val="20"/>
                <w:color w:val="auto"/>
              </w:rPr>
            </w:pPr>
            <w:r>
              <w:rPr>
                <w:rFonts w:ascii="Arial" w:cs="Arial" w:eastAsia="Arial" w:hAnsi="Arial"/>
                <w:sz w:val="12"/>
                <w:szCs w:val="12"/>
                <w:color w:val="auto"/>
              </w:rPr>
              <w:t>Basic</w:t>
            </w:r>
          </w:p>
        </w:tc>
        <w:tc>
          <w:tcPr>
            <w:tcW w:w="1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97,455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96,166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96,426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96,049</w:t>
            </w:r>
          </w:p>
        </w:tc>
      </w:tr>
      <w:tr>
        <w:trPr>
          <w:trHeight w:val="176"/>
        </w:trPr>
        <w:tc>
          <w:tcPr>
            <w:tcW w:w="4760" w:type="dxa"/>
            <w:vAlign w:val="bottom"/>
          </w:tcPr>
          <w:p>
            <w:pPr>
              <w:ind w:left="320"/>
              <w:spacing w:after="0"/>
              <w:rPr>
                <w:sz w:val="20"/>
                <w:szCs w:val="20"/>
                <w:color w:val="auto"/>
              </w:rPr>
            </w:pPr>
            <w:r>
              <w:rPr>
                <w:rFonts w:ascii="Arial" w:cs="Arial" w:eastAsia="Arial" w:hAnsi="Arial"/>
                <w:sz w:val="12"/>
                <w:szCs w:val="12"/>
                <w:color w:val="auto"/>
              </w:rPr>
              <w:t>Dilutive impact of stock awards outstanding</w:t>
            </w: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72"/>
        </w:trPr>
        <w:tc>
          <w:tcPr>
            <w:tcW w:w="47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Diluted</w:t>
            </w:r>
          </w:p>
        </w:tc>
        <w:tc>
          <w:tcPr>
            <w:tcW w:w="13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97,455</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96,166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96,426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96,049</w:t>
            </w:r>
          </w:p>
        </w:tc>
      </w:tr>
      <w:tr>
        <w:trPr>
          <w:trHeight w:val="189"/>
        </w:trPr>
        <w:tc>
          <w:tcPr>
            <w:tcW w:w="47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0"/>
        </w:trPr>
        <w:tc>
          <w:tcPr>
            <w:tcW w:w="476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Earnings (loss) per share:</w:t>
            </w:r>
          </w:p>
        </w:tc>
        <w:tc>
          <w:tcPr>
            <w:tcW w:w="1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1"/>
        </w:trPr>
        <w:tc>
          <w:tcPr>
            <w:tcW w:w="4760" w:type="dxa"/>
            <w:vAlign w:val="bottom"/>
          </w:tcPr>
          <w:p>
            <w:pPr>
              <w:ind w:left="180"/>
              <w:spacing w:after="0"/>
              <w:rPr>
                <w:sz w:val="20"/>
                <w:szCs w:val="20"/>
                <w:color w:val="auto"/>
              </w:rPr>
            </w:pPr>
            <w:r>
              <w:rPr>
                <w:rFonts w:ascii="Arial" w:cs="Arial" w:eastAsia="Arial" w:hAnsi="Arial"/>
                <w:sz w:val="12"/>
                <w:szCs w:val="12"/>
                <w:b w:val="1"/>
                <w:bCs w:val="1"/>
                <w:color w:val="auto"/>
              </w:rPr>
              <w:t>Class A and B common stock:</w:t>
            </w: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9"/>
        </w:trPr>
        <w:tc>
          <w:tcPr>
            <w:tcW w:w="4760" w:type="dxa"/>
            <w:vAlign w:val="bottom"/>
            <w:shd w:val="clear" w:color="auto" w:fill="CCEEFF"/>
          </w:tcPr>
          <w:p>
            <w:pPr>
              <w:ind w:left="320"/>
              <w:spacing w:after="0"/>
              <w:rPr>
                <w:sz w:val="20"/>
                <w:szCs w:val="20"/>
                <w:color w:val="auto"/>
              </w:rPr>
            </w:pPr>
            <w:r>
              <w:rPr>
                <w:rFonts w:ascii="Arial" w:cs="Arial" w:eastAsia="Arial" w:hAnsi="Arial"/>
                <w:sz w:val="12"/>
                <w:szCs w:val="12"/>
                <w:b w:val="1"/>
                <w:bCs w:val="1"/>
                <w:color w:val="auto"/>
              </w:rPr>
              <w:t>Basic:</w:t>
            </w:r>
          </w:p>
        </w:tc>
        <w:tc>
          <w:tcPr>
            <w:tcW w:w="1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76"/>
        </w:trPr>
        <w:tc>
          <w:tcPr>
            <w:tcW w:w="4760" w:type="dxa"/>
            <w:vAlign w:val="bottom"/>
          </w:tcPr>
          <w:p>
            <w:pPr>
              <w:ind w:left="460"/>
              <w:spacing w:after="0"/>
              <w:rPr>
                <w:sz w:val="20"/>
                <w:szCs w:val="20"/>
                <w:color w:val="auto"/>
              </w:rPr>
            </w:pPr>
            <w:r>
              <w:rPr>
                <w:rFonts w:ascii="Arial" w:cs="Arial" w:eastAsia="Arial" w:hAnsi="Arial"/>
                <w:sz w:val="12"/>
                <w:szCs w:val="12"/>
                <w:color w:val="auto"/>
              </w:rPr>
              <w:t>Continuing operations</w:t>
            </w:r>
          </w:p>
        </w:tc>
        <w:tc>
          <w:tcPr>
            <w:tcW w:w="1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(0.21)</w:t>
            </w:r>
          </w:p>
        </w:tc>
        <w:tc>
          <w:tcPr>
            <w:tcW w:w="12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(0.04)</w:t>
            </w:r>
          </w:p>
        </w:tc>
        <w:tc>
          <w:tcPr>
            <w:tcW w:w="120" w:type="dxa"/>
            <w:vAlign w:val="bottom"/>
          </w:tcPr>
          <w:p>
            <w:pPr>
              <w:spacing w:after="0"/>
              <w:rPr>
                <w:sz w:val="15"/>
                <w:szCs w:val="15"/>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(0.58)</w:t>
            </w:r>
          </w:p>
        </w:tc>
        <w:tc>
          <w:tcPr>
            <w:tcW w:w="12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(0.05)</w:t>
            </w:r>
          </w:p>
        </w:tc>
      </w:tr>
      <w:tr>
        <w:trPr>
          <w:trHeight w:val="180"/>
        </w:trPr>
        <w:tc>
          <w:tcPr>
            <w:tcW w:w="4760" w:type="dxa"/>
            <w:vAlign w:val="bottom"/>
            <w:shd w:val="clear" w:color="auto" w:fill="CCEEFF"/>
          </w:tcPr>
          <w:p>
            <w:pPr>
              <w:ind w:left="460"/>
              <w:spacing w:after="0"/>
              <w:rPr>
                <w:sz w:val="20"/>
                <w:szCs w:val="20"/>
                <w:color w:val="auto"/>
              </w:rPr>
            </w:pPr>
            <w:r>
              <w:rPr>
                <w:rFonts w:ascii="Arial" w:cs="Arial" w:eastAsia="Arial" w:hAnsi="Arial"/>
                <w:sz w:val="12"/>
                <w:szCs w:val="12"/>
                <w:color w:val="auto"/>
              </w:rPr>
              <w:t>Discontinued operations</w:t>
            </w:r>
          </w:p>
        </w:tc>
        <w:tc>
          <w:tcPr>
            <w:tcW w:w="13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0.02</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0.21</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0.48</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0.80</w:t>
            </w:r>
          </w:p>
        </w:tc>
      </w:tr>
      <w:tr>
        <w:trPr>
          <w:trHeight w:val="172"/>
        </w:trPr>
        <w:tc>
          <w:tcPr>
            <w:tcW w:w="4760" w:type="dxa"/>
            <w:vAlign w:val="bottom"/>
          </w:tcPr>
          <w:p>
            <w:pPr>
              <w:ind w:left="600"/>
              <w:spacing w:after="0"/>
              <w:rPr>
                <w:sz w:val="20"/>
                <w:szCs w:val="20"/>
                <w:color w:val="auto"/>
              </w:rPr>
            </w:pPr>
            <w:r>
              <w:rPr>
                <w:rFonts w:ascii="Arial" w:cs="Arial" w:eastAsia="Arial" w:hAnsi="Arial"/>
                <w:sz w:val="12"/>
                <w:szCs w:val="12"/>
                <w:color w:val="auto"/>
              </w:rPr>
              <w:t>Total basic earnings (loss) per share</w:t>
            </w:r>
          </w:p>
        </w:tc>
        <w:tc>
          <w:tcPr>
            <w:tcW w:w="1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(0.19)</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0.17</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(0.10)</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0.75</w:t>
            </w:r>
          </w:p>
        </w:tc>
      </w:tr>
      <w:tr>
        <w:trPr>
          <w:trHeight w:val="180"/>
        </w:trPr>
        <w:tc>
          <w:tcPr>
            <w:tcW w:w="47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2"/>
                <w:szCs w:val="12"/>
                <w:b w:val="1"/>
                <w:bCs w:val="1"/>
                <w:color w:val="auto"/>
              </w:rPr>
              <w:t>Diluted:</w:t>
            </w:r>
          </w:p>
        </w:tc>
        <w:tc>
          <w:tcPr>
            <w:tcW w:w="13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r>
      <w:tr>
        <w:trPr>
          <w:trHeight w:val="176"/>
        </w:trPr>
        <w:tc>
          <w:tcPr>
            <w:tcW w:w="4760" w:type="dxa"/>
            <w:vAlign w:val="bottom"/>
          </w:tcPr>
          <w:p>
            <w:pPr>
              <w:ind w:left="460"/>
              <w:spacing w:after="0"/>
              <w:rPr>
                <w:sz w:val="20"/>
                <w:szCs w:val="20"/>
                <w:color w:val="auto"/>
              </w:rPr>
            </w:pPr>
            <w:r>
              <w:rPr>
                <w:rFonts w:ascii="Arial" w:cs="Arial" w:eastAsia="Arial" w:hAnsi="Arial"/>
                <w:sz w:val="12"/>
                <w:szCs w:val="12"/>
                <w:color w:val="auto"/>
              </w:rPr>
              <w:t>Continuing operations</w:t>
            </w:r>
          </w:p>
        </w:tc>
        <w:tc>
          <w:tcPr>
            <w:tcW w:w="1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(0.21)</w:t>
            </w:r>
          </w:p>
        </w:tc>
        <w:tc>
          <w:tcPr>
            <w:tcW w:w="12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(0.04)</w:t>
            </w:r>
          </w:p>
        </w:tc>
        <w:tc>
          <w:tcPr>
            <w:tcW w:w="120" w:type="dxa"/>
            <w:vAlign w:val="bottom"/>
          </w:tcPr>
          <w:p>
            <w:pPr>
              <w:spacing w:after="0"/>
              <w:rPr>
                <w:sz w:val="15"/>
                <w:szCs w:val="15"/>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(0.58)</w:t>
            </w:r>
          </w:p>
        </w:tc>
        <w:tc>
          <w:tcPr>
            <w:tcW w:w="12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(0.05)</w:t>
            </w:r>
          </w:p>
        </w:tc>
      </w:tr>
      <w:tr>
        <w:trPr>
          <w:trHeight w:val="180"/>
        </w:trPr>
        <w:tc>
          <w:tcPr>
            <w:tcW w:w="4760" w:type="dxa"/>
            <w:vAlign w:val="bottom"/>
            <w:shd w:val="clear" w:color="auto" w:fill="CCEEFF"/>
          </w:tcPr>
          <w:p>
            <w:pPr>
              <w:ind w:left="460"/>
              <w:spacing w:after="0"/>
              <w:rPr>
                <w:sz w:val="20"/>
                <w:szCs w:val="20"/>
                <w:color w:val="auto"/>
              </w:rPr>
            </w:pPr>
            <w:r>
              <w:rPr>
                <w:rFonts w:ascii="Arial" w:cs="Arial" w:eastAsia="Arial" w:hAnsi="Arial"/>
                <w:sz w:val="12"/>
                <w:szCs w:val="12"/>
                <w:color w:val="auto"/>
              </w:rPr>
              <w:t>Discontinued operations</w:t>
            </w:r>
          </w:p>
        </w:tc>
        <w:tc>
          <w:tcPr>
            <w:tcW w:w="13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0.02</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0.21</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0.48</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0.80</w:t>
            </w:r>
          </w:p>
        </w:tc>
      </w:tr>
      <w:tr>
        <w:trPr>
          <w:trHeight w:val="172"/>
        </w:trPr>
        <w:tc>
          <w:tcPr>
            <w:tcW w:w="4760" w:type="dxa"/>
            <w:vAlign w:val="bottom"/>
          </w:tcPr>
          <w:p>
            <w:pPr>
              <w:ind w:left="600"/>
              <w:spacing w:after="0"/>
              <w:rPr>
                <w:sz w:val="20"/>
                <w:szCs w:val="20"/>
                <w:color w:val="auto"/>
              </w:rPr>
            </w:pPr>
            <w:r>
              <w:rPr>
                <w:rFonts w:ascii="Arial" w:cs="Arial" w:eastAsia="Arial" w:hAnsi="Arial"/>
                <w:sz w:val="12"/>
                <w:szCs w:val="12"/>
                <w:color w:val="auto"/>
              </w:rPr>
              <w:t>Total diluted earnings (loss) per share</w:t>
            </w:r>
          </w:p>
        </w:tc>
        <w:tc>
          <w:tcPr>
            <w:tcW w:w="16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(0.19)</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0.17</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(0.10)</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0.75</w:t>
            </w:r>
          </w:p>
        </w:tc>
      </w:tr>
      <w:tr>
        <w:trPr>
          <w:trHeight w:val="594"/>
        </w:trPr>
        <w:tc>
          <w:tcPr>
            <w:tcW w:w="4760" w:type="dxa"/>
            <w:vAlign w:val="bottom"/>
          </w:tcPr>
          <w:p>
            <w:pPr>
              <w:spacing w:after="0"/>
              <w:rPr>
                <w:sz w:val="24"/>
                <w:szCs w:val="24"/>
                <w:color w:val="auto"/>
              </w:rPr>
            </w:pPr>
          </w:p>
        </w:tc>
        <w:tc>
          <w:tcPr>
            <w:tcW w:w="1320" w:type="dxa"/>
            <w:vAlign w:val="bottom"/>
          </w:tcPr>
          <w:p>
            <w:pPr>
              <w:jc w:val="right"/>
              <w:ind w:right="220"/>
              <w:spacing w:after="0"/>
              <w:rPr>
                <w:sz w:val="20"/>
                <w:szCs w:val="20"/>
                <w:color w:val="auto"/>
              </w:rPr>
            </w:pPr>
            <w:r>
              <w:rPr>
                <w:rFonts w:ascii="Arial" w:cs="Arial" w:eastAsia="Arial" w:hAnsi="Arial"/>
                <w:sz w:val="12"/>
                <w:szCs w:val="12"/>
                <w:color w:val="auto"/>
              </w:rPr>
              <w:t>20</w:t>
            </w: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140" w:right="199" w:bottom="1440" w:gutter="0" w:footer="0" w:header="0"/>
        </w:sectPr>
      </w:pPr>
    </w:p>
    <w:bookmarkStart w:id="23" w:name="page24"/>
    <w:bookmarkEnd w:id="2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940" w:type="dxa"/>
            <w:vAlign w:val="bottom"/>
            <w:gridSpan w:val="2"/>
          </w:tcPr>
          <w:p>
            <w:pPr>
              <w:spacing w:after="0"/>
              <w:rPr>
                <w:sz w:val="20"/>
                <w:szCs w:val="20"/>
                <w:color w:val="auto"/>
              </w:rPr>
            </w:pPr>
            <w:r>
              <w:rPr>
                <w:rFonts w:ascii="Arial" w:cs="Arial" w:eastAsia="Arial" w:hAnsi="Arial"/>
                <w:sz w:val="12"/>
                <w:szCs w:val="12"/>
                <w:b w:val="1"/>
                <w:bCs w:val="1"/>
                <w:color w:val="auto"/>
              </w:rPr>
              <w:t>NOTE 7.  OTHER COMPREHENSIVE INCOME (LOSS) AND RELATED TAX EFFECTS</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88"/>
        </w:trPr>
        <w:tc>
          <w:tcPr>
            <w:tcW w:w="8120" w:type="dxa"/>
            <w:vAlign w:val="bottom"/>
            <w:gridSpan w:val="8"/>
          </w:tcPr>
          <w:p>
            <w:pPr>
              <w:spacing w:after="0"/>
              <w:rPr>
                <w:sz w:val="20"/>
                <w:szCs w:val="20"/>
                <w:color w:val="auto"/>
              </w:rPr>
            </w:pPr>
            <w:r>
              <w:rPr>
                <w:rFonts w:ascii="Arial" w:cs="Arial" w:eastAsia="Arial" w:hAnsi="Arial"/>
                <w:sz w:val="12"/>
                <w:szCs w:val="12"/>
                <w:color w:val="auto"/>
              </w:rPr>
              <w:t xml:space="preserve">The changes in the balances of </w:t>
            </w:r>
            <w:r>
              <w:rPr>
                <w:rFonts w:ascii="Arial" w:cs="Arial" w:eastAsia="Arial" w:hAnsi="Arial"/>
                <w:sz w:val="12"/>
                <w:szCs w:val="12"/>
                <w:i w:val="1"/>
                <w:iCs w:val="1"/>
                <w:color w:val="auto"/>
              </w:rPr>
              <w:t>Accumulated other comprehensive loss</w:t>
            </w:r>
            <w:r>
              <w:rPr>
                <w:rFonts w:ascii="Arial" w:cs="Arial" w:eastAsia="Arial" w:hAnsi="Arial"/>
                <w:sz w:val="12"/>
                <w:szCs w:val="12"/>
                <w:color w:val="auto"/>
              </w:rPr>
              <w:t xml:space="preserve"> by component were as follows (amounts in thousands):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29"/>
        </w:trPr>
        <w:tc>
          <w:tcPr>
            <w:tcW w:w="2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center"/>
              <w:ind w:right="200"/>
              <w:spacing w:after="0"/>
              <w:rPr>
                <w:sz w:val="20"/>
                <w:szCs w:val="20"/>
                <w:color w:val="auto"/>
              </w:rPr>
            </w:pPr>
            <w:r>
              <w:rPr>
                <w:rFonts w:ascii="Arial" w:cs="Arial" w:eastAsia="Arial" w:hAnsi="Arial"/>
                <w:sz w:val="12"/>
                <w:szCs w:val="12"/>
                <w:b w:val="1"/>
                <w:bCs w:val="1"/>
                <w:color w:val="auto"/>
              </w:rPr>
              <w:t>Accumulated</w:t>
            </w:r>
          </w:p>
        </w:tc>
      </w:tr>
      <w:tr>
        <w:trPr>
          <w:trHeight w:val="135"/>
        </w:trPr>
        <w:tc>
          <w:tcPr>
            <w:tcW w:w="20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9"/>
              </w:rPr>
              <w:t>Cumulative Foreign</w:t>
            </w:r>
          </w:p>
        </w:tc>
        <w:tc>
          <w:tcPr>
            <w:tcW w:w="80" w:type="dxa"/>
            <w:vAlign w:val="bottom"/>
          </w:tcPr>
          <w:p>
            <w:pPr>
              <w:spacing w:after="0"/>
              <w:rPr>
                <w:sz w:val="11"/>
                <w:szCs w:val="11"/>
                <w:color w:val="auto"/>
              </w:rPr>
            </w:pPr>
          </w:p>
        </w:tc>
        <w:tc>
          <w:tcPr>
            <w:tcW w:w="15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9"/>
              </w:rPr>
              <w:t>Unrealized Gain (Loss)</w:t>
            </w: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tcPr>
          <w:p>
            <w:pPr>
              <w:jc w:val="center"/>
              <w:ind w:right="200"/>
              <w:spacing w:after="0" w:line="135" w:lineRule="exact"/>
              <w:rPr>
                <w:sz w:val="20"/>
                <w:szCs w:val="20"/>
                <w:color w:val="auto"/>
              </w:rPr>
            </w:pPr>
            <w:r>
              <w:rPr>
                <w:rFonts w:ascii="Arial" w:cs="Arial" w:eastAsia="Arial" w:hAnsi="Arial"/>
                <w:sz w:val="12"/>
                <w:szCs w:val="12"/>
                <w:b w:val="1"/>
                <w:bCs w:val="1"/>
                <w:color w:val="auto"/>
                <w:w w:val="99"/>
              </w:rPr>
              <w:t>Other</w:t>
            </w:r>
          </w:p>
        </w:tc>
      </w:tr>
      <w:tr>
        <w:trPr>
          <w:trHeight w:val="135"/>
        </w:trPr>
        <w:tc>
          <w:tcPr>
            <w:tcW w:w="20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9"/>
              </w:rPr>
              <w:t>Currency Translation</w:t>
            </w:r>
          </w:p>
        </w:tc>
        <w:tc>
          <w:tcPr>
            <w:tcW w:w="80" w:type="dxa"/>
            <w:vAlign w:val="bottom"/>
          </w:tcPr>
          <w:p>
            <w:pPr>
              <w:spacing w:after="0"/>
              <w:rPr>
                <w:sz w:val="11"/>
                <w:szCs w:val="11"/>
                <w:color w:val="auto"/>
              </w:rPr>
            </w:pPr>
          </w:p>
        </w:tc>
        <w:tc>
          <w:tcPr>
            <w:tcW w:w="150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99"/>
              </w:rPr>
              <w:t>On Available-For-Sale</w:t>
            </w: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tcPr>
          <w:p>
            <w:pPr>
              <w:jc w:val="center"/>
              <w:ind w:right="200"/>
              <w:spacing w:after="0" w:line="135" w:lineRule="exact"/>
              <w:rPr>
                <w:sz w:val="20"/>
                <w:szCs w:val="20"/>
                <w:color w:val="auto"/>
              </w:rPr>
            </w:pPr>
            <w:r>
              <w:rPr>
                <w:rFonts w:ascii="Arial" w:cs="Arial" w:eastAsia="Arial" w:hAnsi="Arial"/>
                <w:sz w:val="12"/>
                <w:szCs w:val="12"/>
                <w:b w:val="1"/>
                <w:bCs w:val="1"/>
                <w:color w:val="auto"/>
              </w:rPr>
              <w:t>Comprehensive</w:t>
            </w:r>
          </w:p>
        </w:tc>
      </w:tr>
      <w:tr>
        <w:trPr>
          <w:trHeight w:val="163"/>
        </w:trPr>
        <w:tc>
          <w:tcPr>
            <w:tcW w:w="2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Losses</w:t>
            </w:r>
          </w:p>
        </w:tc>
        <w:tc>
          <w:tcPr>
            <w:tcW w:w="80" w:type="dxa"/>
            <w:vAlign w:val="bottom"/>
          </w:tcPr>
          <w:p>
            <w:pPr>
              <w:spacing w:after="0"/>
              <w:rPr>
                <w:sz w:val="14"/>
                <w:szCs w:val="1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4"/>
                <w:szCs w:val="14"/>
                <w:color w:val="auto"/>
              </w:rPr>
            </w:pPr>
          </w:p>
        </w:tc>
        <w:tc>
          <w:tcPr>
            <w:tcW w:w="1220" w:type="dxa"/>
            <w:vAlign w:val="bottom"/>
            <w:gridSpan w:val="2"/>
          </w:tcPr>
          <w:p>
            <w:pPr>
              <w:ind w:left="240"/>
              <w:spacing w:after="0"/>
              <w:rPr>
                <w:sz w:val="20"/>
                <w:szCs w:val="20"/>
                <w:color w:val="auto"/>
              </w:rPr>
            </w:pPr>
            <w:r>
              <w:rPr>
                <w:rFonts w:ascii="Arial" w:cs="Arial" w:eastAsia="Arial" w:hAnsi="Arial"/>
                <w:sz w:val="12"/>
                <w:szCs w:val="12"/>
                <w:b w:val="1"/>
                <w:bCs w:val="1"/>
                <w:color w:val="auto"/>
              </w:rPr>
              <w:t>Other</w:t>
            </w:r>
          </w:p>
        </w:tc>
        <w:tc>
          <w:tcPr>
            <w:tcW w:w="260" w:type="dxa"/>
            <w:vAlign w:val="bottom"/>
          </w:tcPr>
          <w:p>
            <w:pPr>
              <w:spacing w:after="0"/>
              <w:rPr>
                <w:sz w:val="14"/>
                <w:szCs w:val="14"/>
                <w:color w:val="auto"/>
              </w:rPr>
            </w:pPr>
          </w:p>
        </w:tc>
        <w:tc>
          <w:tcPr>
            <w:tcW w:w="1540" w:type="dxa"/>
            <w:vAlign w:val="bottom"/>
          </w:tcPr>
          <w:p>
            <w:pPr>
              <w:jc w:val="center"/>
              <w:ind w:right="200"/>
              <w:spacing w:after="0"/>
              <w:rPr>
                <w:sz w:val="20"/>
                <w:szCs w:val="20"/>
                <w:color w:val="auto"/>
              </w:rPr>
            </w:pPr>
            <w:r>
              <w:rPr>
                <w:rFonts w:ascii="Arial" w:cs="Arial" w:eastAsia="Arial" w:hAnsi="Arial"/>
                <w:sz w:val="12"/>
                <w:szCs w:val="12"/>
                <w:b w:val="1"/>
                <w:bCs w:val="1"/>
                <w:color w:val="auto"/>
                <w:w w:val="99"/>
              </w:rPr>
              <w:t>Loss</w:t>
            </w:r>
          </w:p>
        </w:tc>
      </w:tr>
      <w:tr>
        <w:trPr>
          <w:trHeight w:val="210"/>
        </w:trPr>
        <w:tc>
          <w:tcPr>
            <w:tcW w:w="2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r>
      <w:tr>
        <w:trPr>
          <w:trHeight w:val="180"/>
        </w:trPr>
        <w:tc>
          <w:tcPr>
            <w:tcW w:w="200" w:type="dxa"/>
            <w:vAlign w:val="bottom"/>
          </w:tcPr>
          <w:p>
            <w:pPr>
              <w:spacing w:after="0"/>
              <w:rPr>
                <w:sz w:val="15"/>
                <w:szCs w:val="15"/>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December 31, 2017</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(119,430)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(10,801)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(130,154)</w:t>
            </w:r>
          </w:p>
        </w:tc>
      </w:tr>
      <w:tr>
        <w:trPr>
          <w:trHeight w:val="176"/>
        </w:trPr>
        <w:tc>
          <w:tcPr>
            <w:tcW w:w="200" w:type="dxa"/>
            <w:vAlign w:val="bottom"/>
          </w:tcPr>
          <w:p>
            <w:pPr>
              <w:spacing w:after="0"/>
              <w:rPr>
                <w:sz w:val="15"/>
                <w:szCs w:val="15"/>
                <w:color w:val="auto"/>
              </w:rPr>
            </w:pPr>
          </w:p>
        </w:tc>
        <w:tc>
          <w:tcPr>
            <w:tcW w:w="4740" w:type="dxa"/>
            <w:vAlign w:val="bottom"/>
          </w:tcPr>
          <w:p>
            <w:pPr>
              <w:ind w:left="180"/>
              <w:spacing w:after="0"/>
              <w:rPr>
                <w:sz w:val="20"/>
                <w:szCs w:val="20"/>
                <w:color w:val="auto"/>
              </w:rPr>
            </w:pPr>
            <w:r>
              <w:rPr>
                <w:rFonts w:ascii="Arial" w:cs="Arial" w:eastAsia="Arial" w:hAnsi="Arial"/>
                <w:sz w:val="12"/>
                <w:szCs w:val="12"/>
                <w:color w:val="auto"/>
              </w:rPr>
              <w:t>Cumulative effect of accounting changes as of January 1, 2018</w:t>
            </w:r>
          </w:p>
        </w:tc>
        <w:tc>
          <w:tcPr>
            <w:tcW w:w="120" w:type="dxa"/>
            <w:vAlign w:val="bottom"/>
          </w:tcPr>
          <w:p>
            <w:pPr>
              <w:spacing w:after="0"/>
              <w:rPr>
                <w:sz w:val="15"/>
                <w:szCs w:val="15"/>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10,467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10,467</w:t>
            </w:r>
          </w:p>
        </w:tc>
      </w:tr>
      <w:tr>
        <w:trPr>
          <w:trHeight w:val="160"/>
        </w:trPr>
        <w:tc>
          <w:tcPr>
            <w:tcW w:w="200" w:type="dxa"/>
            <w:vAlign w:val="bottom"/>
          </w:tcPr>
          <w:p>
            <w:pPr>
              <w:spacing w:after="0"/>
              <w:rPr>
                <w:sz w:val="13"/>
                <w:szCs w:val="13"/>
                <w:color w:val="auto"/>
              </w:rPr>
            </w:pPr>
          </w:p>
        </w:tc>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January 1, 2018</w:t>
            </w: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3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(119,430)</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14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(334)</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2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77</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15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(119,687)</w:t>
            </w:r>
          </w:p>
        </w:tc>
      </w:tr>
      <w:tr>
        <w:trPr>
          <w:trHeight w:val="160"/>
        </w:trPr>
        <w:tc>
          <w:tcPr>
            <w:tcW w:w="200" w:type="dxa"/>
            <w:vAlign w:val="bottom"/>
          </w:tcPr>
          <w:p>
            <w:pPr>
              <w:spacing w:after="0"/>
              <w:rPr>
                <w:sz w:val="13"/>
                <w:szCs w:val="13"/>
                <w:color w:val="auto"/>
              </w:rPr>
            </w:pPr>
          </w:p>
        </w:tc>
        <w:tc>
          <w:tcPr>
            <w:tcW w:w="4740" w:type="dxa"/>
            <w:vAlign w:val="bottom"/>
          </w:tcPr>
          <w:p>
            <w:pPr>
              <w:ind w:left="180"/>
              <w:spacing w:after="0"/>
              <w:rPr>
                <w:sz w:val="20"/>
                <w:szCs w:val="20"/>
                <w:color w:val="auto"/>
              </w:rPr>
            </w:pPr>
            <w:r>
              <w:rPr>
                <w:rFonts w:ascii="Arial" w:cs="Arial" w:eastAsia="Arial" w:hAnsi="Arial"/>
                <w:sz w:val="12"/>
                <w:szCs w:val="12"/>
                <w:color w:val="auto"/>
              </w:rPr>
              <w:t>Other comprehensive income (loss) before reclassifications</w:t>
            </w:r>
          </w:p>
        </w:tc>
        <w:tc>
          <w:tcPr>
            <w:tcW w:w="120" w:type="dxa"/>
            <w:vAlign w:val="bottom"/>
          </w:tcPr>
          <w:p>
            <w:pPr>
              <w:spacing w:after="0"/>
              <w:rPr>
                <w:sz w:val="13"/>
                <w:szCs w:val="13"/>
                <w:color w:val="auto"/>
              </w:rPr>
            </w:pPr>
          </w:p>
        </w:tc>
        <w:tc>
          <w:tcPr>
            <w:tcW w:w="1360" w:type="dxa"/>
            <w:vAlign w:val="bottom"/>
          </w:tcPr>
          <w:p>
            <w:pPr>
              <w:jc w:val="right"/>
              <w:ind w:right="20"/>
              <w:spacing w:after="0"/>
              <w:rPr>
                <w:sz w:val="20"/>
                <w:szCs w:val="20"/>
                <w:color w:val="auto"/>
              </w:rPr>
            </w:pPr>
            <w:r>
              <w:rPr>
                <w:rFonts w:ascii="Arial" w:cs="Arial" w:eastAsia="Arial" w:hAnsi="Arial"/>
                <w:sz w:val="12"/>
                <w:szCs w:val="12"/>
                <w:color w:val="auto"/>
              </w:rPr>
              <w:t>(41,151)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jc w:val="right"/>
              <w:ind w:right="20"/>
              <w:spacing w:after="0"/>
              <w:rPr>
                <w:sz w:val="20"/>
                <w:szCs w:val="20"/>
                <w:color w:val="auto"/>
              </w:rPr>
            </w:pPr>
            <w:r>
              <w:rPr>
                <w:rFonts w:ascii="Arial" w:cs="Arial" w:eastAsia="Arial" w:hAnsi="Arial"/>
                <w:sz w:val="12"/>
                <w:szCs w:val="12"/>
                <w:color w:val="auto"/>
              </w:rPr>
              <w:t>(277)</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172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ind w:right="20"/>
              <w:spacing w:after="0"/>
              <w:rPr>
                <w:sz w:val="20"/>
                <w:szCs w:val="20"/>
                <w:color w:val="auto"/>
              </w:rPr>
            </w:pPr>
            <w:r>
              <w:rPr>
                <w:rFonts w:ascii="Arial" w:cs="Arial" w:eastAsia="Arial" w:hAnsi="Arial"/>
                <w:sz w:val="12"/>
                <w:szCs w:val="12"/>
                <w:color w:val="auto"/>
              </w:rPr>
              <w:t>(41,256)</w:t>
            </w:r>
          </w:p>
        </w:tc>
      </w:tr>
      <w:tr>
        <w:trPr>
          <w:trHeight w:val="180"/>
        </w:trPr>
        <w:tc>
          <w:tcPr>
            <w:tcW w:w="200" w:type="dxa"/>
            <w:vAlign w:val="bottom"/>
          </w:tcPr>
          <w:p>
            <w:pPr>
              <w:spacing w:after="0"/>
              <w:rPr>
                <w:sz w:val="15"/>
                <w:szCs w:val="15"/>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Amounts reclassified to net income</w:t>
            </w:r>
          </w:p>
        </w:tc>
        <w:tc>
          <w:tcPr>
            <w:tcW w:w="1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w:t>
            </w:r>
          </w:p>
        </w:tc>
      </w:tr>
      <w:tr>
        <w:trPr>
          <w:trHeight w:val="160"/>
        </w:trPr>
        <w:tc>
          <w:tcPr>
            <w:tcW w:w="200" w:type="dxa"/>
            <w:vAlign w:val="bottom"/>
          </w:tcPr>
          <w:p>
            <w:pPr>
              <w:spacing w:after="0"/>
              <w:rPr>
                <w:sz w:val="13"/>
                <w:szCs w:val="13"/>
                <w:color w:val="auto"/>
              </w:rPr>
            </w:pPr>
          </w:p>
        </w:tc>
        <w:tc>
          <w:tcPr>
            <w:tcW w:w="4740" w:type="dxa"/>
            <w:vAlign w:val="bottom"/>
            <w:tcBorders>
              <w:bottom w:val="single" w:sz="8" w:color="CCEEFF"/>
            </w:tcBorders>
          </w:tcPr>
          <w:p>
            <w:pPr>
              <w:ind w:left="340"/>
              <w:spacing w:after="0"/>
              <w:rPr>
                <w:sz w:val="20"/>
                <w:szCs w:val="20"/>
                <w:color w:val="auto"/>
              </w:rPr>
            </w:pPr>
            <w:r>
              <w:rPr>
                <w:rFonts w:ascii="Arial" w:cs="Arial" w:eastAsia="Arial" w:hAnsi="Arial"/>
                <w:sz w:val="12"/>
                <w:szCs w:val="12"/>
                <w:color w:val="auto"/>
              </w:rPr>
              <w:t>Other comprehensive income (loss)</w:t>
            </w:r>
          </w:p>
        </w:tc>
        <w:tc>
          <w:tcPr>
            <w:tcW w:w="120" w:type="dxa"/>
            <w:vAlign w:val="bottom"/>
            <w:tcBorders>
              <w:top w:val="single" w:sz="8" w:color="auto"/>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(41,151)</w:t>
            </w:r>
          </w:p>
        </w:tc>
        <w:tc>
          <w:tcPr>
            <w:tcW w:w="1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(281)</w:t>
            </w:r>
          </w:p>
        </w:tc>
        <w:tc>
          <w:tcPr>
            <w:tcW w:w="100" w:type="dxa"/>
            <w:vAlign w:val="bottom"/>
            <w:tcBorders>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172</w:t>
            </w:r>
          </w:p>
        </w:tc>
        <w:tc>
          <w:tcPr>
            <w:tcW w:w="10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2"/>
                <w:szCs w:val="12"/>
                <w:color w:val="auto"/>
              </w:rPr>
              <w:t>(41,260)</w:t>
            </w:r>
          </w:p>
        </w:tc>
      </w:tr>
      <w:tr>
        <w:trPr>
          <w:trHeight w:val="172"/>
        </w:trPr>
        <w:tc>
          <w:tcPr>
            <w:tcW w:w="200" w:type="dxa"/>
            <w:vAlign w:val="bottom"/>
          </w:tcPr>
          <w:p>
            <w:pPr>
              <w:spacing w:after="0"/>
              <w:rPr>
                <w:sz w:val="14"/>
                <w:szCs w:val="14"/>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September 30,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(160,581)</w:t>
            </w: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(615)</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249</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(160,947)</w:t>
            </w:r>
          </w:p>
        </w:tc>
      </w:tr>
      <w:tr>
        <w:trPr>
          <w:trHeight w:val="216"/>
        </w:trPr>
        <w:tc>
          <w:tcPr>
            <w:tcW w:w="2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180"/>
        </w:trPr>
        <w:tc>
          <w:tcPr>
            <w:tcW w:w="200" w:type="dxa"/>
            <w:vAlign w:val="bottom"/>
          </w:tcPr>
          <w:p>
            <w:pPr>
              <w:spacing w:after="0"/>
              <w:rPr>
                <w:sz w:val="15"/>
                <w:szCs w:val="15"/>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(121,693)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(1,574)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(1,833)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5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(125,100)</w:t>
            </w:r>
          </w:p>
        </w:tc>
      </w:tr>
      <w:tr>
        <w:trPr>
          <w:trHeight w:val="176"/>
        </w:trPr>
        <w:tc>
          <w:tcPr>
            <w:tcW w:w="200" w:type="dxa"/>
            <w:vAlign w:val="bottom"/>
          </w:tcPr>
          <w:p>
            <w:pPr>
              <w:spacing w:after="0"/>
              <w:rPr>
                <w:sz w:val="15"/>
                <w:szCs w:val="15"/>
                <w:color w:val="auto"/>
              </w:rPr>
            </w:pPr>
          </w:p>
        </w:tc>
        <w:tc>
          <w:tcPr>
            <w:tcW w:w="4740" w:type="dxa"/>
            <w:vAlign w:val="bottom"/>
          </w:tcPr>
          <w:p>
            <w:pPr>
              <w:ind w:left="180"/>
              <w:spacing w:after="0"/>
              <w:rPr>
                <w:sz w:val="20"/>
                <w:szCs w:val="20"/>
                <w:color w:val="auto"/>
              </w:rPr>
            </w:pPr>
            <w:r>
              <w:rPr>
                <w:rFonts w:ascii="Arial" w:cs="Arial" w:eastAsia="Arial" w:hAnsi="Arial"/>
                <w:sz w:val="12"/>
                <w:szCs w:val="12"/>
                <w:color w:val="auto"/>
              </w:rPr>
              <w:t>Other comprehensive income (loss) before reclassifications</w:t>
            </w:r>
          </w:p>
        </w:tc>
        <w:tc>
          <w:tcPr>
            <w:tcW w:w="120" w:type="dxa"/>
            <w:vAlign w:val="bottom"/>
          </w:tcPr>
          <w:p>
            <w:pPr>
              <w:spacing w:after="0"/>
              <w:rPr>
                <w:sz w:val="15"/>
                <w:szCs w:val="15"/>
                <w:color w:val="auto"/>
              </w:rPr>
            </w:pPr>
          </w:p>
        </w:tc>
        <w:tc>
          <w:tcPr>
            <w:tcW w:w="1360" w:type="dxa"/>
            <w:vAlign w:val="bottom"/>
          </w:tcPr>
          <w:p>
            <w:pPr>
              <w:jc w:val="right"/>
              <w:ind w:right="20"/>
              <w:spacing w:after="0"/>
              <w:rPr>
                <w:sz w:val="20"/>
                <w:szCs w:val="20"/>
                <w:color w:val="auto"/>
              </w:rPr>
            </w:pPr>
            <w:r>
              <w:rPr>
                <w:rFonts w:ascii="Arial" w:cs="Arial" w:eastAsia="Arial" w:hAnsi="Arial"/>
                <w:sz w:val="12"/>
                <w:szCs w:val="12"/>
                <w:color w:val="auto"/>
              </w:rPr>
              <w:t>(10,732)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right"/>
              <w:ind w:right="60"/>
              <w:spacing w:after="0"/>
              <w:rPr>
                <w:sz w:val="20"/>
                <w:szCs w:val="20"/>
                <w:color w:val="auto"/>
              </w:rPr>
            </w:pPr>
            <w:r>
              <w:rPr>
                <w:rFonts w:ascii="Arial" w:cs="Arial" w:eastAsia="Arial" w:hAnsi="Arial"/>
                <w:sz w:val="12"/>
                <w:szCs w:val="12"/>
                <w:color w:val="auto"/>
              </w:rPr>
              <w:t>3,299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1,435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jc w:val="right"/>
              <w:ind w:right="20"/>
              <w:spacing w:after="0"/>
              <w:rPr>
                <w:sz w:val="20"/>
                <w:szCs w:val="20"/>
                <w:color w:val="auto"/>
              </w:rPr>
            </w:pPr>
            <w:r>
              <w:rPr>
                <w:rFonts w:ascii="Arial" w:cs="Arial" w:eastAsia="Arial" w:hAnsi="Arial"/>
                <w:sz w:val="12"/>
                <w:szCs w:val="12"/>
                <w:color w:val="auto"/>
              </w:rPr>
              <w:t>(5,998)</w:t>
            </w:r>
          </w:p>
        </w:tc>
      </w:tr>
      <w:tr>
        <w:trPr>
          <w:trHeight w:val="180"/>
        </w:trPr>
        <w:tc>
          <w:tcPr>
            <w:tcW w:w="200" w:type="dxa"/>
            <w:vAlign w:val="bottom"/>
          </w:tcPr>
          <w:p>
            <w:pPr>
              <w:spacing w:after="0"/>
              <w:rPr>
                <w:sz w:val="15"/>
                <w:szCs w:val="15"/>
                <w:color w:val="auto"/>
              </w:rPr>
            </w:pPr>
          </w:p>
        </w:tc>
        <w:tc>
          <w:tcPr>
            <w:tcW w:w="47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Amounts reclassified to net income</w:t>
            </w:r>
          </w:p>
        </w:tc>
        <w:tc>
          <w:tcPr>
            <w:tcW w:w="12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(566)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(566)</w:t>
            </w:r>
          </w:p>
        </w:tc>
      </w:tr>
      <w:tr>
        <w:trPr>
          <w:trHeight w:val="160"/>
        </w:trPr>
        <w:tc>
          <w:tcPr>
            <w:tcW w:w="200" w:type="dxa"/>
            <w:vAlign w:val="bottom"/>
          </w:tcPr>
          <w:p>
            <w:pPr>
              <w:spacing w:after="0"/>
              <w:rPr>
                <w:sz w:val="13"/>
                <w:szCs w:val="13"/>
                <w:color w:val="auto"/>
              </w:rPr>
            </w:pPr>
          </w:p>
        </w:tc>
        <w:tc>
          <w:tcPr>
            <w:tcW w:w="4740" w:type="dxa"/>
            <w:vAlign w:val="bottom"/>
          </w:tcPr>
          <w:p>
            <w:pPr>
              <w:ind w:left="340"/>
              <w:spacing w:after="0"/>
              <w:rPr>
                <w:sz w:val="20"/>
                <w:szCs w:val="20"/>
                <w:color w:val="auto"/>
              </w:rPr>
            </w:pPr>
            <w:r>
              <w:rPr>
                <w:rFonts w:ascii="Arial" w:cs="Arial" w:eastAsia="Arial" w:hAnsi="Arial"/>
                <w:sz w:val="12"/>
                <w:szCs w:val="12"/>
                <w:color w:val="auto"/>
              </w:rPr>
              <w:t>Other comprehensive income (loss)</w:t>
            </w: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rPr>
              <w:t>(10,732)</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2,733</w:t>
            </w:r>
          </w:p>
        </w:tc>
        <w:tc>
          <w:tcPr>
            <w:tcW w:w="10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60"/>
              <w:spacing w:after="0"/>
              <w:rPr>
                <w:sz w:val="20"/>
                <w:szCs w:val="20"/>
                <w:color w:val="auto"/>
              </w:rPr>
            </w:pPr>
            <w:r>
              <w:rPr>
                <w:rFonts w:ascii="Arial" w:cs="Arial" w:eastAsia="Arial" w:hAnsi="Arial"/>
                <w:sz w:val="12"/>
                <w:szCs w:val="12"/>
                <w:color w:val="auto"/>
              </w:rPr>
              <w:t>1,435</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jc w:val="right"/>
              <w:ind w:right="20"/>
              <w:spacing w:after="0"/>
              <w:rPr>
                <w:sz w:val="20"/>
                <w:szCs w:val="20"/>
                <w:color w:val="auto"/>
              </w:rPr>
            </w:pPr>
            <w:r>
              <w:rPr>
                <w:rFonts w:ascii="Arial" w:cs="Arial" w:eastAsia="Arial" w:hAnsi="Arial"/>
                <w:sz w:val="12"/>
                <w:szCs w:val="12"/>
                <w:color w:val="auto"/>
              </w:rPr>
              <w:t>(6,564)</w:t>
            </w:r>
          </w:p>
        </w:tc>
      </w:tr>
      <w:tr>
        <w:trPr>
          <w:trHeight w:val="183"/>
        </w:trPr>
        <w:tc>
          <w:tcPr>
            <w:tcW w:w="200" w:type="dxa"/>
            <w:vAlign w:val="bottom"/>
          </w:tcPr>
          <w:p>
            <w:pPr>
              <w:spacing w:after="0"/>
              <w:rPr>
                <w:sz w:val="15"/>
                <w:szCs w:val="15"/>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September 30, 2019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(132,425)</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1,159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(398)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(131,664)</w:t>
            </w:r>
          </w:p>
        </w:tc>
      </w:tr>
    </w:tbl>
    <w:p>
      <w:pPr>
        <w:spacing w:after="0" w:line="276" w:lineRule="exact"/>
        <w:rPr>
          <w:sz w:val="20"/>
          <w:szCs w:val="20"/>
          <w:color w:val="auto"/>
        </w:rPr>
      </w:pPr>
    </w:p>
    <w:p>
      <w:pPr>
        <w:jc w:val="both"/>
        <w:ind w:right="20"/>
        <w:spacing w:after="0" w:line="283" w:lineRule="auto"/>
        <w:rPr>
          <w:sz w:val="20"/>
          <w:szCs w:val="20"/>
          <w:color w:val="auto"/>
        </w:rPr>
      </w:pPr>
      <w:r>
        <w:rPr>
          <w:rFonts w:ascii="Arial" w:cs="Arial" w:eastAsia="Arial" w:hAnsi="Arial"/>
          <w:sz w:val="12"/>
          <w:szCs w:val="12"/>
          <w:color w:val="auto"/>
        </w:rPr>
        <w:t xml:space="preserve">The amounts reclassified to net income related to unrealized gain (loss) on available-for-sale securities in the table above are included in </w:t>
      </w:r>
      <w:r>
        <w:rPr>
          <w:rFonts w:ascii="Arial" w:cs="Arial" w:eastAsia="Arial" w:hAnsi="Arial"/>
          <w:sz w:val="12"/>
          <w:szCs w:val="12"/>
          <w:i w:val="1"/>
          <w:iCs w:val="1"/>
          <w:color w:val="auto"/>
        </w:rPr>
        <w:t>Gains (losses) on investments, net</w:t>
      </w:r>
      <w:r>
        <w:rPr>
          <w:rFonts w:ascii="Arial" w:cs="Arial" w:eastAsia="Arial" w:hAnsi="Arial"/>
          <w:sz w:val="12"/>
          <w:szCs w:val="12"/>
          <w:color w:val="auto"/>
        </w:rPr>
        <w:t xml:space="preserve"> in our Condensed Consolidated Statements of Operations.</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Except in unusual circumstances, we do not recognize tax effects on foreign currency translation adjustments because they are not expected to result in future taxable income or deductions. We do not recognize tax effects on unrealized gains or losses on available-for-sale securities until such gains or losses are realized.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ectPr>
          <w:pgSz w:w="11900" w:h="16838" w:orient="portrait"/>
          <w:cols w:equalWidth="0" w:num="1">
            <w:col w:w="11480"/>
          </w:cols>
          <w:pgMar w:left="220" w:top="140" w:right="199" w:bottom="1440" w:gutter="0" w:footer="0" w:header="0"/>
        </w:sectPr>
      </w:pPr>
    </w:p>
    <w:bookmarkStart w:id="24" w:name="page25"/>
    <w:bookmarkEnd w:id="2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4"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NOTE 8.</w:t>
      </w:r>
      <w:r>
        <w:rPr>
          <w:sz w:val="20"/>
          <w:szCs w:val="20"/>
          <w:color w:val="auto"/>
        </w:rPr>
        <w:tab/>
      </w:r>
      <w:r>
        <w:rPr>
          <w:rFonts w:ascii="Arial" w:cs="Arial" w:eastAsia="Arial" w:hAnsi="Arial"/>
          <w:sz w:val="11"/>
          <w:szCs w:val="11"/>
          <w:b w:val="1"/>
          <w:bCs w:val="1"/>
          <w:color w:val="auto"/>
        </w:rPr>
        <w:t>MARKETABLE INVESTMENT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Our marketable investment securities portfolio consists of various debt and equity instruments summarized in the table below (amounts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0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2"/>
                <w:szCs w:val="12"/>
                <w:b w:val="1"/>
                <w:bCs w:val="1"/>
                <w:color w:val="auto"/>
                <w:w w:val="93"/>
              </w:rPr>
              <w:t>As of</w:t>
            </w:r>
          </w:p>
        </w:tc>
        <w:tc>
          <w:tcPr>
            <w:tcW w:w="1860" w:type="dxa"/>
            <w:vAlign w:val="bottom"/>
            <w:tcBorders>
              <w:bottom w:val="single" w:sz="8" w:color="auto"/>
            </w:tcBorders>
          </w:tcPr>
          <w:p>
            <w:pPr>
              <w:spacing w:after="0"/>
              <w:rPr>
                <w:sz w:val="14"/>
                <w:szCs w:val="14"/>
                <w:color w:val="auto"/>
              </w:rPr>
            </w:pPr>
          </w:p>
        </w:tc>
      </w:tr>
      <w:tr>
        <w:trPr>
          <w:trHeight w:val="169"/>
        </w:trPr>
        <w:tc>
          <w:tcPr>
            <w:tcW w:w="70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September 30, 2019</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December 31, 2018</w:t>
            </w:r>
          </w:p>
        </w:tc>
      </w:tr>
      <w:tr>
        <w:trPr>
          <w:trHeight w:val="192"/>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80"/>
        </w:trPr>
        <w:tc>
          <w:tcPr>
            <w:tcW w:w="70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Marketable investment securities:</w:t>
            </w:r>
          </w:p>
        </w:tc>
        <w:tc>
          <w:tcPr>
            <w:tcW w:w="3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r>
      <w:tr>
        <w:trPr>
          <w:trHeight w:val="171"/>
        </w:trPr>
        <w:tc>
          <w:tcPr>
            <w:tcW w:w="7000" w:type="dxa"/>
            <w:vAlign w:val="bottom"/>
          </w:tcPr>
          <w:p>
            <w:pPr>
              <w:ind w:left="180"/>
              <w:spacing w:after="0"/>
              <w:rPr>
                <w:sz w:val="20"/>
                <w:szCs w:val="20"/>
                <w:color w:val="auto"/>
              </w:rPr>
            </w:pPr>
            <w:r>
              <w:rPr>
                <w:rFonts w:ascii="Arial" w:cs="Arial" w:eastAsia="Arial" w:hAnsi="Arial"/>
                <w:sz w:val="12"/>
                <w:szCs w:val="12"/>
                <w:color w:val="auto"/>
              </w:rPr>
              <w:t>Debt securities:</w:t>
            </w:r>
          </w:p>
        </w:tc>
        <w:tc>
          <w:tcPr>
            <w:tcW w:w="3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89"/>
        </w:trPr>
        <w:tc>
          <w:tcPr>
            <w:tcW w:w="70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Corporate bonds</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758,654</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1,735,653</w:t>
            </w:r>
          </w:p>
        </w:tc>
      </w:tr>
      <w:tr>
        <w:trPr>
          <w:trHeight w:val="176"/>
        </w:trPr>
        <w:tc>
          <w:tcPr>
            <w:tcW w:w="700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Other debt securities</w:t>
            </w:r>
          </w:p>
        </w:tc>
        <w:tc>
          <w:tcPr>
            <w:tcW w:w="3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216,958</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464,997</w:t>
            </w:r>
          </w:p>
        </w:tc>
      </w:tr>
      <w:tr>
        <w:trPr>
          <w:trHeight w:val="165"/>
        </w:trPr>
        <w:tc>
          <w:tcPr>
            <w:tcW w:w="7000" w:type="dxa"/>
            <w:vAlign w:val="bottom"/>
            <w:shd w:val="clear" w:color="auto" w:fill="CCEEFF"/>
          </w:tcPr>
          <w:p>
            <w:pPr>
              <w:ind w:left="460"/>
              <w:spacing w:after="0"/>
              <w:rPr>
                <w:sz w:val="20"/>
                <w:szCs w:val="20"/>
                <w:color w:val="auto"/>
              </w:rPr>
            </w:pPr>
            <w:r>
              <w:rPr>
                <w:rFonts w:ascii="Arial" w:cs="Arial" w:eastAsia="Arial" w:hAnsi="Arial"/>
                <w:sz w:val="12"/>
                <w:szCs w:val="12"/>
                <w:color w:val="auto"/>
              </w:rPr>
              <w:t>Total debt securities</w:t>
            </w:r>
          </w:p>
        </w:tc>
        <w:tc>
          <w:tcPr>
            <w:tcW w:w="32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975,612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2,200,650</w:t>
            </w:r>
          </w:p>
        </w:tc>
      </w:tr>
      <w:tr>
        <w:trPr>
          <w:trHeight w:val="176"/>
        </w:trPr>
        <w:tc>
          <w:tcPr>
            <w:tcW w:w="7000" w:type="dxa"/>
            <w:vAlign w:val="bottom"/>
            <w:tcBorders>
              <w:bottom w:val="single" w:sz="8" w:color="CCEEFF"/>
            </w:tcBorders>
          </w:tcPr>
          <w:p>
            <w:pPr>
              <w:ind w:left="740"/>
              <w:spacing w:after="0"/>
              <w:rPr>
                <w:sz w:val="20"/>
                <w:szCs w:val="20"/>
                <w:color w:val="auto"/>
              </w:rPr>
            </w:pPr>
            <w:r>
              <w:rPr>
                <w:rFonts w:ascii="Arial" w:cs="Arial" w:eastAsia="Arial" w:hAnsi="Arial"/>
                <w:sz w:val="12"/>
                <w:szCs w:val="12"/>
                <w:color w:val="auto"/>
              </w:rPr>
              <w:t>Equity securities</w:t>
            </w:r>
          </w:p>
        </w:tc>
        <w:tc>
          <w:tcPr>
            <w:tcW w:w="3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35,332</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90,976</w:t>
            </w:r>
          </w:p>
        </w:tc>
      </w:tr>
      <w:tr>
        <w:trPr>
          <w:trHeight w:val="165"/>
        </w:trPr>
        <w:tc>
          <w:tcPr>
            <w:tcW w:w="7000" w:type="dxa"/>
            <w:vAlign w:val="bottom"/>
            <w:shd w:val="clear" w:color="auto" w:fill="CCEEFF"/>
          </w:tcPr>
          <w:p>
            <w:pPr>
              <w:ind w:left="600"/>
              <w:spacing w:after="0"/>
              <w:rPr>
                <w:sz w:val="20"/>
                <w:szCs w:val="20"/>
                <w:color w:val="auto"/>
              </w:rPr>
            </w:pPr>
            <w:r>
              <w:rPr>
                <w:rFonts w:ascii="Arial" w:cs="Arial" w:eastAsia="Arial" w:hAnsi="Arial"/>
                <w:sz w:val="12"/>
                <w:szCs w:val="12"/>
                <w:color w:val="auto"/>
              </w:rPr>
              <w:t>Total marketable investment securities</w:t>
            </w:r>
          </w:p>
        </w:tc>
        <w:tc>
          <w:tcPr>
            <w:tcW w:w="32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1,010,944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2,291,626</w:t>
            </w:r>
          </w:p>
        </w:tc>
      </w:tr>
      <w:tr>
        <w:trPr>
          <w:trHeight w:val="176"/>
        </w:trPr>
        <w:tc>
          <w:tcPr>
            <w:tcW w:w="7000" w:type="dxa"/>
            <w:vAlign w:val="bottom"/>
            <w:tcBorders>
              <w:bottom w:val="single" w:sz="8" w:color="CCEEFF"/>
            </w:tcBorders>
          </w:tcPr>
          <w:p>
            <w:pPr>
              <w:ind w:left="600"/>
              <w:spacing w:after="0"/>
              <w:rPr>
                <w:sz w:val="20"/>
                <w:szCs w:val="20"/>
                <w:color w:val="auto"/>
              </w:rPr>
            </w:pPr>
            <w:r>
              <w:rPr>
                <w:rFonts w:ascii="Arial" w:cs="Arial" w:eastAsia="Arial" w:hAnsi="Arial"/>
                <w:sz w:val="12"/>
                <w:szCs w:val="12"/>
                <w:color w:val="auto"/>
              </w:rPr>
              <w:t>Less: Restricted marketable investment securities</w:t>
            </w:r>
          </w:p>
        </w:tc>
        <w:tc>
          <w:tcPr>
            <w:tcW w:w="3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10,779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9,474</w:t>
            </w:r>
          </w:p>
        </w:tc>
      </w:tr>
      <w:tr>
        <w:trPr>
          <w:trHeight w:val="172"/>
        </w:trPr>
        <w:tc>
          <w:tcPr>
            <w:tcW w:w="70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2"/>
                <w:szCs w:val="12"/>
                <w:color w:val="auto"/>
              </w:rPr>
              <w:t>Total marketable investment securities</w:t>
            </w: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1,000,165</w:t>
            </w:r>
          </w:p>
        </w:tc>
        <w:tc>
          <w:tcPr>
            <w:tcW w:w="1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8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2,282,152</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Debt Securities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Our corporate bond portfolio includes debt instruments issued by individual corporations, primarily in the industrial and financial services industries. Our other debt securities portfolio includes investments in various debt instruments, including U.S. government bonds, commercial paper and mutual funds.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A summary of our available-for-sale debt securities, exclusive of securities where we have elected the fair value option, is presented in the table below (amounts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8"/>
              </w:rPr>
              <w:t>Amortized</w:t>
            </w: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Unrealized</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340"/>
              <w:spacing w:after="0"/>
              <w:rPr>
                <w:sz w:val="20"/>
                <w:szCs w:val="20"/>
                <w:color w:val="auto"/>
              </w:rPr>
            </w:pPr>
            <w:r>
              <w:rPr>
                <w:rFonts w:ascii="Arial" w:cs="Arial" w:eastAsia="Arial" w:hAnsi="Arial"/>
                <w:sz w:val="12"/>
                <w:szCs w:val="12"/>
                <w:b w:val="1"/>
                <w:bCs w:val="1"/>
                <w:color w:val="auto"/>
              </w:rPr>
              <w:t>Estimated</w:t>
            </w:r>
          </w:p>
        </w:tc>
      </w:tr>
      <w:tr>
        <w:trPr>
          <w:trHeight w:val="169"/>
        </w:trPr>
        <w:tc>
          <w:tcPr>
            <w:tcW w:w="5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7"/>
              </w:rPr>
              <w:t>Cost</w:t>
            </w:r>
          </w:p>
        </w:tc>
        <w:tc>
          <w:tcPr>
            <w:tcW w:w="300" w:type="dxa"/>
            <w:vAlign w:val="bottom"/>
          </w:tcPr>
          <w:p>
            <w:pPr>
              <w:spacing w:after="0"/>
              <w:rPr>
                <w:sz w:val="14"/>
                <w:szCs w:val="14"/>
                <w:color w:val="auto"/>
              </w:rPr>
            </w:pP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Gains</w:t>
            </w:r>
          </w:p>
        </w:tc>
        <w:tc>
          <w:tcPr>
            <w:tcW w:w="36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Losses</w:t>
            </w:r>
          </w:p>
        </w:tc>
        <w:tc>
          <w:tcPr>
            <w:tcW w:w="240" w:type="dxa"/>
            <w:vAlign w:val="bottom"/>
          </w:tcPr>
          <w:p>
            <w:pPr>
              <w:spacing w:after="0"/>
              <w:rPr>
                <w:sz w:val="14"/>
                <w:szCs w:val="14"/>
                <w:color w:val="auto"/>
              </w:rPr>
            </w:pPr>
          </w:p>
        </w:tc>
        <w:tc>
          <w:tcPr>
            <w:tcW w:w="1120" w:type="dxa"/>
            <w:vAlign w:val="bottom"/>
          </w:tcPr>
          <w:p>
            <w:pPr>
              <w:jc w:val="right"/>
              <w:ind w:right="340"/>
              <w:spacing w:after="0"/>
              <w:rPr>
                <w:sz w:val="20"/>
                <w:szCs w:val="20"/>
                <w:color w:val="auto"/>
              </w:rPr>
            </w:pPr>
            <w:r>
              <w:rPr>
                <w:rFonts w:ascii="Arial" w:cs="Arial" w:eastAsia="Arial" w:hAnsi="Arial"/>
                <w:sz w:val="12"/>
                <w:szCs w:val="12"/>
                <w:b w:val="1"/>
                <w:bCs w:val="1"/>
                <w:color w:val="auto"/>
              </w:rPr>
              <w:t>Fair Value</w:t>
            </w:r>
          </w:p>
        </w:tc>
      </w:tr>
      <w:tr>
        <w:trPr>
          <w:trHeight w:val="192"/>
        </w:trPr>
        <w:tc>
          <w:tcPr>
            <w:tcW w:w="56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180"/>
        </w:trPr>
        <w:tc>
          <w:tcPr>
            <w:tcW w:w="56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 of September 30, 2019</w:t>
            </w: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6"/>
        </w:trPr>
        <w:tc>
          <w:tcPr>
            <w:tcW w:w="5640" w:type="dxa"/>
            <w:vAlign w:val="bottom"/>
          </w:tcPr>
          <w:p>
            <w:pPr>
              <w:ind w:left="180"/>
              <w:spacing w:after="0"/>
              <w:rPr>
                <w:sz w:val="20"/>
                <w:szCs w:val="20"/>
                <w:color w:val="auto"/>
              </w:rPr>
            </w:pPr>
            <w:r>
              <w:rPr>
                <w:rFonts w:ascii="Arial" w:cs="Arial" w:eastAsia="Arial" w:hAnsi="Arial"/>
                <w:sz w:val="12"/>
                <w:szCs w:val="12"/>
                <w:color w:val="auto"/>
              </w:rPr>
              <w:t>Corporate bonds</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748,815</w:t>
            </w:r>
          </w:p>
        </w:tc>
        <w:tc>
          <w:tcPr>
            <w:tcW w:w="120" w:type="dxa"/>
            <w:vAlign w:val="bottom"/>
          </w:tcPr>
          <w:p>
            <w:pPr>
              <w:spacing w:after="0"/>
              <w:rPr>
                <w:sz w:val="15"/>
                <w:szCs w:val="15"/>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1,150</w:t>
            </w:r>
          </w:p>
        </w:tc>
        <w:tc>
          <w:tcPr>
            <w:tcW w:w="120" w:type="dxa"/>
            <w:vAlign w:val="bottom"/>
          </w:tcPr>
          <w:p>
            <w:pPr>
              <w:spacing w:after="0"/>
              <w:rPr>
                <w:sz w:val="15"/>
                <w:szCs w:val="15"/>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15"/>
                <w:szCs w:val="15"/>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749,959</w:t>
            </w:r>
          </w:p>
        </w:tc>
      </w:tr>
      <w:tr>
        <w:trPr>
          <w:trHeight w:val="185"/>
        </w:trPr>
        <w:tc>
          <w:tcPr>
            <w:tcW w:w="56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debt securities</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216,943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216,958</w:t>
            </w:r>
          </w:p>
        </w:tc>
      </w:tr>
      <w:tr>
        <w:trPr>
          <w:trHeight w:val="167"/>
        </w:trPr>
        <w:tc>
          <w:tcPr>
            <w:tcW w:w="5640" w:type="dxa"/>
            <w:vAlign w:val="bottom"/>
            <w:tcBorders>
              <w:bottom w:val="single" w:sz="8" w:color="CCEEFF"/>
            </w:tcBorders>
          </w:tcPr>
          <w:p>
            <w:pPr>
              <w:ind w:left="320"/>
              <w:spacing w:after="0"/>
              <w:rPr>
                <w:sz w:val="20"/>
                <w:szCs w:val="20"/>
                <w:color w:val="auto"/>
              </w:rPr>
            </w:pPr>
            <w:r>
              <w:rPr>
                <w:rFonts w:ascii="Arial" w:cs="Arial" w:eastAsia="Arial" w:hAnsi="Arial"/>
                <w:sz w:val="12"/>
                <w:szCs w:val="12"/>
                <w:color w:val="auto"/>
              </w:rPr>
              <w:t>Total available-for-sale debt securities</w:t>
            </w: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965,758</w:t>
            </w:r>
          </w:p>
        </w:tc>
        <w:tc>
          <w:tcPr>
            <w:tcW w:w="12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1,165</w:t>
            </w:r>
          </w:p>
        </w:tc>
        <w:tc>
          <w:tcPr>
            <w:tcW w:w="12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12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1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966,917</w:t>
            </w:r>
          </w:p>
        </w:tc>
      </w:tr>
      <w:tr>
        <w:trPr>
          <w:trHeight w:val="16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As of December 31, 2018</w:t>
            </w:r>
          </w:p>
        </w:tc>
        <w:tc>
          <w:tcPr>
            <w:tcW w:w="24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r>
      <w:tr>
        <w:trPr>
          <w:trHeight w:val="176"/>
        </w:trPr>
        <w:tc>
          <w:tcPr>
            <w:tcW w:w="5640" w:type="dxa"/>
            <w:vAlign w:val="bottom"/>
          </w:tcPr>
          <w:p>
            <w:pPr>
              <w:ind w:left="180"/>
              <w:spacing w:after="0"/>
              <w:rPr>
                <w:sz w:val="20"/>
                <w:szCs w:val="20"/>
                <w:color w:val="auto"/>
              </w:rPr>
            </w:pPr>
            <w:r>
              <w:rPr>
                <w:rFonts w:ascii="Arial" w:cs="Arial" w:eastAsia="Arial" w:hAnsi="Arial"/>
                <w:sz w:val="12"/>
                <w:szCs w:val="12"/>
                <w:color w:val="auto"/>
              </w:rPr>
              <w:t>Corporate bonds</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Pr>
          <w:p>
            <w:pPr>
              <w:jc w:val="right"/>
              <w:ind w:right="60"/>
              <w:spacing w:after="0"/>
              <w:rPr>
                <w:sz w:val="20"/>
                <w:szCs w:val="20"/>
                <w:color w:val="auto"/>
              </w:rPr>
            </w:pPr>
            <w:r>
              <w:rPr>
                <w:rFonts w:ascii="Arial" w:cs="Arial" w:eastAsia="Arial" w:hAnsi="Arial"/>
                <w:sz w:val="12"/>
                <w:szCs w:val="12"/>
                <w:color w:val="auto"/>
              </w:rPr>
              <w:t>1,689,093</w:t>
            </w:r>
          </w:p>
        </w:tc>
        <w:tc>
          <w:tcPr>
            <w:tcW w:w="120" w:type="dxa"/>
            <w:vAlign w:val="bottom"/>
          </w:tcPr>
          <w:p>
            <w:pPr>
              <w:spacing w:after="0"/>
              <w:rPr>
                <w:sz w:val="15"/>
                <w:szCs w:val="15"/>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318</w:t>
            </w:r>
          </w:p>
        </w:tc>
        <w:tc>
          <w:tcPr>
            <w:tcW w:w="120" w:type="dxa"/>
            <w:vAlign w:val="bottom"/>
          </w:tcPr>
          <w:p>
            <w:pPr>
              <w:spacing w:after="0"/>
              <w:rPr>
                <w:sz w:val="15"/>
                <w:szCs w:val="15"/>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000" w:type="dxa"/>
            <w:vAlign w:val="bottom"/>
          </w:tcPr>
          <w:p>
            <w:pPr>
              <w:jc w:val="right"/>
              <w:spacing w:after="0"/>
              <w:rPr>
                <w:sz w:val="20"/>
                <w:szCs w:val="20"/>
                <w:color w:val="auto"/>
              </w:rPr>
            </w:pPr>
            <w:r>
              <w:rPr>
                <w:rFonts w:ascii="Arial" w:cs="Arial" w:eastAsia="Arial" w:hAnsi="Arial"/>
                <w:sz w:val="12"/>
                <w:szCs w:val="12"/>
                <w:color w:val="auto"/>
              </w:rPr>
              <w:t>(1,896)</w:t>
            </w:r>
          </w:p>
        </w:tc>
        <w:tc>
          <w:tcPr>
            <w:tcW w:w="120" w:type="dxa"/>
            <w:vAlign w:val="bottom"/>
          </w:tcPr>
          <w:p>
            <w:pPr>
              <w:spacing w:after="0"/>
              <w:rPr>
                <w:sz w:val="15"/>
                <w:szCs w:val="15"/>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60"/>
              <w:spacing w:after="0"/>
              <w:rPr>
                <w:sz w:val="20"/>
                <w:szCs w:val="20"/>
                <w:color w:val="auto"/>
              </w:rPr>
            </w:pPr>
            <w:r>
              <w:rPr>
                <w:rFonts w:ascii="Arial" w:cs="Arial" w:eastAsia="Arial" w:hAnsi="Arial"/>
                <w:sz w:val="12"/>
                <w:szCs w:val="12"/>
                <w:color w:val="auto"/>
              </w:rPr>
              <w:t>1,687,515</w:t>
            </w:r>
          </w:p>
        </w:tc>
      </w:tr>
      <w:tr>
        <w:trPr>
          <w:trHeight w:val="185"/>
        </w:trPr>
        <w:tc>
          <w:tcPr>
            <w:tcW w:w="56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debt securities</w:t>
            </w: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464,993</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464,997</w:t>
            </w:r>
          </w:p>
        </w:tc>
      </w:tr>
      <w:tr>
        <w:trPr>
          <w:trHeight w:val="167"/>
        </w:trPr>
        <w:tc>
          <w:tcPr>
            <w:tcW w:w="5640" w:type="dxa"/>
            <w:vAlign w:val="bottom"/>
          </w:tcPr>
          <w:p>
            <w:pPr>
              <w:ind w:left="320"/>
              <w:spacing w:after="0"/>
              <w:rPr>
                <w:sz w:val="20"/>
                <w:szCs w:val="20"/>
                <w:color w:val="auto"/>
              </w:rPr>
            </w:pPr>
            <w:r>
              <w:rPr>
                <w:rFonts w:ascii="Arial" w:cs="Arial" w:eastAsia="Arial" w:hAnsi="Arial"/>
                <w:sz w:val="12"/>
                <w:szCs w:val="12"/>
                <w:color w:val="auto"/>
              </w:rPr>
              <w:t>Total available-for-sale debt securities</w:t>
            </w: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2,154,086</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325</w:t>
            </w:r>
          </w:p>
        </w:tc>
        <w:tc>
          <w:tcPr>
            <w:tcW w:w="120" w:type="dxa"/>
            <w:vAlign w:val="bottom"/>
          </w:tcPr>
          <w:p>
            <w:pPr>
              <w:spacing w:after="0"/>
              <w:rPr>
                <w:sz w:val="14"/>
                <w:szCs w:val="14"/>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(1,899)</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2,152,512</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2"/>
          <w:szCs w:val="12"/>
          <w:color w:val="auto"/>
        </w:rPr>
        <w:t>As of September 30, 2019, we have $966.9 million of available-for-sale debt securities with contractual maturities of one year or less and nil with contractual maturities greater than one year.</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As of September 30, 2019 and December 31, 2018, corporate bonds where we have elected the fair value option have a fair value of $8.7 million and $48.1 million, respectively. We recognized gains of $1.9 million and losses of $14.9 million on these securities for the three months ended September 30, 2019 and 2018, respectively, and gains of $6.4 million and $8.2 million on these securities for the nine months ended September 30, 2019 and 2018, respectively.</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80"/>
          </w:cols>
          <w:pgMar w:left="220" w:top="140" w:right="199" w:bottom="1440" w:gutter="0" w:footer="0" w:header="0"/>
        </w:sectPr>
      </w:pPr>
    </w:p>
    <w:bookmarkStart w:id="25" w:name="page26"/>
    <w:bookmarkEnd w:id="2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Equity Securities</w:t>
      </w:r>
    </w:p>
    <w:p>
      <w:pPr>
        <w:spacing w:after="0" w:line="152"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 xml:space="preserve">Our marketable equity securities consist primarily of shares of common stock of public companies. </w:t>
      </w:r>
      <w:r>
        <w:rPr>
          <w:rFonts w:ascii="Arial" w:cs="Arial" w:eastAsia="Arial" w:hAnsi="Arial"/>
          <w:sz w:val="12"/>
          <w:szCs w:val="12"/>
          <w:i w:val="1"/>
          <w:iCs w:val="1"/>
          <w:color w:val="auto"/>
        </w:rPr>
        <w:t>Gains (losses) on investments, net</w:t>
      </w:r>
      <w:r>
        <w:rPr>
          <w:rFonts w:ascii="Arial" w:cs="Arial" w:eastAsia="Arial" w:hAnsi="Arial"/>
          <w:sz w:val="12"/>
          <w:szCs w:val="12"/>
          <w:color w:val="auto"/>
        </w:rPr>
        <w:t xml:space="preserve"> related to equity securities that we held each period were $8.5 million and $19.7 million for the three months ended September 30, 2019 and 2018, respectively, and $51.8 million and $25.3 million for the nine months ended September 30, 2019 and 2018,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 of Available-for-Sale Securities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Proceeds from sales of our available-for-sale securities, including securities accounted for using the fair value option, were nil and $ 436.0 million for the three and nine months ended September 30, 2019, and $150.9 million for each of the three and nine months ended September 30, 2018, respectively. Sales of securities accounted for using the fair value option do not result in gains or losses because we recognize unrealized gains and losses on such securities prior to the time of sale.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Fair Value Measurements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Our marketable investment securities are measured at fair value on a recurring basis as summarized in the table below (amounts in thousands). Certain of our investments in debt and equity instruments have historically experienced and are likely to continue experiencing volatility. As of September 30, 2019 and December 31, 2018, we did not have investments that were categorized within Level 3 of the fair value hierarchy.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2"/>
                <w:szCs w:val="12"/>
                <w:b w:val="1"/>
                <w:bCs w:val="1"/>
                <w:color w:val="auto"/>
              </w:rPr>
              <w:t>As of</w:t>
            </w: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69"/>
        </w:trPr>
        <w:tc>
          <w:tcPr>
            <w:tcW w:w="3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September 30, 2019</w:t>
            </w: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2"/>
                <w:szCs w:val="12"/>
                <w:b w:val="1"/>
                <w:bCs w:val="1"/>
                <w:color w:val="auto"/>
                <w:w w:val="99"/>
              </w:rPr>
              <w:t>December 31, 2018</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r>
      <w:tr>
        <w:trPr>
          <w:trHeight w:val="169"/>
        </w:trPr>
        <w:tc>
          <w:tcPr>
            <w:tcW w:w="3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Level 1</w:t>
            </w:r>
          </w:p>
        </w:tc>
        <w:tc>
          <w:tcPr>
            <w:tcW w:w="120" w:type="dxa"/>
            <w:vAlign w:val="bottom"/>
          </w:tcPr>
          <w:p>
            <w:pPr>
              <w:spacing w:after="0"/>
              <w:rPr>
                <w:sz w:val="14"/>
                <w:szCs w:val="14"/>
                <w:color w:val="auto"/>
              </w:rPr>
            </w:pPr>
          </w:p>
        </w:tc>
        <w:tc>
          <w:tcPr>
            <w:tcW w:w="1260" w:type="dxa"/>
            <w:vAlign w:val="bottom"/>
            <w:gridSpan w:val="2"/>
          </w:tcPr>
          <w:p>
            <w:pPr>
              <w:ind w:left="320"/>
              <w:spacing w:after="0"/>
              <w:rPr>
                <w:sz w:val="20"/>
                <w:szCs w:val="20"/>
                <w:color w:val="auto"/>
              </w:rPr>
            </w:pPr>
            <w:r>
              <w:rPr>
                <w:rFonts w:ascii="Arial" w:cs="Arial" w:eastAsia="Arial" w:hAnsi="Arial"/>
                <w:sz w:val="12"/>
                <w:szCs w:val="12"/>
                <w:b w:val="1"/>
                <w:bCs w:val="1"/>
                <w:color w:val="auto"/>
              </w:rPr>
              <w:t>Level 2</w:t>
            </w:r>
          </w:p>
        </w:tc>
        <w:tc>
          <w:tcPr>
            <w:tcW w:w="300" w:type="dxa"/>
            <w:vAlign w:val="bottom"/>
          </w:tcPr>
          <w:p>
            <w:pPr>
              <w:spacing w:after="0"/>
              <w:rPr>
                <w:sz w:val="14"/>
                <w:szCs w:val="14"/>
                <w:color w:val="auto"/>
              </w:rPr>
            </w:pPr>
          </w:p>
        </w:tc>
        <w:tc>
          <w:tcPr>
            <w:tcW w:w="880" w:type="dxa"/>
            <w:vAlign w:val="bottom"/>
          </w:tcPr>
          <w:p>
            <w:pPr>
              <w:jc w:val="right"/>
              <w:ind w:right="340"/>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2"/>
                <w:szCs w:val="12"/>
                <w:b w:val="1"/>
                <w:bCs w:val="1"/>
                <w:color w:val="auto"/>
              </w:rPr>
              <w:t>Level 1</w:t>
            </w:r>
          </w:p>
        </w:tc>
        <w:tc>
          <w:tcPr>
            <w:tcW w:w="2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8"/>
              </w:rPr>
              <w:t>Level 2</w:t>
            </w:r>
          </w:p>
        </w:tc>
        <w:tc>
          <w:tcPr>
            <w:tcW w:w="280" w:type="dxa"/>
            <w:vAlign w:val="bottom"/>
          </w:tcPr>
          <w:p>
            <w:pPr>
              <w:spacing w:after="0"/>
              <w:rPr>
                <w:sz w:val="14"/>
                <w:szCs w:val="14"/>
                <w:color w:val="auto"/>
              </w:rPr>
            </w:pPr>
          </w:p>
        </w:tc>
        <w:tc>
          <w:tcPr>
            <w:tcW w:w="960" w:type="dxa"/>
            <w:vAlign w:val="bottom"/>
          </w:tcPr>
          <w:p>
            <w:pPr>
              <w:jc w:val="right"/>
              <w:ind w:right="420"/>
              <w:spacing w:after="0"/>
              <w:rPr>
                <w:sz w:val="20"/>
                <w:szCs w:val="20"/>
                <w:color w:val="auto"/>
              </w:rPr>
            </w:pPr>
            <w:r>
              <w:rPr>
                <w:rFonts w:ascii="Arial" w:cs="Arial" w:eastAsia="Arial" w:hAnsi="Arial"/>
                <w:sz w:val="12"/>
                <w:szCs w:val="12"/>
                <w:b w:val="1"/>
                <w:bCs w:val="1"/>
                <w:color w:val="auto"/>
              </w:rPr>
              <w:t>Total</w:t>
            </w:r>
          </w:p>
        </w:tc>
      </w:tr>
      <w:tr>
        <w:trPr>
          <w:trHeight w:val="210"/>
        </w:trPr>
        <w:tc>
          <w:tcPr>
            <w:tcW w:w="3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Debt securities:</w:t>
            </w: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76"/>
        </w:trPr>
        <w:tc>
          <w:tcPr>
            <w:tcW w:w="3440" w:type="dxa"/>
            <w:vAlign w:val="bottom"/>
          </w:tcPr>
          <w:p>
            <w:pPr>
              <w:ind w:left="180"/>
              <w:spacing w:after="0"/>
              <w:rPr>
                <w:sz w:val="20"/>
                <w:szCs w:val="20"/>
                <w:color w:val="auto"/>
              </w:rPr>
            </w:pPr>
            <w:r>
              <w:rPr>
                <w:rFonts w:ascii="Arial" w:cs="Arial" w:eastAsia="Arial" w:hAnsi="Arial"/>
                <w:sz w:val="12"/>
                <w:szCs w:val="12"/>
                <w:color w:val="auto"/>
              </w:rPr>
              <w:t>Corporate bonds</w:t>
            </w: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758,654</w:t>
            </w:r>
          </w:p>
        </w:tc>
        <w:tc>
          <w:tcPr>
            <w:tcW w:w="100" w:type="dxa"/>
            <w:vAlign w:val="bottom"/>
          </w:tcPr>
          <w:p>
            <w:pPr>
              <w:spacing w:after="0"/>
              <w:rPr>
                <w:sz w:val="15"/>
                <w:szCs w:val="15"/>
                <w:color w:val="auto"/>
              </w:rPr>
            </w:pPr>
          </w:p>
        </w:tc>
        <w:tc>
          <w:tcPr>
            <w:tcW w:w="3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758,654</w:t>
            </w:r>
          </w:p>
        </w:tc>
        <w:tc>
          <w:tcPr>
            <w:tcW w:w="50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1,735,653</w:t>
            </w:r>
          </w:p>
        </w:tc>
        <w:tc>
          <w:tcPr>
            <w:tcW w:w="12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1,735,653</w:t>
            </w:r>
          </w:p>
        </w:tc>
      </w:tr>
      <w:tr>
        <w:trPr>
          <w:trHeight w:val="185"/>
        </w:trPr>
        <w:tc>
          <w:tcPr>
            <w:tcW w:w="34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debt securities</w:t>
            </w: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10,779</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206,179</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216,958</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9,474</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455,523</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464,997</w:t>
            </w:r>
          </w:p>
        </w:tc>
      </w:tr>
      <w:tr>
        <w:trPr>
          <w:trHeight w:val="156"/>
        </w:trPr>
        <w:tc>
          <w:tcPr>
            <w:tcW w:w="3440" w:type="dxa"/>
            <w:vAlign w:val="bottom"/>
          </w:tcPr>
          <w:p>
            <w:pPr>
              <w:ind w:left="320"/>
              <w:spacing w:after="0"/>
              <w:rPr>
                <w:sz w:val="20"/>
                <w:szCs w:val="20"/>
                <w:color w:val="auto"/>
              </w:rPr>
            </w:pPr>
            <w:r>
              <w:rPr>
                <w:rFonts w:ascii="Arial" w:cs="Arial" w:eastAsia="Arial" w:hAnsi="Arial"/>
                <w:sz w:val="12"/>
                <w:szCs w:val="12"/>
                <w:color w:val="auto"/>
              </w:rPr>
              <w:t>Total debt securities</w:t>
            </w:r>
          </w:p>
        </w:tc>
        <w:tc>
          <w:tcPr>
            <w:tcW w:w="240" w:type="dxa"/>
            <w:vAlign w:val="bottom"/>
          </w:tcPr>
          <w:p>
            <w:pPr>
              <w:spacing w:after="0"/>
              <w:rPr>
                <w:sz w:val="13"/>
                <w:szCs w:val="13"/>
                <w:color w:val="auto"/>
              </w:rPr>
            </w:pPr>
          </w:p>
        </w:tc>
        <w:tc>
          <w:tcPr>
            <w:tcW w:w="920" w:type="dxa"/>
            <w:vAlign w:val="bottom"/>
          </w:tcPr>
          <w:p>
            <w:pPr>
              <w:jc w:val="right"/>
              <w:ind w:right="60"/>
              <w:spacing w:after="0"/>
              <w:rPr>
                <w:sz w:val="20"/>
                <w:szCs w:val="20"/>
                <w:color w:val="auto"/>
              </w:rPr>
            </w:pPr>
            <w:r>
              <w:rPr>
                <w:rFonts w:ascii="Arial" w:cs="Arial" w:eastAsia="Arial" w:hAnsi="Arial"/>
                <w:sz w:val="12"/>
                <w:szCs w:val="12"/>
                <w:color w:val="auto"/>
              </w:rPr>
              <w:t>10,779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964,833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975,612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9,474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jc w:val="right"/>
              <w:ind w:right="40"/>
              <w:spacing w:after="0"/>
              <w:rPr>
                <w:sz w:val="20"/>
                <w:szCs w:val="20"/>
                <w:color w:val="auto"/>
              </w:rPr>
            </w:pPr>
            <w:r>
              <w:rPr>
                <w:rFonts w:ascii="Arial" w:cs="Arial" w:eastAsia="Arial" w:hAnsi="Arial"/>
                <w:sz w:val="12"/>
                <w:szCs w:val="12"/>
                <w:color w:val="auto"/>
              </w:rPr>
              <w:t>2,191,176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2,200,650</w:t>
            </w:r>
          </w:p>
        </w:tc>
      </w:tr>
      <w:tr>
        <w:trPr>
          <w:trHeight w:val="185"/>
        </w:trPr>
        <w:tc>
          <w:tcPr>
            <w:tcW w:w="3440" w:type="dxa"/>
            <w:vAlign w:val="bottom"/>
            <w:shd w:val="clear" w:color="auto" w:fill="CCEEFF"/>
          </w:tcPr>
          <w:p>
            <w:pPr>
              <w:ind w:left="580"/>
              <w:spacing w:after="0"/>
              <w:rPr>
                <w:sz w:val="20"/>
                <w:szCs w:val="20"/>
                <w:color w:val="auto"/>
              </w:rPr>
            </w:pPr>
            <w:r>
              <w:rPr>
                <w:rFonts w:ascii="Arial" w:cs="Arial" w:eastAsia="Arial" w:hAnsi="Arial"/>
                <w:sz w:val="12"/>
                <w:szCs w:val="12"/>
                <w:color w:val="auto"/>
              </w:rPr>
              <w:t>Equity securities</w:t>
            </w:r>
          </w:p>
        </w:tc>
        <w:tc>
          <w:tcPr>
            <w:tcW w:w="2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28,521</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6,811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35,332</w:t>
            </w: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85,298</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5,678</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90,976</w:t>
            </w:r>
          </w:p>
        </w:tc>
      </w:tr>
      <w:tr>
        <w:trPr>
          <w:trHeight w:val="167"/>
        </w:trPr>
        <w:tc>
          <w:tcPr>
            <w:tcW w:w="3440" w:type="dxa"/>
            <w:vAlign w:val="bottom"/>
          </w:tcPr>
          <w:p>
            <w:pPr>
              <w:ind w:left="460"/>
              <w:spacing w:after="0"/>
              <w:rPr>
                <w:sz w:val="20"/>
                <w:szCs w:val="20"/>
                <w:color w:val="auto"/>
              </w:rPr>
            </w:pPr>
            <w:r>
              <w:rPr>
                <w:rFonts w:ascii="Arial" w:cs="Arial" w:eastAsia="Arial" w:hAnsi="Arial"/>
                <w:sz w:val="12"/>
                <w:szCs w:val="12"/>
                <w:color w:val="auto"/>
              </w:rPr>
              <w:t>Total marketable investment securities</w:t>
            </w:r>
          </w:p>
        </w:tc>
        <w:tc>
          <w:tcPr>
            <w:tcW w:w="24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39,300</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971,644</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1,010,944</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94,772</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2,196,854</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2,291,626</w:t>
            </w:r>
          </w:p>
        </w:tc>
      </w:tr>
    </w:tbl>
    <w:p>
      <w:pPr>
        <w:spacing w:after="0" w:line="200" w:lineRule="exact"/>
        <w:rPr>
          <w:sz w:val="20"/>
          <w:szCs w:val="20"/>
          <w:color w:val="auto"/>
        </w:rPr>
      </w:pPr>
    </w:p>
    <w:p>
      <w:pPr>
        <w:sectPr>
          <w:pgSz w:w="11900" w:h="16838" w:orient="portrait"/>
          <w:cols w:equalWidth="0" w:num="1">
            <w:col w:w="11480"/>
          </w:cols>
          <w:pgMar w:left="220" w:top="140" w:right="199" w:bottom="1440" w:gutter="0" w:footer="0" w:header="0"/>
        </w:sectPr>
      </w:pPr>
    </w:p>
    <w:p>
      <w:pPr>
        <w:spacing w:after="0" w:line="74" w:lineRule="exact"/>
        <w:rPr>
          <w:sz w:val="20"/>
          <w:szCs w:val="20"/>
          <w:color w:val="auto"/>
        </w:rPr>
      </w:pPr>
    </w:p>
    <w:p>
      <w:pPr>
        <w:spacing w:after="0"/>
        <w:tabs>
          <w:tab w:leader="none" w:pos="580" w:val="left"/>
        </w:tabs>
        <w:rPr>
          <w:sz w:val="20"/>
          <w:szCs w:val="20"/>
          <w:color w:val="auto"/>
        </w:rPr>
      </w:pPr>
      <w:r>
        <w:rPr>
          <w:rFonts w:ascii="Arial" w:cs="Arial" w:eastAsia="Arial" w:hAnsi="Arial"/>
          <w:sz w:val="12"/>
          <w:szCs w:val="12"/>
          <w:b w:val="1"/>
          <w:bCs w:val="1"/>
          <w:color w:val="auto"/>
        </w:rPr>
        <w:t>NOTE 9.</w:t>
      </w:r>
      <w:r>
        <w:rPr>
          <w:sz w:val="20"/>
          <w:szCs w:val="20"/>
          <w:color w:val="auto"/>
        </w:rPr>
        <w:tab/>
      </w:r>
      <w:r>
        <w:rPr>
          <w:rFonts w:ascii="Arial" w:cs="Arial" w:eastAsia="Arial" w:hAnsi="Arial"/>
          <w:sz w:val="11"/>
          <w:szCs w:val="11"/>
          <w:b w:val="1"/>
          <w:bCs w:val="1"/>
          <w:color w:val="auto"/>
        </w:rPr>
        <w:t>INVENTORY</w:t>
      </w:r>
    </w:p>
    <w:p>
      <w:pPr>
        <w:spacing w:after="0" w:line="164" w:lineRule="exact"/>
        <w:rPr>
          <w:sz w:val="20"/>
          <w:szCs w:val="20"/>
          <w:color w:val="auto"/>
        </w:rPr>
      </w:pPr>
    </w:p>
    <w:p>
      <w:pPr>
        <w:spacing w:after="0"/>
        <w:rPr>
          <w:sz w:val="20"/>
          <w:szCs w:val="20"/>
          <w:color w:val="auto"/>
        </w:rPr>
      </w:pPr>
      <w:r>
        <w:rPr>
          <w:rFonts w:ascii="Arial" w:cs="Arial" w:eastAsia="Arial" w:hAnsi="Arial"/>
          <w:sz w:val="11"/>
          <w:szCs w:val="11"/>
          <w:color w:val="auto"/>
        </w:rPr>
        <w:t>Our inventory consisted of the following (amounts in thousands):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2"/>
          <w:szCs w:val="12"/>
          <w:color w:val="auto"/>
        </w:rPr>
        <w:t>Raw materials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Work-in-process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2"/>
          <w:szCs w:val="12"/>
          <w:color w:val="auto"/>
        </w:rPr>
        <w:t>Finished goods</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2"/>
          <w:szCs w:val="12"/>
          <w:color w:val="auto"/>
        </w:rPr>
        <w:t>Total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3"/>
        </w:trPr>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2"/>
                <w:szCs w:val="12"/>
                <w:b w:val="1"/>
                <w:bCs w:val="1"/>
                <w:color w:val="auto"/>
                <w:w w:val="93"/>
              </w:rPr>
              <w:t>As of</w:t>
            </w:r>
          </w:p>
        </w:tc>
        <w:tc>
          <w:tcPr>
            <w:tcW w:w="1860" w:type="dxa"/>
            <w:vAlign w:val="bottom"/>
            <w:tcBorders>
              <w:bottom w:val="single" w:sz="8" w:color="auto"/>
            </w:tcBorders>
          </w:tcPr>
          <w:p>
            <w:pPr>
              <w:spacing w:after="0"/>
              <w:rPr>
                <w:sz w:val="14"/>
                <w:szCs w:val="14"/>
                <w:color w:val="auto"/>
              </w:rPr>
            </w:pPr>
          </w:p>
        </w:tc>
      </w:tr>
      <w:tr>
        <w:trPr>
          <w:trHeight w:val="169"/>
        </w:trPr>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September 30, 2019</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December 31, 2018</w:t>
            </w:r>
          </w:p>
        </w:tc>
      </w:tr>
      <w:tr>
        <w:trPr>
          <w:trHeight w:val="381"/>
        </w:trPr>
        <w:tc>
          <w:tcPr>
            <w:tcW w:w="3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1780" w:type="dxa"/>
            <w:vAlign w:val="bottom"/>
          </w:tcPr>
          <w:p>
            <w:pPr>
              <w:jc w:val="right"/>
              <w:spacing w:after="0"/>
              <w:rPr>
                <w:sz w:val="20"/>
                <w:szCs w:val="20"/>
                <w:color w:val="auto"/>
              </w:rPr>
            </w:pPr>
            <w:r>
              <w:rPr>
                <w:rFonts w:ascii="Arial" w:cs="Arial" w:eastAsia="Arial" w:hAnsi="Arial"/>
                <w:sz w:val="12"/>
                <w:szCs w:val="12"/>
                <w:color w:val="auto"/>
              </w:rPr>
              <w:t>5,441</w:t>
            </w:r>
          </w:p>
        </w:tc>
        <w:tc>
          <w:tcPr>
            <w:tcW w:w="52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1860" w:type="dxa"/>
            <w:vAlign w:val="bottom"/>
          </w:tcPr>
          <w:p>
            <w:pPr>
              <w:jc w:val="right"/>
              <w:ind w:right="60"/>
              <w:spacing w:after="0"/>
              <w:rPr>
                <w:sz w:val="20"/>
                <w:szCs w:val="20"/>
                <w:color w:val="auto"/>
              </w:rPr>
            </w:pPr>
            <w:r>
              <w:rPr>
                <w:rFonts w:ascii="Arial" w:cs="Arial" w:eastAsia="Arial" w:hAnsi="Arial"/>
                <w:sz w:val="12"/>
                <w:szCs w:val="12"/>
                <w:color w:val="auto"/>
              </w:rPr>
              <w:t>4,856</w:t>
            </w:r>
          </w:p>
        </w:tc>
      </w:tr>
      <w:tr>
        <w:trPr>
          <w:trHeight w:val="180"/>
        </w:trPr>
        <w:tc>
          <w:tcPr>
            <w:tcW w:w="32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2"/>
                <w:szCs w:val="12"/>
                <w:color w:val="auto"/>
              </w:rPr>
              <w:t>10,869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60" w:type="dxa"/>
            <w:vAlign w:val="bottom"/>
          </w:tcPr>
          <w:p>
            <w:pPr>
              <w:jc w:val="right"/>
              <w:ind w:right="60"/>
              <w:spacing w:after="0"/>
              <w:rPr>
                <w:sz w:val="20"/>
                <w:szCs w:val="20"/>
                <w:color w:val="auto"/>
              </w:rPr>
            </w:pPr>
            <w:r>
              <w:rPr>
                <w:rFonts w:ascii="Arial" w:cs="Arial" w:eastAsia="Arial" w:hAnsi="Arial"/>
                <w:sz w:val="12"/>
                <w:szCs w:val="12"/>
                <w:color w:val="auto"/>
              </w:rPr>
              <w:t>13,901</w:t>
            </w:r>
          </w:p>
        </w:tc>
      </w:tr>
      <w:tr>
        <w:trPr>
          <w:trHeight w:val="185"/>
        </w:trPr>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67,087</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56,622</w:t>
            </w:r>
          </w:p>
        </w:tc>
      </w:tr>
      <w:tr>
        <w:trPr>
          <w:trHeight w:val="172"/>
        </w:trPr>
        <w:tc>
          <w:tcPr>
            <w:tcW w:w="32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83,397</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8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75,379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-4449445</wp:posOffset>
            </wp:positionH>
            <wp:positionV relativeFrom="paragraph">
              <wp:posOffset>-474345</wp:posOffset>
            </wp:positionV>
            <wp:extent cx="7292340" cy="1143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-4449445</wp:posOffset>
            </wp:positionH>
            <wp:positionV relativeFrom="paragraph">
              <wp:posOffset>-245110</wp:posOffset>
            </wp:positionV>
            <wp:extent cx="7292340" cy="1143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80" w:space="720"/>
            <w:col w:w="4480"/>
          </w:cols>
          <w:pgMar w:left="220" w:top="140" w:right="199" w:bottom="1440" w:gutter="0" w:footer="0" w:header="0"/>
          <w:type w:val="continuous"/>
        </w:sect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23</w:t>
      </w:r>
    </w:p>
    <w:p>
      <w:pPr>
        <w:sectPr>
          <w:pgSz w:w="11900" w:h="16838" w:orient="portrait"/>
          <w:cols w:equalWidth="0" w:num="1">
            <w:col w:w="11480"/>
          </w:cols>
          <w:pgMar w:left="220" w:top="140" w:right="199" w:bottom="1440" w:gutter="0" w:footer="0" w:header="0"/>
          <w:type w:val="continuous"/>
        </w:sectPr>
      </w:pPr>
    </w:p>
    <w:bookmarkStart w:id="26" w:name="page27"/>
    <w:bookmarkEnd w:id="2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80" w:type="dxa"/>
            <w:vAlign w:val="bottom"/>
          </w:tcPr>
          <w:p>
            <w:pPr>
              <w:spacing w:after="0"/>
              <w:rPr>
                <w:sz w:val="20"/>
                <w:szCs w:val="20"/>
                <w:color w:val="auto"/>
              </w:rPr>
            </w:pPr>
            <w:r>
              <w:rPr>
                <w:rFonts w:ascii="Arial" w:cs="Arial" w:eastAsia="Arial" w:hAnsi="Arial"/>
                <w:sz w:val="12"/>
                <w:szCs w:val="12"/>
                <w:b w:val="1"/>
                <w:bCs w:val="1"/>
                <w:color w:val="auto"/>
              </w:rPr>
              <w:t>NOTE 10.  PROPERTY AND EQUIPMENT</w:t>
            </w: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288"/>
        </w:trPr>
        <w:tc>
          <w:tcPr>
            <w:tcW w:w="7020" w:type="dxa"/>
            <w:vAlign w:val="bottom"/>
            <w:gridSpan w:val="4"/>
          </w:tcPr>
          <w:p>
            <w:pPr>
              <w:spacing w:after="0"/>
              <w:rPr>
                <w:sz w:val="20"/>
                <w:szCs w:val="20"/>
                <w:color w:val="auto"/>
              </w:rPr>
            </w:pPr>
            <w:r>
              <w:rPr>
                <w:rFonts w:ascii="Arial" w:cs="Arial" w:eastAsia="Arial" w:hAnsi="Arial"/>
                <w:sz w:val="12"/>
                <w:szCs w:val="12"/>
                <w:color w:val="auto"/>
              </w:rPr>
              <w:t>Property and equipment from our continuing operations consisted of the following (amounts in thousands):</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66"/>
        </w:trPr>
        <w:tc>
          <w:tcPr>
            <w:tcW w:w="51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2"/>
                <w:szCs w:val="12"/>
                <w:b w:val="1"/>
                <w:bCs w:val="1"/>
                <w:color w:val="auto"/>
                <w:w w:val="93"/>
              </w:rPr>
              <w:t>As of</w:t>
            </w:r>
          </w:p>
        </w:tc>
        <w:tc>
          <w:tcPr>
            <w:tcW w:w="1840" w:type="dxa"/>
            <w:vAlign w:val="bottom"/>
            <w:tcBorders>
              <w:bottom w:val="single" w:sz="8" w:color="auto"/>
            </w:tcBorders>
          </w:tcPr>
          <w:p>
            <w:pPr>
              <w:spacing w:after="0"/>
              <w:rPr>
                <w:sz w:val="23"/>
                <w:szCs w:val="23"/>
                <w:color w:val="auto"/>
              </w:rPr>
            </w:pPr>
          </w:p>
        </w:tc>
      </w:tr>
      <w:tr>
        <w:trPr>
          <w:trHeight w:val="169"/>
        </w:trPr>
        <w:tc>
          <w:tcPr>
            <w:tcW w:w="5180" w:type="dxa"/>
            <w:vAlign w:val="bottom"/>
          </w:tcPr>
          <w:p>
            <w:pPr>
              <w:spacing w:after="0"/>
              <w:rPr>
                <w:sz w:val="14"/>
                <w:szCs w:val="14"/>
                <w:color w:val="auto"/>
              </w:rPr>
            </w:pPr>
          </w:p>
        </w:tc>
        <w:tc>
          <w:tcPr>
            <w:tcW w:w="184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9"/>
              </w:rPr>
              <w:t>Depreciable Life In Years</w:t>
            </w:r>
          </w:p>
        </w:tc>
        <w:tc>
          <w:tcPr>
            <w:tcW w:w="300" w:type="dxa"/>
            <w:vAlign w:val="bottom"/>
          </w:tcPr>
          <w:p>
            <w:pPr>
              <w:spacing w:after="0"/>
              <w:rPr>
                <w:sz w:val="14"/>
                <w:szCs w:val="14"/>
                <w:color w:val="auto"/>
              </w:rPr>
            </w:pPr>
          </w:p>
        </w:tc>
        <w:tc>
          <w:tcPr>
            <w:tcW w:w="1780" w:type="dxa"/>
            <w:vAlign w:val="bottom"/>
          </w:tcPr>
          <w:p>
            <w:pPr>
              <w:jc w:val="right"/>
              <w:ind w:right="360"/>
              <w:spacing w:after="0"/>
              <w:rPr>
                <w:sz w:val="20"/>
                <w:szCs w:val="20"/>
                <w:color w:val="auto"/>
              </w:rPr>
            </w:pPr>
            <w:r>
              <w:rPr>
                <w:rFonts w:ascii="Arial" w:cs="Arial" w:eastAsia="Arial" w:hAnsi="Arial"/>
                <w:sz w:val="12"/>
                <w:szCs w:val="12"/>
                <w:b w:val="1"/>
                <w:bCs w:val="1"/>
                <w:color w:val="auto"/>
              </w:rPr>
              <w:t>September 30, 2019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jc w:val="right"/>
              <w:ind w:right="480"/>
              <w:spacing w:after="0"/>
              <w:rPr>
                <w:sz w:val="20"/>
                <w:szCs w:val="20"/>
                <w:color w:val="auto"/>
              </w:rPr>
            </w:pPr>
            <w:r>
              <w:rPr>
                <w:rFonts w:ascii="Arial" w:cs="Arial" w:eastAsia="Arial" w:hAnsi="Arial"/>
                <w:sz w:val="12"/>
                <w:szCs w:val="12"/>
                <w:b w:val="1"/>
                <w:bCs w:val="1"/>
                <w:color w:val="auto"/>
              </w:rPr>
              <w:t>December 31, 2018</w:t>
            </w:r>
          </w:p>
        </w:tc>
      </w:tr>
      <w:tr>
        <w:trPr>
          <w:trHeight w:val="210"/>
        </w:trPr>
        <w:tc>
          <w:tcPr>
            <w:tcW w:w="518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Land</w:t>
            </w:r>
          </w:p>
        </w:tc>
        <w:tc>
          <w:tcPr>
            <w:tcW w:w="1840" w:type="dxa"/>
            <w:vAlign w:val="bottom"/>
            <w:gridSpan w:val="3"/>
            <w:shd w:val="clear" w:color="auto" w:fill="CCEEFF"/>
          </w:tcPr>
          <w:p>
            <w:pPr>
              <w:jc w:val="center"/>
              <w:ind w:right="120"/>
              <w:spacing w:after="0"/>
              <w:rPr>
                <w:sz w:val="20"/>
                <w:szCs w:val="20"/>
                <w:color w:val="auto"/>
              </w:rPr>
            </w:pPr>
            <w:r>
              <w:rPr>
                <w:rFonts w:ascii="Arial" w:cs="Arial" w:eastAsia="Arial" w:hAnsi="Arial"/>
                <w:sz w:val="12"/>
                <w:szCs w:val="12"/>
                <w:color w:val="auto"/>
                <w:w w:val="99"/>
              </w:rPr>
              <w:t>—</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28,914</w:t>
            </w:r>
          </w:p>
        </w:tc>
        <w:tc>
          <w:tcPr>
            <w:tcW w:w="5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33,571</w:t>
            </w:r>
          </w:p>
        </w:tc>
      </w:tr>
      <w:tr>
        <w:trPr>
          <w:trHeight w:val="176"/>
        </w:trPr>
        <w:tc>
          <w:tcPr>
            <w:tcW w:w="5180" w:type="dxa"/>
            <w:vAlign w:val="bottom"/>
          </w:tcPr>
          <w:p>
            <w:pPr>
              <w:ind w:left="20"/>
              <w:spacing w:after="0"/>
              <w:rPr>
                <w:sz w:val="20"/>
                <w:szCs w:val="20"/>
                <w:color w:val="auto"/>
              </w:rPr>
            </w:pPr>
            <w:r>
              <w:rPr>
                <w:rFonts w:ascii="Arial" w:cs="Arial" w:eastAsia="Arial" w:hAnsi="Arial"/>
                <w:sz w:val="12"/>
                <w:szCs w:val="12"/>
                <w:color w:val="auto"/>
              </w:rPr>
              <w:t>Buildings and improvements</w:t>
            </w:r>
          </w:p>
        </w:tc>
        <w:tc>
          <w:tcPr>
            <w:tcW w:w="1840" w:type="dxa"/>
            <w:vAlign w:val="bottom"/>
            <w:gridSpan w:val="3"/>
          </w:tcPr>
          <w:p>
            <w:pPr>
              <w:jc w:val="center"/>
              <w:ind w:right="120"/>
              <w:spacing w:after="0"/>
              <w:rPr>
                <w:sz w:val="20"/>
                <w:szCs w:val="20"/>
                <w:color w:val="auto"/>
              </w:rPr>
            </w:pPr>
            <w:r>
              <w:rPr>
                <w:rFonts w:ascii="Arial" w:cs="Arial" w:eastAsia="Arial" w:hAnsi="Arial"/>
                <w:sz w:val="12"/>
                <w:szCs w:val="12"/>
                <w:color w:val="auto"/>
                <w:w w:val="97"/>
              </w:rPr>
              <w:t>1 to 40</w:t>
            </w:r>
          </w:p>
        </w:tc>
        <w:tc>
          <w:tcPr>
            <w:tcW w:w="3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2"/>
                <w:szCs w:val="12"/>
                <w:color w:val="auto"/>
              </w:rPr>
              <w:t>113,494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tcPr>
          <w:p>
            <w:pPr>
              <w:jc w:val="right"/>
              <w:ind w:right="60"/>
              <w:spacing w:after="0"/>
              <w:rPr>
                <w:sz w:val="20"/>
                <w:szCs w:val="20"/>
                <w:color w:val="auto"/>
              </w:rPr>
            </w:pPr>
            <w:r>
              <w:rPr>
                <w:rFonts w:ascii="Arial" w:cs="Arial" w:eastAsia="Arial" w:hAnsi="Arial"/>
                <w:sz w:val="12"/>
                <w:szCs w:val="12"/>
                <w:color w:val="auto"/>
              </w:rPr>
              <w:t>170,816</w:t>
            </w:r>
          </w:p>
        </w:tc>
      </w:tr>
      <w:tr>
        <w:trPr>
          <w:trHeight w:val="185"/>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Furniture, fixtures, equipment and other</w:t>
            </w:r>
          </w:p>
        </w:tc>
        <w:tc>
          <w:tcPr>
            <w:tcW w:w="1840" w:type="dxa"/>
            <w:vAlign w:val="bottom"/>
            <w:gridSpan w:val="3"/>
            <w:shd w:val="clear" w:color="auto" w:fill="CCEEFF"/>
          </w:tcPr>
          <w:p>
            <w:pPr>
              <w:jc w:val="center"/>
              <w:ind w:right="120"/>
              <w:spacing w:after="0"/>
              <w:rPr>
                <w:sz w:val="20"/>
                <w:szCs w:val="20"/>
                <w:color w:val="auto"/>
              </w:rPr>
            </w:pPr>
            <w:r>
              <w:rPr>
                <w:rFonts w:ascii="Arial" w:cs="Arial" w:eastAsia="Arial" w:hAnsi="Arial"/>
                <w:sz w:val="12"/>
                <w:szCs w:val="12"/>
                <w:color w:val="auto"/>
                <w:w w:val="97"/>
              </w:rPr>
              <w:t>1 to 12</w:t>
            </w:r>
          </w:p>
        </w:tc>
        <w:tc>
          <w:tcPr>
            <w:tcW w:w="30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807,142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791,035</w:t>
            </w:r>
          </w:p>
        </w:tc>
      </w:tr>
      <w:tr>
        <w:trPr>
          <w:trHeight w:val="176"/>
        </w:trPr>
        <w:tc>
          <w:tcPr>
            <w:tcW w:w="5180" w:type="dxa"/>
            <w:vAlign w:val="bottom"/>
          </w:tcPr>
          <w:p>
            <w:pPr>
              <w:ind w:left="20"/>
              <w:spacing w:after="0"/>
              <w:rPr>
                <w:sz w:val="20"/>
                <w:szCs w:val="20"/>
                <w:color w:val="auto"/>
              </w:rPr>
            </w:pPr>
            <w:r>
              <w:rPr>
                <w:rFonts w:ascii="Arial" w:cs="Arial" w:eastAsia="Arial" w:hAnsi="Arial"/>
                <w:sz w:val="12"/>
                <w:szCs w:val="12"/>
                <w:color w:val="auto"/>
              </w:rPr>
              <w:t>Customer premises equipment</w:t>
            </w:r>
          </w:p>
        </w:tc>
        <w:tc>
          <w:tcPr>
            <w:tcW w:w="1840" w:type="dxa"/>
            <w:vAlign w:val="bottom"/>
            <w:gridSpan w:val="3"/>
          </w:tcPr>
          <w:p>
            <w:pPr>
              <w:jc w:val="center"/>
              <w:ind w:right="140"/>
              <w:spacing w:after="0"/>
              <w:rPr>
                <w:sz w:val="20"/>
                <w:szCs w:val="20"/>
                <w:color w:val="auto"/>
              </w:rPr>
            </w:pPr>
            <w:r>
              <w:rPr>
                <w:rFonts w:ascii="Arial" w:cs="Arial" w:eastAsia="Arial" w:hAnsi="Arial"/>
                <w:sz w:val="12"/>
                <w:szCs w:val="12"/>
                <w:color w:val="auto"/>
                <w:w w:val="99"/>
              </w:rPr>
              <w:t>2 to 4</w:t>
            </w:r>
          </w:p>
        </w:tc>
        <w:tc>
          <w:tcPr>
            <w:tcW w:w="3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2"/>
                <w:szCs w:val="12"/>
                <w:color w:val="auto"/>
              </w:rPr>
              <w:t>1,322,084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tcPr>
          <w:p>
            <w:pPr>
              <w:jc w:val="right"/>
              <w:ind w:right="60"/>
              <w:spacing w:after="0"/>
              <w:rPr>
                <w:sz w:val="20"/>
                <w:szCs w:val="20"/>
                <w:color w:val="auto"/>
              </w:rPr>
            </w:pPr>
            <w:r>
              <w:rPr>
                <w:rFonts w:ascii="Arial" w:cs="Arial" w:eastAsia="Arial" w:hAnsi="Arial"/>
                <w:sz w:val="12"/>
                <w:szCs w:val="12"/>
                <w:color w:val="auto"/>
              </w:rPr>
              <w:t>1,159,977</w:t>
            </w:r>
          </w:p>
        </w:tc>
      </w:tr>
      <w:tr>
        <w:trPr>
          <w:trHeight w:val="185"/>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Satellites - owned</w:t>
            </w:r>
          </w:p>
        </w:tc>
        <w:tc>
          <w:tcPr>
            <w:tcW w:w="1840" w:type="dxa"/>
            <w:vAlign w:val="bottom"/>
            <w:gridSpan w:val="3"/>
            <w:shd w:val="clear" w:color="auto" w:fill="CCEEFF"/>
          </w:tcPr>
          <w:p>
            <w:pPr>
              <w:jc w:val="center"/>
              <w:ind w:right="120"/>
              <w:spacing w:after="0"/>
              <w:rPr>
                <w:sz w:val="20"/>
                <w:szCs w:val="20"/>
                <w:color w:val="auto"/>
              </w:rPr>
            </w:pPr>
            <w:r>
              <w:rPr>
                <w:rFonts w:ascii="Arial" w:cs="Arial" w:eastAsia="Arial" w:hAnsi="Arial"/>
                <w:sz w:val="12"/>
                <w:szCs w:val="12"/>
                <w:color w:val="auto"/>
                <w:w w:val="97"/>
              </w:rPr>
              <w:t>2 to 15</w:t>
            </w:r>
          </w:p>
        </w:tc>
        <w:tc>
          <w:tcPr>
            <w:tcW w:w="30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1,763,770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1,760,252</w:t>
            </w:r>
          </w:p>
        </w:tc>
      </w:tr>
      <w:tr>
        <w:trPr>
          <w:trHeight w:val="176"/>
        </w:trPr>
        <w:tc>
          <w:tcPr>
            <w:tcW w:w="5180" w:type="dxa"/>
            <w:vAlign w:val="bottom"/>
          </w:tcPr>
          <w:p>
            <w:pPr>
              <w:ind w:left="20"/>
              <w:spacing w:after="0"/>
              <w:rPr>
                <w:sz w:val="20"/>
                <w:szCs w:val="20"/>
                <w:color w:val="auto"/>
              </w:rPr>
            </w:pPr>
            <w:r>
              <w:rPr>
                <w:rFonts w:ascii="Arial" w:cs="Arial" w:eastAsia="Arial" w:hAnsi="Arial"/>
                <w:sz w:val="12"/>
                <w:szCs w:val="12"/>
                <w:color w:val="auto"/>
              </w:rPr>
              <w:t>Satellites - acquired under finance leases</w:t>
            </w:r>
          </w:p>
        </w:tc>
        <w:tc>
          <w:tcPr>
            <w:tcW w:w="1840" w:type="dxa"/>
            <w:vAlign w:val="bottom"/>
            <w:gridSpan w:val="3"/>
          </w:tcPr>
          <w:p>
            <w:pPr>
              <w:jc w:val="center"/>
              <w:ind w:right="120"/>
              <w:spacing w:after="0"/>
              <w:rPr>
                <w:sz w:val="20"/>
                <w:szCs w:val="20"/>
                <w:color w:val="auto"/>
              </w:rPr>
            </w:pPr>
            <w:r>
              <w:rPr>
                <w:rFonts w:ascii="Arial" w:cs="Arial" w:eastAsia="Arial" w:hAnsi="Arial"/>
                <w:sz w:val="12"/>
                <w:szCs w:val="12"/>
                <w:color w:val="auto"/>
              </w:rPr>
              <w:t>10 to 15</w:t>
            </w:r>
          </w:p>
        </w:tc>
        <w:tc>
          <w:tcPr>
            <w:tcW w:w="3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2"/>
                <w:szCs w:val="12"/>
                <w:color w:val="auto"/>
              </w:rPr>
              <w:t>376,321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tcPr>
          <w:p>
            <w:pPr>
              <w:jc w:val="right"/>
              <w:ind w:right="60"/>
              <w:spacing w:after="0"/>
              <w:rPr>
                <w:sz w:val="20"/>
                <w:szCs w:val="20"/>
                <w:color w:val="auto"/>
              </w:rPr>
            </w:pPr>
            <w:r>
              <w:rPr>
                <w:rFonts w:ascii="Arial" w:cs="Arial" w:eastAsia="Arial" w:hAnsi="Arial"/>
                <w:sz w:val="12"/>
                <w:szCs w:val="12"/>
                <w:color w:val="auto"/>
              </w:rPr>
              <w:t>385,592</w:t>
            </w:r>
          </w:p>
        </w:tc>
      </w:tr>
      <w:tr>
        <w:trPr>
          <w:trHeight w:val="185"/>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Construction in progress</w:t>
            </w:r>
          </w:p>
        </w:tc>
        <w:tc>
          <w:tcPr>
            <w:tcW w:w="1840" w:type="dxa"/>
            <w:vAlign w:val="bottom"/>
            <w:gridSpan w:val="3"/>
            <w:shd w:val="clear" w:color="auto" w:fill="CCEEFF"/>
          </w:tcPr>
          <w:p>
            <w:pPr>
              <w:jc w:val="center"/>
              <w:ind w:right="120"/>
              <w:spacing w:after="0"/>
              <w:rPr>
                <w:sz w:val="20"/>
                <w:szCs w:val="20"/>
                <w:color w:val="auto"/>
              </w:rPr>
            </w:pPr>
            <w:r>
              <w:rPr>
                <w:rFonts w:ascii="Arial" w:cs="Arial" w:eastAsia="Arial" w:hAnsi="Arial"/>
                <w:sz w:val="12"/>
                <w:szCs w:val="12"/>
                <w:color w:val="auto"/>
                <w:w w:val="99"/>
              </w:rPr>
              <w:t>—</w:t>
            </w:r>
          </w:p>
        </w:tc>
        <w:tc>
          <w:tcPr>
            <w:tcW w:w="30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388,189</w:t>
            </w: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307,026</w:t>
            </w:r>
          </w:p>
        </w:tc>
      </w:tr>
      <w:tr>
        <w:trPr>
          <w:trHeight w:val="156"/>
        </w:trPr>
        <w:tc>
          <w:tcPr>
            <w:tcW w:w="5180" w:type="dxa"/>
            <w:vAlign w:val="bottom"/>
          </w:tcPr>
          <w:p>
            <w:pPr>
              <w:ind w:left="180"/>
              <w:spacing w:after="0"/>
              <w:rPr>
                <w:sz w:val="20"/>
                <w:szCs w:val="20"/>
                <w:color w:val="auto"/>
              </w:rPr>
            </w:pPr>
            <w:r>
              <w:rPr>
                <w:rFonts w:ascii="Arial" w:cs="Arial" w:eastAsia="Arial" w:hAnsi="Arial"/>
                <w:sz w:val="12"/>
                <w:szCs w:val="12"/>
                <w:color w:val="auto"/>
              </w:rPr>
              <w:t>Total property and equipment</w:t>
            </w: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tcPr>
          <w:p>
            <w:pPr>
              <w:jc w:val="right"/>
              <w:spacing w:after="0"/>
              <w:rPr>
                <w:sz w:val="20"/>
                <w:szCs w:val="20"/>
                <w:color w:val="auto"/>
              </w:rPr>
            </w:pPr>
            <w:r>
              <w:rPr>
                <w:rFonts w:ascii="Arial" w:cs="Arial" w:eastAsia="Arial" w:hAnsi="Arial"/>
                <w:sz w:val="12"/>
                <w:szCs w:val="12"/>
                <w:color w:val="auto"/>
              </w:rPr>
              <w:t>4,799,914</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tcPr>
          <w:p>
            <w:pPr>
              <w:jc w:val="right"/>
              <w:ind w:right="60"/>
              <w:spacing w:after="0"/>
              <w:rPr>
                <w:sz w:val="20"/>
                <w:szCs w:val="20"/>
                <w:color w:val="auto"/>
              </w:rPr>
            </w:pPr>
            <w:r>
              <w:rPr>
                <w:rFonts w:ascii="Arial" w:cs="Arial" w:eastAsia="Arial" w:hAnsi="Arial"/>
                <w:sz w:val="12"/>
                <w:szCs w:val="12"/>
                <w:color w:val="auto"/>
              </w:rPr>
              <w:t>4,608,269</w:t>
            </w:r>
          </w:p>
        </w:tc>
      </w:tr>
      <w:tr>
        <w:trPr>
          <w:trHeight w:val="185"/>
        </w:trPr>
        <w:tc>
          <w:tcPr>
            <w:tcW w:w="51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Accumulated depreciation</w:t>
            </w: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8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(2,355,757)</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(2,073,603)</w:t>
            </w:r>
          </w:p>
        </w:tc>
      </w:tr>
      <w:tr>
        <w:trPr>
          <w:trHeight w:val="167"/>
        </w:trPr>
        <w:tc>
          <w:tcPr>
            <w:tcW w:w="5180" w:type="dxa"/>
            <w:vAlign w:val="bottom"/>
          </w:tcPr>
          <w:p>
            <w:pPr>
              <w:ind w:left="320"/>
              <w:spacing w:after="0"/>
              <w:rPr>
                <w:sz w:val="20"/>
                <w:szCs w:val="20"/>
                <w:color w:val="auto"/>
              </w:rPr>
            </w:pPr>
            <w:r>
              <w:rPr>
                <w:rFonts w:ascii="Arial" w:cs="Arial" w:eastAsia="Arial" w:hAnsi="Arial"/>
                <w:sz w:val="12"/>
                <w:szCs w:val="12"/>
                <w:color w:val="auto"/>
              </w:rPr>
              <w:t>Property and equipment, net</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780" w:type="dxa"/>
            <w:vAlign w:val="bottom"/>
          </w:tcPr>
          <w:p>
            <w:pPr>
              <w:jc w:val="right"/>
              <w:spacing w:after="0"/>
              <w:rPr>
                <w:sz w:val="20"/>
                <w:szCs w:val="20"/>
                <w:color w:val="auto"/>
              </w:rPr>
            </w:pPr>
            <w:r>
              <w:rPr>
                <w:rFonts w:ascii="Arial" w:cs="Arial" w:eastAsia="Arial" w:hAnsi="Arial"/>
                <w:sz w:val="12"/>
                <w:szCs w:val="12"/>
                <w:color w:val="auto"/>
              </w:rPr>
              <w:t>2,444,157</w:t>
            </w:r>
          </w:p>
        </w:tc>
        <w:tc>
          <w:tcPr>
            <w:tcW w:w="54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1840" w:type="dxa"/>
            <w:vAlign w:val="bottom"/>
          </w:tcPr>
          <w:p>
            <w:pPr>
              <w:jc w:val="right"/>
              <w:ind w:right="60"/>
              <w:spacing w:after="0"/>
              <w:rPr>
                <w:sz w:val="20"/>
                <w:szCs w:val="20"/>
                <w:color w:val="auto"/>
              </w:rPr>
            </w:pPr>
            <w:r>
              <w:rPr>
                <w:rFonts w:ascii="Arial" w:cs="Arial" w:eastAsia="Arial" w:hAnsi="Arial"/>
                <w:sz w:val="12"/>
                <w:szCs w:val="12"/>
                <w:color w:val="auto"/>
              </w:rPr>
              <w:t>2,534,666</w:t>
            </w:r>
          </w:p>
        </w:tc>
      </w:tr>
      <w:tr>
        <w:trPr>
          <w:trHeight w:val="432"/>
        </w:trPr>
        <w:tc>
          <w:tcPr>
            <w:tcW w:w="5180" w:type="dxa"/>
            <w:vAlign w:val="bottom"/>
          </w:tcPr>
          <w:p>
            <w:pPr>
              <w:spacing w:after="0"/>
              <w:rPr>
                <w:sz w:val="20"/>
                <w:szCs w:val="20"/>
                <w:color w:val="auto"/>
              </w:rPr>
            </w:pPr>
            <w:r>
              <w:rPr>
                <w:rFonts w:ascii="Arial" w:cs="Arial" w:eastAsia="Arial" w:hAnsi="Arial"/>
                <w:sz w:val="12"/>
                <w:szCs w:val="12"/>
                <w:color w:val="auto"/>
              </w:rPr>
              <w:t>Construction in progress consisted of the following (amounts in thousands):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r>
      <w:tr>
        <w:trPr>
          <w:trHeight w:val="266"/>
        </w:trPr>
        <w:tc>
          <w:tcPr>
            <w:tcW w:w="51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2"/>
                <w:szCs w:val="12"/>
                <w:b w:val="1"/>
                <w:bCs w:val="1"/>
                <w:color w:val="auto"/>
                <w:w w:val="93"/>
              </w:rPr>
              <w:t>As of</w:t>
            </w:r>
          </w:p>
        </w:tc>
        <w:tc>
          <w:tcPr>
            <w:tcW w:w="1840" w:type="dxa"/>
            <w:vAlign w:val="bottom"/>
            <w:tcBorders>
              <w:bottom w:val="single" w:sz="8" w:color="auto"/>
            </w:tcBorders>
          </w:tcPr>
          <w:p>
            <w:pPr>
              <w:spacing w:after="0"/>
              <w:rPr>
                <w:sz w:val="23"/>
                <w:szCs w:val="23"/>
                <w:color w:val="auto"/>
              </w:rPr>
            </w:pPr>
          </w:p>
        </w:tc>
      </w:tr>
      <w:tr>
        <w:trPr>
          <w:trHeight w:val="169"/>
        </w:trPr>
        <w:tc>
          <w:tcPr>
            <w:tcW w:w="51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September 30, 2019</w:t>
            </w:r>
          </w:p>
        </w:tc>
        <w:tc>
          <w:tcPr>
            <w:tcW w:w="1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December 31, 2018</w:t>
            </w:r>
          </w:p>
        </w:tc>
      </w:tr>
      <w:tr>
        <w:trPr>
          <w:trHeight w:val="210"/>
        </w:trPr>
        <w:tc>
          <w:tcPr>
            <w:tcW w:w="5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180"/>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Progress amounts for satellite construction</w:t>
            </w: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348,106</w:t>
            </w:r>
          </w:p>
        </w:tc>
        <w:tc>
          <w:tcPr>
            <w:tcW w:w="5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277,583</w:t>
            </w:r>
          </w:p>
        </w:tc>
      </w:tr>
      <w:tr>
        <w:trPr>
          <w:trHeight w:val="176"/>
        </w:trPr>
        <w:tc>
          <w:tcPr>
            <w:tcW w:w="5180" w:type="dxa"/>
            <w:vAlign w:val="bottom"/>
          </w:tcPr>
          <w:p>
            <w:pPr>
              <w:ind w:left="20"/>
              <w:spacing w:after="0"/>
              <w:rPr>
                <w:sz w:val="20"/>
                <w:szCs w:val="20"/>
                <w:color w:val="auto"/>
              </w:rPr>
            </w:pPr>
            <w:r>
              <w:rPr>
                <w:rFonts w:ascii="Arial" w:cs="Arial" w:eastAsia="Arial" w:hAnsi="Arial"/>
                <w:sz w:val="12"/>
                <w:szCs w:val="12"/>
                <w:color w:val="auto"/>
              </w:rPr>
              <w:t>Satellite related equipment</w:t>
            </w: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tcPr>
          <w:p>
            <w:pPr>
              <w:jc w:val="right"/>
              <w:spacing w:after="0"/>
              <w:rPr>
                <w:sz w:val="20"/>
                <w:szCs w:val="20"/>
                <w:color w:val="auto"/>
              </w:rPr>
            </w:pPr>
            <w:r>
              <w:rPr>
                <w:rFonts w:ascii="Arial" w:cs="Arial" w:eastAsia="Arial" w:hAnsi="Arial"/>
                <w:sz w:val="12"/>
                <w:szCs w:val="12"/>
                <w:color w:val="auto"/>
              </w:rPr>
              <w:t>25,027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40" w:type="dxa"/>
            <w:vAlign w:val="bottom"/>
          </w:tcPr>
          <w:p>
            <w:pPr>
              <w:jc w:val="right"/>
              <w:ind w:right="60"/>
              <w:spacing w:after="0"/>
              <w:rPr>
                <w:sz w:val="20"/>
                <w:szCs w:val="20"/>
                <w:color w:val="auto"/>
              </w:rPr>
            </w:pPr>
            <w:r>
              <w:rPr>
                <w:rFonts w:ascii="Arial" w:cs="Arial" w:eastAsia="Arial" w:hAnsi="Arial"/>
                <w:sz w:val="12"/>
                <w:szCs w:val="12"/>
                <w:color w:val="auto"/>
              </w:rPr>
              <w:t>13,001</w:t>
            </w:r>
          </w:p>
        </w:tc>
      </w:tr>
      <w:tr>
        <w:trPr>
          <w:trHeight w:val="185"/>
        </w:trPr>
        <w:tc>
          <w:tcPr>
            <w:tcW w:w="51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w:t>
            </w: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15,056</w:t>
            </w: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16,442</w:t>
            </w:r>
          </w:p>
        </w:tc>
      </w:tr>
      <w:tr>
        <w:trPr>
          <w:trHeight w:val="167"/>
        </w:trPr>
        <w:tc>
          <w:tcPr>
            <w:tcW w:w="5180" w:type="dxa"/>
            <w:vAlign w:val="bottom"/>
          </w:tcPr>
          <w:p>
            <w:pPr>
              <w:ind w:left="320"/>
              <w:spacing w:after="0"/>
              <w:rPr>
                <w:sz w:val="20"/>
                <w:szCs w:val="20"/>
                <w:color w:val="auto"/>
              </w:rPr>
            </w:pPr>
            <w:r>
              <w:rPr>
                <w:rFonts w:ascii="Arial" w:cs="Arial" w:eastAsia="Arial" w:hAnsi="Arial"/>
                <w:sz w:val="12"/>
                <w:szCs w:val="12"/>
                <w:color w:val="auto"/>
              </w:rPr>
              <w:t>Construction in progress</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388,189</w:t>
            </w:r>
          </w:p>
        </w:tc>
        <w:tc>
          <w:tcPr>
            <w:tcW w:w="100" w:type="dxa"/>
            <w:vAlign w:val="bottom"/>
            <w:tcBorders>
              <w:bottom w:val="single" w:sz="8" w:color="auto"/>
            </w:tcBorders>
          </w:tcPr>
          <w:p>
            <w:pPr>
              <w:spacing w:after="0"/>
              <w:rPr>
                <w:sz w:val="14"/>
                <w:szCs w:val="14"/>
                <w:color w:val="auto"/>
              </w:rPr>
            </w:pPr>
          </w:p>
        </w:tc>
        <w:tc>
          <w:tcPr>
            <w:tcW w:w="120" w:type="dxa"/>
            <w:vAlign w:val="bottom"/>
            <w:gridSpan w:val="2"/>
          </w:tcPr>
          <w:p>
            <w:pPr>
              <w:spacing w:after="0"/>
              <w:rPr>
                <w:sz w:val="14"/>
                <w:szCs w:val="14"/>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8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307,026</w:t>
            </w:r>
          </w:p>
        </w:tc>
      </w:tr>
    </w:tbl>
    <w:p>
      <w:pPr>
        <w:spacing w:after="0" w:line="288"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Construction in progress as of September 30, 2019 included our EchoStar XXIV satellite. In August 2017, we entered into a contract for the design and construction of the EchoStar XXIV satellite, a new, next-generation, high throughput geostationary satellite, with a planned 2021 launch. The EchoStar XXIV satellite is primarily intended to provide additional capacity for our HughesNet service in North, Central and South America as well as aeronautical and enterprise broadband services. In the first quarter of 2019, Maxar Technologies Inc. (“Maxar”), the parent company of Space Systems/Loral, LLC (“SSL”), the manufacturer of our EchoStar XXIV satellite, announced that, although it will continue to operate its geostationary communications satellite business, it intends to adjust its organization to better align costs with revenue. SSL has indicated to us that it intends to meet its contractual obligations regarding the timely manufacture and delivery of the EchoStar XXIV satellite. However, if SSL fails to meet or is delayed in meeting these obligations for any reason, including if Maxar decides to significantly modify its geostationary communications satellite business, such failure could have a material adverse impact on our business operations, future revenues, financial position and prospects, the completion of the manufacture of the EchoStar XXIV satellite and our planned expansion of satellite broadband services throughout North, South and Central America. Capital expenditures associated with the construction and launch of the EchoStar XXIV satellite are included in Corporate and Other in our segment reporting.</w:t>
      </w:r>
    </w:p>
    <w:p>
      <w:pPr>
        <w:spacing w:after="0" w:line="138"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recorded capitalized interest related to our satellites, satellite payloads and related ground facilities under construction of $6.1 million and $4.6 million for the three months ended September 30, 2019 and 2018, respectively, and $16.4 million and $13.8 million for the nine months ended September 30, 2019 and 2018, respectively.</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80"/>
          </w:cols>
          <w:pgMar w:left="220" w:top="140" w:right="199" w:bottom="1440" w:gutter="0" w:footer="0" w:header="0"/>
        </w:sectPr>
      </w:pPr>
    </w:p>
    <w:bookmarkStart w:id="27" w:name="page28"/>
    <w:bookmarkEnd w:id="27"/>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(Unaudited)</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color w:val="auto"/>
        </w:rPr>
        <w:t>Depreciation expense associated with our property and equipment from our continuing operations consisted of the following (amounts in thousands):</w:t>
      </w:r>
    </w:p>
    <w:p>
      <w:pPr>
        <w:spacing w:after="0" w:line="97"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4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For the three months</w:t>
            </w: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4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For the nine months</w:t>
            </w:r>
          </w:p>
        </w:tc>
        <w:tc>
          <w:tcPr>
            <w:tcW w:w="1080" w:type="dxa"/>
            <w:vAlign w:val="bottom"/>
          </w:tcPr>
          <w:p>
            <w:pPr>
              <w:spacing w:after="0"/>
              <w:rPr>
                <w:sz w:val="12"/>
                <w:szCs w:val="12"/>
                <w:color w:val="auto"/>
              </w:rPr>
            </w:pPr>
          </w:p>
        </w:tc>
      </w:tr>
      <w:tr>
        <w:trPr>
          <w:trHeight w:val="163"/>
        </w:trPr>
        <w:tc>
          <w:tcPr>
            <w:tcW w:w="4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rPr>
              <w:t>ended September 30,</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b w:val="1"/>
                <w:bCs w:val="1"/>
                <w:color w:val="auto"/>
              </w:rPr>
              <w:t>ended September 30,</w:t>
            </w:r>
          </w:p>
        </w:tc>
        <w:tc>
          <w:tcPr>
            <w:tcW w:w="1080" w:type="dxa"/>
            <w:vAlign w:val="bottom"/>
            <w:tcBorders>
              <w:bottom w:val="single" w:sz="8" w:color="auto"/>
            </w:tcBorders>
          </w:tcPr>
          <w:p>
            <w:pPr>
              <w:spacing w:after="0"/>
              <w:rPr>
                <w:sz w:val="14"/>
                <w:szCs w:val="14"/>
                <w:color w:val="auto"/>
              </w:rPr>
            </w:pPr>
          </w:p>
        </w:tc>
      </w:tr>
      <w:tr>
        <w:trPr>
          <w:trHeight w:val="169"/>
        </w:trPr>
        <w:tc>
          <w:tcPr>
            <w:tcW w:w="42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60"/>
              <w:spacing w:after="0"/>
              <w:rPr>
                <w:sz w:val="20"/>
                <w:szCs w:val="20"/>
                <w:color w:val="auto"/>
              </w:rPr>
            </w:pPr>
            <w:r>
              <w:rPr>
                <w:rFonts w:ascii="Arial" w:cs="Arial" w:eastAsia="Arial" w:hAnsi="Arial"/>
                <w:sz w:val="12"/>
                <w:szCs w:val="12"/>
                <w:b w:val="1"/>
                <w:bCs w:val="1"/>
                <w:color w:val="auto"/>
              </w:rPr>
              <w:t>2018</w:t>
            </w:r>
          </w:p>
        </w:tc>
      </w:tr>
      <w:tr>
        <w:trPr>
          <w:trHeight w:val="210"/>
        </w:trPr>
        <w:tc>
          <w:tcPr>
            <w:tcW w:w="4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80"/>
        </w:trPr>
        <w:tc>
          <w:tcPr>
            <w:tcW w:w="4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Buildings and improvements</w:t>
            </w:r>
          </w:p>
        </w:tc>
        <w:tc>
          <w:tcPr>
            <w:tcW w:w="40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1,385</w:t>
            </w: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2,895</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4,624</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8,825</w:t>
            </w:r>
          </w:p>
        </w:tc>
      </w:tr>
      <w:tr>
        <w:trPr>
          <w:trHeight w:val="176"/>
        </w:trPr>
        <w:tc>
          <w:tcPr>
            <w:tcW w:w="4260" w:type="dxa"/>
            <w:vAlign w:val="bottom"/>
          </w:tcPr>
          <w:p>
            <w:pPr>
              <w:ind w:left="20"/>
              <w:spacing w:after="0"/>
              <w:rPr>
                <w:sz w:val="20"/>
                <w:szCs w:val="20"/>
                <w:color w:val="auto"/>
              </w:rPr>
            </w:pPr>
            <w:r>
              <w:rPr>
                <w:rFonts w:ascii="Arial" w:cs="Arial" w:eastAsia="Arial" w:hAnsi="Arial"/>
                <w:sz w:val="12"/>
                <w:szCs w:val="12"/>
                <w:color w:val="auto"/>
              </w:rPr>
              <w:t>Furniture, fixtures, equipment and other</w:t>
            </w:r>
          </w:p>
        </w:tc>
        <w:tc>
          <w:tcPr>
            <w:tcW w:w="400" w:type="dxa"/>
            <w:vAlign w:val="bottom"/>
          </w:tcPr>
          <w:p>
            <w:pPr>
              <w:spacing w:after="0"/>
              <w:rPr>
                <w:sz w:val="15"/>
                <w:szCs w:val="15"/>
                <w:color w:val="auto"/>
              </w:rPr>
            </w:pPr>
          </w:p>
        </w:tc>
        <w:tc>
          <w:tcPr>
            <w:tcW w:w="1320" w:type="dxa"/>
            <w:vAlign w:val="bottom"/>
          </w:tcPr>
          <w:p>
            <w:pPr>
              <w:jc w:val="right"/>
              <w:ind w:right="60"/>
              <w:spacing w:after="0"/>
              <w:rPr>
                <w:sz w:val="20"/>
                <w:szCs w:val="20"/>
                <w:color w:val="auto"/>
              </w:rPr>
            </w:pPr>
            <w:r>
              <w:rPr>
                <w:rFonts w:ascii="Arial" w:cs="Arial" w:eastAsia="Arial" w:hAnsi="Arial"/>
                <w:sz w:val="12"/>
                <w:szCs w:val="12"/>
                <w:color w:val="auto"/>
              </w:rPr>
              <w:t>22,114</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jc w:val="right"/>
              <w:ind w:right="40"/>
              <w:spacing w:after="0"/>
              <w:rPr>
                <w:sz w:val="20"/>
                <w:szCs w:val="20"/>
                <w:color w:val="auto"/>
              </w:rPr>
            </w:pPr>
            <w:r>
              <w:rPr>
                <w:rFonts w:ascii="Arial" w:cs="Arial" w:eastAsia="Arial" w:hAnsi="Arial"/>
                <w:sz w:val="12"/>
                <w:szCs w:val="12"/>
                <w:color w:val="auto"/>
              </w:rPr>
              <w:t>20,580</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jc w:val="right"/>
              <w:ind w:right="40"/>
              <w:spacing w:after="0"/>
              <w:rPr>
                <w:sz w:val="20"/>
                <w:szCs w:val="20"/>
                <w:color w:val="auto"/>
              </w:rPr>
            </w:pPr>
            <w:r>
              <w:rPr>
                <w:rFonts w:ascii="Arial" w:cs="Arial" w:eastAsia="Arial" w:hAnsi="Arial"/>
                <w:sz w:val="12"/>
                <w:szCs w:val="12"/>
                <w:color w:val="auto"/>
              </w:rPr>
              <w:t>66,438</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80" w:type="dxa"/>
            <w:vAlign w:val="bottom"/>
          </w:tcPr>
          <w:p>
            <w:pPr>
              <w:jc w:val="right"/>
              <w:ind w:right="60"/>
              <w:spacing w:after="0"/>
              <w:rPr>
                <w:sz w:val="20"/>
                <w:szCs w:val="20"/>
                <w:color w:val="auto"/>
              </w:rPr>
            </w:pPr>
            <w:r>
              <w:rPr>
                <w:rFonts w:ascii="Arial" w:cs="Arial" w:eastAsia="Arial" w:hAnsi="Arial"/>
                <w:sz w:val="12"/>
                <w:szCs w:val="12"/>
                <w:color w:val="auto"/>
              </w:rPr>
              <w:t>61,333</w:t>
            </w:r>
          </w:p>
        </w:tc>
      </w:tr>
      <w:tr>
        <w:trPr>
          <w:trHeight w:val="185"/>
        </w:trPr>
        <w:tc>
          <w:tcPr>
            <w:tcW w:w="42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Customer premises equipment</w:t>
            </w: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49,074</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43,584</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142,541</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129,907</w:t>
            </w:r>
          </w:p>
        </w:tc>
      </w:tr>
      <w:tr>
        <w:trPr>
          <w:trHeight w:val="176"/>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Satellites</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38,998</w:t>
            </w:r>
          </w:p>
        </w:tc>
        <w:tc>
          <w:tcPr>
            <w:tcW w:w="1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37,557</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115,919</w:t>
            </w:r>
          </w:p>
        </w:tc>
        <w:tc>
          <w:tcPr>
            <w:tcW w:w="12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106,785</w:t>
            </w:r>
          </w:p>
        </w:tc>
      </w:tr>
      <w:tr>
        <w:trPr>
          <w:trHeight w:val="172"/>
        </w:trPr>
        <w:tc>
          <w:tcPr>
            <w:tcW w:w="4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depreciation expense</w:t>
            </w:r>
          </w:p>
        </w:tc>
        <w:tc>
          <w:tcPr>
            <w:tcW w:w="40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w w:val="89"/>
              </w:rPr>
              <w:t>$</w:t>
            </w:r>
          </w:p>
        </w:tc>
        <w:tc>
          <w:tcPr>
            <w:tcW w:w="1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111,571</w:t>
            </w: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104,616</w:t>
            </w:r>
          </w:p>
        </w:tc>
        <w:tc>
          <w:tcPr>
            <w:tcW w:w="12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329,522</w:t>
            </w: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306,850</w:t>
            </w:r>
          </w:p>
        </w:tc>
      </w:tr>
    </w:tbl>
    <w:p>
      <w:pPr>
        <w:spacing w:after="0" w:line="288" w:lineRule="exact"/>
        <w:rPr>
          <w:sz w:val="20"/>
          <w:szCs w:val="20"/>
          <w:color w:val="auto"/>
        </w:rPr>
      </w:pPr>
    </w:p>
    <w:p>
      <w:pPr>
        <w:jc w:val="both"/>
        <w:ind w:left="8"/>
        <w:spacing w:after="0" w:line="262" w:lineRule="auto"/>
        <w:rPr>
          <w:sz w:val="20"/>
          <w:szCs w:val="20"/>
          <w:color w:val="auto"/>
        </w:rPr>
      </w:pPr>
      <w:r>
        <w:rPr>
          <w:rFonts w:ascii="Arial" w:cs="Arial" w:eastAsia="Arial" w:hAnsi="Arial"/>
          <w:sz w:val="12"/>
          <w:szCs w:val="12"/>
          <w:color w:val="auto"/>
        </w:rPr>
        <w:t>Satellites depreciation expense includes amortization of satellites under finance lease agreements of $6.4 million and $5.5 million for the three months ended September 30, 2019 and 2018, respectively, and $19.3 million and $13.8 million for the nine months ended September 30, 2019 and 2018, respectively.</w:t>
      </w:r>
    </w:p>
    <w:p>
      <w:pPr>
        <w:spacing w:after="0" w:line="11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Satellites</w:t>
      </w:r>
    </w:p>
    <w:p>
      <w:pPr>
        <w:spacing w:after="0" w:line="164"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color w:val="auto"/>
        </w:rPr>
        <w:t>As of September 30, 2019, our satellite fleet consisted of nine satellites, six of which are owned and three of which are leased. They are all in geosynchronous orbit, approximately 22,300 miles above the equator. We depreciate our owned satellites on a straight-line basis over the estimated useful life of each satellite. We depreciate our leased satellites on a straight-line basis over their respective lease terms. In connection with the BSS Transaction, seven of our owned satellites and the leases for two of our leased satellites were transferred to DISH Network.</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color w:val="auto"/>
        </w:rPr>
        <w:t>Our operating satellite fleet consists of both owned and leased satellites detailed in the table below as of September 30, 2019.</w:t>
      </w:r>
    </w:p>
    <w:p>
      <w:pPr>
        <w:spacing w:after="0" w:line="97" w:lineRule="exact"/>
        <w:rPr>
          <w:sz w:val="20"/>
          <w:szCs w:val="20"/>
          <w:color w:val="auto"/>
        </w:rPr>
      </w:pPr>
    </w:p>
    <w:tbl>
      <w:tblPr>
        <w:tblLayout w:type="fixed"/>
        <w:tblInd w:w="28" w:type="dxa"/>
        <w:tblCellMar>
          <w:top w:w="0" w:type="dxa"/>
          <w:left w:w="0" w:type="dxa"/>
          <w:bottom w:w="0" w:type="dxa"/>
          <w:right w:w="0" w:type="dxa"/>
        </w:tblCellMar>
      </w:tblPr>
      <w:tr>
        <w:trPr>
          <w:trHeight w:val="138"/>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Nominal Degree</w:t>
            </w:r>
          </w:p>
        </w:tc>
        <w:tc>
          <w:tcPr>
            <w:tcW w:w="1820" w:type="dxa"/>
            <w:vAlign w:val="bottom"/>
          </w:tcPr>
          <w:p>
            <w:pPr>
              <w:spacing w:after="0"/>
              <w:rPr>
                <w:sz w:val="12"/>
                <w:szCs w:val="12"/>
                <w:color w:val="auto"/>
              </w:rPr>
            </w:pPr>
          </w:p>
        </w:tc>
      </w:tr>
      <w:tr>
        <w:trPr>
          <w:trHeight w:val="163"/>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Satellites</w:t>
            </w:r>
          </w:p>
        </w:tc>
        <w:tc>
          <w:tcPr>
            <w:tcW w:w="12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Segment</w:t>
            </w:r>
          </w:p>
        </w:tc>
        <w:tc>
          <w:tcPr>
            <w:tcW w:w="12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Launch Date</w:t>
            </w:r>
          </w:p>
        </w:tc>
        <w:tc>
          <w:tcPr>
            <w:tcW w:w="12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Orbital Location (Longitude)</w:t>
            </w:r>
          </w:p>
        </w:tc>
        <w:tc>
          <w:tcPr>
            <w:tcW w:w="10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Depreciable Life In Years</w:t>
            </w:r>
          </w:p>
        </w:tc>
      </w:tr>
      <w:tr>
        <w:trPr>
          <w:trHeight w:val="165"/>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Owned:</w:t>
            </w:r>
          </w:p>
        </w:tc>
        <w:tc>
          <w:tcPr>
            <w:tcW w:w="1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r>
        <w:trPr>
          <w:trHeight w:val="167"/>
        </w:trPr>
        <w:tc>
          <w:tcPr>
            <w:tcW w:w="3900" w:type="dxa"/>
            <w:vAlign w:val="bottom"/>
            <w:gridSpan w:val="2"/>
          </w:tcPr>
          <w:p>
            <w:pPr>
              <w:ind w:left="20"/>
              <w:spacing w:after="0"/>
              <w:rPr>
                <w:sz w:val="20"/>
                <w:szCs w:val="20"/>
                <w:color w:val="auto"/>
              </w:rPr>
            </w:pPr>
            <w:r>
              <w:rPr>
                <w:rFonts w:ascii="Arial" w:cs="Arial" w:eastAsia="Arial" w:hAnsi="Arial"/>
                <w:sz w:val="12"/>
                <w:szCs w:val="12"/>
                <w:color w:val="auto"/>
              </w:rPr>
              <w:t>SPACEWAY 3 (1)</w:t>
            </w:r>
          </w:p>
        </w:tc>
        <w:tc>
          <w:tcPr>
            <w:tcW w:w="1940" w:type="dxa"/>
            <w:vAlign w:val="bottom"/>
            <w:gridSpan w:val="2"/>
          </w:tcPr>
          <w:p>
            <w:pPr>
              <w:jc w:val="center"/>
              <w:ind w:right="120"/>
              <w:spacing w:after="0"/>
              <w:rPr>
                <w:sz w:val="20"/>
                <w:szCs w:val="20"/>
                <w:color w:val="auto"/>
              </w:rPr>
            </w:pPr>
            <w:r>
              <w:rPr>
                <w:rFonts w:ascii="Arial" w:cs="Arial" w:eastAsia="Arial" w:hAnsi="Arial"/>
                <w:sz w:val="12"/>
                <w:szCs w:val="12"/>
                <w:color w:val="auto"/>
              </w:rPr>
              <w:t>Hughes</w:t>
            </w:r>
          </w:p>
        </w:tc>
        <w:tc>
          <w:tcPr>
            <w:tcW w:w="1840" w:type="dxa"/>
            <w:vAlign w:val="bottom"/>
            <w:gridSpan w:val="2"/>
          </w:tcPr>
          <w:p>
            <w:pPr>
              <w:jc w:val="center"/>
              <w:ind w:right="120"/>
              <w:spacing w:after="0"/>
              <w:rPr>
                <w:sz w:val="20"/>
                <w:szCs w:val="20"/>
                <w:color w:val="auto"/>
              </w:rPr>
            </w:pPr>
            <w:r>
              <w:rPr>
                <w:rFonts w:ascii="Arial" w:cs="Arial" w:eastAsia="Arial" w:hAnsi="Arial"/>
                <w:sz w:val="12"/>
                <w:szCs w:val="12"/>
                <w:color w:val="auto"/>
              </w:rPr>
              <w:t>August 2007</w:t>
            </w:r>
          </w:p>
        </w:tc>
        <w:tc>
          <w:tcPr>
            <w:tcW w:w="192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95 W</w:t>
            </w:r>
          </w:p>
        </w:tc>
        <w:tc>
          <w:tcPr>
            <w:tcW w:w="1820" w:type="dxa"/>
            <w:vAlign w:val="bottom"/>
          </w:tcPr>
          <w:p>
            <w:pPr>
              <w:jc w:val="center"/>
              <w:spacing w:after="0"/>
              <w:rPr>
                <w:sz w:val="20"/>
                <w:szCs w:val="20"/>
                <w:color w:val="auto"/>
              </w:rPr>
            </w:pPr>
            <w:r>
              <w:rPr>
                <w:rFonts w:ascii="Arial" w:cs="Arial" w:eastAsia="Arial" w:hAnsi="Arial"/>
                <w:sz w:val="12"/>
                <w:szCs w:val="12"/>
                <w:color w:val="auto"/>
              </w:rPr>
              <w:t>12</w:t>
            </w:r>
          </w:p>
        </w:tc>
      </w:tr>
      <w:tr>
        <w:trPr>
          <w:trHeight w:val="176"/>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EchoStar XVII</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rPr>
              <w:t>Hughes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rPr>
              <w:t>July 2012</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rPr>
              <w:t>107 W</w:t>
            </w:r>
          </w:p>
        </w:tc>
        <w:tc>
          <w:tcPr>
            <w:tcW w:w="182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15</w:t>
            </w:r>
          </w:p>
        </w:tc>
      </w:tr>
      <w:tr>
        <w:trPr>
          <w:trHeight w:val="176"/>
        </w:trPr>
        <w:tc>
          <w:tcPr>
            <w:tcW w:w="3900" w:type="dxa"/>
            <w:vAlign w:val="bottom"/>
            <w:gridSpan w:val="2"/>
          </w:tcPr>
          <w:p>
            <w:pPr>
              <w:ind w:left="20"/>
              <w:spacing w:after="0"/>
              <w:rPr>
                <w:sz w:val="20"/>
                <w:szCs w:val="20"/>
                <w:color w:val="auto"/>
              </w:rPr>
            </w:pPr>
            <w:r>
              <w:rPr>
                <w:rFonts w:ascii="Arial" w:cs="Arial" w:eastAsia="Arial" w:hAnsi="Arial"/>
                <w:sz w:val="12"/>
                <w:szCs w:val="12"/>
                <w:color w:val="auto"/>
              </w:rPr>
              <w:t>EchoStar XIX</w:t>
            </w:r>
          </w:p>
        </w:tc>
        <w:tc>
          <w:tcPr>
            <w:tcW w:w="1940" w:type="dxa"/>
            <w:vAlign w:val="bottom"/>
            <w:gridSpan w:val="2"/>
          </w:tcPr>
          <w:p>
            <w:pPr>
              <w:jc w:val="center"/>
              <w:ind w:right="120"/>
              <w:spacing w:after="0"/>
              <w:rPr>
                <w:sz w:val="20"/>
                <w:szCs w:val="20"/>
                <w:color w:val="auto"/>
              </w:rPr>
            </w:pPr>
            <w:r>
              <w:rPr>
                <w:rFonts w:ascii="Arial" w:cs="Arial" w:eastAsia="Arial" w:hAnsi="Arial"/>
                <w:sz w:val="12"/>
                <w:szCs w:val="12"/>
                <w:color w:val="auto"/>
              </w:rPr>
              <w:t>Hughes</w:t>
            </w:r>
          </w:p>
        </w:tc>
        <w:tc>
          <w:tcPr>
            <w:tcW w:w="1840" w:type="dxa"/>
            <w:vAlign w:val="bottom"/>
            <w:gridSpan w:val="2"/>
          </w:tcPr>
          <w:p>
            <w:pPr>
              <w:jc w:val="center"/>
              <w:ind w:right="100"/>
              <w:spacing w:after="0"/>
              <w:rPr>
                <w:sz w:val="20"/>
                <w:szCs w:val="20"/>
                <w:color w:val="auto"/>
              </w:rPr>
            </w:pPr>
            <w:r>
              <w:rPr>
                <w:rFonts w:ascii="Arial" w:cs="Arial" w:eastAsia="Arial" w:hAnsi="Arial"/>
                <w:sz w:val="12"/>
                <w:szCs w:val="12"/>
                <w:color w:val="auto"/>
              </w:rPr>
              <w:t>December 2016</w:t>
            </w:r>
          </w:p>
        </w:tc>
        <w:tc>
          <w:tcPr>
            <w:tcW w:w="192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97.1 W</w:t>
            </w:r>
          </w:p>
        </w:tc>
        <w:tc>
          <w:tcPr>
            <w:tcW w:w="1820" w:type="dxa"/>
            <w:vAlign w:val="bottom"/>
          </w:tcPr>
          <w:p>
            <w:pPr>
              <w:jc w:val="center"/>
              <w:spacing w:after="0"/>
              <w:rPr>
                <w:sz w:val="20"/>
                <w:szCs w:val="20"/>
                <w:color w:val="auto"/>
              </w:rPr>
            </w:pPr>
            <w:r>
              <w:rPr>
                <w:rFonts w:ascii="Arial" w:cs="Arial" w:eastAsia="Arial" w:hAnsi="Arial"/>
                <w:sz w:val="12"/>
                <w:szCs w:val="12"/>
                <w:color w:val="auto"/>
              </w:rPr>
              <w:t>15</w:t>
            </w:r>
          </w:p>
        </w:tc>
      </w:tr>
      <w:tr>
        <w:trPr>
          <w:trHeight w:val="176"/>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EchoStar IX (2)(3)</w:t>
            </w:r>
          </w:p>
        </w:tc>
        <w:tc>
          <w:tcPr>
            <w:tcW w:w="19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9"/>
              </w:rPr>
              <w:t>ESS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rPr>
              <w:t>August 2003</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rPr>
              <w:t>121 W</w:t>
            </w:r>
          </w:p>
        </w:tc>
        <w:tc>
          <w:tcPr>
            <w:tcW w:w="182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12</w:t>
            </w:r>
          </w:p>
        </w:tc>
      </w:tr>
      <w:tr>
        <w:trPr>
          <w:trHeight w:val="176"/>
        </w:trPr>
        <w:tc>
          <w:tcPr>
            <w:tcW w:w="3900" w:type="dxa"/>
            <w:vAlign w:val="bottom"/>
            <w:gridSpan w:val="2"/>
          </w:tcPr>
          <w:p>
            <w:pPr>
              <w:ind w:left="20"/>
              <w:spacing w:after="0"/>
              <w:rPr>
                <w:sz w:val="20"/>
                <w:szCs w:val="20"/>
                <w:color w:val="auto"/>
              </w:rPr>
            </w:pPr>
            <w:r>
              <w:rPr>
                <w:rFonts w:ascii="Arial" w:cs="Arial" w:eastAsia="Arial" w:hAnsi="Arial"/>
                <w:sz w:val="12"/>
                <w:szCs w:val="12"/>
                <w:color w:val="auto"/>
              </w:rPr>
              <w:t>EchoStar XXI</w:t>
            </w:r>
          </w:p>
        </w:tc>
        <w:tc>
          <w:tcPr>
            <w:tcW w:w="194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Corporate and Other</w:t>
            </w:r>
          </w:p>
        </w:tc>
        <w:tc>
          <w:tcPr>
            <w:tcW w:w="184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June 2017</w:t>
            </w:r>
          </w:p>
        </w:tc>
        <w:tc>
          <w:tcPr>
            <w:tcW w:w="1920" w:type="dxa"/>
            <w:vAlign w:val="bottom"/>
            <w:gridSpan w:val="2"/>
          </w:tcPr>
          <w:p>
            <w:pPr>
              <w:jc w:val="center"/>
              <w:ind w:right="120"/>
              <w:spacing w:after="0"/>
              <w:rPr>
                <w:sz w:val="20"/>
                <w:szCs w:val="20"/>
                <w:color w:val="auto"/>
              </w:rPr>
            </w:pPr>
            <w:r>
              <w:rPr>
                <w:rFonts w:ascii="Arial" w:cs="Arial" w:eastAsia="Arial" w:hAnsi="Arial"/>
                <w:sz w:val="12"/>
                <w:szCs w:val="12"/>
                <w:color w:val="auto"/>
                <w:w w:val="96"/>
              </w:rPr>
              <w:t>10.25 E</w:t>
            </w:r>
          </w:p>
        </w:tc>
        <w:tc>
          <w:tcPr>
            <w:tcW w:w="1820" w:type="dxa"/>
            <w:vAlign w:val="bottom"/>
          </w:tcPr>
          <w:p>
            <w:pPr>
              <w:jc w:val="center"/>
              <w:spacing w:after="0"/>
              <w:rPr>
                <w:sz w:val="20"/>
                <w:szCs w:val="20"/>
                <w:color w:val="auto"/>
              </w:rPr>
            </w:pPr>
            <w:r>
              <w:rPr>
                <w:rFonts w:ascii="Arial" w:cs="Arial" w:eastAsia="Arial" w:hAnsi="Arial"/>
                <w:sz w:val="12"/>
                <w:szCs w:val="12"/>
                <w:color w:val="auto"/>
              </w:rPr>
              <w:t>15</w:t>
            </w:r>
          </w:p>
        </w:tc>
      </w:tr>
      <w:tr>
        <w:trPr>
          <w:trHeight w:val="176"/>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EUTELSAT 10A (“W2A”) (4)</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9"/>
              </w:rPr>
              <w:t>Corporate and Other</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2"/>
                <w:szCs w:val="12"/>
                <w:color w:val="auto"/>
                <w:w w:val="99"/>
              </w:rPr>
              <w:t>April 2009</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7"/>
              </w:rPr>
              <w:t>10 E</w:t>
            </w:r>
          </w:p>
        </w:tc>
        <w:tc>
          <w:tcPr>
            <w:tcW w:w="18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9"/>
              </w:rPr>
              <w:t>—</w:t>
            </w:r>
          </w:p>
        </w:tc>
      </w:tr>
      <w:tr>
        <w:trPr>
          <w:trHeight w:val="17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1"/>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Capital Leases:</w:t>
            </w:r>
          </w:p>
        </w:tc>
        <w:tc>
          <w:tcPr>
            <w:tcW w:w="1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r>
      <w:tr>
        <w:trPr>
          <w:trHeight w:val="176"/>
        </w:trPr>
        <w:tc>
          <w:tcPr>
            <w:tcW w:w="3900" w:type="dxa"/>
            <w:vAlign w:val="bottom"/>
            <w:gridSpan w:val="2"/>
          </w:tcPr>
          <w:p>
            <w:pPr>
              <w:ind w:left="20"/>
              <w:spacing w:after="0"/>
              <w:rPr>
                <w:sz w:val="20"/>
                <w:szCs w:val="20"/>
                <w:color w:val="auto"/>
              </w:rPr>
            </w:pPr>
            <w:r>
              <w:rPr>
                <w:rFonts w:ascii="Arial" w:cs="Arial" w:eastAsia="Arial" w:hAnsi="Arial"/>
                <w:sz w:val="12"/>
                <w:szCs w:val="12"/>
                <w:color w:val="auto"/>
              </w:rPr>
              <w:t>Eutelsat 65 West A</w:t>
            </w:r>
          </w:p>
        </w:tc>
        <w:tc>
          <w:tcPr>
            <w:tcW w:w="1940" w:type="dxa"/>
            <w:vAlign w:val="bottom"/>
            <w:gridSpan w:val="2"/>
          </w:tcPr>
          <w:p>
            <w:pPr>
              <w:jc w:val="center"/>
              <w:ind w:right="120"/>
              <w:spacing w:after="0"/>
              <w:rPr>
                <w:sz w:val="20"/>
                <w:szCs w:val="20"/>
                <w:color w:val="auto"/>
              </w:rPr>
            </w:pPr>
            <w:r>
              <w:rPr>
                <w:rFonts w:ascii="Arial" w:cs="Arial" w:eastAsia="Arial" w:hAnsi="Arial"/>
                <w:sz w:val="12"/>
                <w:szCs w:val="12"/>
                <w:color w:val="auto"/>
              </w:rPr>
              <w:t>Hughes</w:t>
            </w:r>
          </w:p>
        </w:tc>
        <w:tc>
          <w:tcPr>
            <w:tcW w:w="1840" w:type="dxa"/>
            <w:vAlign w:val="bottom"/>
            <w:gridSpan w:val="2"/>
          </w:tcPr>
          <w:p>
            <w:pPr>
              <w:jc w:val="center"/>
              <w:ind w:right="120"/>
              <w:spacing w:after="0"/>
              <w:rPr>
                <w:sz w:val="20"/>
                <w:szCs w:val="20"/>
                <w:color w:val="auto"/>
              </w:rPr>
            </w:pPr>
            <w:r>
              <w:rPr>
                <w:rFonts w:ascii="Arial" w:cs="Arial" w:eastAsia="Arial" w:hAnsi="Arial"/>
                <w:sz w:val="12"/>
                <w:szCs w:val="12"/>
                <w:color w:val="auto"/>
              </w:rPr>
              <w:t>March 2016</w:t>
            </w:r>
          </w:p>
        </w:tc>
        <w:tc>
          <w:tcPr>
            <w:tcW w:w="1920" w:type="dxa"/>
            <w:vAlign w:val="bottom"/>
            <w:gridSpan w:val="2"/>
          </w:tcPr>
          <w:p>
            <w:pPr>
              <w:jc w:val="center"/>
              <w:ind w:right="120"/>
              <w:spacing w:after="0"/>
              <w:rPr>
                <w:sz w:val="20"/>
                <w:szCs w:val="20"/>
                <w:color w:val="auto"/>
              </w:rPr>
            </w:pPr>
            <w:r>
              <w:rPr>
                <w:rFonts w:ascii="Arial" w:cs="Arial" w:eastAsia="Arial" w:hAnsi="Arial"/>
                <w:sz w:val="12"/>
                <w:szCs w:val="12"/>
                <w:color w:val="auto"/>
                <w:w w:val="99"/>
              </w:rPr>
              <w:t>65 W</w:t>
            </w:r>
          </w:p>
        </w:tc>
        <w:tc>
          <w:tcPr>
            <w:tcW w:w="1820" w:type="dxa"/>
            <w:vAlign w:val="bottom"/>
          </w:tcPr>
          <w:p>
            <w:pPr>
              <w:jc w:val="center"/>
              <w:spacing w:after="0"/>
              <w:rPr>
                <w:sz w:val="20"/>
                <w:szCs w:val="20"/>
                <w:color w:val="auto"/>
              </w:rPr>
            </w:pPr>
            <w:r>
              <w:rPr>
                <w:rFonts w:ascii="Arial" w:cs="Arial" w:eastAsia="Arial" w:hAnsi="Arial"/>
                <w:sz w:val="12"/>
                <w:szCs w:val="12"/>
                <w:color w:val="auto"/>
              </w:rPr>
              <w:t>15</w:t>
            </w:r>
          </w:p>
        </w:tc>
      </w:tr>
      <w:tr>
        <w:trPr>
          <w:trHeight w:val="185"/>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Telesat T19V</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rPr>
              <w:t>Hughes</w:t>
            </w:r>
          </w:p>
        </w:tc>
        <w:tc>
          <w:tcPr>
            <w:tcW w:w="184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rPr>
              <w:t>July 2018</w:t>
            </w:r>
          </w:p>
        </w:tc>
        <w:tc>
          <w:tcPr>
            <w:tcW w:w="1920" w:type="dxa"/>
            <w:vAlign w:val="bottom"/>
            <w:gridSpan w:val="2"/>
            <w:shd w:val="clear" w:color="auto" w:fill="CCEEFF"/>
          </w:tcPr>
          <w:p>
            <w:pPr>
              <w:jc w:val="center"/>
              <w:ind w:right="120"/>
              <w:spacing w:after="0"/>
              <w:rPr>
                <w:sz w:val="20"/>
                <w:szCs w:val="20"/>
                <w:color w:val="auto"/>
              </w:rPr>
            </w:pPr>
            <w:r>
              <w:rPr>
                <w:rFonts w:ascii="Arial" w:cs="Arial" w:eastAsia="Arial" w:hAnsi="Arial"/>
                <w:sz w:val="12"/>
                <w:szCs w:val="12"/>
                <w:color w:val="auto"/>
                <w:w w:val="99"/>
              </w:rPr>
              <w:t>63 W</w:t>
            </w:r>
          </w:p>
        </w:tc>
        <w:tc>
          <w:tcPr>
            <w:tcW w:w="182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15</w:t>
            </w:r>
          </w:p>
        </w:tc>
      </w:tr>
      <w:tr>
        <w:trPr>
          <w:trHeight w:val="171"/>
        </w:trPr>
        <w:tc>
          <w:tcPr>
            <w:tcW w:w="3900" w:type="dxa"/>
            <w:vAlign w:val="bottom"/>
            <w:gridSpan w:val="2"/>
          </w:tcPr>
          <w:p>
            <w:pPr>
              <w:ind w:left="20"/>
              <w:spacing w:after="0"/>
              <w:rPr>
                <w:sz w:val="20"/>
                <w:szCs w:val="20"/>
                <w:color w:val="auto"/>
              </w:rPr>
            </w:pPr>
            <w:r>
              <w:rPr>
                <w:rFonts w:ascii="Arial" w:cs="Arial" w:eastAsia="Arial" w:hAnsi="Arial"/>
                <w:sz w:val="12"/>
                <w:szCs w:val="12"/>
                <w:color w:val="auto"/>
              </w:rPr>
              <w:t>EchoStar 105/SES-11</w:t>
            </w:r>
          </w:p>
        </w:tc>
        <w:tc>
          <w:tcPr>
            <w:tcW w:w="1940" w:type="dxa"/>
            <w:vAlign w:val="bottom"/>
            <w:gridSpan w:val="2"/>
          </w:tcPr>
          <w:p>
            <w:pPr>
              <w:jc w:val="center"/>
              <w:ind w:right="100"/>
              <w:spacing w:after="0"/>
              <w:rPr>
                <w:sz w:val="20"/>
                <w:szCs w:val="20"/>
                <w:color w:val="auto"/>
              </w:rPr>
            </w:pPr>
            <w:r>
              <w:rPr>
                <w:rFonts w:ascii="Arial" w:cs="Arial" w:eastAsia="Arial" w:hAnsi="Arial"/>
                <w:sz w:val="12"/>
                <w:szCs w:val="12"/>
                <w:color w:val="auto"/>
                <w:w w:val="99"/>
              </w:rPr>
              <w:t>ESS</w:t>
            </w:r>
          </w:p>
        </w:tc>
        <w:tc>
          <w:tcPr>
            <w:tcW w:w="1840" w:type="dxa"/>
            <w:vAlign w:val="bottom"/>
            <w:gridSpan w:val="2"/>
          </w:tcPr>
          <w:p>
            <w:pPr>
              <w:jc w:val="center"/>
              <w:ind w:right="120"/>
              <w:spacing w:after="0"/>
              <w:rPr>
                <w:sz w:val="20"/>
                <w:szCs w:val="20"/>
                <w:color w:val="auto"/>
              </w:rPr>
            </w:pPr>
            <w:r>
              <w:rPr>
                <w:rFonts w:ascii="Arial" w:cs="Arial" w:eastAsia="Arial" w:hAnsi="Arial"/>
                <w:sz w:val="12"/>
                <w:szCs w:val="12"/>
                <w:color w:val="auto"/>
                <w:w w:val="98"/>
              </w:rPr>
              <w:t>October 2017</w:t>
            </w:r>
          </w:p>
        </w:tc>
        <w:tc>
          <w:tcPr>
            <w:tcW w:w="1920" w:type="dxa"/>
            <w:vAlign w:val="bottom"/>
            <w:gridSpan w:val="2"/>
          </w:tcPr>
          <w:p>
            <w:pPr>
              <w:jc w:val="center"/>
              <w:ind w:right="120"/>
              <w:spacing w:after="0"/>
              <w:rPr>
                <w:sz w:val="20"/>
                <w:szCs w:val="20"/>
                <w:color w:val="auto"/>
              </w:rPr>
            </w:pPr>
            <w:r>
              <w:rPr>
                <w:rFonts w:ascii="Arial" w:cs="Arial" w:eastAsia="Arial" w:hAnsi="Arial"/>
                <w:sz w:val="12"/>
                <w:szCs w:val="12"/>
                <w:color w:val="auto"/>
              </w:rPr>
              <w:t>105 W</w:t>
            </w:r>
          </w:p>
        </w:tc>
        <w:tc>
          <w:tcPr>
            <w:tcW w:w="1820" w:type="dxa"/>
            <w:vAlign w:val="bottom"/>
          </w:tcPr>
          <w:p>
            <w:pPr>
              <w:jc w:val="center"/>
              <w:spacing w:after="0"/>
              <w:rPr>
                <w:sz w:val="20"/>
                <w:szCs w:val="20"/>
                <w:color w:val="auto"/>
              </w:rPr>
            </w:pPr>
            <w:r>
              <w:rPr>
                <w:rFonts w:ascii="Arial" w:cs="Arial" w:eastAsia="Arial" w:hAnsi="Arial"/>
                <w:sz w:val="12"/>
                <w:szCs w:val="12"/>
                <w:color w:val="auto"/>
              </w:rPr>
              <w:t>15</w:t>
            </w:r>
          </w:p>
        </w:tc>
      </w:tr>
    </w:tbl>
    <w:p>
      <w:pPr>
        <w:spacing w:after="0" w:line="5" w:lineRule="exact"/>
        <w:rPr>
          <w:sz w:val="20"/>
          <w:szCs w:val="20"/>
          <w:color w:val="auto"/>
        </w:rPr>
      </w:pPr>
    </w:p>
    <w:p>
      <w:pPr>
        <w:ind w:left="208" w:hanging="208"/>
        <w:spacing w:after="0"/>
        <w:tabs>
          <w:tab w:leader="none" w:pos="208" w:val="left"/>
        </w:tabs>
        <w:numPr>
          <w:ilvl w:val="0"/>
          <w:numId w:val="5"/>
        </w:numPr>
        <w:rPr>
          <w:rFonts w:ascii="Arial" w:cs="Arial" w:eastAsia="Arial" w:hAnsi="Arial"/>
          <w:sz w:val="10"/>
          <w:szCs w:val="10"/>
          <w:color w:val="auto"/>
        </w:rPr>
      </w:pPr>
      <w:r>
        <w:rPr>
          <w:rFonts w:ascii="Arial" w:cs="Arial" w:eastAsia="Arial" w:hAnsi="Arial"/>
          <w:sz w:val="10"/>
          <w:szCs w:val="10"/>
          <w:color w:val="auto"/>
        </w:rPr>
        <w:t>Depreciable life represents the remaining useful life as of June 8, 2011, the date EchoStar completed its acquisition of Hughes Communications, Inc. and its subsidiaries (the “Hughes Acquisition”).</w:t>
      </w:r>
    </w:p>
    <w:p>
      <w:pPr>
        <w:ind w:left="208" w:hanging="208"/>
        <w:spacing w:after="0" w:line="225" w:lineRule="auto"/>
        <w:tabs>
          <w:tab w:leader="none" w:pos="208" w:val="left"/>
        </w:tabs>
        <w:numPr>
          <w:ilvl w:val="0"/>
          <w:numId w:val="5"/>
        </w:numPr>
        <w:rPr>
          <w:rFonts w:ascii="Arial" w:cs="Arial" w:eastAsia="Arial" w:hAnsi="Arial"/>
          <w:sz w:val="10"/>
          <w:szCs w:val="10"/>
          <w:color w:val="auto"/>
        </w:rPr>
      </w:pPr>
      <w:r>
        <w:rPr>
          <w:rFonts w:ascii="Arial" w:cs="Arial" w:eastAsia="Arial" w:hAnsi="Arial"/>
          <w:sz w:val="10"/>
          <w:szCs w:val="10"/>
          <w:color w:val="auto"/>
        </w:rPr>
        <w:t>See Note 18 for discussion of related party transactions with DISH Network.</w:t>
      </w:r>
    </w:p>
    <w:p>
      <w:pPr>
        <w:ind w:left="208" w:hanging="208"/>
        <w:spacing w:after="0" w:line="225" w:lineRule="auto"/>
        <w:tabs>
          <w:tab w:leader="none" w:pos="208" w:val="left"/>
        </w:tabs>
        <w:numPr>
          <w:ilvl w:val="0"/>
          <w:numId w:val="5"/>
        </w:numPr>
        <w:rPr>
          <w:rFonts w:ascii="Arial" w:cs="Arial" w:eastAsia="Arial" w:hAnsi="Arial"/>
          <w:sz w:val="10"/>
          <w:szCs w:val="10"/>
          <w:color w:val="auto"/>
        </w:rPr>
      </w:pPr>
      <w:r>
        <w:rPr>
          <w:rFonts w:ascii="Arial" w:cs="Arial" w:eastAsia="Arial" w:hAnsi="Arial"/>
          <w:sz w:val="10"/>
          <w:szCs w:val="10"/>
          <w:color w:val="auto"/>
        </w:rPr>
        <w:t>Fully depreciated assets as of December 31, 2015.</w:t>
      </w:r>
    </w:p>
    <w:p>
      <w:pPr>
        <w:ind w:left="208" w:hanging="208"/>
        <w:spacing w:after="0"/>
        <w:tabs>
          <w:tab w:leader="none" w:pos="208" w:val="left"/>
        </w:tabs>
        <w:numPr>
          <w:ilvl w:val="0"/>
          <w:numId w:val="5"/>
        </w:numPr>
        <w:rPr>
          <w:rFonts w:ascii="Arial" w:cs="Arial" w:eastAsia="Arial" w:hAnsi="Arial"/>
          <w:sz w:val="10"/>
          <w:szCs w:val="10"/>
          <w:color w:val="auto"/>
        </w:rPr>
      </w:pPr>
      <w:r>
        <w:rPr>
          <w:rFonts w:ascii="Arial" w:cs="Arial" w:eastAsia="Arial" w:hAnsi="Arial"/>
          <w:sz w:val="10"/>
          <w:szCs w:val="10"/>
          <w:color w:val="auto"/>
        </w:rPr>
        <w:t>The Company acquired the S-band payload on this satellite, which prior to the acquisition in December 2013, experienced an anomaly at the time of the launch. As a result, the S-band payload is not fully operational.</w:t>
      </w:r>
    </w:p>
    <w:p>
      <w:pPr>
        <w:spacing w:after="0" w:line="29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88"/>
          </w:cols>
          <w:pgMar w:left="212" w:top="140" w:right="199" w:bottom="1440" w:gutter="0" w:footer="0" w:header="0"/>
        </w:sectPr>
      </w:pPr>
    </w:p>
    <w:bookmarkStart w:id="28" w:name="page29"/>
    <w:bookmarkEnd w:id="2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Satellite Anomalies and Impairments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Our satellites may experience anomalies from time to time, some of which may have a significant adverse effect on their remaining useful lives, the commercial operation of the satellites or our operating results or financial position. We are not aware of any anomalies with respect to our owned or leased satellites that have had any such significant adverse effect during the nine months ended September 30, 2019. There can be no assurance, however, that anomalies will not have any such adverse effects in the future. In addition, there can be no assurance that we can recover critical transmission capacity in the event one or more of our satellites were to fail.</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historically have not carried in-orbit insurance on our satellites because we have assessed that the cost of insurance is not economical relative to the risk of failures. Therefore, we generally bear the risk of any in-orbit failures. Pursuant to the terms of the agreements governing certain portions of our indebtedness, we are required, subject to certain limitations on coverage, to maintain only for our SPACEWAY 3 and EchoStar XVII satellites insurance or other contractual arrangements during the commercial in-orbit service of such satellite. We were required pursuant to such agreements to maintain similar insurance or other contractual arrangements for the EchoStar XVI satellite, which we transferred to DISH Network pursuant to the BSS Transaction. Our other satellites, either in orbit or under construction, are not covered by launch or in-orbit insurance. We will continue to assess circumstances going forward and make insurance decisions on a case-by-case basis.</w:t>
      </w:r>
    </w:p>
    <w:p>
      <w:pPr>
        <w:spacing w:after="0" w:line="13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evaluate our satellites for impairment and test for recoverability whenever events or changes in circumstances indicate that their carrying amount may not be recoverable. Certain of the anomalies previously disclosed may be considered to represent a significant adverse change in the physical condition of a particular satellite. However, based on the redundancy designed within each satellite, certain of these anomalies are not necessarily considered to be significant events that would require a test of recoverability.</w:t>
      </w:r>
    </w:p>
    <w:p>
      <w:pPr>
        <w:spacing w:after="0" w:line="121"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NOTE 11.</w:t>
      </w:r>
      <w:r>
        <w:rPr>
          <w:sz w:val="20"/>
          <w:szCs w:val="20"/>
          <w:color w:val="auto"/>
        </w:rPr>
        <w:tab/>
      </w:r>
      <w:r>
        <w:rPr>
          <w:rFonts w:ascii="Arial" w:cs="Arial" w:eastAsia="Arial" w:hAnsi="Arial"/>
          <w:sz w:val="11"/>
          <w:szCs w:val="11"/>
          <w:b w:val="1"/>
          <w:bCs w:val="1"/>
          <w:color w:val="auto"/>
        </w:rPr>
        <w:t>GOODWILL, REGULATORY AUTHORIZATIONS AND OTHER INTANGIBLE ASSETS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Goodwill</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excess of the cost of an acquired business over the fair values of net tangible and identifiable intangible assets at the time of the acquisition is recorded as goodwill. Goodwill is assigned to the reporting units within our operating segments and is subject to impairment testing annually, or more frequently when events or changes in circumstances indicate the fair value of a reporting unit is more likely than not less than its carrying amount.</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As of September 30, 2019 and December 31, 2018, all of our goodwill related to our continuing operations was assigned to reporting units. We test this goodwill for impairment annually in the second quarter. Based on our impairment testing in the second quarter of 2019, our goodwill is considered to be not impaired.</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Regulatory Authorizations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Regulatory authorizations included amounts with both finite and indefinite useful lives. As of September 30, 2019 and December 31, 2018, regulatory authorization balances, net of accumulated amortization, from our continuing operations were $426.2 million and $430.0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Intangible Assets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As of September 30, 2019 and December 31, 2018, accumulated amortization for our other intangible assets was $328.1 million and $317.1 million, respectively.</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ectPr>
          <w:pgSz w:w="11900" w:h="16838" w:orient="portrait"/>
          <w:cols w:equalWidth="0" w:num="1">
            <w:col w:w="11480"/>
          </w:cols>
          <w:pgMar w:left="220" w:top="140" w:right="199" w:bottom="1440" w:gutter="0" w:footer="0" w:header="0"/>
        </w:sectPr>
      </w:pPr>
    </w:p>
    <w:bookmarkStart w:id="29" w:name="page30"/>
    <w:bookmarkEnd w:id="2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4" w:lineRule="exact"/>
        <w:rPr>
          <w:sz w:val="20"/>
          <w:szCs w:val="20"/>
          <w:color w:val="auto"/>
        </w:rPr>
      </w:pPr>
    </w:p>
    <w:p>
      <w:pPr>
        <w:spacing w:after="0"/>
        <w:tabs>
          <w:tab w:leader="none" w:pos="680" w:val="left"/>
        </w:tabs>
        <w:rPr>
          <w:sz w:val="20"/>
          <w:szCs w:val="20"/>
          <w:color w:val="auto"/>
        </w:rPr>
      </w:pPr>
      <w:r>
        <w:rPr>
          <w:rFonts w:ascii="Arial" w:cs="Arial" w:eastAsia="Arial" w:hAnsi="Arial"/>
          <w:sz w:val="12"/>
          <w:szCs w:val="12"/>
          <w:b w:val="1"/>
          <w:bCs w:val="1"/>
          <w:color w:val="auto"/>
        </w:rPr>
        <w:t>NOTE 12.</w:t>
      </w:r>
      <w:r>
        <w:rPr>
          <w:sz w:val="20"/>
          <w:szCs w:val="20"/>
          <w:color w:val="auto"/>
        </w:rPr>
        <w:tab/>
      </w:r>
      <w:r>
        <w:rPr>
          <w:rFonts w:ascii="Arial" w:cs="Arial" w:eastAsia="Arial" w:hAnsi="Arial"/>
          <w:sz w:val="11"/>
          <w:szCs w:val="11"/>
          <w:b w:val="1"/>
          <w:bCs w:val="1"/>
          <w:color w:val="auto"/>
        </w:rPr>
        <w:t>INVESTMENTS IN UNCONSOLIDATED ENTITIES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We have strategic investments in certain non-publicly traded equity securities that do not have a readily determinable fair value.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6900" w:type="dxa"/>
            <w:vAlign w:val="bottom"/>
          </w:tcPr>
          <w:p>
            <w:pPr>
              <w:spacing w:after="0"/>
              <w:rPr>
                <w:sz w:val="20"/>
                <w:szCs w:val="20"/>
                <w:color w:val="auto"/>
              </w:rPr>
            </w:pPr>
            <w:r>
              <w:rPr>
                <w:rFonts w:ascii="Arial" w:cs="Arial" w:eastAsia="Arial" w:hAnsi="Arial"/>
                <w:sz w:val="12"/>
                <w:szCs w:val="12"/>
                <w:color w:val="auto"/>
              </w:rPr>
              <w:t>Our investments in these unconsolidated entities consisted of the following (amounts in thousands):</w:t>
            </w:r>
          </w:p>
        </w:tc>
        <w:tc>
          <w:tcPr>
            <w:tcW w:w="1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266"/>
        </w:trPr>
        <w:tc>
          <w:tcPr>
            <w:tcW w:w="6900" w:type="dxa"/>
            <w:vAlign w:val="bottom"/>
          </w:tcPr>
          <w:p>
            <w:pPr>
              <w:spacing w:after="0"/>
              <w:rPr>
                <w:sz w:val="23"/>
                <w:szCs w:val="23"/>
                <w:color w:val="auto"/>
              </w:rPr>
            </w:pPr>
          </w:p>
        </w:tc>
        <w:tc>
          <w:tcPr>
            <w:tcW w:w="17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2"/>
                <w:szCs w:val="12"/>
                <w:b w:val="1"/>
                <w:bCs w:val="1"/>
                <w:color w:val="auto"/>
              </w:rPr>
              <w:t>As of</w:t>
            </w:r>
          </w:p>
        </w:tc>
        <w:tc>
          <w:tcPr>
            <w:tcW w:w="1860" w:type="dxa"/>
            <w:vAlign w:val="bottom"/>
            <w:tcBorders>
              <w:bottom w:val="single" w:sz="8" w:color="auto"/>
            </w:tcBorders>
          </w:tcPr>
          <w:p>
            <w:pPr>
              <w:spacing w:after="0"/>
              <w:rPr>
                <w:sz w:val="23"/>
                <w:szCs w:val="23"/>
                <w:color w:val="auto"/>
              </w:rPr>
            </w:pPr>
          </w:p>
        </w:tc>
      </w:tr>
      <w:tr>
        <w:trPr>
          <w:trHeight w:val="169"/>
        </w:trPr>
        <w:tc>
          <w:tcPr>
            <w:tcW w:w="6900" w:type="dxa"/>
            <w:vAlign w:val="bottom"/>
          </w:tcPr>
          <w:p>
            <w:pPr>
              <w:spacing w:after="0"/>
              <w:rPr>
                <w:sz w:val="14"/>
                <w:szCs w:val="1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September 30, 2019</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December 31, 2018</w:t>
            </w:r>
          </w:p>
        </w:tc>
      </w:tr>
      <w:tr>
        <w:trPr>
          <w:trHeight w:val="210"/>
        </w:trPr>
        <w:tc>
          <w:tcPr>
            <w:tcW w:w="69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180"/>
        </w:trPr>
        <w:tc>
          <w:tcPr>
            <w:tcW w:w="69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Investments in unconsolidated entities:</w:t>
            </w:r>
          </w:p>
        </w:tc>
        <w:tc>
          <w:tcPr>
            <w:tcW w:w="17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r>
      <w:tr>
        <w:trPr>
          <w:trHeight w:val="176"/>
        </w:trPr>
        <w:tc>
          <w:tcPr>
            <w:tcW w:w="6900" w:type="dxa"/>
            <w:vAlign w:val="bottom"/>
          </w:tcPr>
          <w:p>
            <w:pPr>
              <w:ind w:left="180"/>
              <w:spacing w:after="0"/>
              <w:rPr>
                <w:sz w:val="20"/>
                <w:szCs w:val="20"/>
                <w:color w:val="auto"/>
              </w:rPr>
            </w:pPr>
            <w:r>
              <w:rPr>
                <w:rFonts w:ascii="Arial" w:cs="Arial" w:eastAsia="Arial" w:hAnsi="Arial"/>
                <w:sz w:val="12"/>
                <w:szCs w:val="12"/>
                <w:color w:val="auto"/>
              </w:rPr>
              <w:t>Equity method</w:t>
            </w:r>
          </w:p>
        </w:tc>
        <w:tc>
          <w:tcPr>
            <w:tcW w:w="1720" w:type="dxa"/>
            <w:vAlign w:val="bottom"/>
          </w:tcPr>
          <w:p>
            <w:pPr>
              <w:jc w:val="right"/>
              <w:ind w:right="1580"/>
              <w:spacing w:after="0"/>
              <w:rPr>
                <w:sz w:val="20"/>
                <w:szCs w:val="20"/>
                <w:color w:val="auto"/>
              </w:rPr>
            </w:pPr>
            <w:r>
              <w:rPr>
                <w:rFonts w:ascii="Arial" w:cs="Arial" w:eastAsia="Arial" w:hAnsi="Arial"/>
                <w:sz w:val="12"/>
                <w:szCs w:val="12"/>
                <w:color w:val="auto"/>
                <w:w w:val="89"/>
              </w:rPr>
              <w:t>$</w:t>
            </w: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166,623</w:t>
            </w:r>
          </w:p>
        </w:tc>
        <w:tc>
          <w:tcPr>
            <w:tcW w:w="120" w:type="dxa"/>
            <w:vAlign w:val="bottom"/>
          </w:tcPr>
          <w:p>
            <w:pPr>
              <w:spacing w:after="0"/>
              <w:rPr>
                <w:sz w:val="15"/>
                <w:szCs w:val="15"/>
                <w:color w:val="auto"/>
              </w:rPr>
            </w:pPr>
          </w:p>
        </w:tc>
        <w:tc>
          <w:tcPr>
            <w:tcW w:w="300" w:type="dxa"/>
            <w:vAlign w:val="bottom"/>
          </w:tcPr>
          <w:p>
            <w:pPr>
              <w:jc w:val="right"/>
              <w:ind w:right="160"/>
              <w:spacing w:after="0"/>
              <w:rPr>
                <w:sz w:val="20"/>
                <w:szCs w:val="20"/>
                <w:color w:val="auto"/>
              </w:rPr>
            </w:pPr>
            <w:r>
              <w:rPr>
                <w:rFonts w:ascii="Arial" w:cs="Arial" w:eastAsia="Arial" w:hAnsi="Arial"/>
                <w:sz w:val="12"/>
                <w:szCs w:val="12"/>
                <w:color w:val="auto"/>
                <w:w w:val="89"/>
              </w:rPr>
              <w:t>$</w:t>
            </w:r>
          </w:p>
        </w:tc>
        <w:tc>
          <w:tcPr>
            <w:tcW w:w="1860" w:type="dxa"/>
            <w:vAlign w:val="bottom"/>
          </w:tcPr>
          <w:p>
            <w:pPr>
              <w:jc w:val="right"/>
              <w:ind w:right="60"/>
              <w:spacing w:after="0"/>
              <w:rPr>
                <w:sz w:val="20"/>
                <w:szCs w:val="20"/>
                <w:color w:val="auto"/>
              </w:rPr>
            </w:pPr>
            <w:r>
              <w:rPr>
                <w:rFonts w:ascii="Arial" w:cs="Arial" w:eastAsia="Arial" w:hAnsi="Arial"/>
                <w:sz w:val="12"/>
                <w:szCs w:val="12"/>
                <w:color w:val="auto"/>
              </w:rPr>
              <w:t>182,035</w:t>
            </w:r>
          </w:p>
        </w:tc>
      </w:tr>
      <w:tr>
        <w:trPr>
          <w:trHeight w:val="180"/>
        </w:trPr>
        <w:tc>
          <w:tcPr>
            <w:tcW w:w="69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Other equity investments without a readily determinable fair value</w:t>
            </w:r>
          </w:p>
        </w:tc>
        <w:tc>
          <w:tcPr>
            <w:tcW w:w="17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59,285</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8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80,438</w:t>
            </w:r>
          </w:p>
        </w:tc>
      </w:tr>
      <w:tr>
        <w:trPr>
          <w:trHeight w:val="172"/>
        </w:trPr>
        <w:tc>
          <w:tcPr>
            <w:tcW w:w="6900" w:type="dxa"/>
            <w:vAlign w:val="bottom"/>
          </w:tcPr>
          <w:p>
            <w:pPr>
              <w:ind w:left="320"/>
              <w:spacing w:after="0"/>
              <w:rPr>
                <w:sz w:val="20"/>
                <w:szCs w:val="20"/>
                <w:color w:val="auto"/>
              </w:rPr>
            </w:pPr>
            <w:r>
              <w:rPr>
                <w:rFonts w:ascii="Arial" w:cs="Arial" w:eastAsia="Arial" w:hAnsi="Arial"/>
                <w:sz w:val="12"/>
                <w:szCs w:val="12"/>
                <w:color w:val="auto"/>
              </w:rPr>
              <w:t>Total investments in unconsolidated entities</w:t>
            </w:r>
          </w:p>
        </w:tc>
        <w:tc>
          <w:tcPr>
            <w:tcW w:w="1720" w:type="dxa"/>
            <w:vAlign w:val="bottom"/>
            <w:tcBorders>
              <w:bottom w:val="single" w:sz="8" w:color="auto"/>
            </w:tcBorders>
          </w:tcPr>
          <w:p>
            <w:pPr>
              <w:jc w:val="right"/>
              <w:ind w:right="1580"/>
              <w:spacing w:after="0"/>
              <w:rPr>
                <w:sz w:val="20"/>
                <w:szCs w:val="20"/>
                <w:color w:val="auto"/>
              </w:rPr>
            </w:pPr>
            <w:r>
              <w:rPr>
                <w:rFonts w:ascii="Arial" w:cs="Arial" w:eastAsia="Arial" w:hAnsi="Arial"/>
                <w:sz w:val="12"/>
                <w:szCs w:val="12"/>
                <w:color w:val="auto"/>
                <w:w w:val="89"/>
              </w:rPr>
              <w:t>$</w:t>
            </w:r>
          </w:p>
        </w:tc>
        <w:tc>
          <w:tcPr>
            <w:tcW w:w="5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225,908</w:t>
            </w:r>
          </w:p>
        </w:tc>
        <w:tc>
          <w:tcPr>
            <w:tcW w:w="120" w:type="dxa"/>
            <w:vAlign w:val="bottom"/>
          </w:tcPr>
          <w:p>
            <w:pPr>
              <w:spacing w:after="0"/>
              <w:rPr>
                <w:sz w:val="14"/>
                <w:szCs w:val="14"/>
                <w:color w:val="auto"/>
              </w:rPr>
            </w:pP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8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262,473</w:t>
            </w:r>
          </w:p>
        </w:tc>
      </w:tr>
    </w:tbl>
    <w:p>
      <w:pPr>
        <w:spacing w:after="0" w:line="28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measure our equity securities without a readily determinable fair value, other than those accounted for using the equity method, at cost adjusted for changes resulting from impairments, if any, and observable price changes in orderly transactions for the identical or similar securities of the same issuer. During the nine months ended September 30, 2019, we recorded a $28.7 million reduction to the carrying amount of one of our investments based on circumstances that indicated the fair value of the investment was less than its carrying amount. There were no similar reductions during the nine months ended September 30, 2018. For the nine months ended September 30, 2019 and 2018, we did not identify any observable price changes requiring an adjustment to our investments.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See Note 18 for additional information about Dish Mexico, Deluxe/EchoStar LLC (“Deluxe”) and Broadband Connectivity Solutions (Restricted) Limited (together with its subsidiaries, “BCS”).</w:t>
      </w:r>
    </w:p>
    <w:p>
      <w:pPr>
        <w:spacing w:after="0" w:line="136"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NOTE 13.</w:t>
      </w:r>
      <w:r>
        <w:rPr>
          <w:sz w:val="20"/>
          <w:szCs w:val="20"/>
          <w:color w:val="auto"/>
        </w:rPr>
        <w:tab/>
      </w:r>
      <w:r>
        <w:rPr>
          <w:rFonts w:ascii="Arial" w:cs="Arial" w:eastAsia="Arial" w:hAnsi="Arial"/>
          <w:sz w:val="11"/>
          <w:szCs w:val="11"/>
          <w:b w:val="1"/>
          <w:bCs w:val="1"/>
          <w:color w:val="auto"/>
        </w:rPr>
        <w:t>LONG-TERM DEBT AND FINANCE LEASE OBLIGATIONS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carrying amounts and fair values of our long-term debt and finance lease obligations from our continuing operations (amounts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2"/>
                <w:szCs w:val="12"/>
                <w:b w:val="1"/>
                <w:bCs w:val="1"/>
                <w:color w:val="auto"/>
                <w:w w:val="93"/>
              </w:rPr>
              <w:t>As of</w:t>
            </w: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65"/>
        </w:trPr>
        <w:tc>
          <w:tcPr>
            <w:tcW w:w="2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580"/>
              <w:spacing w:after="0"/>
              <w:rPr>
                <w:sz w:val="20"/>
                <w:szCs w:val="20"/>
                <w:color w:val="auto"/>
              </w:rPr>
            </w:pPr>
            <w:r>
              <w:rPr>
                <w:rFonts w:ascii="Arial" w:cs="Arial" w:eastAsia="Arial" w:hAnsi="Arial"/>
                <w:sz w:val="12"/>
                <w:szCs w:val="12"/>
                <w:b w:val="1"/>
                <w:bCs w:val="1"/>
                <w:color w:val="auto"/>
              </w:rPr>
              <w:t>September 30, 2019</w:t>
            </w: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2"/>
                <w:szCs w:val="12"/>
                <w:b w:val="1"/>
                <w:bCs w:val="1"/>
                <w:color w:val="auto"/>
              </w:rPr>
              <w:t>December 31, 2018</w:t>
            </w:r>
          </w:p>
        </w:tc>
      </w:tr>
      <w:tr>
        <w:trPr>
          <w:trHeight w:val="137"/>
        </w:trPr>
        <w:tc>
          <w:tcPr>
            <w:tcW w:w="26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380" w:type="dxa"/>
            <w:vAlign w:val="bottom"/>
            <w:gridSpan w:val="2"/>
          </w:tcPr>
          <w:p>
            <w:pPr>
              <w:jc w:val="center"/>
              <w:ind w:right="120"/>
              <w:spacing w:after="0" w:line="137" w:lineRule="exact"/>
              <w:rPr>
                <w:sz w:val="20"/>
                <w:szCs w:val="20"/>
                <w:color w:val="auto"/>
              </w:rPr>
            </w:pPr>
            <w:r>
              <w:rPr>
                <w:rFonts w:ascii="Arial" w:cs="Arial" w:eastAsia="Arial" w:hAnsi="Arial"/>
                <w:sz w:val="12"/>
                <w:szCs w:val="12"/>
                <w:b w:val="1"/>
                <w:bCs w:val="1"/>
                <w:color w:val="auto"/>
              </w:rPr>
              <w:t>Effective Interest</w:t>
            </w:r>
          </w:p>
        </w:tc>
        <w:tc>
          <w:tcPr>
            <w:tcW w:w="240" w:type="dxa"/>
            <w:vAlign w:val="bottom"/>
          </w:tcPr>
          <w:p>
            <w:pPr>
              <w:spacing w:after="0"/>
              <w:rPr>
                <w:sz w:val="11"/>
                <w:szCs w:val="11"/>
                <w:color w:val="auto"/>
              </w:rPr>
            </w:pPr>
          </w:p>
        </w:tc>
        <w:tc>
          <w:tcPr>
            <w:tcW w:w="1020" w:type="dxa"/>
            <w:vAlign w:val="bottom"/>
          </w:tcPr>
          <w:p>
            <w:pPr>
              <w:jc w:val="right"/>
              <w:ind w:right="320"/>
              <w:spacing w:after="0" w:line="137" w:lineRule="exact"/>
              <w:rPr>
                <w:sz w:val="20"/>
                <w:szCs w:val="20"/>
                <w:color w:val="auto"/>
              </w:rPr>
            </w:pPr>
            <w:r>
              <w:rPr>
                <w:rFonts w:ascii="Arial" w:cs="Arial" w:eastAsia="Arial" w:hAnsi="Arial"/>
                <w:sz w:val="12"/>
                <w:szCs w:val="12"/>
                <w:b w:val="1"/>
                <w:bCs w:val="1"/>
                <w:color w:val="auto"/>
              </w:rPr>
              <w:t>Carrying</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jc w:val="right"/>
              <w:ind w:right="340"/>
              <w:spacing w:after="0" w:line="137" w:lineRule="exact"/>
              <w:rPr>
                <w:sz w:val="20"/>
                <w:szCs w:val="20"/>
                <w:color w:val="auto"/>
              </w:rPr>
            </w:pPr>
            <w:r>
              <w:rPr>
                <w:rFonts w:ascii="Arial" w:cs="Arial" w:eastAsia="Arial" w:hAnsi="Arial"/>
                <w:sz w:val="12"/>
                <w:szCs w:val="12"/>
                <w:b w:val="1"/>
                <w:bCs w:val="1"/>
                <w:color w:val="auto"/>
              </w:rPr>
              <w:t>Fair</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right"/>
              <w:ind w:right="320"/>
              <w:spacing w:after="0" w:line="137" w:lineRule="exact"/>
              <w:rPr>
                <w:sz w:val="20"/>
                <w:szCs w:val="20"/>
                <w:color w:val="auto"/>
              </w:rPr>
            </w:pPr>
            <w:r>
              <w:rPr>
                <w:rFonts w:ascii="Arial" w:cs="Arial" w:eastAsia="Arial" w:hAnsi="Arial"/>
                <w:sz w:val="12"/>
                <w:szCs w:val="12"/>
                <w:b w:val="1"/>
                <w:bCs w:val="1"/>
                <w:color w:val="auto"/>
              </w:rPr>
              <w:t>Carrying</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jc w:val="right"/>
              <w:ind w:right="460"/>
              <w:spacing w:after="0" w:line="137" w:lineRule="exact"/>
              <w:rPr>
                <w:sz w:val="20"/>
                <w:szCs w:val="20"/>
                <w:color w:val="auto"/>
              </w:rPr>
            </w:pPr>
            <w:r>
              <w:rPr>
                <w:rFonts w:ascii="Arial" w:cs="Arial" w:eastAsia="Arial" w:hAnsi="Arial"/>
                <w:sz w:val="12"/>
                <w:szCs w:val="12"/>
                <w:b w:val="1"/>
                <w:bCs w:val="1"/>
                <w:color w:val="auto"/>
              </w:rPr>
              <w:t>Fair</w:t>
            </w:r>
          </w:p>
        </w:tc>
      </w:tr>
      <w:tr>
        <w:trPr>
          <w:trHeight w:val="163"/>
        </w:trPr>
        <w:tc>
          <w:tcPr>
            <w:tcW w:w="26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Rate</w:t>
            </w:r>
          </w:p>
        </w:tc>
        <w:tc>
          <w:tcPr>
            <w:tcW w:w="240" w:type="dxa"/>
            <w:vAlign w:val="bottom"/>
          </w:tcPr>
          <w:p>
            <w:pPr>
              <w:spacing w:after="0"/>
              <w:rPr>
                <w:sz w:val="14"/>
                <w:szCs w:val="14"/>
                <w:color w:val="auto"/>
              </w:rPr>
            </w:pPr>
          </w:p>
        </w:tc>
        <w:tc>
          <w:tcPr>
            <w:tcW w:w="1020" w:type="dxa"/>
            <w:vAlign w:val="bottom"/>
          </w:tcPr>
          <w:p>
            <w:pPr>
              <w:jc w:val="right"/>
              <w:ind w:right="3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300"/>
              <w:spacing w:after="0"/>
              <w:rPr>
                <w:sz w:val="20"/>
                <w:szCs w:val="20"/>
                <w:color w:val="auto"/>
              </w:rPr>
            </w:pPr>
            <w:r>
              <w:rPr>
                <w:rFonts w:ascii="Arial" w:cs="Arial" w:eastAsia="Arial" w:hAnsi="Arial"/>
                <w:sz w:val="12"/>
                <w:szCs w:val="12"/>
                <w:b w:val="1"/>
                <w:bCs w:val="1"/>
                <w:color w:val="auto"/>
              </w:rPr>
              <w:t>Value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3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400"/>
              <w:spacing w:after="0"/>
              <w:rPr>
                <w:sz w:val="20"/>
                <w:szCs w:val="20"/>
                <w:color w:val="auto"/>
              </w:rPr>
            </w:pPr>
            <w:r>
              <w:rPr>
                <w:rFonts w:ascii="Arial" w:cs="Arial" w:eastAsia="Arial" w:hAnsi="Arial"/>
                <w:sz w:val="12"/>
                <w:szCs w:val="12"/>
                <w:b w:val="1"/>
                <w:bCs w:val="1"/>
                <w:color w:val="auto"/>
              </w:rPr>
              <w:t>Value</w:t>
            </w:r>
          </w:p>
        </w:tc>
      </w:tr>
      <w:tr>
        <w:trPr>
          <w:trHeight w:val="210"/>
        </w:trPr>
        <w:tc>
          <w:tcPr>
            <w:tcW w:w="2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180"/>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Senior Secured Notes:</w:t>
            </w: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76"/>
        </w:trPr>
        <w:tc>
          <w:tcPr>
            <w:tcW w:w="260" w:type="dxa"/>
            <w:vAlign w:val="bottom"/>
          </w:tcPr>
          <w:p>
            <w:pPr>
              <w:ind w:left="180"/>
              <w:spacing w:after="0"/>
              <w:rPr>
                <w:sz w:val="20"/>
                <w:szCs w:val="20"/>
                <w:color w:val="auto"/>
              </w:rPr>
            </w:pPr>
            <w:r>
              <w:rPr>
                <w:rFonts w:ascii="Arial" w:cs="Arial" w:eastAsia="Arial" w:hAnsi="Arial"/>
                <w:sz w:val="12"/>
                <w:szCs w:val="12"/>
                <w:color w:val="auto"/>
                <w:w w:val="89"/>
              </w:rPr>
              <w:t>6</w:t>
            </w:r>
          </w:p>
        </w:tc>
        <w:tc>
          <w:tcPr>
            <w:tcW w:w="4460" w:type="dxa"/>
            <w:vAlign w:val="bottom"/>
          </w:tcPr>
          <w:p>
            <w:pPr>
              <w:ind w:left="20"/>
              <w:spacing w:after="0"/>
              <w:rPr>
                <w:sz w:val="20"/>
                <w:szCs w:val="20"/>
                <w:color w:val="auto"/>
              </w:rPr>
            </w:pPr>
            <w:r>
              <w:rPr>
                <w:rFonts w:ascii="Arial" w:cs="Arial" w:eastAsia="Arial" w:hAnsi="Arial"/>
                <w:sz w:val="12"/>
                <w:szCs w:val="12"/>
                <w:color w:val="auto"/>
              </w:rPr>
              <w:t>1/2% Senior Secured Notes due 2019</w:t>
            </w:r>
          </w:p>
        </w:tc>
        <w:tc>
          <w:tcPr>
            <w:tcW w:w="1260" w:type="dxa"/>
            <w:vAlign w:val="bottom"/>
          </w:tcPr>
          <w:p>
            <w:pPr>
              <w:jc w:val="center"/>
              <w:spacing w:after="0"/>
              <w:rPr>
                <w:sz w:val="20"/>
                <w:szCs w:val="20"/>
                <w:color w:val="auto"/>
              </w:rPr>
            </w:pPr>
            <w:r>
              <w:rPr>
                <w:rFonts w:ascii="Arial" w:cs="Arial" w:eastAsia="Arial" w:hAnsi="Arial"/>
                <w:sz w:val="12"/>
                <w:szCs w:val="12"/>
                <w:color w:val="auto"/>
              </w:rPr>
              <w:t>6.959%</w:t>
            </w:r>
          </w:p>
        </w:tc>
        <w:tc>
          <w:tcPr>
            <w:tcW w:w="120" w:type="dxa"/>
            <w:vAlign w:val="bottom"/>
          </w:tcPr>
          <w:p>
            <w:pPr>
              <w:spacing w:after="0"/>
              <w:rPr>
                <w:sz w:val="15"/>
                <w:szCs w:val="15"/>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w:t>
            </w:r>
          </w:p>
        </w:tc>
        <w:tc>
          <w:tcPr>
            <w:tcW w:w="46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920,836</w:t>
            </w:r>
          </w:p>
        </w:tc>
        <w:tc>
          <w:tcPr>
            <w:tcW w:w="3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932,696</w:t>
            </w:r>
          </w:p>
        </w:tc>
      </w:tr>
      <w:tr>
        <w:trPr>
          <w:trHeight w:val="185"/>
        </w:trPr>
        <w:tc>
          <w:tcPr>
            <w:tcW w:w="260" w:type="dxa"/>
            <w:vAlign w:val="bottom"/>
            <w:shd w:val="clear" w:color="auto" w:fill="CCEEFF"/>
          </w:tcPr>
          <w:p>
            <w:pPr>
              <w:ind w:left="180"/>
              <w:spacing w:after="0"/>
              <w:rPr>
                <w:sz w:val="20"/>
                <w:szCs w:val="20"/>
                <w:color w:val="auto"/>
              </w:rPr>
            </w:pPr>
            <w:r>
              <w:rPr>
                <w:rFonts w:ascii="Arial" w:cs="Arial" w:eastAsia="Arial" w:hAnsi="Arial"/>
                <w:sz w:val="12"/>
                <w:szCs w:val="12"/>
                <w:color w:val="auto"/>
                <w:w w:val="89"/>
              </w:rPr>
              <w:t>5</w:t>
            </w:r>
          </w:p>
        </w:tc>
        <w:tc>
          <w:tcPr>
            <w:tcW w:w="4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1/4% Senior Secured Notes due 2026</w:t>
            </w:r>
          </w:p>
        </w:tc>
        <w:tc>
          <w:tcPr>
            <w:tcW w:w="12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5.320%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750,000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806,295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750,000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695,865</w:t>
            </w:r>
          </w:p>
        </w:tc>
      </w:tr>
      <w:tr>
        <w:trPr>
          <w:trHeight w:val="171"/>
        </w:trPr>
        <w:tc>
          <w:tcPr>
            <w:tcW w:w="4720" w:type="dxa"/>
            <w:vAlign w:val="bottom"/>
            <w:gridSpan w:val="2"/>
          </w:tcPr>
          <w:p>
            <w:pPr>
              <w:ind w:left="20"/>
              <w:spacing w:after="0"/>
              <w:rPr>
                <w:sz w:val="20"/>
                <w:szCs w:val="20"/>
                <w:color w:val="auto"/>
              </w:rPr>
            </w:pPr>
            <w:r>
              <w:rPr>
                <w:rFonts w:ascii="Arial" w:cs="Arial" w:eastAsia="Arial" w:hAnsi="Arial"/>
                <w:sz w:val="12"/>
                <w:szCs w:val="12"/>
                <w:b w:val="1"/>
                <w:bCs w:val="1"/>
                <w:color w:val="auto"/>
              </w:rPr>
              <w:t>Senior Unsecured Notes:</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260" w:type="dxa"/>
            <w:vAlign w:val="bottom"/>
            <w:shd w:val="clear" w:color="auto" w:fill="CCEEFF"/>
          </w:tcPr>
          <w:p>
            <w:pPr>
              <w:ind w:left="180"/>
              <w:spacing w:after="0"/>
              <w:rPr>
                <w:sz w:val="20"/>
                <w:szCs w:val="20"/>
                <w:color w:val="auto"/>
              </w:rPr>
            </w:pPr>
            <w:r>
              <w:rPr>
                <w:rFonts w:ascii="Arial" w:cs="Arial" w:eastAsia="Arial" w:hAnsi="Arial"/>
                <w:sz w:val="12"/>
                <w:szCs w:val="12"/>
                <w:color w:val="auto"/>
                <w:w w:val="89"/>
              </w:rPr>
              <w:t>7</w:t>
            </w:r>
          </w:p>
        </w:tc>
        <w:tc>
          <w:tcPr>
            <w:tcW w:w="4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5/8% Senior Unsecured Notes due 2021</w:t>
            </w:r>
          </w:p>
        </w:tc>
        <w:tc>
          <w:tcPr>
            <w:tcW w:w="1260" w:type="dxa"/>
            <w:vAlign w:val="bottom"/>
            <w:shd w:val="clear" w:color="auto" w:fill="CCEEFF"/>
          </w:tcPr>
          <w:p>
            <w:pPr>
              <w:jc w:val="center"/>
              <w:spacing w:after="0"/>
              <w:rPr>
                <w:sz w:val="20"/>
                <w:szCs w:val="20"/>
                <w:color w:val="auto"/>
              </w:rPr>
            </w:pPr>
            <w:r>
              <w:rPr>
                <w:rFonts w:ascii="Arial" w:cs="Arial" w:eastAsia="Arial" w:hAnsi="Arial"/>
                <w:sz w:val="12"/>
                <w:szCs w:val="12"/>
                <w:color w:val="auto"/>
              </w:rPr>
              <w:t>8.062%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900,000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973,908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900,000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934,902</w:t>
            </w:r>
          </w:p>
        </w:tc>
      </w:tr>
      <w:tr>
        <w:trPr>
          <w:trHeight w:val="176"/>
        </w:trPr>
        <w:tc>
          <w:tcPr>
            <w:tcW w:w="260" w:type="dxa"/>
            <w:vAlign w:val="bottom"/>
          </w:tcPr>
          <w:p>
            <w:pPr>
              <w:ind w:left="180"/>
              <w:spacing w:after="0"/>
              <w:rPr>
                <w:sz w:val="20"/>
                <w:szCs w:val="20"/>
                <w:color w:val="auto"/>
              </w:rPr>
            </w:pPr>
            <w:r>
              <w:rPr>
                <w:rFonts w:ascii="Arial" w:cs="Arial" w:eastAsia="Arial" w:hAnsi="Arial"/>
                <w:sz w:val="12"/>
                <w:szCs w:val="12"/>
                <w:color w:val="auto"/>
                <w:w w:val="89"/>
              </w:rPr>
              <w:t>6</w:t>
            </w:r>
          </w:p>
        </w:tc>
        <w:tc>
          <w:tcPr>
            <w:tcW w:w="4460" w:type="dxa"/>
            <w:vAlign w:val="bottom"/>
          </w:tcPr>
          <w:p>
            <w:pPr>
              <w:ind w:left="20"/>
              <w:spacing w:after="0"/>
              <w:rPr>
                <w:sz w:val="20"/>
                <w:szCs w:val="20"/>
                <w:color w:val="auto"/>
              </w:rPr>
            </w:pPr>
            <w:r>
              <w:rPr>
                <w:rFonts w:ascii="Arial" w:cs="Arial" w:eastAsia="Arial" w:hAnsi="Arial"/>
                <w:sz w:val="12"/>
                <w:szCs w:val="12"/>
                <w:color w:val="auto"/>
              </w:rPr>
              <w:t>5/8% Senior Unsecured Notes due 2026</w:t>
            </w:r>
          </w:p>
        </w:tc>
        <w:tc>
          <w:tcPr>
            <w:tcW w:w="1260" w:type="dxa"/>
            <w:vAlign w:val="bottom"/>
          </w:tcPr>
          <w:p>
            <w:pPr>
              <w:jc w:val="center"/>
              <w:spacing w:after="0"/>
              <w:rPr>
                <w:sz w:val="20"/>
                <w:szCs w:val="20"/>
                <w:color w:val="auto"/>
              </w:rPr>
            </w:pPr>
            <w:r>
              <w:rPr>
                <w:rFonts w:ascii="Arial" w:cs="Arial" w:eastAsia="Arial" w:hAnsi="Arial"/>
                <w:sz w:val="12"/>
                <w:szCs w:val="12"/>
                <w:color w:val="auto"/>
              </w:rPr>
              <w:t>6.688%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750,000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815,273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750,000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696,353</w:t>
            </w:r>
          </w:p>
        </w:tc>
      </w:tr>
      <w:tr>
        <w:trPr>
          <w:trHeight w:val="185"/>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Less: Unamortized debt issuance costs</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(11,862)</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(16,757)</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67"/>
        </w:trPr>
        <w:tc>
          <w:tcPr>
            <w:tcW w:w="4720" w:type="dxa"/>
            <w:vAlign w:val="bottom"/>
            <w:gridSpan w:val="2"/>
          </w:tcPr>
          <w:p>
            <w:pPr>
              <w:ind w:left="180"/>
              <w:spacing w:after="0"/>
              <w:rPr>
                <w:sz w:val="20"/>
                <w:szCs w:val="20"/>
                <w:color w:val="auto"/>
              </w:rPr>
            </w:pPr>
            <w:r>
              <w:rPr>
                <w:rFonts w:ascii="Arial" w:cs="Arial" w:eastAsia="Arial" w:hAnsi="Arial"/>
                <w:sz w:val="12"/>
                <w:szCs w:val="12"/>
                <w:color w:val="auto"/>
              </w:rPr>
              <w:t>Subtotal</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2,388,138</w:t>
            </w:r>
          </w:p>
        </w:tc>
        <w:tc>
          <w:tcPr>
            <w:tcW w:w="40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2,595,476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3,304,079</w:t>
            </w:r>
          </w:p>
        </w:tc>
        <w:tc>
          <w:tcPr>
            <w:tcW w:w="3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3,259,816</w:t>
            </w:r>
          </w:p>
        </w:tc>
      </w:tr>
      <w:tr>
        <w:trPr>
          <w:trHeight w:val="162"/>
        </w:trPr>
        <w:tc>
          <w:tcPr>
            <w:tcW w:w="472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2"/>
                <w:szCs w:val="12"/>
                <w:color w:val="auto"/>
              </w:rPr>
              <w:t>Finance lease obligations</w:t>
            </w:r>
          </w:p>
        </w:tc>
        <w:tc>
          <w:tcPr>
            <w:tcW w:w="1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auto"/>
            </w:tcBorders>
            <w:shd w:val="clear" w:color="auto" w:fill="CCEEFF"/>
          </w:tcPr>
          <w:p>
            <w:pPr>
              <w:spacing w:after="0"/>
              <w:rPr>
                <w:sz w:val="14"/>
                <w:szCs w:val="14"/>
                <w:color w:val="auto"/>
              </w:rPr>
            </w:pPr>
          </w:p>
        </w:tc>
        <w:tc>
          <w:tcPr>
            <w:tcW w:w="1020" w:type="dxa"/>
            <w:vAlign w:val="bottom"/>
            <w:tcBorders>
              <w:top w:val="single" w:sz="8" w:color="CCEEFF"/>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1,200</w:t>
            </w: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auto"/>
            </w:tcBorders>
            <w:shd w:val="clear" w:color="auto" w:fill="CCEEFF"/>
          </w:tcPr>
          <w:p>
            <w:pPr>
              <w:spacing w:after="0"/>
              <w:rPr>
                <w:sz w:val="14"/>
                <w:szCs w:val="14"/>
                <w:color w:val="auto"/>
              </w:rPr>
            </w:pPr>
          </w:p>
        </w:tc>
        <w:tc>
          <w:tcPr>
            <w:tcW w:w="1020" w:type="dxa"/>
            <w:vAlign w:val="bottom"/>
            <w:tcBorders>
              <w:top w:val="single" w:sz="8" w:color="CCEEFF"/>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1,705</w:t>
            </w: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r>
      <w:tr>
        <w:trPr>
          <w:trHeight w:val="156"/>
        </w:trPr>
        <w:tc>
          <w:tcPr>
            <w:tcW w:w="260" w:type="dxa"/>
            <w:vAlign w:val="bottom"/>
          </w:tcPr>
          <w:p>
            <w:pPr>
              <w:spacing w:after="0"/>
              <w:rPr>
                <w:sz w:val="13"/>
                <w:szCs w:val="13"/>
                <w:color w:val="auto"/>
              </w:rPr>
            </w:pPr>
          </w:p>
        </w:tc>
        <w:tc>
          <w:tcPr>
            <w:tcW w:w="4460" w:type="dxa"/>
            <w:vAlign w:val="bottom"/>
          </w:tcPr>
          <w:p>
            <w:pPr>
              <w:ind w:left="60"/>
              <w:spacing w:after="0"/>
              <w:rPr>
                <w:sz w:val="20"/>
                <w:szCs w:val="20"/>
                <w:color w:val="auto"/>
              </w:rPr>
            </w:pPr>
            <w:r>
              <w:rPr>
                <w:rFonts w:ascii="Arial" w:cs="Arial" w:eastAsia="Arial" w:hAnsi="Arial"/>
                <w:sz w:val="12"/>
                <w:szCs w:val="12"/>
                <w:color w:val="auto"/>
              </w:rPr>
              <w:t>Total debt and finance lease obligations</w:t>
            </w: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2,389,338</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3,305,784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85"/>
        </w:trPr>
        <w:tc>
          <w:tcPr>
            <w:tcW w:w="260" w:type="dxa"/>
            <w:vAlign w:val="bottom"/>
            <w:shd w:val="clear" w:color="auto" w:fill="CCEEFF"/>
          </w:tcPr>
          <w:p>
            <w:pPr>
              <w:spacing w:after="0"/>
              <w:rPr>
                <w:sz w:val="16"/>
                <w:szCs w:val="16"/>
                <w:color w:val="auto"/>
              </w:rPr>
            </w:pPr>
          </w:p>
        </w:tc>
        <w:tc>
          <w:tcPr>
            <w:tcW w:w="4460" w:type="dxa"/>
            <w:vAlign w:val="bottom"/>
            <w:shd w:val="clear" w:color="auto" w:fill="CCEEFF"/>
          </w:tcPr>
          <w:p>
            <w:pPr>
              <w:ind w:left="60"/>
              <w:spacing w:after="0"/>
              <w:rPr>
                <w:sz w:val="20"/>
                <w:szCs w:val="20"/>
                <w:color w:val="auto"/>
              </w:rPr>
            </w:pPr>
            <w:r>
              <w:rPr>
                <w:rFonts w:ascii="Arial" w:cs="Arial" w:eastAsia="Arial" w:hAnsi="Arial"/>
                <w:sz w:val="12"/>
                <w:szCs w:val="12"/>
                <w:color w:val="auto"/>
              </w:rPr>
              <w:t>Less: Current portion</w:t>
            </w: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(919,582)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67"/>
        </w:trPr>
        <w:tc>
          <w:tcPr>
            <w:tcW w:w="260" w:type="dxa"/>
            <w:vAlign w:val="bottom"/>
          </w:tcPr>
          <w:p>
            <w:pPr>
              <w:spacing w:after="0"/>
              <w:rPr>
                <w:sz w:val="14"/>
                <w:szCs w:val="14"/>
                <w:color w:val="auto"/>
              </w:rPr>
            </w:pPr>
          </w:p>
        </w:tc>
        <w:tc>
          <w:tcPr>
            <w:tcW w:w="4460" w:type="dxa"/>
            <w:vAlign w:val="bottom"/>
          </w:tcPr>
          <w:p>
            <w:pPr>
              <w:ind w:left="200"/>
              <w:spacing w:after="0"/>
              <w:rPr>
                <w:sz w:val="20"/>
                <w:szCs w:val="20"/>
                <w:color w:val="auto"/>
              </w:rPr>
            </w:pPr>
            <w:r>
              <w:rPr>
                <w:rFonts w:ascii="Arial" w:cs="Arial" w:eastAsia="Arial" w:hAnsi="Arial"/>
                <w:sz w:val="12"/>
                <w:szCs w:val="12"/>
                <w:color w:val="auto"/>
              </w:rPr>
              <w:t>Long-term debt and finance lease obligations, net</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2,388,931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40"/>
              <w:spacing w:after="0"/>
              <w:rPr>
                <w:sz w:val="20"/>
                <w:szCs w:val="20"/>
                <w:color w:val="auto"/>
              </w:rPr>
            </w:pPr>
            <w:r>
              <w:rPr>
                <w:rFonts w:ascii="Arial" w:cs="Arial" w:eastAsia="Arial" w:hAnsi="Arial"/>
                <w:sz w:val="12"/>
                <w:szCs w:val="12"/>
                <w:color w:val="auto"/>
              </w:rPr>
              <w:t>2,386,202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94"/>
        </w:trPr>
        <w:tc>
          <w:tcPr>
            <w:tcW w:w="2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260" w:type="dxa"/>
            <w:vAlign w:val="bottom"/>
          </w:tcPr>
          <w:p>
            <w:pPr>
              <w:jc w:val="right"/>
              <w:ind w:right="120"/>
              <w:spacing w:after="0"/>
              <w:rPr>
                <w:sz w:val="20"/>
                <w:szCs w:val="20"/>
                <w:color w:val="auto"/>
              </w:rPr>
            </w:pPr>
            <w:r>
              <w:rPr>
                <w:rFonts w:ascii="Arial" w:cs="Arial" w:eastAsia="Arial" w:hAnsi="Arial"/>
                <w:sz w:val="12"/>
                <w:szCs w:val="12"/>
                <w:color w:val="auto"/>
              </w:rPr>
              <w:t>27</w:t>
            </w: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80"/>
          </w:cols>
          <w:pgMar w:left="220" w:top="140" w:right="199" w:bottom="1440" w:gutter="0" w:footer="0" w:header="0"/>
        </w:sectPr>
      </w:pPr>
    </w:p>
    <w:bookmarkStart w:id="30" w:name="page31"/>
    <w:bookmarkEnd w:id="3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During the three and nine months ended September 30, 2019, we repurchased nil and $11.5 million, respectively, of our 6 1/2% Senior Secured Notes due 2019 in open market trades. The outstanding balance of the 6 1/2% Senior Secured Notes due 2019 matured in June 2019.</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NOTE 14.</w:t>
      </w:r>
      <w:r>
        <w:rPr>
          <w:sz w:val="20"/>
          <w:szCs w:val="20"/>
          <w:color w:val="auto"/>
        </w:rPr>
        <w:tab/>
      </w:r>
      <w:r>
        <w:rPr>
          <w:rFonts w:ascii="Arial" w:cs="Arial" w:eastAsia="Arial" w:hAnsi="Arial"/>
          <w:sz w:val="11"/>
          <w:szCs w:val="11"/>
          <w:b w:val="1"/>
          <w:bCs w:val="1"/>
          <w:color w:val="auto"/>
        </w:rPr>
        <w:t>INCOME TAXES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Provision For Income Taxes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Our income tax provision for interim periods is determined using an estimate of our annual effective tax rate, adjusted for discrete items, if any, that are taken into account in the relevant period. Each quarter we update our estimate of the annual effective tax rate, and if our estimated tax rate changes, we make a cumulative adjustment.</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Our interim income tax provision and our interim estimate of our annual effective tax rate are influenced by several factors, including foreign losses and capital gains and losses for which related deferred tax assets are offset by a valuation allowance, changes in tax laws and relative changes in unrecognized tax benefits. Additionally, our effective tax rate can be affected by the amount of pre-tax income or loss. For example, the impact of discrete items and non-deductible expenses on our effective tax rate is greater when our pre-tax income or loss is lower.</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Our income tax provision from our continuing operations was $5.0 million for the three months ended September 30, 2019 compared to $8.0 million for the three months ended September 30, 2018. Our estimated effective income tax rate was (27.6)% and 167.0% for the three months ended September 30, 2019 and 2018, respectively. The variations in our effective tax rate from the U.S. federal statutory rate for the three months ended September 30, 2019 were primarily due to the increase in our valuation allowance associated with certain foreign losses and by the impact of state and local taxes partially offset by the change in net unrealized gains that are capital in nature and research and experimentation credits. The variations in our effective tax rate from the U.S. federal statutory rate for the three months ended September 30, 2018 were primarily due to the change in our valuation allowance associated with unrealized gains that are capital in nature.</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Our income tax provision from our continuing operations was $12.6 million for the nine months ended September 30, 2019 compared to $8.3 million for the nine months ended September 30, 2018. Our estimated effective income tax rate was (28.0)% and 186.1% for the nine months ended September 30, 2019 and 2018, respectively. The variations in our effective tax rate from the U.S. federal statutory rate for the nine months ended September 30, 2019 were primarily due to the increase in our valuation allowance associated with certain foreign losses and by the impact of state and local taxes partially offset by the change in net unrealized gains that are capital in nature and research and experimentation credits. For the year ended December 31, 2018, we recorded a tax provision of nil related to the tax on deemed mandatory repatriation of our unrepatriated foreign earnings. As a result of the release of new treasury regulations in June 2019, we have recorded additional tax expense of $1.5 million on deemed mandatory repatriation of certain deferred foreign earnings. The variations in our effective tax rate from the U.S. federal statutory rate for the nine months ended September 30, 2018 were primarily due to research and experimentation credits and the change in our valuation allowance associated with unrealized gains that are capital in nature, partially offset by the impact of state and local taxes and the increase in our valuation allowance associated with certain foreign losses.</w:t>
      </w:r>
    </w:p>
    <w:p>
      <w:pPr>
        <w:spacing w:after="0" w:line="124"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NOTE 15.</w:t>
      </w:r>
      <w:r>
        <w:rPr>
          <w:sz w:val="20"/>
          <w:szCs w:val="20"/>
          <w:color w:val="auto"/>
        </w:rPr>
        <w:tab/>
      </w:r>
      <w:r>
        <w:rPr>
          <w:rFonts w:ascii="Arial" w:cs="Arial" w:eastAsia="Arial" w:hAnsi="Arial"/>
          <w:sz w:val="11"/>
          <w:szCs w:val="11"/>
          <w:b w:val="1"/>
          <w:bCs w:val="1"/>
          <w:color w:val="auto"/>
        </w:rPr>
        <w:t>STOCK-BASED COMPENSATION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Incentive Plans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maintain stock incentive plans to attract and retain officers, directors, employees, consultants and advisors. Stock awards under these plans may include both performance-based and non-performance based stock incentives. We granted stock options and other incentive awards to our employees and nonemployee directors to acquire 35,240 and 27,590 shares of our Class A common stock during the three months ended September 30, 2019 and 2018, respectively, and 190,320 and 211,326 shares of our Class A common stock during the nine months ended September 30, 2019 and 2018, respectively. In connection with the BSS Transaction, we adjusted options that were unexercised and outstanding as of the date of the Distribution, which resulted in an increase in the number of such options.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ectPr>
          <w:pgSz w:w="11900" w:h="16838" w:orient="portrait"/>
          <w:cols w:equalWidth="0" w:num="1">
            <w:col w:w="11480"/>
          </w:cols>
          <w:pgMar w:left="220" w:top="140" w:right="199" w:bottom="1440" w:gutter="0" w:footer="0" w:header="0"/>
        </w:sectPr>
      </w:pPr>
    </w:p>
    <w:bookmarkStart w:id="31" w:name="page32"/>
    <w:bookmarkEnd w:id="3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Stock-Based Compensation</w:t>
      </w:r>
    </w:p>
    <w:p>
      <w:pPr>
        <w:spacing w:after="0" w:line="164"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Total noncash, stock-based compensation expense for all of our employees from our continuing operations is shown in the following table for the three and nine months ended September 30, 2019 and 2018, respectively, and was assigned to the same expense categories as the base compensation for such employees (amounts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80" w:type="dxa"/>
            <w:vAlign w:val="bottom"/>
          </w:tcPr>
          <w:p>
            <w:pPr>
              <w:spacing w:after="0"/>
              <w:rPr>
                <w:sz w:val="12"/>
                <w:szCs w:val="12"/>
                <w:color w:val="auto"/>
              </w:rPr>
            </w:pPr>
          </w:p>
        </w:tc>
        <w:tc>
          <w:tcPr>
            <w:tcW w:w="2200" w:type="dxa"/>
            <w:vAlign w:val="bottom"/>
            <w:gridSpan w:val="4"/>
          </w:tcPr>
          <w:p>
            <w:pPr>
              <w:jc w:val="right"/>
              <w:ind w:right="200"/>
              <w:spacing w:after="0"/>
              <w:rPr>
                <w:sz w:val="20"/>
                <w:szCs w:val="20"/>
                <w:color w:val="auto"/>
              </w:rPr>
            </w:pPr>
            <w:r>
              <w:rPr>
                <w:rFonts w:ascii="Arial" w:cs="Arial" w:eastAsia="Arial" w:hAnsi="Arial"/>
                <w:sz w:val="12"/>
                <w:szCs w:val="12"/>
                <w:b w:val="1"/>
                <w:bCs w:val="1"/>
                <w:color w:val="auto"/>
              </w:rPr>
              <w:t>For the three months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20" w:type="dxa"/>
            <w:vAlign w:val="bottom"/>
            <w:gridSpan w:val="4"/>
          </w:tcPr>
          <w:p>
            <w:pPr>
              <w:jc w:val="right"/>
              <w:ind w:right="680"/>
              <w:spacing w:after="0"/>
              <w:rPr>
                <w:sz w:val="20"/>
                <w:szCs w:val="20"/>
                <w:color w:val="auto"/>
              </w:rPr>
            </w:pPr>
            <w:r>
              <w:rPr>
                <w:rFonts w:ascii="Arial" w:cs="Arial" w:eastAsia="Arial" w:hAnsi="Arial"/>
                <w:sz w:val="12"/>
                <w:szCs w:val="12"/>
                <w:b w:val="1"/>
                <w:bCs w:val="1"/>
                <w:color w:val="auto"/>
              </w:rPr>
              <w:t>For the nine months</w:t>
            </w:r>
          </w:p>
        </w:tc>
      </w:tr>
      <w:tr>
        <w:trPr>
          <w:trHeight w:val="163"/>
        </w:trPr>
        <w:tc>
          <w:tcPr>
            <w:tcW w:w="6080" w:type="dxa"/>
            <w:vAlign w:val="bottom"/>
          </w:tcPr>
          <w:p>
            <w:pPr>
              <w:spacing w:after="0"/>
              <w:rPr>
                <w:sz w:val="14"/>
                <w:szCs w:val="14"/>
                <w:color w:val="auto"/>
              </w:rPr>
            </w:pPr>
          </w:p>
        </w:tc>
        <w:tc>
          <w:tcPr>
            <w:tcW w:w="22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2"/>
                <w:szCs w:val="12"/>
                <w:b w:val="1"/>
                <w:bCs w:val="1"/>
                <w:color w:val="auto"/>
              </w:rPr>
              <w:t>ended September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2"/>
                <w:szCs w:val="12"/>
                <w:b w:val="1"/>
                <w:bCs w:val="1"/>
                <w:color w:val="auto"/>
              </w:rPr>
              <w:t>ended September 30,</w:t>
            </w:r>
          </w:p>
        </w:tc>
      </w:tr>
      <w:tr>
        <w:trPr>
          <w:trHeight w:val="169"/>
        </w:trPr>
        <w:tc>
          <w:tcPr>
            <w:tcW w:w="608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2018</w:t>
            </w:r>
          </w:p>
        </w:tc>
      </w:tr>
      <w:tr>
        <w:trPr>
          <w:trHeight w:val="210"/>
        </w:trPr>
        <w:tc>
          <w:tcPr>
            <w:tcW w:w="6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80"/>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Research and development expenses</w:t>
            </w: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110</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352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503</w:t>
            </w:r>
          </w:p>
        </w:tc>
      </w:tr>
      <w:tr>
        <w:trPr>
          <w:trHeight w:val="176"/>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Selling, general and administrative expenses</w:t>
            </w:r>
          </w:p>
        </w:tc>
        <w:tc>
          <w:tcPr>
            <w:tcW w:w="8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2,185</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2,477</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6,731</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7,204</w:t>
            </w:r>
          </w:p>
        </w:tc>
      </w:tr>
      <w:tr>
        <w:trPr>
          <w:trHeight w:val="172"/>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stock-based compensation</w:t>
            </w:r>
          </w:p>
        </w:tc>
        <w:tc>
          <w:tcPr>
            <w:tcW w:w="82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2,295</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660"/>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2,639</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7,083</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7,707</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2"/>
          <w:szCs w:val="12"/>
          <w:color w:val="auto"/>
        </w:rPr>
        <w:t>As of September 30, 2019, total unrecognized stock-based compensation cost, net of estimated forfeitures, related to our unvested stock awards was $10.1 million.</w:t>
      </w:r>
    </w:p>
    <w:p>
      <w:pPr>
        <w:spacing w:after="0" w:line="136"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NOTE 16.</w:t>
        <w:tab/>
        <w:t>COMMITMENTS AND CONTINGENCIES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Commitments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As of September 30, 2019 and December 31, 2018, our satellite-related obligations from our continuing operations were $439.1 million and $529.9 million, respectively. Our satellite-related obligations primarily include payments pursuant to agreements for the construction of the EchoStar XXIV satellite; payments pursuant to regulatory authorizations; non-lease costs associated with our finance lease satellites; and in-orbit incentives relating to certain satellites; as well as commitments for satellite service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Contingencies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Patents and Intellectual Property</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Many entities, including some of our competitors, have or may have in the future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tripled.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parties do not own the rights they claim, that these rights are not valid or that our products and services do not infringe on these rights. Further, we cannot be certain that we would be able to obtain licenses from these parties on commercially reasonable terms or, if we were unable to obtain such licenses, that we would be able to redesign our products and services to avoid infringement.</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ectPr>
          <w:pgSz w:w="11900" w:h="16838" w:orient="portrait"/>
          <w:cols w:equalWidth="0" w:num="1">
            <w:col w:w="11480"/>
          </w:cols>
          <w:pgMar w:left="220" w:top="140" w:right="199" w:bottom="1440" w:gutter="0" w:footer="0" w:header="0"/>
        </w:sectPr>
      </w:pPr>
    </w:p>
    <w:bookmarkStart w:id="32" w:name="page33"/>
    <w:bookmarkEnd w:id="3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Separation Agreement, Share Exchange and BSS Transaction</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In connection with our spin-off from DISH in 2008 (the “Spin-off”), we entered into a separation agreement with DISH Network that provides, among other things, for the division of certain liabilities, including liabilities resulting from litigation. Under the terms of the separation agreement, we assumed certain liabilities that relate to our business, including certain designated liabilities for acts or omissions that occurred prior to the Spin-off. Certain specific provisions govern intellectual property related claims under which, we will generally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 Additionally, in connection with the Share Exchange and BSS Transaction, we entered into the Share Exchange Agreement and the Master Transaction Agreement, respectively,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us and DISH Network for, in the case of the Share Exchange, certain pre-existing liabilities and legal proceedings and, in the case of the BSS Transaction, certain losses with respect to breaches of certain representations and covenants and certain liabilities.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Litigation</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are involved in a number of legal proceedings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legal proceedings are charged to expense as incurred.</w:t>
      </w:r>
    </w:p>
    <w:p>
      <w:pPr>
        <w:spacing w:after="0" w:line="137"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For certain cases, management is unable to predict with any degree of certainty the outcome or provide a meaningful estimate of the possible loss or range of possible loss because, among other reasons, (i) the proceedings are in various stages; (ii) damages have not been sought or specified; (iii) damages are unsupported, indeterminate and/or exaggerated in management’s opinion; (iv) there is uncertainty as to the outcome of pending trials, appeals or motions; (v) there are significant factual issues to be resolved; and/or (vi) there are novel legal issues or unsettled legal theories to be presented or a large number of parties are involved (as with many patent-related cases). Except as described below,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intend to vigorously defend the proceedings against us. In the event that a court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Elbit</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On January 23, 2015, Elbit Systems Land and C4I LTD and Elbit Systems of America Ltd. (together referred to as “Elbit”) filed a complaint against our subsidiary Hughes Network Systems, L.L.C. (“HNS”), as well as against Black Elk Energy Offshore Operations, LLC, Bluetide Communications, Inc. and Helm Hotels Group, in the U.S. District Court for the Eastern District of Texas, alleging infringement of U.S. Patent Nos. 6,240,073 (the “073 patent”) and 7,245,874 (“874 patent”). The 073 patent is entitled “Reverse Link for a Satellite Communication Network” and the 874 patent is entitled “Infrastructure for Telephony Network.” Elbit alleges that the 073 patent is infringed by broadband satellite systems that practice the Internet Protocol Over Satellite standard. Elbit alleges that the 874 patent is infringed by the manufacture and sale of broadband satellite systems that provide cellular backhaul service via connections to E1 or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ectPr>
          <w:pgSz w:w="11900" w:h="16838" w:orient="portrait"/>
          <w:cols w:equalWidth="0" w:num="1">
            <w:col w:w="11480"/>
          </w:cols>
          <w:pgMar w:left="220" w:top="140" w:right="199" w:bottom="1440" w:gutter="0" w:footer="0" w:header="0"/>
        </w:sectPr>
      </w:pPr>
    </w:p>
    <w:bookmarkStart w:id="33" w:name="page34"/>
    <w:bookmarkEnd w:id="3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68" w:lineRule="exact"/>
        <w:rPr>
          <w:sz w:val="20"/>
          <w:szCs w:val="20"/>
          <w:color w:val="auto"/>
        </w:rPr>
      </w:pPr>
    </w:p>
    <w:p>
      <w:pPr>
        <w:jc w:val="both"/>
        <w:spacing w:after="0" w:line="251" w:lineRule="auto"/>
        <w:rPr>
          <w:sz w:val="20"/>
          <w:szCs w:val="20"/>
          <w:color w:val="auto"/>
        </w:rPr>
      </w:pPr>
      <w:r>
        <w:rPr>
          <w:rFonts w:ascii="Arial" w:cs="Arial" w:eastAsia="Arial" w:hAnsi="Arial"/>
          <w:sz w:val="12"/>
          <w:szCs w:val="12"/>
          <w:color w:val="auto"/>
        </w:rPr>
        <w:t>T1 interfaces at cellular backhaul base stations. On April 2, 2015, Elbit filed an amended complaint removing Helm Hotels Group as a defendant, but making similar allegations against a new defendant, Country Home Investments, Inc. On November 3 and 4, 2015 and January 22, 2016, the defendants filed petitions before the United States Patent and Trademark Office (“USPTO”) challenging the validity of the patents in suit, which the USPTO subsequently declined to institute. On April 13, 2016, the defendants answered Elbit’s complaint. At Elbit’s request, on June 26, 2017, the court dismissed Elbit’s claims of infringement against all parties other than HNS. Trial commenced on July 31, 2017. On August 7, 2017, the jury returned a verdict that the 073 patent was valid and infringed, and awarded Elbit $21.1 million. The jury also found that such infringement of the 073 patent was not willful and that the 874 patent was not infringed. On March 30, 2018, the court ruled on post-trial motions, upholding the jury’s findings and awarding Elbit attorneys’ fees in an amount that has not yet been specified. Elbit initially requested an award of approximately $13.9 million of attorneys’ fees. On April 27, 2018, HNS filed a notice of appeal to the U.S. Court of Appeals for the Federal Circuit. Oral argument was held on May 8, 2019. On June 25, 2019, the Federal Circuit issued an Opinion and Order affirming the court’s judgment and holding that it did not yet have jurisdiction to review the court’s decision to award attorney’s fees. On August 8, 2019, HNS filed a combined petition for panel rehearing or rehearing en banc with the Federal Circuit, which was denied on September 10, 2019. In an order dated September 18, 2019, the District Court questioned the attorneys’ fees calculations proposed by both parties and asked for further briefing, which the parties submitted on October 25, 2019. As a result of the Federal Circuit’s rulings, as of September 30, 2019, we have recorded an accrual of $33.7 million, reflecting the $21.1 million jury verdict and $12.6 million of pre- and post-judgment interest, costs, attorney’s fees, pre-verdict supplemental damages and post-verdict damages through the 073 patent’s expiration. As of December 31, 2018, we recorded an accrual of $3.2 million with respect to this liability. Any eventual payments made with respect to the ultimate outcome of this matter may be different from our accruals and such differences could be significant.</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Realtime Data LLC</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2"/>
          <w:szCs w:val="12"/>
          <w:color w:val="auto"/>
        </w:rPr>
        <w:t>On May 8, 2015, Realtime Data LLC (“Realtime”) filed suit against EchoStar Corporation and our subsidiary HNS in the U.S. District Court for the Eastern District of Texas alleging infringement of U.S. Patent Nos. 7,378,992 (the “992 patent”), entitled “Content Independent Data Compression Method and System;” 7,415,530 (the “530 patent”), entitled “System and Methods for Accelerated Data Storage and Retrieval,” and 8,643,513 (the “513 patent”), entitled “Data Compression System and Methods.” On September 14, 2015, Realtime amended its complaint, additionally alleging infringement of U.S. Patent No. 9,116,908 (the “908 patent”), entitled “System and Methods for Accelerated Data Storage and Retrieval.” On February 14, 2017, Realtime filed a second suit against EchoStar Corporation and our subsidiary HNS in the same District Court, alleging infringement of four additional U.S. Patents, Nos. 7,358,867 (the “867 patent”), entitled “Content Independent Data Compression Method and System;” 8,502,707 (the “707 patent”), entitled “Data Compression Systems and Methods;” 8,717,204 (the “204 patent”), entitled “Methods for Encoding and Decoding Data;” and 9,054,728 (the “728 patent”), entitled “Data Compression System and Methods.” On February 13, 2018, we filed petitions before the USPTO challenging the validity of all claims asserted against us from the 707 patent, as well as one of the asserted claims of the 728 patent. On September 5, 2018, the USPTO declined to institute proceedings for the petition that we had filed against the 728 patent. On September 12, 2018, the USPTO instituted proceedings to review the validity of the asserted claims of the 707 patent. In a stipulation filed on October 24, 2018, Realtime voluntarily elected not to pursue any previously asserted claims from the 992, 530, 513, 908, 867 and 204 patents. Realtime is an entity that seeks to license an acquired patent portfolio without itself practicing any of the claims recited therein. In February 2019, we entered into a settlement agreement with Realtime and the case was dismissed with prejudice.</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Shareholder Litigation</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On July 2, 2019, the City of Hallandale Beach Police Officers’ and Firefighters’ Personnel Retirement Trust, purporting to sue on behalf of a class of EchoStar Corporation’s stockholders, filed a complaint in the District Court of Clark County, Nevada against our directors, Charles W. Ergen, R. Stanton Dodge, Anthony M. Federico, Pradman P. Kaul, C. Michael Schroeder, Jeffrey R. Tarr, William D. Wade, and Michael T. Dugan; our officer, David J. Rayner; EchoStar Corporation; HSS; our former subsidiary BSS Corp.; and DISH and its subsidiary Merger Sub. On September 5, 2019, the defendants filed motions to dismiss. On October 11, 2019, the plaintiffs filed an amended complaint removing Messrs. Dodge, Federico, Kaul, Schroeder, Tarr and Wade as defendants. The amended complaint alleges that Mr. Ergen, as our controlling stockholder, breached fiduciary duties to EchoStar Corporation’s minority stockholders by structuring the BSS Transaction with inadequate consideration and improperly influencing our board of directors to approve the BSS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ectPr>
          <w:pgSz w:w="11900" w:h="16838" w:orient="portrait"/>
          <w:cols w:equalWidth="0" w:num="1">
            <w:col w:w="11480"/>
          </w:cols>
          <w:pgMar w:left="220" w:top="140" w:right="199" w:bottom="1440" w:gutter="0" w:footer="0" w:header="0"/>
        </w:sectPr>
      </w:pPr>
    </w:p>
    <w:bookmarkStart w:id="34" w:name="page35"/>
    <w:bookmarkEnd w:id="3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Transaction. The amended complaint also alleges that the other defendants aided and abetted such alleged breaches. The plaintiffs seek equitable and monetary relief, including the issuance of additional DISH Common Stock, and other costs and disbursements, including attorneys’ fees on behalf of the purported class. We intend to vigorously defend this case. We cannot predict its outcome with any degree of certainty.</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License Fee Dispute with Government of India, Department of Telecommunications</w:t>
      </w:r>
    </w:p>
    <w:p>
      <w:pPr>
        <w:spacing w:after="0" w:line="162" w:lineRule="exact"/>
        <w:rPr>
          <w:sz w:val="20"/>
          <w:szCs w:val="20"/>
          <w:color w:val="auto"/>
        </w:rPr>
      </w:pPr>
    </w:p>
    <w:p>
      <w:pPr>
        <w:jc w:val="both"/>
        <w:spacing w:after="0" w:line="251" w:lineRule="auto"/>
        <w:rPr>
          <w:sz w:val="20"/>
          <w:szCs w:val="20"/>
          <w:color w:val="auto"/>
        </w:rPr>
      </w:pPr>
      <w:r>
        <w:rPr>
          <w:rFonts w:ascii="Arial" w:cs="Arial" w:eastAsia="Arial" w:hAnsi="Arial"/>
          <w:sz w:val="12"/>
          <w:szCs w:val="12"/>
          <w:color w:val="auto"/>
        </w:rPr>
        <w:t>In 1994, the Government of India promulgated a “National Telecommunications Policy” under which the government liberalized the 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1999, HCIPL’s license was amended pursuant to a new government policy that eliminated the fixed license fees and instead required each telecommunications service provider to pay license fees based on its adjusted gross revenue (“AGR”). In March 2005, the Indian Department of Telecommunications (“DOT”) notified HCIPL that, based on its review of HCIPL’s audited accounts and AGR statements, HCIPL must pay additional license fees, interest on such fees and penalties and interest on the penalties. HCIPL responded that the DOT had improperly calculated its AGR by including revenue from licensed and unlicensed activities. The DOT rejected this explanation and in 2006, HCIPL filed a petition with an administrative tribunal (the “Tribunal”), challenging the DOT’s calculation of its AGR. The DOT also issued license fee assessments to other telecommunications service providers and a number of similar petitions were filed by several other such providers with the Tribunal. These petitions were amended, consolidated, remanded and re-appealed several times over the following twelve years. On April 23, 2015, the Tribunal issued a judgment affirming the DOT’s calculation of AGR for the telecommunications service providers but reversing the DOT’s imposition of interest, penalties and interest on such penalties as excessive. Over subsequent years, the DOT and HCIPL and other telecommunications service providers, respectively, filed several appeals of the Tribunal’s ruling. As of March 31, 2018, the DOT had assessed HCIPL $4.2 million for additional license fees and $17.8 million for interest, penalties and interest on penalties. On October 24, 2019, the Supreme Court of India issued an order affirming the license fee assessments imposed by the DOT, including its imposition of interest, penalties and interest on the penalties. We expect the DOT will issue an updated assessment that could possibly have additional interest, penalties and interest on penalties in light of the Supreme Court’s recent decision. As of September 30, 2019 and December 31, 2018, we have recorded an accrual of $22.0 million and $1.3 million, respectively. The eventual payments made with respect to the ultimate outcome of this matter may be different from our accruals and such differences could be significant.</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In addition to the above actions, we are subject to various other legal proceedings and claims, which arise in the ordinary course of business. As part of our ongoing operations, we are subject to various inspections, audits, inquiries, investigations and similar actions by third parties, as well as by governmental/regulatory authorities responsible for enforcing the laws and regulations to which we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we from time to time receive inquiries from federal, state and foreign agencies regarding compliance with various laws and regulations.</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also indemnify our directors, officers and employees for certain liabilities that might arise from the performance of their responsibilities for us. Additionally, in the normal course of its business, we enter into contracts pursuant to which we may make a variety of representations and warranties and indemnify the counterparty for certain losses. Our possible exposure under these arrangements cannot be reasonably estimated as this involves the resolution of claims made, or future claims that may be made, against us or our officers, directors or employees, the outcomes of which are unknown and not currently predictable or estimable.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ectPr>
          <w:pgSz w:w="11900" w:h="16838" w:orient="portrait"/>
          <w:cols w:equalWidth="0" w:num="1">
            <w:col w:w="11480"/>
          </w:cols>
          <w:pgMar w:left="220" w:top="140" w:right="199" w:bottom="1440" w:gutter="0" w:footer="0" w:header="0"/>
        </w:sectPr>
      </w:pPr>
    </w:p>
    <w:bookmarkStart w:id="35" w:name="page36"/>
    <w:bookmarkEnd w:id="3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NOTE 17.</w:t>
      </w:r>
      <w:r>
        <w:rPr>
          <w:sz w:val="20"/>
          <w:szCs w:val="20"/>
          <w:color w:val="auto"/>
        </w:rPr>
        <w:tab/>
      </w:r>
      <w:r>
        <w:rPr>
          <w:rFonts w:ascii="Arial" w:cs="Arial" w:eastAsia="Arial" w:hAnsi="Arial"/>
          <w:sz w:val="11"/>
          <w:szCs w:val="11"/>
          <w:b w:val="1"/>
          <w:bCs w:val="1"/>
          <w:color w:val="auto"/>
        </w:rPr>
        <w:t>SEGMENT REPORTING</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Operating segments are business components of an enterprise for which separate financial information is available and regularly evaluated by our chief operating decision maker (“CODM”), who is our Chief Executive Officer. We primarily operate in two business segments, Hughes and ESS, as described in Note 1. Following the consummation of the BSS Transaction, we no longer operate the BSS Business, which was a substantial portion of our ESS business segment.</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primary measure of segment profitability that is reported regularly to our CODM is earnings before interest, taxes, depreciation and amortization and net income (loss) attributable to noncontrolling interests, or EBITDA. Our operations also include various corporate departments (primarily Executive, Treasury, Strategic Development, Human Resources, IT, Finance, Real Estate, Accounting and Legal) and other activities that have not been assigned to our operating segments such as costs incurred in certain satellite development programs and other business development activities, and gains or losses from certain of our investments. These activities, costs and income, as well as eliminations of intersegment transactions, are accounted for in Corporate and Other in the tables below or in the reconciliation of EBITDA below.</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Total assets by segment have not been reported herein because the information is not provided to our CODM on a regular basis.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ectPr>
          <w:pgSz w:w="11900" w:h="16838" w:orient="portrait"/>
          <w:cols w:equalWidth="0" w:num="1">
            <w:col w:w="11480"/>
          </w:cols>
          <w:pgMar w:left="220" w:top="140" w:right="199" w:bottom="1440" w:gutter="0" w:footer="0" w:header="0"/>
        </w:sectPr>
      </w:pPr>
    </w:p>
    <w:bookmarkStart w:id="36" w:name="page37"/>
    <w:bookmarkEnd w:id="3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following table presents revenue, EBITDA and capital expenditures for each of our operating segments from our continuing operations (amounts in thousands). Capital expenditures are net of refunds and other receipts related to property and equipment and exclude capital expenditures from discontinued operations of $0.3 million and de minimis three months ended September 30, 2019 and 2018, respectively, and $0.5 million and $0.1 million for the nine months ended September 30, 2019 and 2018, respectively.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ind w:right="360"/>
              <w:spacing w:after="0"/>
              <w:rPr>
                <w:sz w:val="20"/>
                <w:szCs w:val="20"/>
                <w:color w:val="auto"/>
              </w:rPr>
            </w:pPr>
            <w:r>
              <w:rPr>
                <w:rFonts w:ascii="Arial" w:cs="Arial" w:eastAsia="Arial" w:hAnsi="Arial"/>
                <w:sz w:val="12"/>
                <w:szCs w:val="12"/>
                <w:b w:val="1"/>
                <w:bCs w:val="1"/>
                <w:color w:val="auto"/>
              </w:rPr>
              <w:t>Consolidated</w:t>
            </w:r>
          </w:p>
        </w:tc>
      </w:tr>
      <w:tr>
        <w:trPr>
          <w:trHeight w:val="163"/>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280"/>
              <w:spacing w:after="0"/>
              <w:rPr>
                <w:sz w:val="20"/>
                <w:szCs w:val="20"/>
                <w:color w:val="auto"/>
              </w:rPr>
            </w:pPr>
            <w:r>
              <w:rPr>
                <w:rFonts w:ascii="Arial" w:cs="Arial" w:eastAsia="Arial" w:hAnsi="Arial"/>
                <w:sz w:val="12"/>
                <w:szCs w:val="12"/>
                <w:b w:val="1"/>
                <w:bCs w:val="1"/>
                <w:color w:val="auto"/>
              </w:rPr>
              <w:t>Hughes</w:t>
            </w:r>
          </w:p>
        </w:tc>
        <w:tc>
          <w:tcPr>
            <w:tcW w:w="320" w:type="dxa"/>
            <w:vAlign w:val="bottom"/>
          </w:tcPr>
          <w:p>
            <w:pPr>
              <w:spacing w:after="0"/>
              <w:rPr>
                <w:sz w:val="14"/>
                <w:szCs w:val="14"/>
                <w:color w:val="auto"/>
              </w:rPr>
            </w:pPr>
          </w:p>
        </w:tc>
        <w:tc>
          <w:tcPr>
            <w:tcW w:w="1180" w:type="dxa"/>
            <w:vAlign w:val="bottom"/>
            <w:gridSpan w:val="2"/>
          </w:tcPr>
          <w:p>
            <w:pPr>
              <w:ind w:left="260"/>
              <w:spacing w:after="0"/>
              <w:rPr>
                <w:sz w:val="20"/>
                <w:szCs w:val="20"/>
                <w:color w:val="auto"/>
              </w:rPr>
            </w:pPr>
            <w:r>
              <w:rPr>
                <w:rFonts w:ascii="Arial" w:cs="Arial" w:eastAsia="Arial" w:hAnsi="Arial"/>
                <w:sz w:val="12"/>
                <w:szCs w:val="12"/>
                <w:b w:val="1"/>
                <w:bCs w:val="1"/>
                <w:color w:val="auto"/>
              </w:rPr>
              <w:t>ESS</w:t>
            </w:r>
          </w:p>
        </w:tc>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2"/>
                <w:szCs w:val="12"/>
                <w:b w:val="1"/>
                <w:bCs w:val="1"/>
                <w:color w:val="auto"/>
              </w:rPr>
              <w:t>Corporate and Other</w:t>
            </w:r>
          </w:p>
        </w:tc>
        <w:tc>
          <w:tcPr>
            <w:tcW w:w="260" w:type="dxa"/>
            <w:vAlign w:val="bottom"/>
          </w:tcPr>
          <w:p>
            <w:pPr>
              <w:spacing w:after="0"/>
              <w:rPr>
                <w:sz w:val="14"/>
                <w:szCs w:val="14"/>
                <w:color w:val="auto"/>
              </w:rPr>
            </w:pPr>
          </w:p>
        </w:tc>
        <w:tc>
          <w:tcPr>
            <w:tcW w:w="1340" w:type="dxa"/>
            <w:vAlign w:val="bottom"/>
          </w:tcPr>
          <w:p>
            <w:pPr>
              <w:jc w:val="right"/>
              <w:ind w:right="600"/>
              <w:spacing w:after="0"/>
              <w:rPr>
                <w:sz w:val="20"/>
                <w:szCs w:val="20"/>
                <w:color w:val="auto"/>
              </w:rPr>
            </w:pPr>
            <w:r>
              <w:rPr>
                <w:rFonts w:ascii="Arial" w:cs="Arial" w:eastAsia="Arial" w:hAnsi="Arial"/>
                <w:sz w:val="12"/>
                <w:szCs w:val="12"/>
                <w:b w:val="1"/>
                <w:bCs w:val="1"/>
                <w:color w:val="auto"/>
              </w:rPr>
              <w:t>Total</w:t>
            </w:r>
          </w:p>
        </w:tc>
      </w:tr>
      <w:tr>
        <w:trPr>
          <w:trHeight w:val="192"/>
        </w:trPr>
        <w:tc>
          <w:tcPr>
            <w:tcW w:w="54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r>
      <w:tr>
        <w:trPr>
          <w:trHeight w:val="180"/>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For the three months ended September 30, 2019</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76"/>
        </w:trPr>
        <w:tc>
          <w:tcPr>
            <w:tcW w:w="5400" w:type="dxa"/>
            <w:vAlign w:val="bottom"/>
          </w:tcPr>
          <w:p>
            <w:pPr>
              <w:ind w:left="20"/>
              <w:spacing w:after="0"/>
              <w:rPr>
                <w:sz w:val="20"/>
                <w:szCs w:val="20"/>
                <w:color w:val="auto"/>
              </w:rPr>
            </w:pPr>
            <w:r>
              <w:rPr>
                <w:rFonts w:ascii="Arial" w:cs="Arial" w:eastAsia="Arial" w:hAnsi="Arial"/>
                <w:sz w:val="12"/>
                <w:szCs w:val="12"/>
                <w:color w:val="auto"/>
              </w:rPr>
              <w:t>External revenue</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463,735</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3,772</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4,756</w:t>
            </w:r>
          </w:p>
        </w:tc>
        <w:tc>
          <w:tcPr>
            <w:tcW w:w="10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472,262</w:t>
            </w:r>
          </w:p>
        </w:tc>
      </w:tr>
      <w:tr>
        <w:trPr>
          <w:trHeight w:val="180"/>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Intersegment revenue</w:t>
            </w:r>
          </w:p>
        </w:tc>
        <w:tc>
          <w:tcPr>
            <w:tcW w:w="1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326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(326)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2"/>
        </w:trPr>
        <w:tc>
          <w:tcPr>
            <w:tcW w:w="540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Total revenue</w:t>
            </w: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463,735</w:t>
            </w:r>
          </w:p>
        </w:tc>
        <w:tc>
          <w:tcPr>
            <w:tcW w:w="12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4,098</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4,429</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472,262</w:t>
            </w:r>
          </w:p>
        </w:tc>
      </w:tr>
      <w:tr>
        <w:trPr>
          <w:trHeight w:val="171"/>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EBITDA</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155,940</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1,791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(18,015)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139,716</w:t>
            </w:r>
          </w:p>
        </w:tc>
      </w:tr>
      <w:tr>
        <w:trPr>
          <w:trHeight w:val="176"/>
        </w:trPr>
        <w:tc>
          <w:tcPr>
            <w:tcW w:w="5400" w:type="dxa"/>
            <w:vAlign w:val="bottom"/>
          </w:tcPr>
          <w:p>
            <w:pPr>
              <w:ind w:left="20"/>
              <w:spacing w:after="0"/>
              <w:rPr>
                <w:sz w:val="20"/>
                <w:szCs w:val="20"/>
                <w:color w:val="auto"/>
              </w:rPr>
            </w:pPr>
            <w:r>
              <w:rPr>
                <w:rFonts w:ascii="Arial" w:cs="Arial" w:eastAsia="Arial" w:hAnsi="Arial"/>
                <w:sz w:val="12"/>
                <w:szCs w:val="12"/>
                <w:color w:val="auto"/>
              </w:rPr>
              <w:t>Capital expenditures</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76,572</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18,583</w:t>
            </w:r>
          </w:p>
        </w:tc>
        <w:tc>
          <w:tcPr>
            <w:tcW w:w="10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95,155</w:t>
            </w:r>
          </w:p>
        </w:tc>
      </w:tr>
      <w:tr>
        <w:trPr>
          <w:trHeight w:val="203"/>
        </w:trPr>
        <w:tc>
          <w:tcPr>
            <w:tcW w:w="5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171"/>
        </w:trPr>
        <w:tc>
          <w:tcPr>
            <w:tcW w:w="5400" w:type="dxa"/>
            <w:vAlign w:val="bottom"/>
          </w:tcPr>
          <w:p>
            <w:pPr>
              <w:ind w:left="20"/>
              <w:spacing w:after="0"/>
              <w:rPr>
                <w:sz w:val="20"/>
                <w:szCs w:val="20"/>
                <w:color w:val="auto"/>
              </w:rPr>
            </w:pPr>
            <w:r>
              <w:rPr>
                <w:rFonts w:ascii="Arial" w:cs="Arial" w:eastAsia="Arial" w:hAnsi="Arial"/>
                <w:sz w:val="12"/>
                <w:szCs w:val="12"/>
                <w:b w:val="1"/>
                <w:bCs w:val="1"/>
                <w:color w:val="auto"/>
              </w:rPr>
              <w:t>For the three months ended September 30, 2018</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89"/>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External revenue</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444,762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6,802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4,710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456,274</w:t>
            </w:r>
          </w:p>
        </w:tc>
      </w:tr>
      <w:tr>
        <w:trPr>
          <w:trHeight w:val="176"/>
        </w:trPr>
        <w:tc>
          <w:tcPr>
            <w:tcW w:w="5400" w:type="dxa"/>
            <w:vAlign w:val="bottom"/>
          </w:tcPr>
          <w:p>
            <w:pPr>
              <w:ind w:left="20"/>
              <w:spacing w:after="0"/>
              <w:rPr>
                <w:sz w:val="20"/>
                <w:szCs w:val="20"/>
                <w:color w:val="auto"/>
              </w:rPr>
            </w:pPr>
            <w:r>
              <w:rPr>
                <w:rFonts w:ascii="Arial" w:cs="Arial" w:eastAsia="Arial" w:hAnsi="Arial"/>
                <w:sz w:val="12"/>
                <w:szCs w:val="12"/>
                <w:color w:val="auto"/>
              </w:rPr>
              <w:t>Intersegment revenue</w:t>
            </w:r>
          </w:p>
        </w:tc>
        <w:tc>
          <w:tcPr>
            <w:tcW w:w="180" w:type="dxa"/>
            <w:vAlign w:val="bottom"/>
          </w:tcPr>
          <w:p>
            <w:pPr>
              <w:spacing w:after="0"/>
              <w:rPr>
                <w:sz w:val="15"/>
                <w:szCs w:val="15"/>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5"/>
                <w:szCs w:val="15"/>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72"/>
        </w:trPr>
        <w:tc>
          <w:tcPr>
            <w:tcW w:w="54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revenue</w:t>
            </w: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444,762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6,802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4,710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456,274</w:t>
            </w:r>
          </w:p>
        </w:tc>
      </w:tr>
      <w:tr>
        <w:trPr>
          <w:trHeight w:val="167"/>
        </w:trPr>
        <w:tc>
          <w:tcPr>
            <w:tcW w:w="5400" w:type="dxa"/>
            <w:vAlign w:val="bottom"/>
          </w:tcPr>
          <w:p>
            <w:pPr>
              <w:ind w:left="20"/>
              <w:spacing w:after="0"/>
              <w:rPr>
                <w:sz w:val="20"/>
                <w:szCs w:val="20"/>
                <w:color w:val="auto"/>
              </w:rPr>
            </w:pPr>
            <w:r>
              <w:rPr>
                <w:rFonts w:ascii="Arial" w:cs="Arial" w:eastAsia="Arial" w:hAnsi="Arial"/>
                <w:sz w:val="12"/>
                <w:szCs w:val="12"/>
                <w:color w:val="auto"/>
              </w:rPr>
              <w:t>EBITDA</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164,135</w:t>
            </w:r>
          </w:p>
        </w:tc>
        <w:tc>
          <w:tcPr>
            <w:tcW w:w="12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4,687</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20"/>
              <w:spacing w:after="0"/>
              <w:rPr>
                <w:sz w:val="20"/>
                <w:szCs w:val="20"/>
                <w:color w:val="auto"/>
              </w:rPr>
            </w:pPr>
            <w:r>
              <w:rPr>
                <w:rFonts w:ascii="Arial" w:cs="Arial" w:eastAsia="Arial" w:hAnsi="Arial"/>
                <w:sz w:val="12"/>
                <w:szCs w:val="12"/>
                <w:color w:val="auto"/>
              </w:rPr>
              <w:t>(15,650)</w:t>
            </w:r>
          </w:p>
        </w:tc>
        <w:tc>
          <w:tcPr>
            <w:tcW w:w="10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153,172</w:t>
            </w:r>
          </w:p>
        </w:tc>
      </w:tr>
      <w:tr>
        <w:trPr>
          <w:trHeight w:val="185"/>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Capital expenditures</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110,550</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56,576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167,144</w:t>
            </w:r>
          </w:p>
        </w:tc>
      </w:tr>
      <w:tr>
        <w:trPr>
          <w:trHeight w:val="198"/>
        </w:trPr>
        <w:tc>
          <w:tcPr>
            <w:tcW w:w="5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80"/>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For the nine months ended September 30, 2019</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76"/>
        </w:trPr>
        <w:tc>
          <w:tcPr>
            <w:tcW w:w="5400" w:type="dxa"/>
            <w:vAlign w:val="bottom"/>
          </w:tcPr>
          <w:p>
            <w:pPr>
              <w:ind w:left="20"/>
              <w:spacing w:after="0"/>
              <w:rPr>
                <w:sz w:val="20"/>
                <w:szCs w:val="20"/>
                <w:color w:val="auto"/>
              </w:rPr>
            </w:pPr>
            <w:r>
              <w:rPr>
                <w:rFonts w:ascii="Arial" w:cs="Arial" w:eastAsia="Arial" w:hAnsi="Arial"/>
                <w:sz w:val="12"/>
                <w:szCs w:val="12"/>
                <w:color w:val="auto"/>
              </w:rPr>
              <w:t>External revenue</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1,360,919</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11,058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15,098</w:t>
            </w:r>
          </w:p>
        </w:tc>
        <w:tc>
          <w:tcPr>
            <w:tcW w:w="10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1,387,075</w:t>
            </w:r>
          </w:p>
        </w:tc>
      </w:tr>
      <w:tr>
        <w:trPr>
          <w:trHeight w:val="180"/>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Intersegment revenue</w:t>
            </w:r>
          </w:p>
        </w:tc>
        <w:tc>
          <w:tcPr>
            <w:tcW w:w="1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815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(815)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2"/>
        </w:trPr>
        <w:tc>
          <w:tcPr>
            <w:tcW w:w="540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Total revenue</w:t>
            </w: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1,360,919</w:t>
            </w:r>
          </w:p>
        </w:tc>
        <w:tc>
          <w:tcPr>
            <w:tcW w:w="12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rPr>
              <w:t>11,873</w:t>
            </w:r>
          </w:p>
        </w:tc>
        <w:tc>
          <w:tcPr>
            <w:tcW w:w="1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14,283</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2"/>
                <w:szCs w:val="12"/>
                <w:color w:val="auto"/>
              </w:rPr>
              <w:t>1,387,075</w:t>
            </w:r>
          </w:p>
        </w:tc>
      </w:tr>
      <w:tr>
        <w:trPr>
          <w:trHeight w:val="171"/>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EBITDA</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448,837</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5,006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(43,843)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410,000</w:t>
            </w:r>
          </w:p>
        </w:tc>
      </w:tr>
      <w:tr>
        <w:trPr>
          <w:trHeight w:val="176"/>
        </w:trPr>
        <w:tc>
          <w:tcPr>
            <w:tcW w:w="5400" w:type="dxa"/>
            <w:vAlign w:val="bottom"/>
          </w:tcPr>
          <w:p>
            <w:pPr>
              <w:ind w:left="20"/>
              <w:spacing w:after="0"/>
              <w:rPr>
                <w:sz w:val="20"/>
                <w:szCs w:val="20"/>
                <w:color w:val="auto"/>
              </w:rPr>
            </w:pPr>
            <w:r>
              <w:rPr>
                <w:rFonts w:ascii="Arial" w:cs="Arial" w:eastAsia="Arial" w:hAnsi="Arial"/>
                <w:sz w:val="12"/>
                <w:szCs w:val="12"/>
                <w:color w:val="auto"/>
              </w:rPr>
              <w:t>Capital expenditures</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224,483</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89,868</w:t>
            </w:r>
          </w:p>
        </w:tc>
        <w:tc>
          <w:tcPr>
            <w:tcW w:w="10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314,351</w:t>
            </w:r>
          </w:p>
        </w:tc>
      </w:tr>
      <w:tr>
        <w:trPr>
          <w:trHeight w:val="203"/>
        </w:trPr>
        <w:tc>
          <w:tcPr>
            <w:tcW w:w="5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171"/>
        </w:trPr>
        <w:tc>
          <w:tcPr>
            <w:tcW w:w="5400" w:type="dxa"/>
            <w:vAlign w:val="bottom"/>
          </w:tcPr>
          <w:p>
            <w:pPr>
              <w:ind w:left="20"/>
              <w:spacing w:after="0"/>
              <w:rPr>
                <w:sz w:val="20"/>
                <w:szCs w:val="20"/>
                <w:color w:val="auto"/>
              </w:rPr>
            </w:pPr>
            <w:r>
              <w:rPr>
                <w:rFonts w:ascii="Arial" w:cs="Arial" w:eastAsia="Arial" w:hAnsi="Arial"/>
                <w:sz w:val="12"/>
                <w:szCs w:val="12"/>
                <w:b w:val="1"/>
                <w:bCs w:val="1"/>
                <w:color w:val="auto"/>
              </w:rPr>
              <w:t>For the nine months ended September 30, 2018</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89"/>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External revenue</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1,271,527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22,562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14,566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1,308,655</w:t>
            </w:r>
          </w:p>
        </w:tc>
      </w:tr>
      <w:tr>
        <w:trPr>
          <w:trHeight w:val="176"/>
        </w:trPr>
        <w:tc>
          <w:tcPr>
            <w:tcW w:w="5400" w:type="dxa"/>
            <w:vAlign w:val="bottom"/>
          </w:tcPr>
          <w:p>
            <w:pPr>
              <w:ind w:left="20"/>
              <w:spacing w:after="0"/>
              <w:rPr>
                <w:sz w:val="20"/>
                <w:szCs w:val="20"/>
                <w:color w:val="auto"/>
              </w:rPr>
            </w:pPr>
            <w:r>
              <w:rPr>
                <w:rFonts w:ascii="Arial" w:cs="Arial" w:eastAsia="Arial" w:hAnsi="Arial"/>
                <w:sz w:val="12"/>
                <w:szCs w:val="12"/>
                <w:color w:val="auto"/>
              </w:rPr>
              <w:t>Intersegment revenue</w:t>
            </w:r>
          </w:p>
        </w:tc>
        <w:tc>
          <w:tcPr>
            <w:tcW w:w="180" w:type="dxa"/>
            <w:vAlign w:val="bottom"/>
          </w:tcPr>
          <w:p>
            <w:pPr>
              <w:spacing w:after="0"/>
              <w:rPr>
                <w:sz w:val="15"/>
                <w:szCs w:val="15"/>
                <w:color w:val="auto"/>
              </w:rPr>
            </w:pP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359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1280" w:type="dxa"/>
            <w:vAlign w:val="bottom"/>
          </w:tcPr>
          <w:p>
            <w:pPr>
              <w:jc w:val="right"/>
              <w:ind w:right="20"/>
              <w:spacing w:after="0"/>
              <w:rPr>
                <w:sz w:val="20"/>
                <w:szCs w:val="20"/>
                <w:color w:val="auto"/>
              </w:rPr>
            </w:pPr>
            <w:r>
              <w:rPr>
                <w:rFonts w:ascii="Arial" w:cs="Arial" w:eastAsia="Arial" w:hAnsi="Arial"/>
                <w:sz w:val="12"/>
                <w:szCs w:val="12"/>
                <w:color w:val="auto"/>
              </w:rPr>
              <w:t>(359)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72"/>
        </w:trPr>
        <w:tc>
          <w:tcPr>
            <w:tcW w:w="54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Total revenue</w:t>
            </w:r>
          </w:p>
        </w:tc>
        <w:tc>
          <w:tcPr>
            <w:tcW w:w="1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1,271,886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22,562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14,207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Borders>
              <w:top w:val="single" w:sz="8" w:color="auto"/>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1,308,655</w:t>
            </w:r>
          </w:p>
        </w:tc>
      </w:tr>
      <w:tr>
        <w:trPr>
          <w:trHeight w:val="167"/>
        </w:trPr>
        <w:tc>
          <w:tcPr>
            <w:tcW w:w="5400" w:type="dxa"/>
            <w:vAlign w:val="bottom"/>
          </w:tcPr>
          <w:p>
            <w:pPr>
              <w:ind w:left="20"/>
              <w:spacing w:after="0"/>
              <w:rPr>
                <w:sz w:val="20"/>
                <w:szCs w:val="20"/>
                <w:color w:val="auto"/>
              </w:rPr>
            </w:pPr>
            <w:r>
              <w:rPr>
                <w:rFonts w:ascii="Arial" w:cs="Arial" w:eastAsia="Arial" w:hAnsi="Arial"/>
                <w:sz w:val="12"/>
                <w:szCs w:val="12"/>
                <w:color w:val="auto"/>
              </w:rPr>
              <w:t>EBITDA</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452,982</w:t>
            </w:r>
          </w:p>
        </w:tc>
        <w:tc>
          <w:tcPr>
            <w:tcW w:w="120" w:type="dxa"/>
            <w:vAlign w:val="bottom"/>
          </w:tcPr>
          <w:p>
            <w:pPr>
              <w:spacing w:after="0"/>
              <w:rPr>
                <w:sz w:val="14"/>
                <w:szCs w:val="14"/>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15,478</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20"/>
              <w:spacing w:after="0"/>
              <w:rPr>
                <w:sz w:val="20"/>
                <w:szCs w:val="20"/>
                <w:color w:val="auto"/>
              </w:rPr>
            </w:pPr>
            <w:r>
              <w:rPr>
                <w:rFonts w:ascii="Arial" w:cs="Arial" w:eastAsia="Arial" w:hAnsi="Arial"/>
                <w:sz w:val="12"/>
                <w:szCs w:val="12"/>
                <w:color w:val="auto"/>
              </w:rPr>
              <w:t>(18,767)</w:t>
            </w:r>
          </w:p>
        </w:tc>
        <w:tc>
          <w:tcPr>
            <w:tcW w:w="10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449,693</w:t>
            </w:r>
          </w:p>
        </w:tc>
      </w:tr>
      <w:tr>
        <w:trPr>
          <w:trHeight w:val="185"/>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Capital expenditures</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285,352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(76,757)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129,030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337,625</w:t>
            </w:r>
          </w:p>
        </w:tc>
      </w:tr>
      <w:tr>
        <w:trPr>
          <w:trHeight w:val="594"/>
        </w:trPr>
        <w:tc>
          <w:tcPr>
            <w:tcW w:w="5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920"/>
              <w:spacing w:after="0"/>
              <w:rPr>
                <w:sz w:val="20"/>
                <w:szCs w:val="20"/>
                <w:color w:val="auto"/>
              </w:rPr>
            </w:pPr>
            <w:r>
              <w:rPr>
                <w:rFonts w:ascii="Arial" w:cs="Arial" w:eastAsia="Arial" w:hAnsi="Arial"/>
                <w:sz w:val="12"/>
                <w:szCs w:val="12"/>
                <w:color w:val="auto"/>
              </w:rPr>
              <w:t>34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80"/>
          </w:cols>
          <w:pgMar w:left="220" w:top="140" w:right="199" w:bottom="1440" w:gutter="0" w:footer="0" w:header="0"/>
        </w:sectPr>
      </w:pPr>
    </w:p>
    <w:bookmarkStart w:id="37" w:name="page38"/>
    <w:bookmarkEnd w:id="3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The following table reconciles total consolidated EBITDA to reported </w:t>
      </w:r>
      <w:r>
        <w:rPr>
          <w:rFonts w:ascii="Arial" w:cs="Arial" w:eastAsia="Arial" w:hAnsi="Arial"/>
          <w:sz w:val="12"/>
          <w:szCs w:val="12"/>
          <w:i w:val="1"/>
          <w:iCs w:val="1"/>
          <w:color w:val="auto"/>
        </w:rPr>
        <w:t>Income (loss) from continuing operations before income taxes</w:t>
      </w:r>
      <w:r>
        <w:rPr>
          <w:rFonts w:ascii="Arial" w:cs="Arial" w:eastAsia="Arial" w:hAnsi="Arial"/>
          <w:sz w:val="12"/>
          <w:szCs w:val="12"/>
          <w:color w:val="auto"/>
        </w:rPr>
        <w:t xml:space="preserve"> in our Condensed Consolidated Statements of Operations (amounts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3"/>
          </w:tcPr>
          <w:p>
            <w:pPr>
              <w:jc w:val="right"/>
              <w:spacing w:after="0"/>
              <w:rPr>
                <w:sz w:val="20"/>
                <w:szCs w:val="20"/>
                <w:color w:val="auto"/>
              </w:rPr>
            </w:pPr>
            <w:r>
              <w:rPr>
                <w:rFonts w:ascii="Arial" w:cs="Arial" w:eastAsia="Arial" w:hAnsi="Arial"/>
                <w:sz w:val="12"/>
                <w:szCs w:val="12"/>
                <w:b w:val="1"/>
                <w:bCs w:val="1"/>
                <w:color w:val="auto"/>
              </w:rPr>
              <w:t>For the three months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3"/>
          </w:tcPr>
          <w:p>
            <w:pPr>
              <w:jc w:val="right"/>
              <w:spacing w:after="0"/>
              <w:rPr>
                <w:sz w:val="20"/>
                <w:szCs w:val="20"/>
                <w:color w:val="auto"/>
              </w:rPr>
            </w:pPr>
            <w:r>
              <w:rPr>
                <w:rFonts w:ascii="Arial" w:cs="Arial" w:eastAsia="Arial" w:hAnsi="Arial"/>
                <w:sz w:val="12"/>
                <w:szCs w:val="12"/>
                <w:b w:val="1"/>
                <w:bCs w:val="1"/>
                <w:color w:val="auto"/>
              </w:rPr>
              <w:t>For the nine months</w:t>
            </w:r>
          </w:p>
        </w:tc>
        <w:tc>
          <w:tcPr>
            <w:tcW w:w="840" w:type="dxa"/>
            <w:vAlign w:val="bottom"/>
          </w:tcPr>
          <w:p>
            <w:pPr>
              <w:spacing w:after="0"/>
              <w:rPr>
                <w:sz w:val="12"/>
                <w:szCs w:val="12"/>
                <w:color w:val="auto"/>
              </w:rPr>
            </w:pPr>
          </w:p>
        </w:tc>
      </w:tr>
      <w:tr>
        <w:trPr>
          <w:trHeight w:val="163"/>
        </w:trPr>
        <w:tc>
          <w:tcPr>
            <w:tcW w:w="5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ended September 30,</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2"/>
                <w:szCs w:val="12"/>
                <w:b w:val="1"/>
                <w:bCs w:val="1"/>
                <w:color w:val="auto"/>
              </w:rPr>
              <w:t>ended September 30,</w:t>
            </w:r>
          </w:p>
        </w:tc>
      </w:tr>
      <w:tr>
        <w:trPr>
          <w:trHeight w:val="169"/>
        </w:trPr>
        <w:tc>
          <w:tcPr>
            <w:tcW w:w="5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w w:val="89"/>
              </w:rPr>
              <w:t>2018</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w w:val="97"/>
              </w:rPr>
              <w:t>2018</w:t>
            </w:r>
          </w:p>
        </w:tc>
      </w:tr>
      <w:tr>
        <w:trPr>
          <w:trHeight w:val="210"/>
        </w:trPr>
        <w:tc>
          <w:tcPr>
            <w:tcW w:w="5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80"/>
        </w:trPr>
        <w:tc>
          <w:tcPr>
            <w:tcW w:w="5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EBITDA</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139,716</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153,172</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410,000</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449,693</w:t>
            </w:r>
          </w:p>
        </w:tc>
      </w:tr>
      <w:tr>
        <w:trPr>
          <w:trHeight w:val="176"/>
        </w:trPr>
        <w:tc>
          <w:tcPr>
            <w:tcW w:w="5640" w:type="dxa"/>
            <w:vAlign w:val="bottom"/>
          </w:tcPr>
          <w:p>
            <w:pPr>
              <w:ind w:left="20"/>
              <w:spacing w:after="0"/>
              <w:rPr>
                <w:sz w:val="20"/>
                <w:szCs w:val="20"/>
                <w:color w:val="auto"/>
              </w:rPr>
            </w:pPr>
            <w:r>
              <w:rPr>
                <w:rFonts w:ascii="Arial" w:cs="Arial" w:eastAsia="Arial" w:hAnsi="Arial"/>
                <w:sz w:val="12"/>
                <w:szCs w:val="12"/>
                <w:color w:val="auto"/>
              </w:rPr>
              <w:t>Interest income and expense, net</w:t>
            </w:r>
          </w:p>
        </w:tc>
        <w:tc>
          <w:tcPr>
            <w:tcW w:w="320" w:type="dxa"/>
            <w:vAlign w:val="bottom"/>
          </w:tcPr>
          <w:p>
            <w:pPr>
              <w:spacing w:after="0"/>
              <w:rPr>
                <w:sz w:val="15"/>
                <w:szCs w:val="15"/>
                <w:color w:val="auto"/>
              </w:rPr>
            </w:pPr>
          </w:p>
        </w:tc>
        <w:tc>
          <w:tcPr>
            <w:tcW w:w="1060" w:type="dxa"/>
            <w:vAlign w:val="bottom"/>
          </w:tcPr>
          <w:p>
            <w:pPr>
              <w:jc w:val="right"/>
              <w:ind w:right="20"/>
              <w:spacing w:after="0"/>
              <w:rPr>
                <w:sz w:val="20"/>
                <w:szCs w:val="20"/>
                <w:color w:val="auto"/>
              </w:rPr>
            </w:pPr>
            <w:r>
              <w:rPr>
                <w:rFonts w:ascii="Arial" w:cs="Arial" w:eastAsia="Arial" w:hAnsi="Arial"/>
                <w:sz w:val="12"/>
                <w:szCs w:val="12"/>
                <w:color w:val="auto"/>
              </w:rPr>
              <w:t>(32,690)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(33,529)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(91,996)</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jc w:val="right"/>
              <w:ind w:right="20"/>
              <w:spacing w:after="0"/>
              <w:rPr>
                <w:sz w:val="20"/>
                <w:szCs w:val="20"/>
                <w:color w:val="auto"/>
              </w:rPr>
            </w:pPr>
            <w:r>
              <w:rPr>
                <w:rFonts w:ascii="Arial" w:cs="Arial" w:eastAsia="Arial" w:hAnsi="Arial"/>
                <w:sz w:val="12"/>
                <w:szCs w:val="12"/>
                <w:color w:val="auto"/>
              </w:rPr>
              <w:t>(107,801)</w:t>
            </w:r>
          </w:p>
        </w:tc>
      </w:tr>
      <w:tr>
        <w:trPr>
          <w:trHeight w:val="185"/>
        </w:trPr>
        <w:tc>
          <w:tcPr>
            <w:tcW w:w="5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Depreciation and amortization</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(122,374)</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(115,325)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(361,619)</w:t>
            </w: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(338,737)</w:t>
            </w:r>
          </w:p>
        </w:tc>
      </w:tr>
      <w:tr>
        <w:trPr>
          <w:trHeight w:val="176"/>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income attributable to noncontrolling interests</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(2,797)</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450</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(1,359)</w:t>
            </w:r>
          </w:p>
        </w:tc>
        <w:tc>
          <w:tcPr>
            <w:tcW w:w="12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1,292</w:t>
            </w:r>
          </w:p>
        </w:tc>
      </w:tr>
      <w:tr>
        <w:trPr>
          <w:trHeight w:val="172"/>
        </w:trPr>
        <w:tc>
          <w:tcPr>
            <w:tcW w:w="5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2"/>
                <w:szCs w:val="12"/>
                <w:color w:val="auto"/>
              </w:rPr>
              <w:t>Income (loss) from continuing operations before income taxes</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(18,145)</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4,768</w:t>
            </w: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(44,974)</w:t>
            </w: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380"/>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4,447</w:t>
            </w:r>
          </w:p>
        </w:tc>
      </w:tr>
    </w:tbl>
    <w:p>
      <w:pPr>
        <w:spacing w:after="0" w:line="274" w:lineRule="exact"/>
        <w:rPr>
          <w:sz w:val="20"/>
          <w:szCs w:val="20"/>
          <w:color w:val="auto"/>
        </w:rPr>
      </w:pPr>
    </w:p>
    <w:p>
      <w:pPr>
        <w:spacing w:after="0"/>
        <w:tabs>
          <w:tab w:leader="none" w:pos="640" w:val="left"/>
        </w:tabs>
        <w:rPr>
          <w:sz w:val="20"/>
          <w:szCs w:val="20"/>
          <w:color w:val="auto"/>
        </w:rPr>
      </w:pPr>
      <w:r>
        <w:rPr>
          <w:rFonts w:ascii="Arial" w:cs="Arial" w:eastAsia="Arial" w:hAnsi="Arial"/>
          <w:sz w:val="12"/>
          <w:szCs w:val="12"/>
          <w:b w:val="1"/>
          <w:bCs w:val="1"/>
          <w:color w:val="auto"/>
        </w:rPr>
        <w:t>NOTE 18.</w:t>
      </w:r>
      <w:r>
        <w:rPr>
          <w:sz w:val="20"/>
          <w:szCs w:val="20"/>
          <w:color w:val="auto"/>
        </w:rPr>
        <w:tab/>
      </w:r>
      <w:r>
        <w:rPr>
          <w:rFonts w:ascii="Arial" w:cs="Arial" w:eastAsia="Arial" w:hAnsi="Arial"/>
          <w:sz w:val="11"/>
          <w:szCs w:val="11"/>
          <w:b w:val="1"/>
          <w:bCs w:val="1"/>
          <w:color w:val="auto"/>
        </w:rPr>
        <w:t>RELATED PARTY TRANSACTIONS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DISH Network</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EchoStar Corporation and DISH have operated as separate publicly-traded companies since 2008. In addition, prior to the consummation of the Share Exchange in February 2017, DISH Network owned the Tracking Stock, which represented an aggregate 80.0% economic interest in the residential retail satellite broadband business of our Hughes segment. Following the consummation of the Share Exchange, the Tracking Stock was retired. A substantial majority of the voting power of the shares of each of EchoStar Corporation and DISH is owned beneficially by Charles W. Ergen, our Chairman, and by certain entities established by Mr. Ergen for the benefit of his family.</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connection with and following the Spin-off, the Share Exchange and the BSS Transaction, we and DISH Network entered into certain agreements pursuant to which we obtain certain products, services and rights from DISH Network; DISH Network obtains certain products, services and rights from us; and we and DISH Network indemnify each other against certain liabilities arising from our respective businesses. Generally, the amounts we or DISH Network pay for products and services provided under the agreements are based on cost plus a fixed margin (unless noted differently below), which varies depending on the nature of the products and services provided.</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We also may enter into additional agreements with DISH Network in the future.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 summary of the terms of our principal agreements with DISH Network that may have an impact on our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Services and Other Revenue — DISH Network</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 xml:space="preserve">Satellite Capacity Leased to DISH Network. </w:t>
      </w:r>
      <w:r>
        <w:rPr>
          <w:rFonts w:ascii="Arial" w:cs="Arial" w:eastAsia="Arial" w:hAnsi="Arial"/>
          <w:sz w:val="12"/>
          <w:szCs w:val="12"/>
          <w:color w:val="auto"/>
        </w:rPr>
        <w:t>We have entered into certain agreements to lease satellite capacity pursuant to which we provide satellite services to DISH Network on certain satellites owned or leased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by us. The fees for the services provided under these agreements depend, among other things, upon the orbital location of the applicable satellite, the number of transponders that are providing services on the applicable satellite and the length of the service arrangements. The terms of each service arrangement is set forth below:</w:t>
      </w:r>
    </w:p>
    <w:p>
      <w:pPr>
        <w:spacing w:after="0" w:line="116" w:lineRule="exact"/>
        <w:rPr>
          <w:sz w:val="20"/>
          <w:szCs w:val="20"/>
          <w:color w:val="auto"/>
        </w:rPr>
      </w:pPr>
    </w:p>
    <w:p>
      <w:pPr>
        <w:jc w:val="both"/>
        <w:ind w:left="200"/>
        <w:spacing w:after="0" w:line="283" w:lineRule="auto"/>
        <w:rPr>
          <w:sz w:val="20"/>
          <w:szCs w:val="20"/>
          <w:color w:val="auto"/>
        </w:rPr>
      </w:pPr>
      <w:r>
        <w:rPr>
          <w:rFonts w:ascii="Arial" w:cs="Arial" w:eastAsia="Arial" w:hAnsi="Arial"/>
          <w:sz w:val="12"/>
          <w:szCs w:val="12"/>
          <w:i w:val="1"/>
          <w:iCs w:val="1"/>
          <w:color w:val="auto"/>
        </w:rPr>
        <w:t>EchoStar IX</w:t>
      </w:r>
      <w:r>
        <w:rPr>
          <w:rFonts w:ascii="Arial" w:cs="Arial" w:eastAsia="Arial" w:hAnsi="Arial"/>
          <w:sz w:val="12"/>
          <w:szCs w:val="12"/>
          <w:color w:val="auto"/>
        </w:rPr>
        <w:t>. Effective January 2008, DISH Network began leasing satellite capacity from us on the EchoStar IX satellite. Subject to availability, DISH Network generally has the right to continue leasing satellite</w:t>
      </w:r>
      <w:r>
        <w:rPr>
          <w:rFonts w:ascii="Arial" w:cs="Arial" w:eastAsia="Arial" w:hAnsi="Arial"/>
          <w:sz w:val="12"/>
          <w:szCs w:val="12"/>
          <w:i w:val="1"/>
          <w:iCs w:val="1"/>
          <w:color w:val="auto"/>
        </w:rPr>
        <w:t xml:space="preserve"> </w:t>
      </w:r>
      <w:r>
        <w:rPr>
          <w:rFonts w:ascii="Arial" w:cs="Arial" w:eastAsia="Arial" w:hAnsi="Arial"/>
          <w:sz w:val="12"/>
          <w:szCs w:val="12"/>
          <w:color w:val="auto"/>
        </w:rPr>
        <w:t>capacity from us on the EchoStar IX satellite on a month-to-month basis.</w:t>
      </w:r>
    </w:p>
    <w:p>
      <w:pPr>
        <w:spacing w:after="0" w:line="107" w:lineRule="exact"/>
        <w:rPr>
          <w:sz w:val="20"/>
          <w:szCs w:val="20"/>
          <w:color w:val="auto"/>
        </w:rPr>
      </w:pPr>
    </w:p>
    <w:p>
      <w:pPr>
        <w:jc w:val="both"/>
        <w:ind w:left="200"/>
        <w:spacing w:after="0" w:line="266" w:lineRule="auto"/>
        <w:rPr>
          <w:sz w:val="20"/>
          <w:szCs w:val="20"/>
          <w:color w:val="auto"/>
        </w:rPr>
      </w:pPr>
      <w:r>
        <w:rPr>
          <w:rFonts w:ascii="Arial" w:cs="Arial" w:eastAsia="Arial" w:hAnsi="Arial"/>
          <w:sz w:val="12"/>
          <w:szCs w:val="12"/>
          <w:i w:val="1"/>
          <w:iCs w:val="1"/>
          <w:color w:val="auto"/>
        </w:rPr>
        <w:t>103 Degree Orbital Location/SES-3</w:t>
      </w:r>
      <w:r>
        <w:rPr>
          <w:rFonts w:ascii="Arial" w:cs="Arial" w:eastAsia="Arial" w:hAnsi="Arial"/>
          <w:sz w:val="12"/>
          <w:szCs w:val="12"/>
          <w:color w:val="auto"/>
        </w:rPr>
        <w:t>. In May 2012, we entered into a spectrum development agreement (the “103 Spectrum Development Agreement”) with Ciel Satellite Holdings Inc. (“Ciel”) to develop certain</w:t>
      </w:r>
      <w:r>
        <w:rPr>
          <w:rFonts w:ascii="Arial" w:cs="Arial" w:eastAsia="Arial" w:hAnsi="Arial"/>
          <w:sz w:val="12"/>
          <w:szCs w:val="12"/>
          <w:i w:val="1"/>
          <w:iCs w:val="1"/>
          <w:color w:val="auto"/>
        </w:rPr>
        <w:t xml:space="preserve"> </w:t>
      </w:r>
      <w:r>
        <w:rPr>
          <w:rFonts w:ascii="Arial" w:cs="Arial" w:eastAsia="Arial" w:hAnsi="Arial"/>
          <w:sz w:val="12"/>
          <w:szCs w:val="12"/>
          <w:color w:val="auto"/>
        </w:rPr>
        <w:t>spectrum rights at the 103 degree west longitude orbital location (the “103 Spectrum Rights”). In June 2013, we and DISH Network entered into a spectrum development agreement (the “DISH 103 Spectrum Development Agreement”) pursuant to which DISH Network may use and develop the 103 Spectrum Rights. Effective in March 2018, DISH Network</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ectPr>
          <w:pgSz w:w="11900" w:h="16838" w:orient="portrait"/>
          <w:cols w:equalWidth="0" w:num="1">
            <w:col w:w="11480"/>
          </w:cols>
          <w:pgMar w:left="220" w:top="140" w:right="199" w:bottom="1440" w:gutter="0" w:footer="0" w:header="0"/>
        </w:sectPr>
      </w:pPr>
    </w:p>
    <w:bookmarkStart w:id="38" w:name="page39"/>
    <w:bookmarkEnd w:id="3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exercised its right to terminate the DISH 103 Spectrum Development Agreement and we exercised our right to terminate the 103 Spectrum Development Agreement.</w:t>
      </w:r>
    </w:p>
    <w:p>
      <w:pPr>
        <w:spacing w:after="0" w:line="150" w:lineRule="exact"/>
        <w:rPr>
          <w:sz w:val="20"/>
          <w:szCs w:val="20"/>
          <w:color w:val="auto"/>
        </w:rPr>
      </w:pPr>
    </w:p>
    <w:p>
      <w:pPr>
        <w:jc w:val="both"/>
        <w:ind w:left="200"/>
        <w:spacing w:after="0" w:line="254" w:lineRule="auto"/>
        <w:rPr>
          <w:sz w:val="20"/>
          <w:szCs w:val="20"/>
          <w:color w:val="auto"/>
        </w:rPr>
      </w:pPr>
      <w:r>
        <w:rPr>
          <w:rFonts w:ascii="Arial" w:cs="Arial" w:eastAsia="Arial" w:hAnsi="Arial"/>
          <w:sz w:val="12"/>
          <w:szCs w:val="12"/>
          <w:color w:val="auto"/>
        </w:rPr>
        <w:t>In connection with the 103 Spectrum Development Agreement, in May 2012, we also entered into a ten-year agreement with Ciel pursuant to which we leased certain satellite capacity from Ciel on the SES-3 satellite at the 103 degree west longitude orbital location (the “Ciel 103 Agreement”). In June 2013, we and DISH Network entered into an agreement pursuant to which DISH Network leased certain satellite capacity from us on the SES-3 satellite (the “DISH 103 Agreement”). Under the terms of the DISH 103 Agreement, DISH Network made certain monthly payments to us through the service term. Effective in March 2018, DISH Network exercised its right to terminate the DISH 103 Agreement and we exercised our right to terminate the Ciel 103 Agreement.</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i w:val="1"/>
          <w:iCs w:val="1"/>
          <w:color w:val="auto"/>
        </w:rPr>
        <w:t>Telesat Obligation Agreement</w:t>
      </w:r>
      <w:r>
        <w:rPr>
          <w:rFonts w:ascii="Arial" w:cs="Arial" w:eastAsia="Arial" w:hAnsi="Arial"/>
          <w:sz w:val="12"/>
          <w:szCs w:val="12"/>
          <w:color w:val="auto"/>
        </w:rPr>
        <w:t>. In September 2009, we entered into an agreement with Telesat Canada to lease satellite capacity from Telesat Canada on all 32 direct broadcast satellite (“DBS”) transponders on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Nimiq 5 satellite at the 72.7 degree west longitude orbital location (the “Telesat Transponder Agreement”). We transferred the Telesat Transponder Agreement to DISH Network as part of the BSS Transaction; however, we retained certain obligations related to DISH Network’s performance under that agreement. In September 2019, we and DISH Network entered into an agreement whereby DISH Network compensates us for retaining such obligations.</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Real Estate Leases to DISH Network</w:t>
      </w:r>
      <w:r>
        <w:rPr>
          <w:rFonts w:ascii="Arial" w:cs="Arial" w:eastAsia="Arial" w:hAnsi="Arial"/>
          <w:sz w:val="12"/>
          <w:szCs w:val="12"/>
          <w:color w:val="auto"/>
        </w:rPr>
        <w:t>. We have entered into lease agreements pursuant to which DISH Network leases certain real estate from us. The rent on a per square foot basis for each of the leases is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comparable to per square foot rental rates of similar commercial property in the same geographic area at the time of the lease, and DISH Network is responsible for its portion of the taxes, insurance, utilities and maintenance of the premises. The term of each of the leases is set forth below:</w:t>
      </w:r>
    </w:p>
    <w:p>
      <w:pPr>
        <w:spacing w:after="0" w:line="116" w:lineRule="exact"/>
        <w:rPr>
          <w:sz w:val="20"/>
          <w:szCs w:val="20"/>
          <w:color w:val="auto"/>
        </w:rPr>
      </w:pPr>
    </w:p>
    <w:p>
      <w:pPr>
        <w:jc w:val="both"/>
        <w:ind w:left="200"/>
        <w:spacing w:after="0" w:line="258" w:lineRule="auto"/>
        <w:rPr>
          <w:sz w:val="20"/>
          <w:szCs w:val="20"/>
          <w:color w:val="auto"/>
        </w:rPr>
      </w:pPr>
      <w:r>
        <w:rPr>
          <w:rFonts w:ascii="Arial" w:cs="Arial" w:eastAsia="Arial" w:hAnsi="Arial"/>
          <w:sz w:val="12"/>
          <w:szCs w:val="12"/>
          <w:i w:val="1"/>
          <w:iCs w:val="1"/>
          <w:color w:val="auto"/>
        </w:rPr>
        <w:t>100 Inverness Lease Agreement</w:t>
      </w:r>
      <w:r>
        <w:rPr>
          <w:rFonts w:ascii="Arial" w:cs="Arial" w:eastAsia="Arial" w:hAnsi="Arial"/>
          <w:sz w:val="12"/>
          <w:szCs w:val="12"/>
          <w:color w:val="auto"/>
        </w:rPr>
        <w:t>. Effective March 2017, DISH Network is licensed to use certain of our space at 100 Inverness Terrace East, Englewood, Colorado for a period ending in December 2020. This</w:t>
      </w:r>
      <w:r>
        <w:rPr>
          <w:rFonts w:ascii="Arial" w:cs="Arial" w:eastAsia="Arial" w:hAnsi="Arial"/>
          <w:sz w:val="12"/>
          <w:szCs w:val="12"/>
          <w:i w:val="1"/>
          <w:iCs w:val="1"/>
          <w:color w:val="auto"/>
        </w:rPr>
        <w:t xml:space="preserve"> </w:t>
      </w:r>
      <w:r>
        <w:rPr>
          <w:rFonts w:ascii="Arial" w:cs="Arial" w:eastAsia="Arial" w:hAnsi="Arial"/>
          <w:sz w:val="12"/>
          <w:szCs w:val="12"/>
          <w:color w:val="auto"/>
        </w:rPr>
        <w:t>agreement may be terminated by either party upon 180 days’ prior notice. This agreement may be extended by mutual consent, in which case this agreement will be converted to a month-to-month lease agreement. Upon extension, either party has the right to terminate this agreement upon 30 days’ notice. In connection with the BSS Transaction, we transferred to DISH Network the Englewood Satellite Operations Center located at 100 Inverness Terrace East, including any equipment, hardware licenses, software, processes, software licenses, furniture and technical documentation associated with the satellites transferred in the BSS Transaction.</w:t>
      </w:r>
    </w:p>
    <w:p>
      <w:pPr>
        <w:spacing w:after="0" w:line="123" w:lineRule="exact"/>
        <w:rPr>
          <w:sz w:val="20"/>
          <w:szCs w:val="20"/>
          <w:color w:val="auto"/>
        </w:rPr>
      </w:pPr>
    </w:p>
    <w:p>
      <w:pPr>
        <w:jc w:val="both"/>
        <w:ind w:left="200"/>
        <w:spacing w:after="0" w:line="266" w:lineRule="auto"/>
        <w:rPr>
          <w:sz w:val="20"/>
          <w:szCs w:val="20"/>
          <w:color w:val="auto"/>
        </w:rPr>
      </w:pPr>
      <w:r>
        <w:rPr>
          <w:rFonts w:ascii="Arial" w:cs="Arial" w:eastAsia="Arial" w:hAnsi="Arial"/>
          <w:sz w:val="12"/>
          <w:szCs w:val="12"/>
          <w:i w:val="1"/>
          <w:iCs w:val="1"/>
          <w:color w:val="auto"/>
        </w:rPr>
        <w:t>Meridian Lease Agreement</w:t>
      </w:r>
      <w:r>
        <w:rPr>
          <w:rFonts w:ascii="Arial" w:cs="Arial" w:eastAsia="Arial" w:hAnsi="Arial"/>
          <w:sz w:val="12"/>
          <w:szCs w:val="12"/>
          <w:color w:val="auto"/>
        </w:rPr>
        <w:t>. The lease for all of 9601 S. Meridian Blvd., Englewood, Colorado was for a period ending in December 2016. We and DISH Network have amended this lease over time to, among</w:t>
      </w:r>
      <w:r>
        <w:rPr>
          <w:rFonts w:ascii="Arial" w:cs="Arial" w:eastAsia="Arial" w:hAnsi="Arial"/>
          <w:sz w:val="12"/>
          <w:szCs w:val="12"/>
          <w:i w:val="1"/>
          <w:iCs w:val="1"/>
          <w:color w:val="auto"/>
        </w:rPr>
        <w:t xml:space="preserve"> </w:t>
      </w:r>
      <w:r>
        <w:rPr>
          <w:rFonts w:ascii="Arial" w:cs="Arial" w:eastAsia="Arial" w:hAnsi="Arial"/>
          <w:sz w:val="12"/>
          <w:szCs w:val="12"/>
          <w:color w:val="auto"/>
        </w:rPr>
        <w:t>other things, extend the term through December 2019. After December 2019, this agreement may be converted by mutual consent to a month-to-month lease agreement with either party having the right to terminate upon 30 days’ notice.</w:t>
      </w:r>
    </w:p>
    <w:p>
      <w:pPr>
        <w:spacing w:after="0" w:line="116" w:lineRule="exact"/>
        <w:rPr>
          <w:sz w:val="20"/>
          <w:szCs w:val="20"/>
          <w:color w:val="auto"/>
        </w:rPr>
      </w:pPr>
    </w:p>
    <w:p>
      <w:pPr>
        <w:jc w:val="both"/>
        <w:spacing w:after="0" w:line="256" w:lineRule="auto"/>
        <w:rPr>
          <w:sz w:val="20"/>
          <w:szCs w:val="20"/>
          <w:color w:val="auto"/>
        </w:rPr>
      </w:pPr>
      <w:r>
        <w:rPr>
          <w:rFonts w:ascii="Arial" w:cs="Arial" w:eastAsia="Arial" w:hAnsi="Arial"/>
          <w:sz w:val="12"/>
          <w:szCs w:val="12"/>
          <w:b w:val="1"/>
          <w:bCs w:val="1"/>
          <w:i w:val="1"/>
          <w:iCs w:val="1"/>
          <w:color w:val="auto"/>
        </w:rPr>
        <w:t>TerreStar Agreement</w:t>
      </w:r>
      <w:r>
        <w:rPr>
          <w:rFonts w:ascii="Arial" w:cs="Arial" w:eastAsia="Arial" w:hAnsi="Arial"/>
          <w:sz w:val="12"/>
          <w:szCs w:val="12"/>
          <w:color w:val="auto"/>
        </w:rPr>
        <w:t>. In March 2012, DISH Network completed its acquisition of substantially all the assets of TerreStar Networks Inc. (“TerreStar”). Prior to DISH Network’s acquisition of substantially all the assets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TerreStar and our completion of the acquisition of Hughes Communications, Inc. and its subsidiaries (the “Hughes Acquisition”), TerreStar and HNS entered into various agreements pursuant to which we provide, among other things, warranty, operations and maintenance and hosting services for TerreStar’s ground-based communications equipment.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operations and maintenance services are terminated by DISH Network upon at least 90 days’ written notice to us. The provision of hosting services will continue until May 2022. In addition, DISH Network generally may terminate any and all services for convenience subject to providing us with prior notice and/or payment of termination charges.</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Hughes Broadband Distribution Agreement</w:t>
      </w:r>
      <w:r>
        <w:rPr>
          <w:rFonts w:ascii="Arial" w:cs="Arial" w:eastAsia="Arial" w:hAnsi="Arial"/>
          <w:sz w:val="12"/>
          <w:szCs w:val="12"/>
          <w:color w:val="auto"/>
        </w:rPr>
        <w:t>. Effective October 2012, we and DISH Network, entered into a distribution agreement (the “Distribution Agreement”) pursuant to which DISH Network has the right, but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not the obligation, to market, sell and distribute our HughesNet service. DISH Network pays us a monthly per subscriber wholesale service fee for the HughesNet service based upon a subscriber’s service level and based upon certain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80"/>
          </w:cols>
          <w:pgMar w:left="220" w:top="140" w:right="199" w:bottom="1440" w:gutter="0" w:footer="0" w:header="0"/>
        </w:sectPr>
      </w:pPr>
    </w:p>
    <w:bookmarkStart w:id="39" w:name="page40"/>
    <w:bookmarkEnd w:id="3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volume subscription thresholds. The Distribution Agreement also provides that DISH Network has the right, but not the obligation, to purchase certain broadband equipment from us to support the sale of the HughesNet service. The Distribution Agreement had an initial term of five years with automatic renewal for successive one-year terms unless terminated by either party with a written notice at least 180 days before the expiration of the then-current term. In February 2014, we and DISH Network entered into an amendment to the Distribution Agreement which, among other things, extended the initial term of the Distribution Agreement until March 2024. Upon expiration or termination of the Distribution Agreement, we and DISH Network will continue to provide our HughesNet service to the then-current DISH Network subscribers pursuant to the terms and conditions of the Distribution Agreement.</w:t>
      </w:r>
    </w:p>
    <w:p>
      <w:pPr>
        <w:spacing w:after="0" w:line="123"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auto"/>
        </w:rPr>
        <w:t>DBSD North America Agreement</w:t>
      </w:r>
      <w:r>
        <w:rPr>
          <w:rFonts w:ascii="Arial" w:cs="Arial" w:eastAsia="Arial" w:hAnsi="Arial"/>
          <w:sz w:val="12"/>
          <w:szCs w:val="12"/>
          <w:color w:val="auto"/>
        </w:rPr>
        <w:t>. In March 2012, DISH Network completed its acquisition of all of the equity of reorganized DBSD North America, Inc. (“DBSD North America”). Prior to DISH Network’s acquisition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DBSD North America and our completion of the Hughes Acquisition, DBSD North America and HNS entered into various agreements pursuant to which we provide, among other things, warranty, operations and maintenance and hosting services of DBSD North America’s gateway and ground-based communications equipment. In December 2017, we and DBSD North America amended these agreements, effective as of January 1, 2018, to reduce certain pricing terms through December 31, 2023 and to modify certain termination provisions. DBSD North America has the right to continue to receive operations and maintenance services from us on a quarter-to-quarter basis, unless terminated by DBSD North America upon at least 120 days’ written notice to us. In February 2019, we further amended these agreements to provide DBSD North America with the right to continue to receive warranty services from us on a month-to-month basis until December 2023, unless terminated by DBSD North America upon at least 21 days’ written notice to us. The provision of hosting services will continue until February 2022 and will automatically renew for an additional five-year period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w:t>
      </w:r>
    </w:p>
    <w:p>
      <w:pPr>
        <w:spacing w:after="0" w:line="124"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 xml:space="preserve">Hughes Equipment and Services Agreement. </w:t>
      </w:r>
      <w:r>
        <w:rPr>
          <w:rFonts w:ascii="Arial" w:cs="Arial" w:eastAsia="Arial" w:hAnsi="Arial"/>
          <w:sz w:val="12"/>
          <w:szCs w:val="12"/>
          <w:color w:val="auto"/>
        </w:rPr>
        <w:t>In February 2019, we and DISH Network entered into an agreement pursuant to which we will sell to DISH Network our HughesNet Service and HughesNet equipment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that has been modified to meet DISH Network’s internet-of-things specifications for the transfer of data to DISH Network’s network operations centers. This agreement has an initial term of five years expiring February 2024 with automatic renewal for successive one-year terms unless terminated by DISH Network with at least 180 days’ written notice to us or by us with at least 365 days’ written notice to DISH Network.</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General and Administrative Expenses — DISH Network</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2"/>
          <w:szCs w:val="12"/>
          <w:b w:val="1"/>
          <w:bCs w:val="1"/>
          <w:i w:val="1"/>
          <w:iCs w:val="1"/>
          <w:color w:val="auto"/>
        </w:rPr>
        <w:t>Amended and Restated Professional Services Agreement</w:t>
      </w:r>
      <w:r>
        <w:rPr>
          <w:rFonts w:ascii="Arial" w:cs="Arial" w:eastAsia="Arial" w:hAnsi="Arial"/>
          <w:sz w:val="12"/>
          <w:szCs w:val="12"/>
          <w:color w:val="auto"/>
        </w:rPr>
        <w:t>. In connection with the Spin-off, we entered into various agreements with DISH Network including a transition services agreement, satellite procurement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agreement and services agreement, which all expired in January 2010 and were replaced by a professional services agreement (the “Professional Services Agreement”). In January 2010, we and DISH Network agreed that we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 services and other support services. Mr. Vivek Khemka, who was then employed as DISH Network’s Executive Vice President and Chief Technology Officer, provided services to us during portions of 2016 and through February 2017 pursuant to the Professional Services Agreement as President -- EchoStar Technologies L.L.C. Additionally, we and DISH Network agreed that DISH Network would continue to have the right, but not the obligation, to engage us to manage the process of procuring new satellite capacity for DISH Network (previously provided under a satellite procurement agreement), receive logistics, procurement and quality assurance services from us (previously provided under a services agreement) and provide other support services. In connection with the consummation of the Share Exchange, we and DISH amended and restated the Professional Services Agreement (the “Amended and Restated Professional Services Agreement”) to provide that we and DISH Network shall have the right to receive additional services that either we or DISH Network may require as a result of the Share Exchange, including access to antennas owned by DISH Network for our use in performing TT&amp;C services and maintenance and support services for our antennas (collectively, the “TT&amp;C Antennas”). In September 2019, in connection with the BSS Transaction, we amended the Amended and Restated Professional Services Agreement to provide that we and DISH Network shall have the right to receive additional services that either we or DISH Network may require as a result of the BSS Transaction and to remove our access to and the maintenance and support services for the TT&amp;C Antennas. The term of the Amended and Restated Professional 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ectPr>
          <w:pgSz w:w="11900" w:h="16838" w:orient="portrait"/>
          <w:cols w:equalWidth="0" w:num="1">
            <w:col w:w="11480"/>
          </w:cols>
          <w:pgMar w:left="220" w:top="140" w:right="199" w:bottom="1440" w:gutter="0" w:footer="0" w:header="0"/>
        </w:sectPr>
      </w:pPr>
    </w:p>
    <w:bookmarkStart w:id="40" w:name="page41"/>
    <w:bookmarkEnd w:id="4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ervices Agreement is through January 2020 and renews automatically for successive one-year periods thereafter, unless the agreement is terminated earlier by either party upon at least 60 days’ notice. We or DISH Network may generally terminate the Amended and Restated Professional Services Agreement in part with respect to any particular service it receives for any reason upon at least 30 days’ notice, unless the statement of work for particular services states otherwise. Certain services being provided for under the Amended and Restated Professional Services Agreement may survive the termination of the agreement.</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Real Estate Leases from DISH Network</w:t>
      </w:r>
      <w:r>
        <w:rPr>
          <w:rFonts w:ascii="Arial" w:cs="Arial" w:eastAsia="Arial" w:hAnsi="Arial"/>
          <w:sz w:val="12"/>
          <w:szCs w:val="12"/>
          <w:color w:val="auto"/>
        </w:rPr>
        <w:t>. We have entered into lease agreements pursuant to which we lease certain real estate from DISH Network. The rent on a per square foot basis is comparable to per square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foot rental rates of similar commercial property in the same geographic area at the time of the leases, and for certain properties, we are responsible for our portion of the taxes, insurance, utilities and maintenance of the premises.</w:t>
      </w:r>
    </w:p>
    <w:p>
      <w:pPr>
        <w:spacing w:after="0" w:line="116" w:lineRule="exact"/>
        <w:rPr>
          <w:sz w:val="20"/>
          <w:szCs w:val="20"/>
          <w:color w:val="auto"/>
        </w:rPr>
      </w:pPr>
    </w:p>
    <w:p>
      <w:pPr>
        <w:jc w:val="both"/>
        <w:ind w:left="200"/>
        <w:spacing w:after="0" w:line="261" w:lineRule="auto"/>
        <w:rPr>
          <w:sz w:val="20"/>
          <w:szCs w:val="20"/>
          <w:color w:val="auto"/>
        </w:rPr>
      </w:pPr>
      <w:r>
        <w:rPr>
          <w:rFonts w:ascii="Arial" w:cs="Arial" w:eastAsia="Arial" w:hAnsi="Arial"/>
          <w:sz w:val="12"/>
          <w:szCs w:val="12"/>
          <w:i w:val="1"/>
          <w:iCs w:val="1"/>
          <w:color w:val="auto"/>
        </w:rPr>
        <w:t xml:space="preserve">Cheyenne Lease Agreement. </w:t>
      </w:r>
      <w:r>
        <w:rPr>
          <w:rFonts w:ascii="Arial" w:cs="Arial" w:eastAsia="Arial" w:hAnsi="Arial"/>
          <w:sz w:val="12"/>
          <w:szCs w:val="12"/>
          <w:color w:val="auto"/>
        </w:rPr>
        <w:t>Effective March 2017, we lease from DISH Network certain space at 530 EchoStar Drive in Cheyenne, Wyoming for a period ending in February 2019. In August 2018, we exercised</w:t>
      </w:r>
      <w:r>
        <w:rPr>
          <w:rFonts w:ascii="Arial" w:cs="Arial" w:eastAsia="Arial" w:hAnsi="Arial"/>
          <w:sz w:val="12"/>
          <w:szCs w:val="12"/>
          <w:i w:val="1"/>
          <w:iCs w:val="1"/>
          <w:color w:val="auto"/>
        </w:rPr>
        <w:t xml:space="preserve"> </w:t>
      </w:r>
      <w:r>
        <w:rPr>
          <w:rFonts w:ascii="Arial" w:cs="Arial" w:eastAsia="Arial" w:hAnsi="Arial"/>
          <w:sz w:val="12"/>
          <w:szCs w:val="12"/>
          <w:color w:val="auto"/>
        </w:rPr>
        <w:t>our option to renew this lease for a one year period ending in February 2020. In connection with the BSS Transaction, we transferred the Cheyenne Satellite Operations Center, including any equipment, software licenses, and furniture located within, to DISH Network and amended this lease to provide us with certain space for the Cheyenne Satellite Access Center for a period ending in September 2021, with the option for us to renew for a one year period upon 180 days’ written notice prior to the end of the term</w:t>
      </w:r>
      <w:r>
        <w:rPr>
          <w:rFonts w:ascii="Arial" w:cs="Arial" w:eastAsia="Arial" w:hAnsi="Arial"/>
          <w:sz w:val="12"/>
          <w:szCs w:val="12"/>
          <w:i w:val="1"/>
          <w:iCs w:val="1"/>
          <w:color w:val="auto"/>
        </w:rPr>
        <w:t>.</w:t>
      </w:r>
    </w:p>
    <w:p>
      <w:pPr>
        <w:spacing w:after="0" w:line="120" w:lineRule="exact"/>
        <w:rPr>
          <w:sz w:val="20"/>
          <w:szCs w:val="20"/>
          <w:color w:val="auto"/>
        </w:rPr>
      </w:pPr>
    </w:p>
    <w:p>
      <w:pPr>
        <w:jc w:val="both"/>
        <w:ind w:left="200"/>
        <w:spacing w:after="0" w:line="283" w:lineRule="auto"/>
        <w:rPr>
          <w:sz w:val="20"/>
          <w:szCs w:val="20"/>
          <w:color w:val="auto"/>
        </w:rPr>
      </w:pPr>
      <w:r>
        <w:rPr>
          <w:rFonts w:ascii="Arial" w:cs="Arial" w:eastAsia="Arial" w:hAnsi="Arial"/>
          <w:sz w:val="12"/>
          <w:szCs w:val="12"/>
          <w:i w:val="1"/>
          <w:iCs w:val="1"/>
          <w:color w:val="auto"/>
        </w:rPr>
        <w:t>American Fork Occupancy License Agreement</w:t>
      </w:r>
      <w:r>
        <w:rPr>
          <w:rFonts w:ascii="Arial" w:cs="Arial" w:eastAsia="Arial" w:hAnsi="Arial"/>
          <w:sz w:val="12"/>
          <w:szCs w:val="12"/>
          <w:color w:val="auto"/>
        </w:rPr>
        <w:t>. Effective March 2017, we subleased from DISH Network certain space at 796 East Utah Valley Drive in American Fork, Utah for a period ending in August 2017. We</w:t>
      </w:r>
      <w:r>
        <w:rPr>
          <w:rFonts w:ascii="Arial" w:cs="Arial" w:eastAsia="Arial" w:hAnsi="Arial"/>
          <w:sz w:val="12"/>
          <w:szCs w:val="12"/>
          <w:i w:val="1"/>
          <w:iCs w:val="1"/>
          <w:color w:val="auto"/>
        </w:rPr>
        <w:t xml:space="preserve"> </w:t>
      </w:r>
      <w:r>
        <w:rPr>
          <w:rFonts w:ascii="Arial" w:cs="Arial" w:eastAsia="Arial" w:hAnsi="Arial"/>
          <w:sz w:val="12"/>
          <w:szCs w:val="12"/>
          <w:color w:val="auto"/>
        </w:rPr>
        <w:t>exercised our option to renew this sublease for a five-year period ending in August 2022. We and DISH Network amended this sublease to, among other things, terminate this sublease in March 2019.</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i w:val="1"/>
          <w:iCs w:val="1"/>
          <w:color w:val="auto"/>
        </w:rPr>
        <w:t>Share Exchange Employee Matters Agreement</w:t>
      </w:r>
      <w:r>
        <w:rPr>
          <w:rFonts w:ascii="Arial" w:cs="Arial" w:eastAsia="Arial" w:hAnsi="Arial"/>
          <w:sz w:val="12"/>
          <w:szCs w:val="12"/>
          <w:color w:val="auto"/>
        </w:rPr>
        <w:t>. Effective March 2017, in connection with the Share Exchange, we and DISH Network entered into an employee matters agreement that addressed the transfer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employees from us to DISH Network, including certain benefit and compensation matters and the allocation of responsibility for employee related liabilities relating to current and past employees of the transferred businesses. DISH Network assumed employee-related liabilities relating to the transferred businesses as part of the Share Exchange, except that we are responsible for certain existing employee related litigation as well as certain pre-Share Exchange compensation and benefits for employees transferring to DISH Network in connection with the Share Exchange.</w:t>
      </w:r>
    </w:p>
    <w:p>
      <w:pPr>
        <w:spacing w:after="0" w:line="118"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i w:val="1"/>
          <w:iCs w:val="1"/>
          <w:color w:val="auto"/>
        </w:rPr>
        <w:t>BSS Transaction Employee Matters Agreement</w:t>
      </w:r>
      <w:r>
        <w:rPr>
          <w:rFonts w:ascii="Arial" w:cs="Arial" w:eastAsia="Arial" w:hAnsi="Arial"/>
          <w:sz w:val="12"/>
          <w:szCs w:val="12"/>
          <w:color w:val="auto"/>
        </w:rPr>
        <w:t>. Effective September 2019, in connection with the BSS Transaction , we and DISH Network entered into an employee matters agreement that addressed the transfer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employees from us to DISH Network, including certain benefit and compensation matters and the allocation of responsibility for employee related liabilities relating to current and past employees of the BSS Business. DISH Network assumed employee-related liabilities relating to the BSS Business as part of the BSS Transaction, except that we are responsible for certain pre-BSS Transaction compensation and benefits for employees transferring to DISH Network in connection with the BSS Transaction.</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auto"/>
        </w:rPr>
        <w:t>Collocation and Antenna Space Agreements</w:t>
      </w:r>
      <w:r>
        <w:rPr>
          <w:rFonts w:ascii="Arial" w:cs="Arial" w:eastAsia="Arial" w:hAnsi="Arial"/>
          <w:sz w:val="12"/>
          <w:szCs w:val="12"/>
          <w:color w:val="auto"/>
        </w:rPr>
        <w:t>. We and DISH Network have entered into an agreement pursuant to which DISH Network provides us with collocation space in El Paso, Texas. This agreement was for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 initial period ending in August 2015, and provides us with renewal options for four consecutive years. Effective August 2015, we exercised our first renewal option for a period ending in August 2018 and in April 2018 we exercised our second renewal option for a period ending in August 2021. In connection with the Share Exchange, effective March 2017, we also entered into certain agreements pursuant to which DISH Network provides collocation and antenna space to EchoStar through February 2022 at the following locations: Cheyenne, Wyoming; Gilbert, Arizona; New Braunfels, Texas; Monee, Illinois; Spokane, Washington; and Englewood, Colorado. In October 2019, we provided a termination notice for our New Braunfels, Texas agreement to be effective May 2020. In August 2017, we and DISH Network also entered into certain other agreements pursuant to which DISH Network provides additional collocation and antenna space to EchoStar in Monee, Illinois and Spokane, Washington through August 2022. We generally may renew our collocation and antenna space agreements for three-year periods by providing DISH Network with prior written notice no more than 120 days but no less than 90 days prior to the end of the then-current term. We may terminate certain of these agreements with 180 days’ prior written notice. In September 2019, in connection with the BSS Transaction, we entered into an agreement pursuant to which DISH Network provides us with certain additional collocation space in Cheyenne,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80"/>
          </w:cols>
          <w:pgMar w:left="220" w:top="140" w:right="199" w:bottom="1440" w:gutter="0" w:footer="0" w:header="0"/>
        </w:sectPr>
      </w:pPr>
    </w:p>
    <w:bookmarkStart w:id="41" w:name="page42"/>
    <w:bookmarkEnd w:id="4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Wyoming for a period ending in September 2020, with the option for us to renew for a one-year period, with prior written notice no more than 120 days but no less than 90 days prior to the end of the term. The fees for the services provided under these agreements depend on the number of racks leased at the location.</w:t>
      </w:r>
    </w:p>
    <w:p>
      <w:pPr>
        <w:spacing w:after="0" w:line="131"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Also in connection with the BSS Transaction, in September 2019, we entered into an agreement pursuant to which DISH Network will provide us with antenna space and power in Cheyenne, Wyoming for a period of five years commencing no later than October 2020, with four three-year renewal terms, with prior written notice no more than 120 days but no less than 90 days prior to the end of the then-current term.</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Agreements — DISH Network</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b w:val="1"/>
          <w:bCs w:val="1"/>
          <w:i w:val="1"/>
          <w:iCs w:val="1"/>
          <w:color w:val="auto"/>
        </w:rPr>
        <w:t xml:space="preserve">Master Transaction Agreement. </w:t>
      </w:r>
      <w:r>
        <w:rPr>
          <w:rFonts w:ascii="Arial" w:cs="Arial" w:eastAsia="Arial" w:hAnsi="Arial"/>
          <w:sz w:val="12"/>
          <w:szCs w:val="12"/>
          <w:color w:val="auto"/>
        </w:rPr>
        <w:t>In May 2019, we and BSS Corp. entered into the Master Transaction Agreement with DISH and Merger Sub with respect to the BSS Transaction. Pursuant to the terms of the Master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Transaction Agreement, on September 10, 2019: (i) we transferred the BSS Business to BSS Corp.; (ii) we completed the Distribution; and (iii) immediately after the Distribution, (1) BSS Corp. became a wholly-owned subsidiary of DISH such that DISH owns and operates the BSS Business and (2) each issued and outstanding share of BSS Common Stock owned by EchoStar stockholders was converted into the right to receive 0.23523769 shares of DISH Common Stock. Following the consummation of the BSS Transaction, we no longer operate the BSS Business, which was a substantial portion of our ESS segment. The Master Transaction Agreement contained customary representations and warranties by us and DISH Network, including our representations relating to the assets, liabilities and financial condition of the BSS Business, and representations by DISH Network relating to its financial condition and liabilities. We and DISH Network have agreed to indemnify each other against certain losses with respect to breaches of certain representations and covenants and certain retained and assumed liabilities, respectively. See Note 1 for further information.</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b w:val="1"/>
          <w:bCs w:val="1"/>
          <w:i w:val="1"/>
          <w:iCs w:val="1"/>
          <w:color w:val="auto"/>
        </w:rPr>
        <w:t>Satellite and Tracking Stock Transaction</w:t>
      </w:r>
      <w:r>
        <w:rPr>
          <w:rFonts w:ascii="Arial" w:cs="Arial" w:eastAsia="Arial" w:hAnsi="Arial"/>
          <w:sz w:val="12"/>
          <w:szCs w:val="12"/>
          <w:color w:val="auto"/>
        </w:rPr>
        <w:t>. In February 2014, we entered into agreements with DISH Network to implement a transaction pursuant to which, among other things: (i) in March 2014, EchoStar and our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subsidiary, Hughes Satellite Systems Corporation (“HSS”), issued the Tracking Stock to DISH Network in exchange for five satellites owned by DISH Network (EchoStar I, EchoStar VII, EchoStar X, EchoStar XI and EchoStar XIV) (including assumption of related in-orbit incentive obligations) and $11.4 million in cash; and (ii) in March 2014, DISH Network began receiving certain satellite services from us as discussed above on these five satellites (collectively, the “Satellite and Tracking Stock Transaction.”) The Tracking Stock was retired in March 2017 and is no longer outstanding and all agreements, arrangements and policy statements with respect to such Tracking Stock terminated and are of no further effect.</w:t>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auto"/>
        </w:rPr>
        <w:t>Share Exchange Agreement</w:t>
      </w:r>
      <w:r>
        <w:rPr>
          <w:rFonts w:ascii="Arial" w:cs="Arial" w:eastAsia="Arial" w:hAnsi="Arial"/>
          <w:sz w:val="12"/>
          <w:szCs w:val="12"/>
          <w:color w:val="auto"/>
        </w:rPr>
        <w:t>. On January 31, 2017, we and certain of our subsidiaries entered into a share exchange agreement (the “Share Exchange Agreement”) with DISH and certain of its subsidiaries, pursuant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which, on February 28, 2017, we received all of the shares of the Tracking Stock in exchange for 100% of the equity interests of certain EchoStar subsidiaries that held substantially all of our EchoStar Technologies businesses and certain other assets. Following consummation of the Share Exchange, we no longer operate the transferred EchoStar Technologies businesses and the Tracking Stock was retired and is no longer outstanding and all agreements, arrangements and policy statements with respect to such Tracking Stock terminated and are of no further effect. Pursuant to the Share Exchange Agreement, we transferred certain assets, investments in joint ventures, spectrum licenses and real estate properties and DISH Network assumed certain liabilities relating to the transferred assets and businesses. The Share Exchange Agreement contained customary representations and warranties by the parties, including representations by us related to the transferred assets, assumed liabilities and the financial condition of the transferred businesses. We and DISH Network also agreed to customary indemnification provisions whereby each party indemnifies the other against certain losses with respect to breaches of representations, warranties or covenants and certain liabilities and if certain actions undertaken by us or DISH causes the transaction to be taxable to the other party after closing. See Note 1 for further information.</w:t>
      </w:r>
    </w:p>
    <w:p>
      <w:pPr>
        <w:spacing w:after="0" w:line="12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i w:val="1"/>
          <w:iCs w:val="1"/>
          <w:color w:val="auto"/>
        </w:rPr>
        <w:t>Hughes Broadband Master Services Agreement</w:t>
      </w:r>
      <w:r>
        <w:rPr>
          <w:rFonts w:ascii="Arial" w:cs="Arial" w:eastAsia="Arial" w:hAnsi="Arial"/>
          <w:sz w:val="12"/>
          <w:szCs w:val="12"/>
          <w:color w:val="auto"/>
        </w:rPr>
        <w:t>. In March 2017, we and DISH Network entered into a master service agreement (the “Hughes Broadband MSA”) pursuant to which DISH Network, among other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things: (i) has the right, but not the obligation, to market, promote and solicit orders and upgrades for our HughesNet service and related equipment and other telecommunication services and (ii) installs HughesNet service equipment with respect to activations generated by DISH Network. Under the Hughes Broadband MSA, we and DISH Network make certain payments to each other relating to sales, upgrades, purchases and installation services. The Hughes Broadband MSA has an initial term of five years until March 2022 with automatic renewal for successive one-year terms. Either party</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ectPr>
          <w:pgSz w:w="11900" w:h="16838" w:orient="portrait"/>
          <w:cols w:equalWidth="0" w:num="1">
            <w:col w:w="11480"/>
          </w:cols>
          <w:pgMar w:left="220" w:top="140" w:right="199" w:bottom="1440" w:gutter="0" w:footer="0" w:header="0"/>
        </w:sectPr>
      </w:pPr>
    </w:p>
    <w:bookmarkStart w:id="42" w:name="page43"/>
    <w:bookmarkEnd w:id="4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has the ability to terminate the Hughes Broadband MSA, in whole or in part, for any reason upon at least 90 days’ notice to the other party. Upon expiration or termination of the Hughes Broadband MSA, we will continue to provide our HughesNet service to subscribers and make certain payments to DISH Network pursuant to the terms and conditions of the Hughes Broadband MSA. We incurred sales incentives and other costs under the Hughes Broadband MSA totaling $3.7 million and $6.4 million for the three months ended September 30, 2019 and 2018, respectively, and $13.2 million and $26.3 million for the nine months ended September 30, 2019 and 2018, respectively.</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b w:val="1"/>
          <w:bCs w:val="1"/>
          <w:i w:val="1"/>
          <w:iCs w:val="1"/>
          <w:color w:val="auto"/>
        </w:rPr>
        <w:t>Share Exchange Intellectual Property and Technology License Agreement</w:t>
      </w:r>
      <w:r>
        <w:rPr>
          <w:rFonts w:ascii="Arial" w:cs="Arial" w:eastAsia="Arial" w:hAnsi="Arial"/>
          <w:sz w:val="12"/>
          <w:szCs w:val="12"/>
          <w:color w:val="auto"/>
        </w:rPr>
        <w:t>. Effective March 2017, in connection with the Share Exchange, we and DISH Network entered into an intellectual property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technology license agreement (“IPTLA”) pursuant to which we and DISH Network license to each other certain intellectual property and technology. The IPTLA will continue in perpetuity, unless mutually terminated by the parties. Pursuant to the IPTLA, we granted to DISH Network a license to our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among other things, for the continued use of all intellectual property and technology that is used in our retained businesses but the ownership of which was transferred to DISH Network pursuant to the Share Exchange.</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2"/>
          <w:szCs w:val="12"/>
          <w:b w:val="1"/>
          <w:bCs w:val="1"/>
          <w:i w:val="1"/>
          <w:iCs w:val="1"/>
          <w:color w:val="auto"/>
        </w:rPr>
        <w:t>BSS Transaction Intellectual Property and Technology License Agreement</w:t>
      </w:r>
      <w:r>
        <w:rPr>
          <w:rFonts w:ascii="Arial" w:cs="Arial" w:eastAsia="Arial" w:hAnsi="Arial"/>
          <w:sz w:val="12"/>
          <w:szCs w:val="12"/>
          <w:color w:val="auto"/>
        </w:rPr>
        <w:t>. Effective September 2019, in connection with the BSS Transaction, we and DISH Network entered into an intellectual property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technology license agreement (the “BSS IPTLA”) pursuant to which we and DISH Network license to each other certain intellectual property and technology. The BSS IPTLA will continue in perpetuity, unless mutually terminated by the parties. Pursuant to the BSS IPTLA, we granted to DISH Network a license to our intellectual property and technology for use by DISH Network, among other things, in connection with its continued operation of the BSS Business acquired pursuant to the BSS Transaction, including a limited license to use the “ESS” and “ECHOSTAR SATELLITE SERVICES” trademarks during a transition period. EchoStar retains full ownership of the “ESS” and “ECHOSTAR SATELLITE SERVICES” trademarks. In addition, DISH Network granted a license back to us, among other things, for the continued use of all intellectual property and technology that is used in our retained businesses but the ownership of which was transferred to DISH Network pursuant to the BSS Transaction.</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TT&amp;C Agreement</w:t>
      </w:r>
      <w:r>
        <w:rPr>
          <w:rFonts w:ascii="Arial" w:cs="Arial" w:eastAsia="Arial" w:hAnsi="Arial"/>
          <w:sz w:val="12"/>
          <w:szCs w:val="12"/>
          <w:color w:val="auto"/>
        </w:rPr>
        <w:t>. In September 2019, in connection with the BSS Transaction, we entered into an agreement pursuant to which DISH Network provides TT&amp;C services to us for a period ending in September 2021,</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with the option for us to renew for a one-year period upon written notice at least 90 days prior to the initial expiration (the “TT&amp;C Agreement”). The fees for services provided under the TT&amp;C Agreement are calculated at either: (i) a fixed fee or (ii) cost plus a fixed margin, which will vary depending on the nature of the services provided. Either party is able to terminate the TT&amp;C Agreement for any reason upon 12 months’ notice.</w:t>
      </w:r>
    </w:p>
    <w:p>
      <w:pPr>
        <w:spacing w:after="0" w:line="11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b w:val="1"/>
          <w:bCs w:val="1"/>
          <w:i w:val="1"/>
          <w:iCs w:val="1"/>
          <w:color w:val="auto"/>
        </w:rPr>
        <w:t>Share Exchange Tax Matters Agreement</w:t>
      </w:r>
      <w:r>
        <w:rPr>
          <w:rFonts w:ascii="Arial" w:cs="Arial" w:eastAsia="Arial" w:hAnsi="Arial"/>
          <w:sz w:val="12"/>
          <w:szCs w:val="12"/>
          <w:color w:val="auto"/>
        </w:rPr>
        <w:t>. Effective March 2017, in connection with the Share Exchange, we and DISH entered into a tax matters agreement. This agreement governs certain of our rights,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responsibilities and obligations with respect to taxes of the transferred businesses pursuant to the Share Exchange. Generally, we are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we and DISH Network made certain tax-related representations and are subject to various tax-related covenants after the consummation of the Share Exchange. Both we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us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below, which continues in full force and effect.</w:t>
      </w:r>
    </w:p>
    <w:p>
      <w:pPr>
        <w:spacing w:after="0" w:line="12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BSS Transaction Tax Matters Agreement</w:t>
      </w:r>
      <w:r>
        <w:rPr>
          <w:rFonts w:ascii="Arial" w:cs="Arial" w:eastAsia="Arial" w:hAnsi="Arial"/>
          <w:sz w:val="12"/>
          <w:szCs w:val="12"/>
          <w:color w:val="auto"/>
        </w:rPr>
        <w:t>. Effective September 2019, in connection with the BSS Transaction, we, BSS Corp. and DISH entered into a tax matters agreement. This agreement governs certain of our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rights, responsibilities and obligations with respect to taxes of the BSS Business transferred pursuant to the BSS Transaction. Generally, we are responsible for all tax returns and tax liabilities for the BSS Business for periods prior to the BSS Transaction and DISH is responsible for all tax returns and tax liabilities for the BSS Business from and after the BSS Transaction.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ectPr>
          <w:pgSz w:w="11900" w:h="16838" w:orient="portrait"/>
          <w:cols w:equalWidth="0" w:num="1">
            <w:col w:w="11480"/>
          </w:cols>
          <w:pgMar w:left="220" w:top="140" w:right="199" w:bottom="1440" w:gutter="0" w:footer="0" w:header="0"/>
        </w:sectPr>
      </w:pPr>
    </w:p>
    <w:bookmarkStart w:id="43" w:name="page44"/>
    <w:bookmarkEnd w:id="4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68"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Both we and DISH made certain tax-related representations and are subject to various tax-related covenants after the consummation of the BSS Transaction. Both we and DISH Network have agreed to indemnify each other for certain losses if there is a breach of any the tax representations or violation of any of the tax covenants in the tax matters agreement and that breach or violation results in the failure of the BSS Transaction being treated as a transaction that is tax-free for EchoStar or its stockholders for U.S. federal income tax purposes. In addition, DISH Network has agreed to indemnify us if the BSS Business is acquired, either directly or indirectly (e.g., via an acquisition of DISH Network), by one or more persons, where either it took an action, or knowingly facilitated, consented to or assisted with an action by its stockholders, that resulted in the failure of the BSS Transaction being treated as a transaction that is tax-free for EchoStar and its stockholders for U.S. federal income tax purposes. The tax matters agreement supplements the Share Exchange Tax Matters Agreement outlined above and the Tax Sharing Agreement outlined below, which continue in full force and effect.</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auto"/>
        </w:rPr>
        <w:t>Tax Sharing Agreement</w:t>
      </w:r>
      <w:r>
        <w:rPr>
          <w:rFonts w:ascii="Arial" w:cs="Arial" w:eastAsia="Arial" w:hAnsi="Arial"/>
          <w:sz w:val="12"/>
          <w:szCs w:val="12"/>
          <w:color w:val="auto"/>
        </w:rPr>
        <w:t>. Effective December 2007, we and DISH Network entered into a tax sharing agreement (the “Tax Sharing Agreement”) in connection with the Spin-off. This agreement governs our and DISH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Network’s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us for such taxes. However, DISH Network is not liable for and does not indemnify us for any taxes that are incurred as a result of the Spin-off or certain related transactions failing to qualify as tax-free distributions pursuant to any provision of Section 355 or Section 361 of the Internal Revenue Code (the “Code”), because of: (i) a direct or indirect acquisition of any of our stock, stock options or assets; (ii) 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 expenses. The Tax Sharing Agreement will terminate after the later of the full period of all applicable statutes of limitations, including extensions, or once all rights and obligations are fully effectuated or performed.</w:t>
      </w:r>
    </w:p>
    <w:p>
      <w:pPr>
        <w:spacing w:after="0" w:line="138"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 xml:space="preserve">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in 2013, the federal tax benefits were reflected as a deferred tax asset for depreciation and amortization, which was netted in our noncurrent deferred tax liabilities. The agreement with DISH Network in 2013 requires DISH Network to pay us the federal tax benefit it receives at such time as we would have otherwise been able to realize such tax benefit. We recorded a noncurrent receivable from DISH Network in </w:t>
      </w:r>
      <w:r>
        <w:rPr>
          <w:rFonts w:ascii="Arial" w:cs="Arial" w:eastAsia="Arial" w:hAnsi="Arial"/>
          <w:sz w:val="12"/>
          <w:szCs w:val="12"/>
          <w:i w:val="1"/>
          <w:iCs w:val="1"/>
          <w:color w:val="auto"/>
        </w:rPr>
        <w:t>Other</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receivables - DISH Network </w:t>
      </w:r>
      <w:r>
        <w:rPr>
          <w:rFonts w:ascii="Arial" w:cs="Arial" w:eastAsia="Arial" w:hAnsi="Arial"/>
          <w:sz w:val="12"/>
          <w:szCs w:val="12"/>
          <w:color w:val="auto"/>
        </w:rPr>
        <w:t>and a corresponding increase in our Deferred tax liabilities, net to reflect the effects of this agreement in September 2013. In addition, in September 2013, we and DISH Network agreed</w:t>
      </w:r>
      <w:r>
        <w:rPr>
          <w:rFonts w:ascii="Arial" w:cs="Arial" w:eastAsia="Arial" w:hAnsi="Arial"/>
          <w:sz w:val="12"/>
          <w:szCs w:val="12"/>
          <w:i w:val="1"/>
          <w:iCs w:val="1"/>
          <w:color w:val="auto"/>
        </w:rPr>
        <w:t xml:space="preserve"> </w:t>
      </w:r>
      <w:r>
        <w:rPr>
          <w:rFonts w:ascii="Arial" w:cs="Arial" w:eastAsia="Arial" w:hAnsi="Arial"/>
          <w:sz w:val="12"/>
          <w:szCs w:val="12"/>
          <w:color w:val="auto"/>
        </w:rPr>
        <w:t>upon a tax sharing arrangement for filing certain combined state income tax returns and a method of allocating the respective tax liabilities between us and DISH Network for such combined returns, through the taxable period ending on December 31, 2017 (the “State Tax Arrangement”).</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In August 2018, we and DISH Network amended the Tax Sharing Agreement and the 2013 agreements (the “Tax Sharing Amendment”). Under the Tax Sharing Amendment, to the extent permitted by applicable tax law, DISH Network is entitled to apply the benefit of our 2009 net operating losses (the “SATS 2009 NOLs”) to DISH Network’s federal tax return for the year ended December 31, 2008, in exchange for DISH Network paying us over time the value of the net annual federal income taxes paid by us that would have been otherwise offset by the SATS 2009 NOLs. The Tax Sharing Amendment also requires us and DISH Network to pay the other for the benefits of certain past and future federal research and development tax credits that we or DISH Network receive or received as a result of being part of a controlled group under the Code, and requires DISH Network to compensate us for certain past tax losses utilized by DISH Network and for certain past and future excess California research and development tax credits generated by us and used by DISH Network. In addition, the Tax Sharing Amendment extends the term of the State Tax Arrangement to the earlier to occur of termination of the Tax Sharing Agreement, a change in control of either us or DISH Network or, for any particular state, if we and DISH Network no longer file a combined tax return for such state.</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and DISH Network file combined income tax returns in certain states. We have earned and recognized tax benefits for certain state income tax credits that we would be unable to utilize currently if we had filed separately from DISH</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80"/>
          </w:cols>
          <w:pgMar w:left="220" w:top="140" w:right="199" w:bottom="1440" w:gutter="0" w:footer="0" w:header="0"/>
        </w:sectPr>
      </w:pPr>
    </w:p>
    <w:bookmarkStart w:id="44" w:name="page45"/>
    <w:bookmarkEnd w:id="4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6" w:lineRule="exact"/>
        <w:rPr>
          <w:sz w:val="20"/>
          <w:szCs w:val="20"/>
          <w:color w:val="auto"/>
        </w:rPr>
      </w:pPr>
    </w:p>
    <w:p>
      <w:pPr>
        <w:jc w:val="both"/>
        <w:ind w:right="20"/>
        <w:spacing w:after="0" w:line="283" w:lineRule="auto"/>
        <w:rPr>
          <w:sz w:val="20"/>
          <w:szCs w:val="20"/>
          <w:color w:val="auto"/>
        </w:rPr>
      </w:pPr>
      <w:r>
        <w:rPr>
          <w:rFonts w:ascii="Arial" w:cs="Arial" w:eastAsia="Arial" w:hAnsi="Arial"/>
          <w:sz w:val="12"/>
          <w:szCs w:val="12"/>
          <w:color w:val="auto"/>
        </w:rPr>
        <w:t xml:space="preserve">Network. We have charged </w:t>
      </w:r>
      <w:r>
        <w:rPr>
          <w:rFonts w:ascii="Arial" w:cs="Arial" w:eastAsia="Arial" w:hAnsi="Arial"/>
          <w:sz w:val="12"/>
          <w:szCs w:val="12"/>
          <w:i w:val="1"/>
          <w:iCs w:val="1"/>
          <w:color w:val="auto"/>
        </w:rPr>
        <w:t>Additional paid-in capital</w:t>
      </w:r>
      <w:r>
        <w:rPr>
          <w:rFonts w:ascii="Arial" w:cs="Arial" w:eastAsia="Arial" w:hAnsi="Arial"/>
          <w:sz w:val="12"/>
          <w:szCs w:val="12"/>
          <w:color w:val="auto"/>
        </w:rPr>
        <w:t xml:space="preserve"> in prior periods when DISH Network has utilized such tax benefits. We expect to increase </w:t>
      </w:r>
      <w:r>
        <w:rPr>
          <w:rFonts w:ascii="Arial" w:cs="Arial" w:eastAsia="Arial" w:hAnsi="Arial"/>
          <w:sz w:val="12"/>
          <w:szCs w:val="12"/>
          <w:i w:val="1"/>
          <w:iCs w:val="1"/>
          <w:color w:val="auto"/>
        </w:rPr>
        <w:t>Additional paid-in capital</w:t>
      </w:r>
      <w:r>
        <w:rPr>
          <w:rFonts w:ascii="Arial" w:cs="Arial" w:eastAsia="Arial" w:hAnsi="Arial"/>
          <w:sz w:val="12"/>
          <w:szCs w:val="12"/>
          <w:color w:val="auto"/>
        </w:rPr>
        <w:t xml:space="preserve"> upon receipt of any consideration that DISH Network pays to us in exchange for these tax credits.</w:t>
      </w:r>
    </w:p>
    <w:p>
      <w:pPr>
        <w:spacing w:after="0" w:line="105" w:lineRule="exact"/>
        <w:rPr>
          <w:sz w:val="20"/>
          <w:szCs w:val="20"/>
          <w:color w:val="auto"/>
        </w:rPr>
      </w:pPr>
    </w:p>
    <w:p>
      <w:pPr>
        <w:jc w:val="both"/>
        <w:spacing w:after="0" w:line="257" w:lineRule="auto"/>
        <w:rPr>
          <w:sz w:val="20"/>
          <w:szCs w:val="20"/>
          <w:color w:val="auto"/>
        </w:rPr>
      </w:pPr>
      <w:r>
        <w:rPr>
          <w:rFonts w:ascii="Arial" w:cs="Arial" w:eastAsia="Arial" w:hAnsi="Arial"/>
          <w:sz w:val="12"/>
          <w:szCs w:val="12"/>
          <w:b w:val="1"/>
          <w:bCs w:val="1"/>
          <w:i w:val="1"/>
          <w:iCs w:val="1"/>
          <w:color w:val="auto"/>
        </w:rPr>
        <w:t>Patent Cross-License Agreements</w:t>
      </w:r>
      <w:r>
        <w:rPr>
          <w:rFonts w:ascii="Arial" w:cs="Arial" w:eastAsia="Arial" w:hAnsi="Arial"/>
          <w:sz w:val="12"/>
          <w:szCs w:val="12"/>
          <w:color w:val="auto"/>
        </w:rPr>
        <w:t>. In December 2011, we and DISH Network entered into separate patent cross-license agreements with the same third party whereby: (i) we and such third party licensed our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respective patents to each other subject to certain conditions; and (ii) DISH Network and such third party licensed their respective patents to each other subject to certain conditions (each, a “Cross-License Agreement”). Each Cross-License Agreement covers patents acquired by the respective party prior to January 2017 and aggregate payments under both Cross-License Agreements were less than $10.0 million. Each Cross-License Agreement contained an option to extend each Cross-License Agreement to include patents acquired by the respective party prior to January 2022. In December 2016, both we and DISH Network exercised our respective renewal options, resulting in aggregate additional payments to such third party totaling less than $3.0 million. Since the aggregate payments under both Cross-License Agreements were based on the combined annual revenue of us and DISH Network, we and DISH Network agreed to allocate our respective payments to such third party based on our respective percentage of combined total revenue.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Agreements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Hughes Systique Corporation (“Hughes Systique”)</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contract with Hughes Systique for software development services. In addition to our approximately 43.3% ownership in Hughes Systique, Mr. Pradman Kaul, the President of our subsidiary Hughes Communications, Inc. and a member of our board of directors, and his brother, who is the Chief Executive Officer and President of Hughes Systique, in the aggregate, own approximately 25.4%, on an undiluted basis, of Hughes Systique’s outstanding shares as of September 30, 2019. Furthermore, Mr. Pradman Kaul serves on the board of directors of Hughes Systique. Hughes Systique is a variable interest entity and we are considered the primary beneficiary of Hughes Systique due to, among other factors, our ability to direct the activities that most significantly impact the economic performance of Hughes Systique. As a result, we consolidate Hughes Systique’s financial statements in our accompanying Condensed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Dish Mexico</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own 49.0% of Dish Mexico, an entity that provides direct-to-home satellite services in Mexico. We provided certain satellite services to Dish Mexico; following the consummation of the BSS Transaction, we no longer provide these services. See Note 12 for additional information about our investments in unconsolidated entities.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Deluxe/EchoStar LLC</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own 50.0% of Deluxe, a joint venture that we entered into in 2010 to build an advanced digital cinema satellite distribution network targeting delivery to digitally equipped theaters in the U.S. and Canada. We account for our investment in Deluxe using the equity method. We recognized revenue from Deluxe for transponder services and the sale of broadband equipment of $0.9 million and $1.1 million for the three months ended September 30, 2019 and 2018, respectively, and $2.6 million and $3.3 million for the nine months ended September 30, 2019 and 2018, respectively. As of September 30, 2019 and December 31, 2018, we had trade accounts receivable from Deluxe of $0.6 million and $0.8 million, respectively. See Note 12 for additional information about our investments in unconsolidated entities.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Broadband Connectivity Solutions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August 2018, we entered into an agreement with Yahsat to establish a new entity, BCS, to provide commercial Ka-band satellite broadband services across Africa, the Middle East and southwest Asia operating over Yahsat’s Al Yah 2 and Al Yah 3 Ka-band satellites. The transaction was consummated in December 2018 when we invested $100.0 million in cash in exchange for a 20.0% interest in BCS. Under the terms of the agreement, we may also acquire, for further cash investments, additional ownership interests in BCS in the future provided certain conditions are met. We supply network operations and management services and equipment to BCS. We recognized revenue from BCS for such services and equipment of $1.7 million and $6.2 million for the three and nine months ended September 30, 2019,</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ectPr>
          <w:pgSz w:w="11900" w:h="16838" w:orient="portrait"/>
          <w:cols w:equalWidth="0" w:num="1">
            <w:col w:w="11480"/>
          </w:cols>
          <w:pgMar w:left="220" w:top="140" w:right="199" w:bottom="1440" w:gutter="0" w:footer="0" w:header="0"/>
        </w:sectPr>
      </w:pPr>
    </w:p>
    <w:bookmarkStart w:id="45" w:name="page46"/>
    <w:bookmarkEnd w:id="4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respectively. As of September 30, 2019 and December 31, 2018, we had trade accounts receivable from BCS of $2.4 million and $3.4 million, respectively. See Note 12 for additional information about our investments in unconsolidated entities.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AsiaSat</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We contract with AsiaSat Telecommunications Inc. (“AsiaSat”) for the use of transponder capacity on one of AsiaSat’s satellites. Mr. William David Wade, who joined our board of directors in February 2017, served as the Chief Executive Officer of AsiaSat in 2016 and as a senior advisor to the Chief Executive Officer of AsiaSat through March 2017. We incurred expenses payable to AsiaSat under this agreement of nil for both the three and nine months ended September 30, 2019 and 2018,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Global IP</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In May 2017, we entered into an agreement with Global-IP Cayman (“Global IP”) providing for the sale of certain equipment and services to Global IP. Mr. William David Wade, a member of our board of directors, served as a member of the board of directors of Global IP from September 2017 until April 2019 and continues to serve as an executive advisor to the Chief Executive Officer of Global IP. In August 2018, we and Global IP amended the agreement to (i) change certain of the equipment and services to be provided to Global IP; (ii) modify certain payment terms; (iii) provide Global IP an option to use one of our test lab facilities; and (iv) effectuate the assignment of the agreement from Global IP to one of its wholly-owned subsidiaries. In February 2019, we terminated the agreement as a result of Global IP’s defaults resulting from its failure to make payments to us as required under the terms of the agreement and we reserved our rights and remedies against Global IP under the agreement. We recognized revenue under this agreement of nil for both the three and nine months ended September 30, 2019, respectively, and $5.9 million and $6.5 million for the three and nine months ended September 30, 2018, respectively. As of both September 30, 2019 and December 31, 2018, we are owed $7.5 million from Global IP.</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TerreStar Solutions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DISH Network owns more than 15.0% of TerreStar Solutions, Inc. (“TSI”). In May 2018, we and TSI entered into an equipment and services agreement pursuant to which we design, manufacture and install upgraded ground communications network equipment for TSI’s network and provide, among other things, warranty and support services. We recognized revenue of $2.0 million and $ 2.7 million for the three months ended September 30, 2019 and 2018, respectively, and $10.2 million and $3.0 million for the nine months ended September 30, 2019 and 2018, respectively. As of both September 30, 2019 and December 31, 2018, we had trade accounts receivable from TSI of $2.3 million.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Maxar Technologies Inc.</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Mr. Jeffrey Tarr, who joined our board of directors in March 2019, served as a consultant and advisor to Maxar and its subsidiaries (“Maxar Tech”) through May 2019. We previously entered into agreements with Maxar Tech for the manufacture of our EchoStar IX, EchoStar XI, EchoStar XIV, EchoStar XVI, EchoStar XVII, EchoStar XIX, EchoStar XXI and EchoStar XXIII satellites and for the timely manufacture and delivery and certain other services for our EchoStar XXIV satellite with an expected launch date in 2021. Maxar Tech provides us with anomaly support for these satellites once launched pursuant to the terms of the agreements. Maxar Tech also provides a warranty on one of these satellites and may be required to pay us certain amounts should the satellite not operate according to certain performance specifications. Our obligations to pay Maxar Tech under these agreements during the design life of the applicable satellites may be reduced if the applicable satellites do not operate according to certain performance specifications. We incurred aggregate costs payable to Maxar Tech under these agreements of $12.1 million and $78.9 million for the three and nine months ended September 30, 2019, respectively.</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80"/>
          </w:cols>
          <w:pgMar w:left="220" w:top="140" w:right="199" w:bottom="1440" w:gutter="0" w:footer="0" w:header="0"/>
        </w:sectPr>
      </w:pPr>
    </w:p>
    <w:bookmarkStart w:id="46" w:name="page47"/>
    <w:bookmarkEnd w:id="4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Discontinued Operations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 xml:space="preserve">The following agreements were terminated or transferred to DISH Network as part of the BSS Transaction and EchoStar has no further obligations and has earned no additional revenue or incurred no additional expense, as applicable, under these agreements or investments after the consummation of the BSS Transaction on September 10, 2019. Historical transactions under this agreement are reported in </w:t>
      </w:r>
      <w:r>
        <w:rPr>
          <w:rFonts w:ascii="Arial" w:cs="Arial" w:eastAsia="Arial" w:hAnsi="Arial"/>
          <w:sz w:val="12"/>
          <w:szCs w:val="12"/>
          <w:i w:val="1"/>
          <w:iCs w:val="1"/>
          <w:color w:val="auto"/>
        </w:rPr>
        <w:t>Net income from</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discontinued operations </w:t>
      </w:r>
      <w:r>
        <w:rPr>
          <w:rFonts w:ascii="Arial" w:cs="Arial" w:eastAsia="Arial" w:hAnsi="Arial"/>
          <w:sz w:val="12"/>
          <w:szCs w:val="12"/>
          <w:color w:val="auto"/>
        </w:rPr>
        <w:t>in our Condensed Consolidated Statements of Operations (see Note 5).</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 xml:space="preserve">Satellite Capacity Leased to DISH Network. </w:t>
      </w:r>
      <w:r>
        <w:rPr>
          <w:rFonts w:ascii="Arial" w:cs="Arial" w:eastAsia="Arial" w:hAnsi="Arial"/>
          <w:sz w:val="12"/>
          <w:szCs w:val="12"/>
          <w:color w:val="auto"/>
        </w:rPr>
        <w:t>We entered into certain agreements to lease satellite capacity pursuant to which we provided satellite services to DISH Network on certain satellites owned or leased by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us. The fees for the services provided under these agreements depended, among other things, upon the orbital location of the applicable satellite, the number of transponders that provided services on the applicable satellite and the length of the service arrangements.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EchoStar VII, EchoStar X, EchoStar XI and EchoStar XIV</w:t>
      </w:r>
      <w:r>
        <w:rPr>
          <w:rFonts w:ascii="Arial" w:cs="Arial" w:eastAsia="Arial" w:hAnsi="Arial"/>
          <w:sz w:val="12"/>
          <w:szCs w:val="12"/>
          <w:color w:val="auto"/>
        </w:rPr>
        <w:t>. In March 2014, we began leasing certain satellite capacity to DISH Network on the EchoStar VII, EchoStar X, EchoStar XI and EchoStar XIV satellites.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EchoStar XII</w:t>
      </w:r>
      <w:r>
        <w:rPr>
          <w:rFonts w:ascii="Arial" w:cs="Arial" w:eastAsia="Arial" w:hAnsi="Arial"/>
          <w:sz w:val="12"/>
          <w:szCs w:val="12"/>
          <w:color w:val="auto"/>
        </w:rPr>
        <w:t>. DISH Network leased satellite capacity from us on the EchoStar XII satellite.</w:t>
      </w:r>
    </w:p>
    <w:p>
      <w:pPr>
        <w:spacing w:after="0" w:line="150" w:lineRule="exact"/>
        <w:rPr>
          <w:sz w:val="20"/>
          <w:szCs w:val="20"/>
          <w:color w:val="auto"/>
        </w:rPr>
      </w:pPr>
    </w:p>
    <w:p>
      <w:pPr>
        <w:jc w:val="both"/>
        <w:ind w:left="200" w:right="20"/>
        <w:spacing w:after="0" w:line="283" w:lineRule="auto"/>
        <w:rPr>
          <w:sz w:val="20"/>
          <w:szCs w:val="20"/>
          <w:color w:val="auto"/>
        </w:rPr>
      </w:pPr>
      <w:r>
        <w:rPr>
          <w:rFonts w:ascii="Arial" w:cs="Arial" w:eastAsia="Arial" w:hAnsi="Arial"/>
          <w:sz w:val="12"/>
          <w:szCs w:val="12"/>
          <w:i w:val="1"/>
          <w:iCs w:val="1"/>
          <w:color w:val="auto"/>
        </w:rPr>
        <w:t>EchoStar XVI</w:t>
      </w:r>
      <w:r>
        <w:rPr>
          <w:rFonts w:ascii="Arial" w:cs="Arial" w:eastAsia="Arial" w:hAnsi="Arial"/>
          <w:sz w:val="12"/>
          <w:szCs w:val="12"/>
          <w:color w:val="auto"/>
        </w:rPr>
        <w:t>. In December 2009, we entered into an agreement to lease satellite capacity to DISH Network, pursuant to which DISH Network leased satellite capacity from us on the EchoStar XVI satellite since</w:t>
      </w:r>
      <w:r>
        <w:rPr>
          <w:rFonts w:ascii="Arial" w:cs="Arial" w:eastAsia="Arial" w:hAnsi="Arial"/>
          <w:sz w:val="12"/>
          <w:szCs w:val="12"/>
          <w:i w:val="1"/>
          <w:iCs w:val="1"/>
          <w:color w:val="auto"/>
        </w:rPr>
        <w:t xml:space="preserve"> </w:t>
      </w:r>
      <w:r>
        <w:rPr>
          <w:rFonts w:ascii="Arial" w:cs="Arial" w:eastAsia="Arial" w:hAnsi="Arial"/>
          <w:sz w:val="12"/>
          <w:szCs w:val="12"/>
          <w:color w:val="auto"/>
        </w:rPr>
        <w:t>January 2013.</w:t>
      </w:r>
    </w:p>
    <w:p>
      <w:pPr>
        <w:spacing w:after="0" w:line="107" w:lineRule="exact"/>
        <w:rPr>
          <w:sz w:val="20"/>
          <w:szCs w:val="20"/>
          <w:color w:val="auto"/>
        </w:rPr>
      </w:pPr>
    </w:p>
    <w:p>
      <w:pPr>
        <w:jc w:val="both"/>
        <w:ind w:left="200"/>
        <w:spacing w:after="0" w:line="266" w:lineRule="auto"/>
        <w:rPr>
          <w:sz w:val="20"/>
          <w:szCs w:val="20"/>
          <w:color w:val="auto"/>
        </w:rPr>
      </w:pPr>
      <w:r>
        <w:rPr>
          <w:rFonts w:ascii="Arial" w:cs="Arial" w:eastAsia="Arial" w:hAnsi="Arial"/>
          <w:sz w:val="12"/>
          <w:szCs w:val="12"/>
          <w:i w:val="1"/>
          <w:iCs w:val="1"/>
          <w:color w:val="auto"/>
        </w:rPr>
        <w:t>Nimiq 5 Agreement</w:t>
      </w:r>
      <w:r>
        <w:rPr>
          <w:rFonts w:ascii="Arial" w:cs="Arial" w:eastAsia="Arial" w:hAnsi="Arial"/>
          <w:sz w:val="12"/>
          <w:szCs w:val="12"/>
          <w:color w:val="auto"/>
        </w:rPr>
        <w:t>. In addition to the Telesat Transponder Agreement, in September 2009, we entered into an agreement with DISH Network, pursuant to which DISH Network leased satellite capacity from us on</w:t>
      </w:r>
      <w:r>
        <w:rPr>
          <w:rFonts w:ascii="Arial" w:cs="Arial" w:eastAsia="Arial" w:hAnsi="Arial"/>
          <w:sz w:val="12"/>
          <w:szCs w:val="12"/>
          <w:i w:val="1"/>
          <w:iCs w:val="1"/>
          <w:color w:val="auto"/>
        </w:rPr>
        <w:t xml:space="preserve"> </w:t>
      </w:r>
      <w:r>
        <w:rPr>
          <w:rFonts w:ascii="Arial" w:cs="Arial" w:eastAsia="Arial" w:hAnsi="Arial"/>
          <w:sz w:val="12"/>
          <w:szCs w:val="12"/>
          <w:color w:val="auto"/>
        </w:rPr>
        <w:t>all 32 of the DBS transponders covered by the Telesat Transponder Agreement (the “DISH Nimiq 5 Agreement”). Under the terms of the DISH Nimiq 5 Agreement, DISH Network made certain monthly payments to us that commenced in September 2009, when the Nimiq 5 satellite was placed into service.</w:t>
      </w:r>
    </w:p>
    <w:p>
      <w:pPr>
        <w:spacing w:after="0" w:line="118" w:lineRule="exact"/>
        <w:rPr>
          <w:sz w:val="20"/>
          <w:szCs w:val="20"/>
          <w:color w:val="auto"/>
        </w:rPr>
      </w:pPr>
    </w:p>
    <w:p>
      <w:pPr>
        <w:jc w:val="both"/>
        <w:ind w:left="200"/>
        <w:spacing w:after="0" w:line="258" w:lineRule="auto"/>
        <w:rPr>
          <w:sz w:val="20"/>
          <w:szCs w:val="20"/>
          <w:color w:val="auto"/>
        </w:rPr>
      </w:pPr>
      <w:r>
        <w:rPr>
          <w:rFonts w:ascii="Arial" w:cs="Arial" w:eastAsia="Arial" w:hAnsi="Arial"/>
          <w:sz w:val="12"/>
          <w:szCs w:val="12"/>
          <w:i w:val="1"/>
          <w:iCs w:val="1"/>
          <w:color w:val="auto"/>
        </w:rPr>
        <w:t xml:space="preserve">QuetzSat-1 Agreement. </w:t>
      </w:r>
      <w:r>
        <w:rPr>
          <w:rFonts w:ascii="Arial" w:cs="Arial" w:eastAsia="Arial" w:hAnsi="Arial"/>
          <w:sz w:val="12"/>
          <w:szCs w:val="12"/>
          <w:color w:val="auto"/>
        </w:rPr>
        <w:t>In November 2008, we entered into an agreement to lease satellite capacity from SES Latin America, which provided, among other things, for the provision by SES Latin America to us of</w:t>
      </w:r>
      <w:r>
        <w:rPr>
          <w:rFonts w:ascii="Arial" w:cs="Arial" w:eastAsia="Arial" w:hAnsi="Arial"/>
          <w:sz w:val="12"/>
          <w:szCs w:val="12"/>
          <w:i w:val="1"/>
          <w:iCs w:val="1"/>
          <w:color w:val="auto"/>
        </w:rPr>
        <w:t xml:space="preserve"> </w:t>
      </w:r>
      <w:r>
        <w:rPr>
          <w:rFonts w:ascii="Arial" w:cs="Arial" w:eastAsia="Arial" w:hAnsi="Arial"/>
          <w:sz w:val="12"/>
          <w:szCs w:val="12"/>
          <w:color w:val="auto"/>
        </w:rPr>
        <w:t>leased satellite capacity on 32 DBS transponders on the QuetzSat-1 satellite. Concurrently, in 2008, we entered into an agreement pursuant to which DISH Network leased from us satellite capacity on 24 of the DBS transponders on the QuetzSat-1 satellite. The QuetzSat-1 satellite was launched in September 2011 and was placed into service in November 2011 at the 67.1 degree west longitude orbital location. In January 2013, the QuetzSat-1 satellite was moved to the 77 degree west longitude orbital location. In February 2013, we and DISH Network entered into an agreement pursuant to which we leased back from DISH Network certain satellite capacity on five DBS transponders on the QuetzSat-1 satellite.</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TT&amp;C Agreement</w:t>
      </w:r>
      <w:r>
        <w:rPr>
          <w:rFonts w:ascii="Arial" w:cs="Arial" w:eastAsia="Arial" w:hAnsi="Arial"/>
          <w:sz w:val="12"/>
          <w:szCs w:val="12"/>
          <w:color w:val="auto"/>
        </w:rPr>
        <w:t>. Effective January 2012, we entered into a TT&amp;C agreement pursuant to which we provided TT&amp;C services to DISH Network, which we subsequently amended (the “TT&amp;C Agreement”). The fees for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services provided under the TT&amp;C Agreement were calculated at either: (i) a fixed fee or (ii) cost plus a fixed margin, which varied depending on the nature of the services provided.</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Real Estate Leases to DISH Network</w:t>
      </w:r>
      <w:r>
        <w:rPr>
          <w:rFonts w:ascii="Arial" w:cs="Arial" w:eastAsia="Arial" w:hAnsi="Arial"/>
          <w:sz w:val="12"/>
          <w:szCs w:val="12"/>
          <w:color w:val="auto"/>
        </w:rPr>
        <w:t>. We entered into lease agreements pursuant to which DISH Network leased certain real estate from us. The rent on a per square foot basis each of the leases was comparable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per square foot rental rates of similar commercial property in the same geographic area at the time of the lease, and DISH Network was responsible for its portion of the taxes, insurance, utilities and maintenance of the premises.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2"/>
          <w:szCs w:val="12"/>
          <w:i w:val="1"/>
          <w:iCs w:val="1"/>
          <w:color w:val="auto"/>
        </w:rPr>
        <w:t>Santa Fe Lease Agreement</w:t>
      </w:r>
      <w:r>
        <w:rPr>
          <w:rFonts w:ascii="Arial" w:cs="Arial" w:eastAsia="Arial" w:hAnsi="Arial"/>
          <w:sz w:val="12"/>
          <w:szCs w:val="12"/>
          <w:color w:val="auto"/>
        </w:rPr>
        <w:t>. DISH Network leased from us all of 5701 S. Santa Fe Dr., Littleton, Colorado.</w:t>
      </w:r>
    </w:p>
    <w:p>
      <w:pPr>
        <w:spacing w:after="0" w:line="150" w:lineRule="exact"/>
        <w:rPr>
          <w:sz w:val="20"/>
          <w:szCs w:val="20"/>
          <w:color w:val="auto"/>
        </w:rPr>
      </w:pPr>
    </w:p>
    <w:p>
      <w:pPr>
        <w:jc w:val="both"/>
        <w:ind w:left="200"/>
        <w:spacing w:after="0" w:line="266" w:lineRule="auto"/>
        <w:rPr>
          <w:sz w:val="20"/>
          <w:szCs w:val="20"/>
          <w:color w:val="auto"/>
        </w:rPr>
      </w:pPr>
      <w:r>
        <w:rPr>
          <w:rFonts w:ascii="Arial" w:cs="Arial" w:eastAsia="Arial" w:hAnsi="Arial"/>
          <w:sz w:val="12"/>
          <w:szCs w:val="12"/>
          <w:i w:val="1"/>
          <w:iCs w:val="1"/>
          <w:color w:val="auto"/>
        </w:rPr>
        <w:t>Cheyenne Lease Agreement</w:t>
      </w:r>
      <w:r>
        <w:rPr>
          <w:rFonts w:ascii="Arial" w:cs="Arial" w:eastAsia="Arial" w:hAnsi="Arial"/>
          <w:sz w:val="12"/>
          <w:szCs w:val="12"/>
          <w:color w:val="auto"/>
        </w:rPr>
        <w:t>. Prior to the Share Exchange, we leased to DISH Network certain space at 530 EchoStar Drive, Cheyenne, Wyoming. In connection with the Share Exchange, we transferred</w:t>
      </w:r>
      <w:r>
        <w:rPr>
          <w:rFonts w:ascii="Arial" w:cs="Arial" w:eastAsia="Arial" w:hAnsi="Arial"/>
          <w:sz w:val="12"/>
          <w:szCs w:val="12"/>
          <w:i w:val="1"/>
          <w:iCs w:val="1"/>
          <w:color w:val="auto"/>
        </w:rPr>
        <w:t xml:space="preserve"> </w:t>
      </w:r>
      <w:r>
        <w:rPr>
          <w:rFonts w:ascii="Arial" w:cs="Arial" w:eastAsia="Arial" w:hAnsi="Arial"/>
          <w:sz w:val="12"/>
          <w:szCs w:val="12"/>
          <w:color w:val="auto"/>
        </w:rPr>
        <w:t>ownership of a portion of this property to DISH Network and we and DISH Network amended this agreement to, among other things, provide for a continued lease to DISH Network of the portion of the property we retained (the “Cheyenne Data Center”). In connection with the BSS Transaction, we transferred the Cheyenne Data Center to DISH Network.</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ectPr>
          <w:pgSz w:w="11900" w:h="16838" w:orient="portrait"/>
          <w:cols w:equalWidth="0" w:num="1">
            <w:col w:w="11480"/>
          </w:cols>
          <w:pgMar w:left="220" w:top="140" w:right="199" w:bottom="1440" w:gutter="0" w:footer="0" w:header="0"/>
        </w:sectPr>
      </w:pPr>
    </w:p>
    <w:bookmarkStart w:id="47" w:name="page48"/>
    <w:bookmarkEnd w:id="4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i w:val="1"/>
          <w:iCs w:val="1"/>
          <w:color w:val="auto"/>
        </w:rPr>
        <w:t>Real Estate Leases from DISH Network</w:t>
      </w:r>
      <w:r>
        <w:rPr>
          <w:rFonts w:ascii="Arial" w:cs="Arial" w:eastAsia="Arial" w:hAnsi="Arial"/>
          <w:sz w:val="12"/>
          <w:szCs w:val="12"/>
          <w:color w:val="auto"/>
        </w:rPr>
        <w:t>. We entered into a lease agreement pursuant to which we leased certain real estate from DISH Network. The rent on a per square foot basis was comparable to per square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foot rental rates of similar commercial property in the same geographic area at the time of the leases, and, we were responsible for our portion of the taxes, insurance, utilities and maintenance of the premises. Effective March 2017 we leased from DISH Network certain space at 801 N. DISH Dr. in Gilbert, Arizona. In connection with the BSS Transaction, we transferred the Gilbert Satellite Operations Center, including any equipment, software, processes, software licenses, hardware licenses, furniture, and technical documentation located within, to DISH Network and terminated this lease.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100" w:type="dxa"/>
            <w:vAlign w:val="bottom"/>
            <w:gridSpan w:val="2"/>
          </w:tcPr>
          <w:p>
            <w:pPr>
              <w:spacing w:after="0"/>
              <w:rPr>
                <w:sz w:val="20"/>
                <w:szCs w:val="20"/>
                <w:color w:val="auto"/>
              </w:rPr>
            </w:pPr>
            <w:r>
              <w:rPr>
                <w:rFonts w:ascii="Arial" w:cs="Arial" w:eastAsia="Arial" w:hAnsi="Arial"/>
                <w:sz w:val="12"/>
                <w:szCs w:val="12"/>
                <w:b w:val="1"/>
                <w:bCs w:val="1"/>
                <w:color w:val="auto"/>
              </w:rPr>
              <w:t>NOTE 19.  SUPPLEMENTAL FINANCIAL INFORMATION</w:t>
            </w: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6100" w:type="dxa"/>
            <w:vAlign w:val="bottom"/>
            <w:gridSpan w:val="2"/>
          </w:tcPr>
          <w:p>
            <w:pPr>
              <w:spacing w:after="0"/>
              <w:rPr>
                <w:sz w:val="20"/>
                <w:szCs w:val="20"/>
                <w:color w:val="auto"/>
              </w:rPr>
            </w:pPr>
            <w:r>
              <w:rPr>
                <w:rFonts w:ascii="Arial" w:cs="Arial" w:eastAsia="Arial" w:hAnsi="Arial"/>
                <w:sz w:val="12"/>
                <w:szCs w:val="12"/>
                <w:b w:val="1"/>
                <w:bCs w:val="1"/>
                <w:color w:val="auto"/>
              </w:rPr>
              <w:t>Noncash Investing and Financing Activities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100" w:type="dxa"/>
            <w:vAlign w:val="bottom"/>
            <w:gridSpan w:val="2"/>
          </w:tcPr>
          <w:p>
            <w:pPr>
              <w:spacing w:after="0"/>
              <w:rPr>
                <w:sz w:val="20"/>
                <w:szCs w:val="20"/>
                <w:color w:val="auto"/>
              </w:rPr>
            </w:pPr>
            <w:r>
              <w:rPr>
                <w:rFonts w:ascii="Arial" w:cs="Arial" w:eastAsia="Arial" w:hAnsi="Arial"/>
                <w:sz w:val="12"/>
                <w:szCs w:val="12"/>
                <w:color w:val="auto"/>
              </w:rPr>
              <w:t>The following table presents the noncash investing and financing activities (amounts in thousands):</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66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2"/>
                <w:szCs w:val="12"/>
                <w:b w:val="1"/>
                <w:bCs w:val="1"/>
                <w:color w:val="auto"/>
              </w:rPr>
              <w:t>For the nine months ended September 30,</w:t>
            </w:r>
          </w:p>
        </w:tc>
        <w:tc>
          <w:tcPr>
            <w:tcW w:w="0" w:type="dxa"/>
            <w:vAlign w:val="bottom"/>
          </w:tcPr>
          <w:p>
            <w:pPr>
              <w:spacing w:after="0"/>
              <w:rPr>
                <w:sz w:val="1"/>
                <w:szCs w:val="1"/>
                <w:color w:val="auto"/>
              </w:rPr>
            </w:pPr>
          </w:p>
        </w:tc>
      </w:tr>
      <w:tr>
        <w:trPr>
          <w:trHeight w:val="165"/>
        </w:trPr>
        <w:tc>
          <w:tcPr>
            <w:tcW w:w="26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2018</w:t>
            </w:r>
          </w:p>
        </w:tc>
        <w:tc>
          <w:tcPr>
            <w:tcW w:w="0" w:type="dxa"/>
            <w:vAlign w:val="bottom"/>
          </w:tcPr>
          <w:p>
            <w:pPr>
              <w:spacing w:after="0"/>
              <w:rPr>
                <w:sz w:val="1"/>
                <w:szCs w:val="1"/>
                <w:color w:val="auto"/>
              </w:rPr>
            </w:pPr>
          </w:p>
        </w:tc>
      </w:tr>
      <w:tr>
        <w:trPr>
          <w:trHeight w:val="210"/>
        </w:trPr>
        <w:tc>
          <w:tcPr>
            <w:tcW w:w="26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660" w:type="dxa"/>
            <w:vAlign w:val="bottom"/>
          </w:tcPr>
          <w:p>
            <w:pPr>
              <w:spacing w:after="0"/>
              <w:rPr>
                <w:sz w:val="16"/>
                <w:szCs w:val="16"/>
                <w:color w:val="auto"/>
              </w:rPr>
            </w:pPr>
          </w:p>
        </w:tc>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Employee benefits paid in Class A common stock</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6,654</w:t>
            </w:r>
          </w:p>
        </w:tc>
        <w:tc>
          <w:tcPr>
            <w:tcW w:w="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7,605</w:t>
            </w: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3440" w:type="dxa"/>
            <w:vAlign w:val="bottom"/>
          </w:tcPr>
          <w:p>
            <w:pPr>
              <w:ind w:left="20"/>
              <w:spacing w:after="0" w:line="122" w:lineRule="exact"/>
              <w:rPr>
                <w:sz w:val="20"/>
                <w:szCs w:val="20"/>
                <w:color w:val="auto"/>
              </w:rPr>
            </w:pPr>
            <w:r>
              <w:rPr>
                <w:rFonts w:ascii="Arial" w:cs="Arial" w:eastAsia="Arial" w:hAnsi="Arial"/>
                <w:sz w:val="12"/>
                <w:szCs w:val="12"/>
                <w:color w:val="auto"/>
              </w:rPr>
              <w:t>Increase (decrease) in capital expenditures included in</w:t>
            </w: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vMerge w:val="restart"/>
          </w:tcPr>
          <w:p>
            <w:pPr>
              <w:jc w:val="right"/>
              <w:spacing w:after="0"/>
              <w:rPr>
                <w:sz w:val="20"/>
                <w:szCs w:val="20"/>
                <w:color w:val="auto"/>
              </w:rPr>
            </w:pPr>
            <w:r>
              <w:rPr>
                <w:rFonts w:ascii="Arial" w:cs="Arial" w:eastAsia="Arial" w:hAnsi="Arial"/>
                <w:sz w:val="12"/>
                <w:szCs w:val="12"/>
                <w:color w:val="auto"/>
              </w:rPr>
              <w:t>(15,083)</w:t>
            </w:r>
          </w:p>
        </w:tc>
        <w:tc>
          <w:tcPr>
            <w:tcW w:w="60" w:type="dxa"/>
            <w:vAlign w:val="bottom"/>
          </w:tcPr>
          <w:p>
            <w:pPr>
              <w:spacing w:after="0"/>
              <w:rPr>
                <w:sz w:val="10"/>
                <w:szCs w:val="10"/>
                <w:color w:val="auto"/>
              </w:rPr>
            </w:pPr>
          </w:p>
        </w:tc>
        <w:tc>
          <w:tcPr>
            <w:tcW w:w="300" w:type="dxa"/>
            <w:vAlign w:val="bottom"/>
            <w:vMerge w:val="restart"/>
          </w:tcPr>
          <w:p>
            <w:pPr>
              <w:jc w:val="right"/>
              <w:ind w:right="160"/>
              <w:spacing w:after="0"/>
              <w:rPr>
                <w:sz w:val="20"/>
                <w:szCs w:val="20"/>
                <w:color w:val="auto"/>
              </w:rPr>
            </w:pPr>
            <w:r>
              <w:rPr>
                <w:rFonts w:ascii="Arial" w:cs="Arial" w:eastAsia="Arial" w:hAnsi="Arial"/>
                <w:sz w:val="12"/>
                <w:szCs w:val="12"/>
                <w:color w:val="auto"/>
                <w:w w:val="89"/>
              </w:rPr>
              <w:t>$</w:t>
            </w:r>
          </w:p>
        </w:tc>
        <w:tc>
          <w:tcPr>
            <w:tcW w:w="1000" w:type="dxa"/>
            <w:vAlign w:val="bottom"/>
            <w:vMerge w:val="restart"/>
          </w:tcPr>
          <w:p>
            <w:pPr>
              <w:jc w:val="right"/>
              <w:spacing w:after="0"/>
              <w:rPr>
                <w:sz w:val="20"/>
                <w:szCs w:val="20"/>
                <w:color w:val="auto"/>
              </w:rPr>
            </w:pPr>
            <w:r>
              <w:rPr>
                <w:rFonts w:ascii="Arial" w:cs="Arial" w:eastAsia="Arial" w:hAnsi="Arial"/>
                <w:sz w:val="12"/>
                <w:szCs w:val="12"/>
                <w:color w:val="auto"/>
              </w:rPr>
              <w:t>17,058</w:t>
            </w:r>
          </w:p>
        </w:tc>
        <w:tc>
          <w:tcPr>
            <w:tcW w:w="0" w:type="dxa"/>
            <w:vAlign w:val="bottom"/>
          </w:tcPr>
          <w:p>
            <w:pPr>
              <w:spacing w:after="0"/>
              <w:rPr>
                <w:sz w:val="1"/>
                <w:szCs w:val="1"/>
                <w:color w:val="auto"/>
              </w:rPr>
            </w:pPr>
          </w:p>
        </w:tc>
      </w:tr>
      <w:tr>
        <w:trPr>
          <w:trHeight w:val="152"/>
        </w:trPr>
        <w:tc>
          <w:tcPr>
            <w:tcW w:w="2660" w:type="dxa"/>
            <w:vAlign w:val="bottom"/>
          </w:tcPr>
          <w:p>
            <w:pPr>
              <w:spacing w:after="0"/>
              <w:rPr>
                <w:sz w:val="13"/>
                <w:szCs w:val="13"/>
                <w:color w:val="auto"/>
              </w:rPr>
            </w:pPr>
          </w:p>
        </w:tc>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accounts payable, net</w:t>
            </w:r>
          </w:p>
        </w:tc>
        <w:tc>
          <w:tcPr>
            <w:tcW w:w="120" w:type="dxa"/>
            <w:vAlign w:val="bottom"/>
            <w:tcBorders>
              <w:bottom w:val="single" w:sz="8" w:color="auto"/>
            </w:tcBorders>
            <w:vMerge w:val="continue"/>
          </w:tcPr>
          <w:p>
            <w:pPr>
              <w:spacing w:after="0"/>
              <w:rPr>
                <w:sz w:val="13"/>
                <w:szCs w:val="13"/>
                <w:color w:val="auto"/>
              </w:rPr>
            </w:pPr>
          </w:p>
        </w:tc>
        <w:tc>
          <w:tcPr>
            <w:tcW w:w="1220" w:type="dxa"/>
            <w:vAlign w:val="bottom"/>
            <w:tcBorders>
              <w:bottom w:val="single" w:sz="8" w:color="auto"/>
            </w:tcBorders>
            <w:vMerge w:val="continue"/>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660" w:type="dxa"/>
            <w:vAlign w:val="bottom"/>
          </w:tcPr>
          <w:p>
            <w:pPr>
              <w:spacing w:after="0"/>
              <w:rPr>
                <w:sz w:val="15"/>
                <w:szCs w:val="15"/>
                <w:color w:val="auto"/>
              </w:rPr>
            </w:pPr>
          </w:p>
        </w:tc>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Noncash net assets exchanged for BSS Transaction (Note 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535,211</w:t>
            </w: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Restricted Cash and Cash Equivalents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 xml:space="preserve">The beginning and ending balances of cash and cash equivalents presented in our Condensed Consolidated Statements of Cash Flows included restricted cash and cash equivalents of $1.2 million and $ 16.3 million, respectively, for the nine months ended September 30, 2019 and $0.8 million each for the nine months ended September 30, 2018. These amounts are included in </w:t>
      </w:r>
      <w:r>
        <w:rPr>
          <w:rFonts w:ascii="Arial" w:cs="Arial" w:eastAsia="Arial" w:hAnsi="Arial"/>
          <w:sz w:val="12"/>
          <w:szCs w:val="12"/>
          <w:i w:val="1"/>
          <w:iCs w:val="1"/>
          <w:color w:val="auto"/>
        </w:rPr>
        <w:t>Other noncurrent assets, net</w:t>
      </w:r>
      <w:r>
        <w:rPr>
          <w:rFonts w:ascii="Arial" w:cs="Arial" w:eastAsia="Arial" w:hAnsi="Arial"/>
          <w:sz w:val="12"/>
          <w:szCs w:val="12"/>
          <w:color w:val="auto"/>
        </w:rPr>
        <w:t xml:space="preserve"> in our Condensed Consolidated Balance Sheets.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Fair Value of In-Orbit Incentives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As of September 30, 2019 and December 31, 2018, the fair values of our in-orbit incentive obligations from our continuing operations, based on measurements categorized within Level 2 of the fair value hierarchy, approximated their carrying amounts of $57.1 million and $57.9 million,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 Acquisition and Fulfillment Costs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Unamortized contract acquisition costs totaled $112.5 million and $103.6 million as of September 30, 2019 and December 31, 2018, respectively, and related amortization expense totaled $23.8 million and $22.0 million for the three months ended September 30, 2019 and 2018, respectively, and $70.4 million and $64.3 million for the nine months ended September 30, 2019 and 2018, respectively.</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Unamortized contract fulfillment costs were $3.0 million as of each of September 30, 2019 and December 31, 2018 and related amortization expense was de minimis for the three and nine months ended September 30, 2019 and 2018, respectively.</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80"/>
          </w:cols>
          <w:pgMar w:left="220" w:top="140" w:right="199" w:bottom="1440" w:gutter="0" w:footer="0" w:header="0"/>
        </w:sectPr>
      </w:pPr>
    </w:p>
    <w:bookmarkStart w:id="48" w:name="page49"/>
    <w:bookmarkEnd w:id="4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CORPORATION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The table below summarizes the research and development costs incurred in connection with customers’ orders included in cost of sales and other expenses we incurred for research and development (amounts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6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For the three months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For the nine months</w:t>
            </w:r>
          </w:p>
        </w:tc>
        <w:tc>
          <w:tcPr>
            <w:tcW w:w="980" w:type="dxa"/>
            <w:vAlign w:val="bottom"/>
          </w:tcPr>
          <w:p>
            <w:pPr>
              <w:spacing w:after="0"/>
              <w:rPr>
                <w:sz w:val="12"/>
                <w:szCs w:val="12"/>
                <w:color w:val="auto"/>
              </w:rPr>
            </w:pPr>
          </w:p>
        </w:tc>
      </w:tr>
      <w:tr>
        <w:trPr>
          <w:trHeight w:val="163"/>
        </w:trPr>
        <w:tc>
          <w:tcPr>
            <w:tcW w:w="4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ended September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ended September 30,</w:t>
            </w:r>
          </w:p>
        </w:tc>
        <w:tc>
          <w:tcPr>
            <w:tcW w:w="980" w:type="dxa"/>
            <w:vAlign w:val="bottom"/>
            <w:tcBorders>
              <w:bottom w:val="single" w:sz="8" w:color="auto"/>
            </w:tcBorders>
          </w:tcPr>
          <w:p>
            <w:pPr>
              <w:spacing w:after="0"/>
              <w:rPr>
                <w:sz w:val="14"/>
                <w:szCs w:val="14"/>
                <w:color w:val="auto"/>
              </w:rPr>
            </w:pPr>
          </w:p>
        </w:tc>
      </w:tr>
      <w:tr>
        <w:trPr>
          <w:trHeight w:val="169"/>
        </w:trPr>
        <w:tc>
          <w:tcPr>
            <w:tcW w:w="4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2018</w:t>
            </w:r>
          </w:p>
        </w:tc>
      </w:tr>
      <w:tr>
        <w:trPr>
          <w:trHeight w:val="210"/>
        </w:trPr>
        <w:tc>
          <w:tcPr>
            <w:tcW w:w="4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0"/>
        </w:trPr>
        <w:tc>
          <w:tcPr>
            <w:tcW w:w="4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Cost of sales</w:t>
            </w: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6,564</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5,555</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18,275</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18,443</w:t>
            </w:r>
          </w:p>
        </w:tc>
      </w:tr>
      <w:tr>
        <w:trPr>
          <w:trHeight w:val="171"/>
        </w:trPr>
        <w:tc>
          <w:tcPr>
            <w:tcW w:w="4720" w:type="dxa"/>
            <w:vAlign w:val="bottom"/>
          </w:tcPr>
          <w:p>
            <w:pPr>
              <w:ind w:left="20"/>
              <w:spacing w:after="0"/>
              <w:rPr>
                <w:sz w:val="20"/>
                <w:szCs w:val="20"/>
                <w:color w:val="auto"/>
              </w:rPr>
            </w:pPr>
            <w:r>
              <w:rPr>
                <w:rFonts w:ascii="Arial" w:cs="Arial" w:eastAsia="Arial" w:hAnsi="Arial"/>
                <w:sz w:val="12"/>
                <w:szCs w:val="12"/>
                <w:color w:val="auto"/>
              </w:rPr>
              <w:t>Research and development</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6,136</w:t>
            </w:r>
          </w:p>
        </w:tc>
        <w:tc>
          <w:tcPr>
            <w:tcW w:w="120" w:type="dxa"/>
            <w:vAlign w:val="bottom"/>
          </w:tcPr>
          <w:p>
            <w:pPr>
              <w:spacing w:after="0"/>
              <w:rPr>
                <w:sz w:val="14"/>
                <w:szCs w:val="14"/>
                <w:color w:val="auto"/>
              </w:rPr>
            </w:pPr>
          </w:p>
        </w:tc>
        <w:tc>
          <w:tcPr>
            <w:tcW w:w="600" w:type="dxa"/>
            <w:vAlign w:val="bottom"/>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6,544</w:t>
            </w:r>
          </w:p>
        </w:tc>
        <w:tc>
          <w:tcPr>
            <w:tcW w:w="100" w:type="dxa"/>
            <w:vAlign w:val="bottom"/>
          </w:tcPr>
          <w:p>
            <w:pPr>
              <w:spacing w:after="0"/>
              <w:rPr>
                <w:sz w:val="14"/>
                <w:szCs w:val="14"/>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19,411</w:t>
            </w:r>
          </w:p>
        </w:tc>
        <w:tc>
          <w:tcPr>
            <w:tcW w:w="100" w:type="dxa"/>
            <w:vAlign w:val="bottom"/>
          </w:tcPr>
          <w:p>
            <w:pPr>
              <w:spacing w:after="0"/>
              <w:rPr>
                <w:sz w:val="14"/>
                <w:szCs w:val="14"/>
                <w:color w:val="auto"/>
              </w:rPr>
            </w:pPr>
          </w:p>
        </w:tc>
        <w:tc>
          <w:tcPr>
            <w:tcW w:w="620" w:type="dxa"/>
            <w:vAlign w:val="bottom"/>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20,328</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Capitalized Software Costs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As of September 30, 2019 and December 31, 2018, the net carrying amount of externally marketed software was $99.7 million and $96.8 million, respectively, of which $33.1 million and $28.8 million, respectively, is under development and not yet placed in service. We capitalized costs related to the development of externally marketed software of $6.0 million and $9.6 million for the three months ended September 30, 2019 and 2018, respectively, and $21.4 million and $24.6 million for the nine months ended September 30, 2019 and 2018, respectively. We recorded amortization expense relating to the development of externally marketed software of $6.2 million and $5.8 million for the three months ended September 30, 2019 and 2018, respectively, and $18.4 million and $16.9 million for the nine months ended September 30, 2019 and 2018, respectively. The weighted average useful life of our externally marketed software was three years as of September 30, 2019.</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Supplemental Cash Flows from Discontinued Operations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Significant supplemental cash flow information and adjustments to reconcile net income to net cash flow from operating activities for discontinued operations for the nine months ended September 30, 2019 and 2018 are as below:</w:t>
      </w:r>
    </w:p>
    <w:p>
      <w:pPr>
        <w:spacing w:after="0" w:line="81" w:lineRule="exact"/>
        <w:rPr>
          <w:sz w:val="20"/>
          <w:szCs w:val="20"/>
          <w:color w:val="auto"/>
        </w:rPr>
      </w:pPr>
    </w:p>
    <w:tbl>
      <w:tblPr>
        <w:tblLayout w:type="fixed"/>
        <w:tblInd w:w="2660" w:type="dxa"/>
        <w:tblCellMar>
          <w:top w:w="0" w:type="dxa"/>
          <w:left w:w="0" w:type="dxa"/>
          <w:bottom w:w="0" w:type="dxa"/>
          <w:right w:w="0" w:type="dxa"/>
        </w:tblCellMar>
      </w:tblPr>
      <w:tr>
        <w:trPr>
          <w:trHeight w:val="168"/>
        </w:trPr>
        <w:tc>
          <w:tcPr>
            <w:tcW w:w="2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4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b w:val="1"/>
                <w:bCs w:val="1"/>
                <w:color w:val="auto"/>
              </w:rPr>
              <w:t>For the nine months ended September 30,</w:t>
            </w:r>
          </w:p>
        </w:tc>
      </w:tr>
      <w:tr>
        <w:trPr>
          <w:trHeight w:val="174"/>
        </w:trPr>
        <w:tc>
          <w:tcPr>
            <w:tcW w:w="2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2019</w:t>
            </w:r>
          </w:p>
        </w:tc>
        <w:tc>
          <w:tcPr>
            <w:tcW w:w="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b w:val="1"/>
                <w:bCs w:val="1"/>
                <w:color w:val="auto"/>
              </w:rPr>
              <w:t>2018</w:t>
            </w:r>
          </w:p>
        </w:tc>
      </w:tr>
      <w:tr>
        <w:trPr>
          <w:trHeight w:val="210"/>
        </w:trPr>
        <w:tc>
          <w:tcPr>
            <w:tcW w:w="2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0"/>
        </w:trPr>
        <w:tc>
          <w:tcPr>
            <w:tcW w:w="27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Operating Activities</w:t>
            </w: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6"/>
        </w:trPr>
        <w:tc>
          <w:tcPr>
            <w:tcW w:w="2720" w:type="dxa"/>
            <w:vAlign w:val="bottom"/>
          </w:tcPr>
          <w:p>
            <w:pPr>
              <w:ind w:left="180"/>
              <w:spacing w:after="0"/>
              <w:rPr>
                <w:sz w:val="20"/>
                <w:szCs w:val="20"/>
                <w:color w:val="auto"/>
              </w:rPr>
            </w:pPr>
            <w:r>
              <w:rPr>
                <w:rFonts w:ascii="Arial" w:cs="Arial" w:eastAsia="Arial" w:hAnsi="Arial"/>
                <w:sz w:val="12"/>
                <w:szCs w:val="12"/>
                <w:color w:val="auto"/>
              </w:rPr>
              <w:t>Net income from discontinued operations</w:t>
            </w: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46,423</w:t>
            </w:r>
          </w:p>
        </w:tc>
        <w:tc>
          <w:tcPr>
            <w:tcW w:w="60" w:type="dxa"/>
            <w:vAlign w:val="bottom"/>
          </w:tcPr>
          <w:p>
            <w:pPr>
              <w:spacing w:after="0"/>
              <w:rPr>
                <w:sz w:val="15"/>
                <w:szCs w:val="15"/>
                <w:color w:val="auto"/>
              </w:rPr>
            </w:pPr>
          </w:p>
        </w:tc>
        <w:tc>
          <w:tcPr>
            <w:tcW w:w="3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76,843</w:t>
            </w:r>
          </w:p>
        </w:tc>
      </w:tr>
      <w:tr>
        <w:trPr>
          <w:trHeight w:val="185"/>
        </w:trPr>
        <w:tc>
          <w:tcPr>
            <w:tcW w:w="2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Depreciation and amortization</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97,435</w:t>
            </w: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105,821</w:t>
            </w:r>
          </w:p>
        </w:tc>
      </w:tr>
      <w:tr>
        <w:trPr>
          <w:trHeight w:val="189"/>
        </w:trPr>
        <w:tc>
          <w:tcPr>
            <w:tcW w:w="2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0"/>
        </w:trPr>
        <w:tc>
          <w:tcPr>
            <w:tcW w:w="27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Investing Activities</w:t>
            </w:r>
          </w:p>
        </w:tc>
        <w:tc>
          <w:tcPr>
            <w:tcW w:w="8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6"/>
        </w:trPr>
        <w:tc>
          <w:tcPr>
            <w:tcW w:w="2720" w:type="dxa"/>
            <w:vAlign w:val="bottom"/>
          </w:tcPr>
          <w:p>
            <w:pPr>
              <w:ind w:left="180"/>
              <w:spacing w:after="0"/>
              <w:rPr>
                <w:sz w:val="20"/>
                <w:szCs w:val="20"/>
                <w:color w:val="auto"/>
              </w:rPr>
            </w:pPr>
            <w:r>
              <w:rPr>
                <w:rFonts w:ascii="Arial" w:cs="Arial" w:eastAsia="Arial" w:hAnsi="Arial"/>
                <w:sz w:val="12"/>
                <w:szCs w:val="12"/>
                <w:color w:val="auto"/>
              </w:rPr>
              <w:t>Expenditures for property and equipment</w:t>
            </w: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(510)</w:t>
            </w:r>
          </w:p>
        </w:tc>
        <w:tc>
          <w:tcPr>
            <w:tcW w:w="60" w:type="dxa"/>
            <w:vAlign w:val="bottom"/>
          </w:tcPr>
          <w:p>
            <w:pPr>
              <w:spacing w:after="0"/>
              <w:rPr>
                <w:sz w:val="15"/>
                <w:szCs w:val="15"/>
                <w:color w:val="auto"/>
              </w:rPr>
            </w:pPr>
          </w:p>
        </w:tc>
        <w:tc>
          <w:tcPr>
            <w:tcW w:w="3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(104)</w:t>
            </w:r>
          </w:p>
        </w:tc>
      </w:tr>
      <w:tr>
        <w:trPr>
          <w:trHeight w:val="203"/>
        </w:trPr>
        <w:tc>
          <w:tcPr>
            <w:tcW w:w="27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76"/>
        </w:trPr>
        <w:tc>
          <w:tcPr>
            <w:tcW w:w="2720" w:type="dxa"/>
            <w:vAlign w:val="bottom"/>
          </w:tcPr>
          <w:p>
            <w:pPr>
              <w:ind w:left="20"/>
              <w:spacing w:after="0"/>
              <w:rPr>
                <w:sz w:val="20"/>
                <w:szCs w:val="20"/>
                <w:color w:val="auto"/>
              </w:rPr>
            </w:pPr>
            <w:r>
              <w:rPr>
                <w:rFonts w:ascii="Arial" w:cs="Arial" w:eastAsia="Arial" w:hAnsi="Arial"/>
                <w:sz w:val="12"/>
                <w:szCs w:val="12"/>
                <w:b w:val="1"/>
                <w:bCs w:val="1"/>
                <w:color w:val="auto"/>
              </w:rPr>
              <w:t>Financing Activities</w:t>
            </w: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5"/>
        </w:trPr>
        <w:tc>
          <w:tcPr>
            <w:tcW w:w="27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Repayment of lease obligations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29,588</w:t>
            </w:r>
          </w:p>
        </w:tc>
        <w:tc>
          <w:tcPr>
            <w:tcW w:w="6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26,545</w:t>
            </w:r>
          </w:p>
        </w:tc>
      </w:tr>
      <w:tr>
        <w:trPr>
          <w:trHeight w:val="171"/>
        </w:trPr>
        <w:tc>
          <w:tcPr>
            <w:tcW w:w="2720" w:type="dxa"/>
            <w:vAlign w:val="bottom"/>
          </w:tcPr>
          <w:p>
            <w:pPr>
              <w:ind w:left="180"/>
              <w:spacing w:after="0"/>
              <w:rPr>
                <w:sz w:val="20"/>
                <w:szCs w:val="20"/>
                <w:color w:val="auto"/>
              </w:rPr>
            </w:pPr>
            <w:r>
              <w:rPr>
                <w:rFonts w:ascii="Arial" w:cs="Arial" w:eastAsia="Arial" w:hAnsi="Arial"/>
                <w:sz w:val="12"/>
                <w:szCs w:val="12"/>
                <w:color w:val="auto"/>
              </w:rPr>
              <w:t>Repayment of in-orbit incentive obligations</w:t>
            </w:r>
          </w:p>
        </w:tc>
        <w:tc>
          <w:tcPr>
            <w:tcW w:w="11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3,440</w:t>
            </w:r>
          </w:p>
        </w:tc>
        <w:tc>
          <w:tcPr>
            <w:tcW w:w="60" w:type="dxa"/>
            <w:vAlign w:val="bottom"/>
          </w:tcPr>
          <w:p>
            <w:pPr>
              <w:spacing w:after="0"/>
              <w:rPr>
                <w:sz w:val="14"/>
                <w:szCs w:val="14"/>
                <w:color w:val="auto"/>
              </w:rPr>
            </w:pPr>
          </w:p>
        </w:tc>
        <w:tc>
          <w:tcPr>
            <w:tcW w:w="300" w:type="dxa"/>
            <w:vAlign w:val="bottom"/>
          </w:tcPr>
          <w:p>
            <w:pPr>
              <w:jc w:val="right"/>
              <w:ind w:right="140"/>
              <w:spacing w:after="0"/>
              <w:rPr>
                <w:sz w:val="20"/>
                <w:szCs w:val="20"/>
                <w:color w:val="auto"/>
              </w:rPr>
            </w:pPr>
            <w:r>
              <w:rPr>
                <w:rFonts w:ascii="Arial" w:cs="Arial" w:eastAsia="Arial" w:hAnsi="Arial"/>
                <w:sz w:val="12"/>
                <w:szCs w:val="12"/>
                <w:color w:val="auto"/>
              </w:rPr>
              <w:t>$</w:t>
            </w:r>
          </w:p>
        </w:tc>
        <w:tc>
          <w:tcPr>
            <w:tcW w:w="940" w:type="dxa"/>
            <w:vAlign w:val="bottom"/>
          </w:tcPr>
          <w:p>
            <w:pPr>
              <w:jc w:val="right"/>
              <w:spacing w:after="0"/>
              <w:rPr>
                <w:sz w:val="20"/>
                <w:szCs w:val="20"/>
                <w:color w:val="auto"/>
              </w:rPr>
            </w:pPr>
            <w:r>
              <w:rPr>
                <w:rFonts w:ascii="Arial" w:cs="Arial" w:eastAsia="Arial" w:hAnsi="Arial"/>
                <w:sz w:val="12"/>
                <w:szCs w:val="12"/>
                <w:color w:val="auto"/>
              </w:rPr>
              <w:t>3,245</w:t>
            </w:r>
          </w:p>
        </w:tc>
      </w:tr>
      <w:tr>
        <w:trPr>
          <w:trHeight w:val="459"/>
        </w:trPr>
        <w:tc>
          <w:tcPr>
            <w:tcW w:w="2720" w:type="dxa"/>
            <w:vAlign w:val="bottom"/>
          </w:tcPr>
          <w:p>
            <w:pPr>
              <w:spacing w:after="0"/>
              <w:rPr>
                <w:sz w:val="24"/>
                <w:szCs w:val="24"/>
                <w:color w:val="auto"/>
              </w:rPr>
            </w:pPr>
          </w:p>
        </w:tc>
        <w:tc>
          <w:tcPr>
            <w:tcW w:w="880" w:type="dxa"/>
            <w:vAlign w:val="bottom"/>
          </w:tcPr>
          <w:p>
            <w:pPr>
              <w:jc w:val="right"/>
              <w:ind w:right="400"/>
              <w:spacing w:after="0"/>
              <w:rPr>
                <w:sz w:val="20"/>
                <w:szCs w:val="20"/>
                <w:color w:val="auto"/>
              </w:rPr>
            </w:pPr>
            <w:r>
              <w:rPr>
                <w:rFonts w:ascii="Arial" w:cs="Arial" w:eastAsia="Arial" w:hAnsi="Arial"/>
                <w:sz w:val="12"/>
                <w:szCs w:val="12"/>
                <w:color w:val="auto"/>
              </w:rPr>
              <w:t>46</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80"/>
          </w:cols>
          <w:pgMar w:left="220" w:top="140" w:right="199" w:bottom="1440" w:gutter="0" w:footer="0" w:header="0"/>
        </w:sectPr>
      </w:pPr>
    </w:p>
    <w:bookmarkStart w:id="49" w:name="page50"/>
    <w:bookmarkEnd w:id="4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2"/>
          <w:szCs w:val="12"/>
          <w:i w:val="1"/>
          <w:iCs w:val="1"/>
          <w:color w:val="auto"/>
        </w:rPr>
        <w:t>Unless the context indicates otherwise, as used herein, the terms “we,” “us,” “EchoStar,” the “Company” and “our” refer to EchoStar Corporation and its subsidiaries. References to “$” are to United States (“U.S.”) dollars. The following management’s discussion and analysis of our financial condition and results of operations should be read in conjunction with our accompanying condensed consolidated financial statements and notes thereto included elsewhere in this Quarterly Report on Form 10-Q (“Form 10-Q”).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See Disclosure Regarding Forward-Looking Statements in this Form 10-Q for further discussion. For a discussion of additional risks, uncertainties and other factors that could impact our results of operations or financial condition, see the caption Risk Factors in Part II, Item 1A of this Form 10-Q and in Part I, Item 1A of our Annual Report on Form 10-K for the year ended December 31, 2018 filed with the Securities and Exchange Commission (“SEC”) as amended by Amendment No. 1 to Form 10-K on Form 10-K/A filed with the SEC (collectively referred to as our “Form 10-K”). Further, such forward-looking statements speak only as of the date of this Form 10-Q and we undertake no obligation to update them.</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SUMMARY</w:t>
      </w:r>
    </w:p>
    <w:p>
      <w:pPr>
        <w:spacing w:after="0" w:line="164"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EchoStar is a global provider of broadband satellite technologies, broadband internet services for home and small to medium-sized business customers, satellite operations and satellite services. We also deliver innovative network technologies, managed services and communications solutions for aeronautical, enterprise and government customers.</w:t>
      </w:r>
    </w:p>
    <w:p>
      <w:pPr>
        <w:spacing w:after="0" w:line="131" w:lineRule="exact"/>
        <w:rPr>
          <w:sz w:val="20"/>
          <w:szCs w:val="20"/>
          <w:color w:val="auto"/>
        </w:rPr>
      </w:pPr>
    </w:p>
    <w:p>
      <w:pPr>
        <w:jc w:val="both"/>
        <w:spacing w:after="0" w:line="251" w:lineRule="auto"/>
        <w:rPr>
          <w:sz w:val="20"/>
          <w:szCs w:val="20"/>
          <w:color w:val="auto"/>
        </w:rPr>
      </w:pPr>
      <w:r>
        <w:rPr>
          <w:rFonts w:ascii="Arial" w:cs="Arial" w:eastAsia="Arial" w:hAnsi="Arial"/>
          <w:sz w:val="12"/>
          <w:szCs w:val="12"/>
          <w:color w:val="auto"/>
        </w:rPr>
        <w:t>In May 2019, we and one of our former subsidiaries, EchoStar BSS Corporation (“BSS Corp.”), entered into a master transaction agreement (the “Master Transaction Agreement”) with DISH and a wholly-owned subsidiary of DISH (“Merger Sub”). Pursuant to the terms of the Master Transaction Agreement, on September 10, 2019: (i) we transferred to BSS Corp. certain real property and the various businesses, products, licenses, technology, revenues, billings, operating activities, assets and liabilities primarily relating to the portion of our ESS satellite services business that manages, markets and provides (1) broadcast satellite services primarily to DISH Network Corporation (“DISH”) and its subsidiaries (together with DISH, “DISH Network”) and our joint venture Dish Mexico, S. de R.L. de C.V., (“Dish Mexico”) and its subsidiaries and (2) telemetry, tracking and control (“TT&amp;C”) services for satellites owned by DISH Network and a portion of our other businesses (collectively, the “BSS Business”); (ii) we distributed to each holder of shares of our Class A or Class B common stock entitled to receive consideration in the transaction an amount of shares of common stock of BSS Corp., par value $0.001 per share (“BSS Common Stock”), equal to one share of BSS Common Stock for each share of our Class A or Class B common stock owned by such stockholder (the “Distribution”); and (iii) immediately after the Distribution, (1) Merger Sub merged with and into BSS Corp. (the “Merger”), such that BSS Corp. became a wholly-owned subsidiary of DISH and DISH owns and operates the BSS Business, and (2) each issued and outstanding share of BSS Common Stock owned by EchoStar stockholders was converted into the right to receive 0.23523769 shares of DISH Class A common stock, par value $0.001 per share (“DISH Common Stock”) ((i) - (iii) collectively, the “BSS Transaction”). Following the consummation of the BSS Transaction, we no longer operate the BSS Business, which was a substantial portion of our ESS business segment. The BSS Transaction has been accounted for as a spin-off to our shareholders as the Company did not receive any consideration. As a result, the operating results of the BSS Business have been presented as discontinued operations and, as such, have been excluded from continuing operations and segment results for all periods presented.</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The BSS Transaction was structured in a manner intended to be tax-free to us and our stockholders for U.S. federal income tax purposes. In connection with the BSS Transaction, we and DISH Network agreed to indemnify each other against certain losses with respect to breaches of certain representations and covenants and certain retained and assumed liabilities, respectively. Additionally, we and DISH and certain of our and their subsidiaries (i) entered into certain customary agreements covering, among other things, matters relating to taxes, employees, intellectual property and the provision of transitional services, (ii) terminated certain previously existing agreements, and (iii) amended certain existing agreements and entered into certain new agreements pursuant to which we and DISH Network will obtain and provide certain products, services and rights from and to each other.</w:t>
      </w:r>
    </w:p>
    <w:p>
      <w:pPr>
        <w:spacing w:after="0" w:line="137"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Prior to March 2017, we operated in three primary business segments: Hughes, EchoStar Technologies and EchoStar Satellite Services (“ESS”). On January 31, 2017, EchoStar Corporation and certain of our subsidiaries entered into a share exchange agreement with DISH and certain of its subsidiaries. We, and certain of our subsidiaries, received all</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ectPr>
          <w:pgSz w:w="11900" w:h="16838" w:orient="portrait"/>
          <w:cols w:equalWidth="0" w:num="1">
            <w:col w:w="11480"/>
          </w:cols>
          <w:pgMar w:left="220" w:top="140" w:right="199" w:bottom="1440" w:gutter="0" w:footer="0" w:header="0"/>
        </w:sectPr>
      </w:pPr>
    </w:p>
    <w:bookmarkStart w:id="50" w:name="page51"/>
    <w:bookmarkEnd w:id="5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32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shares of the Hughes Retail Preferred Tracking Stock previously issued by us and one of our subsidiaries (together, the “Tracking Stock”) in exchange for 100% of the equity interests of certain of our subsidiaries that held substantially all of our former EchoStar Technologies businesses and certain other assets (collectively, the “Share Exchange”). Following the consummation of the Share Exchange, we no longer operate our former EchoStar Technologies businesses, the Tracking Stock was retired and is no longer outstanding, and all agreements, arrangements and policy statements with respect to the Tracking Stock terminated. See Note 4 in the notes to our Consolidated Financial Statements in Item 15 of our Form 10-K for further discussion of our discontinued operations related to the Share Exchange.</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currently operate in two business segments: Hughes and ESS. These segments are consistent with the way we make decisions regarding the allocation of resources, as well as how operating results are reviewed by our chief operating decision maker, who is the Company’s Chief Executive Officer.</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Our operations also include various corporate departments (primarily Executive, Treasury, Strategic Development, Human Resources, IT, Finance, Real Estate, Accounting and Legal) and other activities that have not been assigned to our operating segments such as costs incurred in certain satellite development programs and other business development activities, and gains or losses from certain of our investments. These activities, costs and income, as well as eliminations of intersegment transactions, are accounted for in Corporate and Other in our segment reporting.</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Highlights from our financial results are as follows: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2019 Third Quarter Consolidated Results of Operations</w:t>
      </w:r>
    </w:p>
    <w:p>
      <w:pPr>
        <w:spacing w:after="0" w:line="164"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Revenue of $472.3 million</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Operating income of $26.0 million</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Net loss from continuing operations of $23.2 million</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Net loss attributable to EchoStar common stock of $18.3 million and basic loss per share of common stock of $0.19</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Earnings before interest, taxes, depreciation and amortization (“EBITDA”) of $139.7 million (see reconciliation of this non-GAAP measure on page 56)</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Financial Condition as of September 30, 2019</w:t>
      </w:r>
    </w:p>
    <w:p>
      <w:pPr>
        <w:spacing w:after="0" w:line="164" w:lineRule="exact"/>
        <w:rPr>
          <w:sz w:val="20"/>
          <w:szCs w:val="20"/>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Total assets of $7.0 billion</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Total liabilities of $3.3 billion</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Total stockholders’ equity of $3.7 billion</w:t>
      </w:r>
    </w:p>
    <w:p>
      <w:pPr>
        <w:spacing w:after="0" w:line="60" w:lineRule="exact"/>
        <w:rPr>
          <w:rFonts w:ascii="Arial" w:cs="Arial" w:eastAsia="Arial" w:hAnsi="Arial"/>
          <w:sz w:val="12"/>
          <w:szCs w:val="12"/>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Cash, cash equivalents and current marketable investment securities of $2.5 billion</w:t>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Hughes Segment</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Our Hughes segment is a global provider of broadband satellite technologies and broadband internet services to home and small to medium-sized business customers and broadband network technologies, managed services, equipment, hardware, satellite services and communications solutions to consumers, aeronautical, enterprise and government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incorporate advances in technology to reduce costs and to increase the functionality and reliability of our products and services. Through advanced and proprietary methodologies, technologies, software and techniques, we continue to improve the efficiency of our networks. We invest in technologies to enhance our system and network management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80"/>
          </w:cols>
          <w:pgMar w:left="220" w:top="140" w:right="199" w:bottom="1440" w:gutter="0" w:footer="0" w:header="0"/>
        </w:sectPr>
      </w:pPr>
    </w:p>
    <w:bookmarkStart w:id="51" w:name="page52"/>
    <w:bookmarkEnd w:id="5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color w:val="auto"/>
        </w:rPr>
        <w:t>capabilities, specifically our managed services for enterprises. We also continue to invest in next generation technologies that can be applied to our future products and services.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continue to focus our efforts on growing our consumer revenue by maximizing utilization of our existing satellites while planning for new satellites to be launched or acquired. Our consumer revenue growth depends on our success in adding new and retaining existing subscribers in our domestic and international markets across wholesale and retail channels. The growth of our enterprise businesses, including aeronautical, relies heavily on global economic conditions and the competitive landscape for pricing relative to competitors and alternative technologies. Service costs related to ongoing support for our direct and indirect customers and partners are typically impacted most significantly by our growth.</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Our Hughes segment currently uses capacity from three of our satellites (the SPACEWAY 3 satellite, the EchoStar XVII satellite and the EchoStar XIX satellite) and additional satellite capacity acquired from third-party providers to provide services to our customers. Growth of our subscriber base continues to be constrained in areas where we are nearing or have reached maximum capacity. While these constraints are expected to be resolved when we launch new satellites, we continue to focus on subscriber growth in the areas where we have available capacity.</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In May 2019, we entered into an agreement with Al Yah Satellite Communications Company PrJSC (“Yahsat”) pursuant to which Yahsat will contribute its current satellite communications services business in Brazil to us in exchange for a 20% ownership interest in our existing Brazilian subsidiary that conducts our current satellite communications services business in Brazil. The combined business will provide broadband internet services and enterprise solutions in Brazil using the Telesat T19V and Eutelsat 65W satellites and Yahsat’s Al Yah 3 satellite. Under the terms of the agreement, Yahsat may also acquire, for further cash investments, additional minority ownership interests in the business in the future provided certain conditions are met. The completion of the transaction is subject to customary regulatory approvals and closing conditions. No assurance can be given that the transaction will be consummated on the terms agreed to or at all.</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May 2019, we entered into an agreement with Bharti Airtel Limited (“BAL”) and its subsidiary, Bharti Airtel Services Limited (together with BAL, “Bharti”), pursuant to which Bharti will contribute its very small aperture terminal (“VSAT”) telecommunications services and hardware business in India to our two existing Indian subsidiaries that conduct our VSAT services and hardware business. The combined entities will provide broadband satellite and hybrid solutions for enterprise and government networks. Upon consummation of the transaction, Bharti will have a 33% ownership interest in the combined business. The completion of the transaction is subject to customary regulatory approvals and closing conditions. No assurance can be given that the transaction will be consummated on the terms agreed to or at all.</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In August 2018, we entered into an agreement with Yahsat to establish a new entity, Broadband Connectivity Solutions (Restricted) Limited (together with its subsidiaries, “BCS”), to provide commercial Ka-band satellite broadband services across Africa, the Middle East and southwest Asia operating over Yahsat’s Al Yah 2 and Al Yah 3 Ka-band satellites. The transaction was consummated in December 2018 when we invested $100 million in cash in exchange for a 20% interest in BCS. Under the terms of the agreement, we may also acquire, for further cash investments, additional ownership interests in BCS in the future provided certain conditions are met. We supply network operations and management services and equipment to BCS.</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In August 2017, we entered into a contract for the design and construction of the EchoStar XXIV satellite, a new, next-generation, high throughput geostationary satellite, with a planned 2021 launch. The EchoStar XXIV satellite is primarily intended to provide additional capacity for our HughesNet satellite internet service (“HughesNet service”) in North, Central and South America as well as aeronautical and enterprise broadband services. In the first quarter of 2019, Maxar Technologies Inc. (“Maxar”), the parent company of Space Systems/Loral, LLC (“SSL”), the manufacturer of our EchoStar XXIV satellite, announced that, although it will continue to operate its geostationary communications satellite business, it intends to adjust its organization to better align costs with revenue. SSL has indicated to us that it intends to meet its contractual obligations regarding the timely manufacture and delivery of the EchoStar XXIV satellite. However, if SSL fails to meet or is delayed in meeting these obligations for any reason, including if Maxar decides to significantly modify its geostationary communications satellite business, such failure could have a material adverse impact on our business operations, future revenues, financial position and prospects, the completion of the manufacture of the EchoStar XXIV satellite and our planned expansion of satellite broadband services throughout North</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ectPr>
          <w:pgSz w:w="11900" w:h="16838" w:orient="portrait"/>
          <w:cols w:equalWidth="0" w:num="1">
            <w:col w:w="11480"/>
          </w:cols>
          <w:pgMar w:left="220" w:top="140" w:right="199" w:bottom="1440" w:gutter="0" w:footer="0" w:header="0"/>
        </w:sectPr>
      </w:pPr>
    </w:p>
    <w:bookmarkStart w:id="52" w:name="page53"/>
    <w:bookmarkEnd w:id="5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color w:val="auto"/>
        </w:rPr>
        <w:t>, South and Central America. Capital expenditures associated with the construction and launch of the EchoStar XXIV satellite are included in Corporate and Other in our segment reporting.</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 xml:space="preserve">In March 2017, we and DISH Network entered into a master service agreement (the “Hughes Broadband MSA”). Pursuant to the Hughes Broadband MSA, DISH’s subsidiary, among other things: (i) has the right, but not the obligation, to market, promote and solicit orders and upgrades for our HughesNet service and related equipment and other telecommunication services and (ii) installs HughesNet service equipment with respect to activations generated by the DISH subsidiary. As a result of the Hughes Broadband MSA, we have not earned and do not expect to earn in the future, significant equipment revenue from our distribution agreement with another wholly-owned subsidiary of DISH. We expect churn in the existing wholesale subscribers to continue to reduce </w:t>
      </w:r>
      <w:r>
        <w:rPr>
          <w:rFonts w:ascii="Arial" w:cs="Arial" w:eastAsia="Arial" w:hAnsi="Arial"/>
          <w:sz w:val="12"/>
          <w:szCs w:val="12"/>
          <w:i w:val="1"/>
          <w:iCs w:val="1"/>
          <w:color w:val="auto"/>
        </w:rPr>
        <w:t>Services and other revenue - DISH Network</w:t>
      </w:r>
      <w:r>
        <w:rPr>
          <w:rFonts w:ascii="Arial" w:cs="Arial" w:eastAsia="Arial" w:hAnsi="Arial"/>
          <w:sz w:val="12"/>
          <w:szCs w:val="12"/>
          <w:color w:val="auto"/>
        </w:rPr>
        <w:t xml:space="preserve"> in the future.</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Developments toward the launch of next-generation satellite systems including low-earth orbit (“LEO”), medium-earth orbit (“MEO”) and geostationary systems could provide additional opportunities to drive the demand for our equipment, hardware, technology and services. In June 2015, we made an equity investment in OneWeb Global Limited (the successor in interest to WorldVue Satellite Limited) (“OneWeb”), a global LEO satellite service company. The investment is reflected in Corporate and Other. In addition, we have an agreement with OneWeb to provide certain equipment and services in connection with the ground network system for OneWeb’s LEO satellites. We expect to continue delivering additional equipment and services to OneWeb.</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continue our efforts to expand our consumer satellite services business outside of the U.S. In April 2014, we entered into a 15-year agreement with Eutelsat do Brasil for Ka-band capacity into Brazil on the EUTELSAT 65 West A satellite. We began delivering high-speed consumer satellite broadband services in Brazil in July 2016. Additionally, in September 2015, we entered into 15-year agreements with affiliates of Telesat Canada for Ka-band capacity on the Telesat T19V satellite located at the 63 degree west longitude orbital location, which was launched in July 2018. Telesat T19V was placed in service during the fourth quarter of 2018 and augmented the capacity being provided by the EUTELSAT 65 West A and EchoStar XIX satellites in Central and South America. We currently provide satellite broadband internet service in several Central and South American countries, and expect to launch similar services in other Central and South American countries.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Our subscriber numbers as of September 30, 2019, June 30, 2019 and December 31, 2018 are approximately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jc w:val="center"/>
              <w:ind w:right="1060"/>
              <w:spacing w:after="0"/>
              <w:rPr>
                <w:sz w:val="20"/>
                <w:szCs w:val="20"/>
                <w:color w:val="auto"/>
              </w:rPr>
            </w:pPr>
            <w:r>
              <w:rPr>
                <w:rFonts w:ascii="Arial" w:cs="Arial" w:eastAsia="Arial" w:hAnsi="Arial"/>
                <w:sz w:val="12"/>
                <w:szCs w:val="12"/>
                <w:b w:val="1"/>
                <w:bCs w:val="1"/>
                <w:color w:val="auto"/>
                <w:w w:val="99"/>
              </w:rPr>
              <w:t>As of</w:t>
            </w:r>
          </w:p>
        </w:tc>
        <w:tc>
          <w:tcPr>
            <w:tcW w:w="5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69"/>
        </w:trPr>
        <w:tc>
          <w:tcPr>
            <w:tcW w:w="1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820" w:type="dxa"/>
            <w:vAlign w:val="bottom"/>
            <w:gridSpan w:val="4"/>
          </w:tcPr>
          <w:p>
            <w:pPr>
              <w:ind w:left="520"/>
              <w:spacing w:after="0"/>
              <w:rPr>
                <w:sz w:val="20"/>
                <w:szCs w:val="20"/>
                <w:color w:val="auto"/>
              </w:rPr>
            </w:pPr>
            <w:r>
              <w:rPr>
                <w:rFonts w:ascii="Arial" w:cs="Arial" w:eastAsia="Arial" w:hAnsi="Arial"/>
                <w:sz w:val="12"/>
                <w:szCs w:val="12"/>
                <w:b w:val="1"/>
                <w:bCs w:val="1"/>
                <w:color w:val="auto"/>
              </w:rPr>
              <w:t>September 30, 2019</w:t>
            </w:r>
          </w:p>
        </w:tc>
        <w:tc>
          <w:tcPr>
            <w:tcW w:w="2200" w:type="dxa"/>
            <w:vAlign w:val="bottom"/>
            <w:gridSpan w:val="5"/>
          </w:tcPr>
          <w:p>
            <w:pPr>
              <w:ind w:left="180"/>
              <w:spacing w:after="0"/>
              <w:rPr>
                <w:sz w:val="20"/>
                <w:szCs w:val="20"/>
                <w:color w:val="auto"/>
              </w:rPr>
            </w:pPr>
            <w:r>
              <w:rPr>
                <w:rFonts w:ascii="Arial" w:cs="Arial" w:eastAsia="Arial" w:hAnsi="Arial"/>
                <w:sz w:val="12"/>
                <w:szCs w:val="12"/>
                <w:b w:val="1"/>
                <w:bCs w:val="1"/>
                <w:color w:val="auto"/>
              </w:rPr>
              <w:t>June 30, 2019</w:t>
            </w:r>
          </w:p>
        </w:tc>
        <w:tc>
          <w:tcPr>
            <w:tcW w:w="1740" w:type="dxa"/>
            <w:vAlign w:val="bottom"/>
            <w:gridSpan w:val="2"/>
          </w:tcPr>
          <w:p>
            <w:pPr>
              <w:ind w:left="120"/>
              <w:spacing w:after="0"/>
              <w:rPr>
                <w:sz w:val="20"/>
                <w:szCs w:val="20"/>
                <w:color w:val="auto"/>
              </w:rPr>
            </w:pPr>
            <w:r>
              <w:rPr>
                <w:rFonts w:ascii="Arial" w:cs="Arial" w:eastAsia="Arial" w:hAnsi="Arial"/>
                <w:sz w:val="12"/>
                <w:szCs w:val="12"/>
                <w:b w:val="1"/>
                <w:bCs w:val="1"/>
                <w:color w:val="auto"/>
              </w:rPr>
              <w:t>December 31, 2018</w:t>
            </w:r>
          </w:p>
        </w:tc>
      </w:tr>
      <w:tr>
        <w:trPr>
          <w:trHeight w:val="165"/>
        </w:trPr>
        <w:tc>
          <w:tcPr>
            <w:tcW w:w="4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Broadband subscribers</w:t>
            </w:r>
          </w:p>
        </w:tc>
        <w:tc>
          <w:tcPr>
            <w:tcW w:w="21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1,437,000</w:t>
            </w:r>
          </w:p>
        </w:tc>
        <w:tc>
          <w:tcPr>
            <w:tcW w:w="1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66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1,415,000</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74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1,361,000</w:t>
            </w:r>
          </w:p>
        </w:tc>
      </w:tr>
      <w:tr>
        <w:trPr>
          <w:trHeight w:val="410"/>
        </w:trPr>
        <w:tc>
          <w:tcPr>
            <w:tcW w:w="1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2"/>
                <w:szCs w:val="12"/>
                <w:b w:val="1"/>
                <w:bCs w:val="1"/>
                <w:color w:val="auto"/>
                <w:w w:val="99"/>
              </w:rPr>
              <w:t>For the three months ended</w:t>
            </w:r>
          </w:p>
        </w:tc>
        <w:tc>
          <w:tcPr>
            <w:tcW w:w="58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r>
      <w:tr>
        <w:trPr>
          <w:trHeight w:val="169"/>
        </w:trPr>
        <w:tc>
          <w:tcPr>
            <w:tcW w:w="1140" w:type="dxa"/>
            <w:vAlign w:val="bottom"/>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1700" w:type="dxa"/>
            <w:vAlign w:val="bottom"/>
            <w:tcBorders>
              <w:bottom w:val="single" w:sz="8" w:color="auto"/>
            </w:tcBorders>
            <w:gridSpan w:val="3"/>
          </w:tcPr>
          <w:p>
            <w:pPr>
              <w:ind w:left="540"/>
              <w:spacing w:after="0"/>
              <w:rPr>
                <w:sz w:val="20"/>
                <w:szCs w:val="20"/>
                <w:color w:val="auto"/>
              </w:rPr>
            </w:pPr>
            <w:r>
              <w:rPr>
                <w:rFonts w:ascii="Arial" w:cs="Arial" w:eastAsia="Arial" w:hAnsi="Arial"/>
                <w:sz w:val="12"/>
                <w:szCs w:val="12"/>
                <w:b w:val="1"/>
                <w:bCs w:val="1"/>
                <w:color w:val="auto"/>
              </w:rPr>
              <w:t>September 30, 2019</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gridSpan w:val="3"/>
          </w:tcPr>
          <w:p>
            <w:pPr>
              <w:ind w:left="720"/>
              <w:spacing w:after="0"/>
              <w:rPr>
                <w:sz w:val="20"/>
                <w:szCs w:val="20"/>
                <w:color w:val="auto"/>
              </w:rPr>
            </w:pPr>
            <w:r>
              <w:rPr>
                <w:rFonts w:ascii="Arial" w:cs="Arial" w:eastAsia="Arial" w:hAnsi="Arial"/>
                <w:sz w:val="12"/>
                <w:szCs w:val="12"/>
                <w:b w:val="1"/>
                <w:bCs w:val="1"/>
                <w:color w:val="auto"/>
              </w:rPr>
              <w:t>June 30, 2019</w:t>
            </w:r>
          </w:p>
        </w:tc>
        <w:tc>
          <w:tcPr>
            <w:tcW w:w="580" w:type="dxa"/>
            <w:vAlign w:val="bottom"/>
            <w:tcBorders>
              <w:bottom w:val="single" w:sz="8" w:color="auto"/>
            </w:tcBorders>
          </w:tcPr>
          <w:p>
            <w:pPr>
              <w:spacing w:after="0"/>
              <w:rPr>
                <w:sz w:val="14"/>
                <w:szCs w:val="14"/>
                <w:color w:val="auto"/>
              </w:rPr>
            </w:pPr>
          </w:p>
        </w:tc>
        <w:tc>
          <w:tcPr>
            <w:tcW w:w="1160" w:type="dxa"/>
            <w:vAlign w:val="bottom"/>
          </w:tcPr>
          <w:p>
            <w:pPr>
              <w:spacing w:after="0"/>
              <w:rPr>
                <w:sz w:val="14"/>
                <w:szCs w:val="14"/>
                <w:color w:val="auto"/>
              </w:rPr>
            </w:pPr>
          </w:p>
        </w:tc>
      </w:tr>
      <w:tr>
        <w:trPr>
          <w:trHeight w:val="165"/>
        </w:trPr>
        <w:tc>
          <w:tcPr>
            <w:tcW w:w="1140" w:type="dxa"/>
            <w:vAlign w:val="bottom"/>
          </w:tcPr>
          <w:p>
            <w:pPr>
              <w:spacing w:after="0"/>
              <w:rPr>
                <w:sz w:val="14"/>
                <w:szCs w:val="14"/>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additions</w:t>
            </w:r>
          </w:p>
        </w:tc>
        <w:tc>
          <w:tcPr>
            <w:tcW w:w="1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22,000</w:t>
            </w: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26,000</w:t>
            </w:r>
          </w:p>
        </w:tc>
        <w:tc>
          <w:tcPr>
            <w:tcW w:w="1160" w:type="dxa"/>
            <w:vAlign w:val="bottom"/>
          </w:tcPr>
          <w:p>
            <w:pPr>
              <w:spacing w:after="0"/>
              <w:rPr>
                <w:sz w:val="14"/>
                <w:szCs w:val="14"/>
                <w:color w:val="auto"/>
              </w:rPr>
            </w:pPr>
          </w:p>
        </w:tc>
      </w:tr>
    </w:tbl>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Our broadband subscribers include customers that subscribe to our HughesNet services in North, Central and South America through retail, wholesale and small/medium enterprise service channels. During the third quarter of 2019, we had net additions of approximately 22,000 new subscribers. Our gross subscriber additions increased by approximately 10,000 compared to the second quarter of 2019. Our net subscriber additions for the quarter ended September 30, 2019 decreased by 4,000 compared to the quarter ended June 30, 2019 reflecting higher churn in the third quarter compared to the second quarter of 2019.</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As of both September 30, 2019 and December 31, 2018, our Hughes segment had $1.4 billion, respectively, of contracted revenue backlog. We define Hughes contracted revenue backlog as our expected future revenue, including lease revenue, under customer contracts that are non-cancelable, excluding agreements with customers in our consumer market.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80"/>
          </w:cols>
          <w:pgMar w:left="220" w:top="140" w:right="199" w:bottom="1440" w:gutter="0" w:footer="0" w:header="0"/>
        </w:sectPr>
      </w:pPr>
    </w:p>
    <w:bookmarkStart w:id="53" w:name="page54"/>
    <w:bookmarkEnd w:id="5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ESS Segment</w:t>
      </w:r>
    </w:p>
    <w:p>
      <w:pPr>
        <w:spacing w:after="0" w:line="164" w:lineRule="exact"/>
        <w:rPr>
          <w:sz w:val="20"/>
          <w:szCs w:val="20"/>
          <w:color w:val="auto"/>
        </w:rPr>
      </w:pPr>
    </w:p>
    <w:p>
      <w:pPr>
        <w:jc w:val="both"/>
        <w:ind w:right="20"/>
        <w:spacing w:after="0" w:line="254" w:lineRule="auto"/>
        <w:rPr>
          <w:sz w:val="20"/>
          <w:szCs w:val="20"/>
          <w:color w:val="auto"/>
        </w:rPr>
      </w:pPr>
      <w:r>
        <w:rPr>
          <w:rFonts w:ascii="Arial" w:cs="Arial" w:eastAsia="Arial" w:hAnsi="Arial"/>
          <w:sz w:val="12"/>
          <w:szCs w:val="12"/>
          <w:color w:val="auto"/>
        </w:rPr>
        <w:t>Our ESS segment provides satellite services on a full-time and/or occasional-use basis to U.S. government service providers, internet service providers, broadcast news organizations, content providers and private enterprise customers. We operate our ESS business using primarily the EchoStar IX and EchoStar 105/SES-11 satellites and related infrastructure. Revenue in our ESS segment depends largely on our ability to continuously make use of our available satellite capacity with existing customers and our ability to enter into commercial relationships with new customers. Our ESS segment, like others in the fixed satellite services industry, has encountered, and may continue to encounter, negative pressure on transponder rates and demand.</w:t>
      </w:r>
    </w:p>
    <w:p>
      <w:pPr>
        <w:spacing w:after="0" w:line="136"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As of September 30, 2019 and December 31, 2018, our ESS segment had contracted revenue backlog of $12.2 million and $5.8 million respectively. We define contracted revenue backlog for our ESS segment as contracted future satellite lease revenue.</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Business Opportunities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Our industry continues to evolve with the increasing worldwide demand for broadband internet access for information, entertainment and commerce. In addition to fiber and wireless systems, other technologies such as geostationary high throughput satellites, LEO networks, MEO systems, balloons and High Altitude Platform Systems are expected to play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the internet-of-things, entertainment and commerce in North America and internationally for consumers, as well as aeronautical, enterprise and government customers. We are closely tracking the developments in next-generation satellite businesses, and we are seeking to utilize our services, technologies and expertise to find new commercial opportunities for our business.</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intend to continue to selectively explore opportunities to pursue investments, commercial alliances, partnerships, joint ventures, acquisitions, dispositions and other strategic initiatives and transactions, domestically and internationally, that we believe may allow us to increase our existing market share, increase our satellite capacity, expand into new markets and new customers, broaden our portfolio of services, products and intellectual property, make our business more valuable, align us for future growth and expansion, maximize the return on our investments, and strengthen our business and relationships with our customers. We may allocate or dispose of significant resources for long-term value that may not have a short or medium-term or any positive impact on our revenue, results of operations, or cash flow.</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S-Band Strategy</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We intend to explore the development of S-band technologies that we expect will reduce the cost of satellite communications for internet of things, machine-to-machine communications, public protection, disaster relief and other end-to-end services worldwide. We believe that our products and services will be integrated into new global, hybrid networks that leverage multiple satellites and terrestrial technologies. In December 2013, we acquired EchoStar Mobile Limited (“EML”), an entity based in Dublin, Ireland, which is licensed by the European Union and its member states (“EU”) to provide mobile satellite service and complementary ground component services covering the EU using S-band spectrum. EML’s services in the EU are supported by our EchoStar XXI satellite, which was placed into service in November 2017, and the EUTELSAT 10A (“W2A”) payload. In October 2019, we acquired Sirion Global Pty Ltd., which we have renamed EchoStar Global Australia Pty Ltd (“EchoStar Global”), which holds global S-band non-geostationary satellite orbit spectrum rights for mobile satellite service. As of September 30, 2019, we have no material future commitments in connection with these acquisitions.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Cybersecurity</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As a global provider of satellite technologies and services, internet services and communications equipment and networks, we may be prone to more targeted and persistent levels of cyber-attacks than other businesses. These risks may be more prevalent as we continue to expand and grow our business into other areas of the world outside of North America, some of which are still developing their cybersecurity infrastructure maturity. Detecting, deterring, preventing and mitigating incidents caused by hackers and other parties may result in significant costs to us and may expose our customers to financial or other harm that have the potential to significantly increase our liability.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80"/>
          </w:cols>
          <w:pgMar w:left="220" w:top="140" w:right="199" w:bottom="1440" w:gutter="0" w:footer="0" w:header="0"/>
        </w:sectPr>
      </w:pPr>
    </w:p>
    <w:bookmarkStart w:id="54" w:name="page55"/>
    <w:bookmarkEnd w:id="5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200" w:lineRule="exact"/>
        <w:rPr>
          <w:sz w:val="20"/>
          <w:szCs w:val="20"/>
          <w:color w:val="auto"/>
        </w:rPr>
      </w:pPr>
    </w:p>
    <w:p>
      <w:pPr>
        <w:spacing w:after="0" w:line="270"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treat cybersecurity risk seriously and are focused on maintaining the security of our and our partners’ systems, networks, technologies and data. We regularly review and revise our relevant policies and procedures, invest in and maintain internal resources, personnel and systems and review, modify and supplement our defenses through the use of various services, programs and outside vendors. We also maintain agreements with third party vendors and experts to assist in our remediation and mitigation efforts if we experience or identify a material incident or threat. In addition, senior management and the Audit Committee of our Board of Directors are regularly briefed on cybersecurity matters.</w:t>
      </w:r>
    </w:p>
    <w:p>
      <w:pPr>
        <w:spacing w:after="0" w:line="136" w:lineRule="exact"/>
        <w:rPr>
          <w:sz w:val="20"/>
          <w:szCs w:val="20"/>
          <w:color w:val="auto"/>
        </w:rPr>
      </w:pPr>
    </w:p>
    <w:p>
      <w:pPr>
        <w:jc w:val="both"/>
        <w:ind w:right="20"/>
        <w:spacing w:after="0" w:line="256" w:lineRule="auto"/>
        <w:rPr>
          <w:sz w:val="20"/>
          <w:szCs w:val="20"/>
          <w:color w:val="auto"/>
        </w:rPr>
      </w:pPr>
      <w:r>
        <w:rPr>
          <w:rFonts w:ascii="Arial" w:cs="Arial" w:eastAsia="Arial" w:hAnsi="Arial"/>
          <w:sz w:val="12"/>
          <w:szCs w:val="12"/>
          <w:color w:val="auto"/>
        </w:rPr>
        <w:t>We are not aware of any cyber-incidents with respect to our owned or leased satellites or other networks, equipment or systems that have had a material adverse effect on our business, costs, operations, prospects, results of operation or financial position during the three and nine months ended September 30, 2019. There can be no assurance, however, that any such incident can be detected or thwarted or will not have such a material adverse effect in the future.</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80"/>
          </w:cols>
          <w:pgMar w:left="220" w:top="140" w:right="199" w:bottom="1440" w:gutter="0" w:footer="0" w:header="0"/>
        </w:sectPr>
      </w:pPr>
    </w:p>
    <w:bookmarkStart w:id="55" w:name="page56"/>
    <w:bookmarkEnd w:id="55"/>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31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RESULTS OF OPERATIONS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Three Months Ended September 30, 2019 Compared to the Three Months Ended September 30, 2018</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presents our consolidated results of operations for the three months ended September 30, 2019 compared to the three months ended September 30, 2018 (amounts in thousands):</w:t>
      </w:r>
    </w:p>
    <w:p>
      <w:pPr>
        <w:spacing w:after="0" w:line="99"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6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60" w:type="dxa"/>
            <w:vAlign w:val="bottom"/>
            <w:gridSpan w:val="3"/>
          </w:tcPr>
          <w:p>
            <w:pPr>
              <w:jc w:val="right"/>
              <w:ind w:right="12"/>
              <w:spacing w:after="0"/>
              <w:rPr>
                <w:sz w:val="20"/>
                <w:szCs w:val="20"/>
                <w:color w:val="auto"/>
              </w:rPr>
            </w:pPr>
            <w:r>
              <w:rPr>
                <w:rFonts w:ascii="Arial" w:cs="Arial" w:eastAsia="Arial" w:hAnsi="Arial"/>
                <w:sz w:val="10"/>
                <w:szCs w:val="10"/>
                <w:b w:val="1"/>
                <w:bCs w:val="1"/>
                <w:color w:val="auto"/>
              </w:rPr>
              <w:t>For the three months</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ended September 30,</w:t>
            </w: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ind w:left="780"/>
              <w:spacing w:after="0"/>
              <w:rPr>
                <w:sz w:val="20"/>
                <w:szCs w:val="20"/>
                <w:color w:val="auto"/>
              </w:rPr>
            </w:pPr>
            <w:r>
              <w:rPr>
                <w:rFonts w:ascii="Arial" w:cs="Arial" w:eastAsia="Arial" w:hAnsi="Arial"/>
                <w:sz w:val="10"/>
                <w:szCs w:val="10"/>
                <w:b w:val="1"/>
                <w:bCs w:val="1"/>
                <w:color w:val="auto"/>
              </w:rPr>
              <w:t>Variance</w:t>
            </w: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320" w:type="dxa"/>
            <w:vAlign w:val="bottom"/>
            <w:gridSpan w:val="2"/>
          </w:tcPr>
          <w:p>
            <w:pPr>
              <w:ind w:left="20"/>
              <w:spacing w:after="0"/>
              <w:rPr>
                <w:sz w:val="20"/>
                <w:szCs w:val="20"/>
                <w:color w:val="auto"/>
              </w:rPr>
            </w:pPr>
            <w:r>
              <w:rPr>
                <w:rFonts w:ascii="Arial" w:cs="Arial" w:eastAsia="Arial" w:hAnsi="Arial"/>
                <w:sz w:val="10"/>
                <w:szCs w:val="10"/>
                <w:b w:val="1"/>
                <w:bCs w:val="1"/>
                <w:color w:val="auto"/>
              </w:rPr>
              <w:t>Statements of Operations Data (1)</w:t>
            </w:r>
          </w:p>
        </w:tc>
        <w:tc>
          <w:tcPr>
            <w:tcW w:w="300" w:type="dxa"/>
            <w:vAlign w:val="bottom"/>
          </w:tcPr>
          <w:p>
            <w:pPr>
              <w:spacing w:after="0"/>
              <w:rPr>
                <w:sz w:val="14"/>
                <w:szCs w:val="14"/>
                <w:color w:val="auto"/>
              </w:rPr>
            </w:pPr>
          </w:p>
        </w:tc>
        <w:tc>
          <w:tcPr>
            <w:tcW w:w="960" w:type="dxa"/>
            <w:vAlign w:val="bottom"/>
          </w:tcPr>
          <w:p>
            <w:pPr>
              <w:jc w:val="right"/>
              <w:ind w:right="472"/>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jc w:val="right"/>
              <w:ind w:right="492"/>
              <w:spacing w:after="0"/>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tcPr>
          <w:p>
            <w:pPr>
              <w:ind w:left="160"/>
              <w:spacing w:after="0"/>
              <w:rPr>
                <w:sz w:val="20"/>
                <w:szCs w:val="20"/>
                <w:color w:val="auto"/>
              </w:rPr>
            </w:pPr>
            <w:r>
              <w:rPr>
                <w:rFonts w:ascii="Arial" w:cs="Arial" w:eastAsia="Arial" w:hAnsi="Arial"/>
                <w:sz w:val="10"/>
                <w:szCs w:val="10"/>
                <w:b w:val="1"/>
                <w:bCs w:val="1"/>
                <w:color w:val="auto"/>
              </w:rPr>
              <w:t>Amount</w:t>
            </w:r>
          </w:p>
        </w:tc>
        <w:tc>
          <w:tcPr>
            <w:tcW w:w="800" w:type="dxa"/>
            <w:vAlign w:val="bottom"/>
          </w:tcPr>
          <w:p>
            <w:pPr>
              <w:jc w:val="right"/>
              <w:ind w:right="472"/>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209"/>
        </w:trPr>
        <w:tc>
          <w:tcPr>
            <w:tcW w:w="6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Revenue:</w:t>
            </w: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6320" w:type="dxa"/>
            <w:vAlign w:val="bottom"/>
            <w:gridSpan w:val="2"/>
          </w:tcPr>
          <w:p>
            <w:pPr>
              <w:ind w:left="180"/>
              <w:spacing w:after="0"/>
              <w:rPr>
                <w:sz w:val="20"/>
                <w:szCs w:val="20"/>
                <w:color w:val="auto"/>
              </w:rPr>
            </w:pPr>
            <w:r>
              <w:rPr>
                <w:rFonts w:ascii="Arial" w:cs="Arial" w:eastAsia="Arial" w:hAnsi="Arial"/>
                <w:sz w:val="10"/>
                <w:szCs w:val="10"/>
                <w:color w:val="auto"/>
              </w:rPr>
              <w:t>Services and other revenue - DISH Network</w:t>
            </w:r>
          </w:p>
        </w:tc>
        <w:tc>
          <w:tcPr>
            <w:tcW w:w="300" w:type="dxa"/>
            <w:vAlign w:val="bottom"/>
            <w:vMerge w:val="restart"/>
          </w:tcPr>
          <w:p>
            <w:pPr>
              <w:jc w:val="right"/>
              <w:ind w:right="192"/>
              <w:spacing w:after="0"/>
              <w:rPr>
                <w:sz w:val="20"/>
                <w:szCs w:val="20"/>
                <w:color w:val="auto"/>
              </w:rPr>
            </w:pPr>
            <w:r>
              <w:rPr>
                <w:rFonts w:ascii="Arial" w:cs="Arial" w:eastAsia="Arial" w:hAnsi="Arial"/>
                <w:sz w:val="10"/>
                <w:szCs w:val="10"/>
                <w:color w:val="auto"/>
                <w:w w:val="71"/>
              </w:rPr>
              <w:t>$</w:t>
            </w:r>
          </w:p>
        </w:tc>
        <w:tc>
          <w:tcPr>
            <w:tcW w:w="960" w:type="dxa"/>
            <w:vAlign w:val="bottom"/>
            <w:vMerge w:val="restart"/>
          </w:tcPr>
          <w:p>
            <w:pPr>
              <w:jc w:val="right"/>
              <w:ind w:right="72"/>
              <w:spacing w:after="0"/>
              <w:rPr>
                <w:sz w:val="20"/>
                <w:szCs w:val="20"/>
                <w:color w:val="auto"/>
              </w:rPr>
            </w:pPr>
            <w:r>
              <w:rPr>
                <w:rFonts w:ascii="Arial" w:cs="Arial" w:eastAsia="Arial" w:hAnsi="Arial"/>
                <w:sz w:val="10"/>
                <w:szCs w:val="10"/>
                <w:color w:val="auto"/>
              </w:rPr>
              <w:t>13,232</w:t>
            </w:r>
          </w:p>
        </w:tc>
        <w:tc>
          <w:tcPr>
            <w:tcW w:w="120" w:type="dxa"/>
            <w:vAlign w:val="bottom"/>
          </w:tcPr>
          <w:p>
            <w:pPr>
              <w:spacing w:after="0"/>
              <w:rPr>
                <w:sz w:val="11"/>
                <w:szCs w:val="11"/>
                <w:color w:val="auto"/>
              </w:rPr>
            </w:pPr>
          </w:p>
        </w:tc>
        <w:tc>
          <w:tcPr>
            <w:tcW w:w="480" w:type="dxa"/>
            <w:vAlign w:val="bottom"/>
            <w:vMerge w:val="restart"/>
          </w:tcPr>
          <w:p>
            <w:pPr>
              <w:jc w:val="right"/>
              <w:ind w:right="352"/>
              <w:spacing w:after="0"/>
              <w:rPr>
                <w:sz w:val="20"/>
                <w:szCs w:val="20"/>
                <w:color w:val="auto"/>
              </w:rPr>
            </w:pPr>
            <w:r>
              <w:rPr>
                <w:rFonts w:ascii="Arial" w:cs="Arial" w:eastAsia="Arial" w:hAnsi="Arial"/>
                <w:sz w:val="10"/>
                <w:szCs w:val="10"/>
                <w:color w:val="auto"/>
              </w:rPr>
              <w:t>$</w:t>
            </w:r>
          </w:p>
        </w:tc>
        <w:tc>
          <w:tcPr>
            <w:tcW w:w="800" w:type="dxa"/>
            <w:vAlign w:val="bottom"/>
            <w:vMerge w:val="restart"/>
          </w:tcPr>
          <w:p>
            <w:pPr>
              <w:jc w:val="right"/>
              <w:ind w:right="72"/>
              <w:spacing w:after="0"/>
              <w:rPr>
                <w:sz w:val="20"/>
                <w:szCs w:val="20"/>
                <w:color w:val="auto"/>
              </w:rPr>
            </w:pPr>
            <w:r>
              <w:rPr>
                <w:rFonts w:ascii="Arial" w:cs="Arial" w:eastAsia="Arial" w:hAnsi="Arial"/>
                <w:sz w:val="10"/>
                <w:szCs w:val="10"/>
                <w:color w:val="auto"/>
              </w:rPr>
              <w:t>17,054</w:t>
            </w:r>
          </w:p>
        </w:tc>
        <w:tc>
          <w:tcPr>
            <w:tcW w:w="100" w:type="dxa"/>
            <w:vAlign w:val="bottom"/>
          </w:tcPr>
          <w:p>
            <w:pPr>
              <w:spacing w:after="0"/>
              <w:rPr>
                <w:sz w:val="11"/>
                <w:szCs w:val="11"/>
                <w:color w:val="auto"/>
              </w:rPr>
            </w:pPr>
          </w:p>
        </w:tc>
        <w:tc>
          <w:tcPr>
            <w:tcW w:w="240" w:type="dxa"/>
            <w:vAlign w:val="bottom"/>
            <w:vMerge w:val="restart"/>
          </w:tcPr>
          <w:p>
            <w:pPr>
              <w:jc w:val="right"/>
              <w:ind w:right="112"/>
              <w:spacing w:after="0"/>
              <w:rPr>
                <w:sz w:val="20"/>
                <w:szCs w:val="20"/>
                <w:color w:val="auto"/>
              </w:rPr>
            </w:pPr>
            <w:r>
              <w:rPr>
                <w:rFonts w:ascii="Arial" w:cs="Arial" w:eastAsia="Arial" w:hAnsi="Arial"/>
                <w:sz w:val="10"/>
                <w:szCs w:val="10"/>
                <w:color w:val="auto"/>
              </w:rPr>
              <w:t>$</w:t>
            </w:r>
          </w:p>
        </w:tc>
        <w:tc>
          <w:tcPr>
            <w:tcW w:w="920" w:type="dxa"/>
            <w:vAlign w:val="bottom"/>
            <w:vMerge w:val="restart"/>
          </w:tcPr>
          <w:p>
            <w:pPr>
              <w:jc w:val="right"/>
              <w:ind w:right="32"/>
              <w:spacing w:after="0"/>
              <w:rPr>
                <w:sz w:val="20"/>
                <w:szCs w:val="20"/>
                <w:color w:val="auto"/>
              </w:rPr>
            </w:pPr>
            <w:r>
              <w:rPr>
                <w:rFonts w:ascii="Arial" w:cs="Arial" w:eastAsia="Arial" w:hAnsi="Arial"/>
                <w:sz w:val="10"/>
                <w:szCs w:val="10"/>
                <w:color w:val="auto"/>
              </w:rPr>
              <w:t>(3,822)</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vMerge w:val="restart"/>
          </w:tcPr>
          <w:p>
            <w:pPr>
              <w:jc w:val="right"/>
              <w:ind w:right="32"/>
              <w:spacing w:after="0"/>
              <w:rPr>
                <w:sz w:val="20"/>
                <w:szCs w:val="20"/>
                <w:color w:val="auto"/>
              </w:rPr>
            </w:pPr>
            <w:r>
              <w:rPr>
                <w:rFonts w:ascii="Arial" w:cs="Arial" w:eastAsia="Arial" w:hAnsi="Arial"/>
                <w:sz w:val="10"/>
                <w:szCs w:val="10"/>
                <w:color w:val="auto"/>
              </w:rPr>
              <w:t>(22.4)</w:t>
            </w:r>
          </w:p>
        </w:tc>
        <w:tc>
          <w:tcPr>
            <w:tcW w:w="0" w:type="dxa"/>
            <w:vAlign w:val="bottom"/>
          </w:tcPr>
          <w:p>
            <w:pPr>
              <w:spacing w:after="0"/>
              <w:rPr>
                <w:sz w:val="1"/>
                <w:szCs w:val="1"/>
                <w:color w:val="auto"/>
              </w:rPr>
            </w:pPr>
          </w:p>
        </w:tc>
      </w:tr>
      <w:tr>
        <w:trPr>
          <w:trHeight w:val="40"/>
        </w:trPr>
        <w:tc>
          <w:tcPr>
            <w:tcW w:w="6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9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Services and other revenue - other</w:t>
            </w:r>
          </w:p>
        </w:tc>
        <w:tc>
          <w:tcPr>
            <w:tcW w:w="3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393,305</w:t>
            </w:r>
          </w:p>
        </w:tc>
        <w:tc>
          <w:tcPr>
            <w:tcW w:w="1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382,374</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10,931</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2.9</w:t>
            </w:r>
          </w:p>
        </w:tc>
        <w:tc>
          <w:tcPr>
            <w:tcW w:w="0" w:type="dxa"/>
            <w:vAlign w:val="bottom"/>
          </w:tcPr>
          <w:p>
            <w:pPr>
              <w:spacing w:after="0"/>
              <w:rPr>
                <w:sz w:val="1"/>
                <w:szCs w:val="1"/>
                <w:color w:val="auto"/>
              </w:rPr>
            </w:pPr>
          </w:p>
        </w:tc>
      </w:tr>
      <w:tr>
        <w:trPr>
          <w:trHeight w:val="136"/>
        </w:trPr>
        <w:tc>
          <w:tcPr>
            <w:tcW w:w="6320" w:type="dxa"/>
            <w:vAlign w:val="bottom"/>
            <w:gridSpan w:val="2"/>
          </w:tcPr>
          <w:p>
            <w:pPr>
              <w:ind w:left="180"/>
              <w:spacing w:after="0"/>
              <w:rPr>
                <w:sz w:val="20"/>
                <w:szCs w:val="20"/>
                <w:color w:val="auto"/>
              </w:rPr>
            </w:pPr>
            <w:r>
              <w:rPr>
                <w:rFonts w:ascii="Arial" w:cs="Arial" w:eastAsia="Arial" w:hAnsi="Arial"/>
                <w:sz w:val="10"/>
                <w:szCs w:val="10"/>
                <w:color w:val="auto"/>
              </w:rPr>
              <w:t>Equipment revenue</w:t>
            </w:r>
          </w:p>
        </w:tc>
        <w:tc>
          <w:tcPr>
            <w:tcW w:w="300" w:type="dxa"/>
            <w:vAlign w:val="bottom"/>
          </w:tcPr>
          <w:p>
            <w:pPr>
              <w:spacing w:after="0"/>
              <w:rPr>
                <w:sz w:val="11"/>
                <w:szCs w:val="11"/>
                <w:color w:val="auto"/>
              </w:rPr>
            </w:pPr>
          </w:p>
        </w:tc>
        <w:tc>
          <w:tcPr>
            <w:tcW w:w="960" w:type="dxa"/>
            <w:vAlign w:val="bottom"/>
            <w:vMerge w:val="restart"/>
          </w:tcPr>
          <w:p>
            <w:pPr>
              <w:jc w:val="right"/>
              <w:ind w:right="72"/>
              <w:spacing w:after="0"/>
              <w:rPr>
                <w:sz w:val="20"/>
                <w:szCs w:val="20"/>
                <w:color w:val="auto"/>
              </w:rPr>
            </w:pPr>
            <w:r>
              <w:rPr>
                <w:rFonts w:ascii="Arial" w:cs="Arial" w:eastAsia="Arial" w:hAnsi="Arial"/>
                <w:sz w:val="10"/>
                <w:szCs w:val="10"/>
                <w:color w:val="auto"/>
              </w:rPr>
              <w:t>65,725</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jc w:val="right"/>
              <w:ind w:right="72"/>
              <w:spacing w:after="0"/>
              <w:rPr>
                <w:sz w:val="20"/>
                <w:szCs w:val="20"/>
                <w:color w:val="auto"/>
              </w:rPr>
            </w:pPr>
            <w:r>
              <w:rPr>
                <w:rFonts w:ascii="Arial" w:cs="Arial" w:eastAsia="Arial" w:hAnsi="Arial"/>
                <w:sz w:val="10"/>
                <w:szCs w:val="10"/>
                <w:color w:val="auto"/>
              </w:rPr>
              <w:t>56,846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right"/>
              <w:ind w:right="72"/>
              <w:spacing w:after="0"/>
              <w:rPr>
                <w:sz w:val="20"/>
                <w:szCs w:val="20"/>
                <w:color w:val="auto"/>
              </w:rPr>
            </w:pPr>
            <w:r>
              <w:rPr>
                <w:rFonts w:ascii="Arial" w:cs="Arial" w:eastAsia="Arial" w:hAnsi="Arial"/>
                <w:sz w:val="10"/>
                <w:szCs w:val="10"/>
                <w:color w:val="auto"/>
              </w:rPr>
              <w:t>8,879</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vMerge w:val="restart"/>
          </w:tcPr>
          <w:p>
            <w:pPr>
              <w:jc w:val="right"/>
              <w:ind w:right="72"/>
              <w:spacing w:after="0"/>
              <w:rPr>
                <w:sz w:val="20"/>
                <w:szCs w:val="20"/>
                <w:color w:val="auto"/>
              </w:rPr>
            </w:pPr>
            <w:r>
              <w:rPr>
                <w:rFonts w:ascii="Arial" w:cs="Arial" w:eastAsia="Arial" w:hAnsi="Arial"/>
                <w:sz w:val="10"/>
                <w:szCs w:val="10"/>
                <w:color w:val="auto"/>
              </w:rPr>
              <w:t>15.6</w:t>
            </w:r>
          </w:p>
        </w:tc>
        <w:tc>
          <w:tcPr>
            <w:tcW w:w="0" w:type="dxa"/>
            <w:vAlign w:val="bottom"/>
          </w:tcPr>
          <w:p>
            <w:pPr>
              <w:spacing w:after="0"/>
              <w:rPr>
                <w:sz w:val="1"/>
                <w:szCs w:val="1"/>
                <w:color w:val="auto"/>
              </w:rPr>
            </w:pPr>
          </w:p>
        </w:tc>
      </w:tr>
      <w:tr>
        <w:trPr>
          <w:trHeight w:val="40"/>
        </w:trPr>
        <w:tc>
          <w:tcPr>
            <w:tcW w:w="62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800" w:type="dxa"/>
            <w:vAlign w:val="bottom"/>
            <w:tcBorders>
              <w:bottom w:val="single" w:sz="8" w:color="CCEEFF"/>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63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0"/>
                <w:szCs w:val="10"/>
                <w:color w:val="auto"/>
              </w:rPr>
              <w:t>Total revenue</w:t>
            </w:r>
          </w:p>
        </w:tc>
        <w:tc>
          <w:tcPr>
            <w:tcW w:w="3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472,262</w:t>
            </w:r>
          </w:p>
        </w:tc>
        <w:tc>
          <w:tcPr>
            <w:tcW w:w="1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456,274</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15,988</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3.5</w:t>
            </w:r>
          </w:p>
        </w:tc>
        <w:tc>
          <w:tcPr>
            <w:tcW w:w="0" w:type="dxa"/>
            <w:vAlign w:val="bottom"/>
          </w:tcPr>
          <w:p>
            <w:pPr>
              <w:spacing w:after="0"/>
              <w:rPr>
                <w:sz w:val="1"/>
                <w:szCs w:val="1"/>
                <w:color w:val="auto"/>
              </w:rPr>
            </w:pPr>
          </w:p>
        </w:tc>
      </w:tr>
      <w:tr>
        <w:trPr>
          <w:trHeight w:val="116"/>
        </w:trPr>
        <w:tc>
          <w:tcPr>
            <w:tcW w:w="6320" w:type="dxa"/>
            <w:vAlign w:val="bottom"/>
            <w:gridSpan w:val="2"/>
          </w:tcPr>
          <w:p>
            <w:pPr>
              <w:ind w:left="20"/>
              <w:spacing w:after="0"/>
              <w:rPr>
                <w:sz w:val="20"/>
                <w:szCs w:val="20"/>
                <w:color w:val="auto"/>
              </w:rPr>
            </w:pPr>
            <w:r>
              <w:rPr>
                <w:rFonts w:ascii="Arial" w:cs="Arial" w:eastAsia="Arial" w:hAnsi="Arial"/>
                <w:sz w:val="10"/>
                <w:szCs w:val="10"/>
                <w:b w:val="1"/>
                <w:bCs w:val="1"/>
                <w:color w:val="auto"/>
              </w:rPr>
              <w:t>Costs and expenses:</w:t>
            </w:r>
          </w:p>
        </w:tc>
        <w:tc>
          <w:tcPr>
            <w:tcW w:w="3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6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Cost of sales - services and other</w:t>
            </w: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143,842</w:t>
            </w:r>
          </w:p>
        </w:tc>
        <w:tc>
          <w:tcPr>
            <w:tcW w:w="1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142,290</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1,552</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36"/>
        </w:trPr>
        <w:tc>
          <w:tcPr>
            <w:tcW w:w="6320" w:type="dxa"/>
            <w:vAlign w:val="bottom"/>
            <w:gridSpan w:val="2"/>
          </w:tcPr>
          <w:p>
            <w:pPr>
              <w:ind w:left="320"/>
              <w:spacing w:after="0"/>
              <w:rPr>
                <w:sz w:val="20"/>
                <w:szCs w:val="20"/>
                <w:color w:val="auto"/>
              </w:rPr>
            </w:pPr>
            <w:r>
              <w:rPr>
                <w:rFonts w:ascii="Arial" w:cs="Arial" w:eastAsia="Arial" w:hAnsi="Arial"/>
                <w:sz w:val="10"/>
                <w:szCs w:val="10"/>
                <w:b w:val="1"/>
                <w:bCs w:val="1"/>
                <w:color w:val="auto"/>
              </w:rPr>
              <w:t>% of total services and other revenue</w:t>
            </w:r>
          </w:p>
        </w:tc>
        <w:tc>
          <w:tcPr>
            <w:tcW w:w="3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35.4%</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35.6%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6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Cost of sales - equipment</w:t>
            </w:r>
          </w:p>
        </w:tc>
        <w:tc>
          <w:tcPr>
            <w:tcW w:w="3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51,188</w:t>
            </w:r>
          </w:p>
        </w:tc>
        <w:tc>
          <w:tcPr>
            <w:tcW w:w="1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46,318</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4,870</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10.5</w:t>
            </w:r>
          </w:p>
        </w:tc>
        <w:tc>
          <w:tcPr>
            <w:tcW w:w="0" w:type="dxa"/>
            <w:vAlign w:val="bottom"/>
          </w:tcPr>
          <w:p>
            <w:pPr>
              <w:spacing w:after="0"/>
              <w:rPr>
                <w:sz w:val="1"/>
                <w:szCs w:val="1"/>
                <w:color w:val="auto"/>
              </w:rPr>
            </w:pPr>
          </w:p>
        </w:tc>
      </w:tr>
      <w:tr>
        <w:trPr>
          <w:trHeight w:val="136"/>
        </w:trPr>
        <w:tc>
          <w:tcPr>
            <w:tcW w:w="6320" w:type="dxa"/>
            <w:vAlign w:val="bottom"/>
            <w:gridSpan w:val="2"/>
          </w:tcPr>
          <w:p>
            <w:pPr>
              <w:ind w:left="320"/>
              <w:spacing w:after="0"/>
              <w:rPr>
                <w:sz w:val="20"/>
                <w:szCs w:val="20"/>
                <w:color w:val="auto"/>
              </w:rPr>
            </w:pPr>
            <w:r>
              <w:rPr>
                <w:rFonts w:ascii="Arial" w:cs="Arial" w:eastAsia="Arial" w:hAnsi="Arial"/>
                <w:sz w:val="10"/>
                <w:szCs w:val="10"/>
                <w:b w:val="1"/>
                <w:bCs w:val="1"/>
                <w:color w:val="auto"/>
              </w:rPr>
              <w:t>% of total equipment revenue</w:t>
            </w:r>
          </w:p>
        </w:tc>
        <w:tc>
          <w:tcPr>
            <w:tcW w:w="3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77.9%</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81.5%</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6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Selling, general and administrative expenses</w:t>
            </w:r>
          </w:p>
        </w:tc>
        <w:tc>
          <w:tcPr>
            <w:tcW w:w="3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122,676</w:t>
            </w:r>
          </w:p>
        </w:tc>
        <w:tc>
          <w:tcPr>
            <w:tcW w:w="1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107,540</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15,136</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14.1</w:t>
            </w:r>
          </w:p>
        </w:tc>
        <w:tc>
          <w:tcPr>
            <w:tcW w:w="0" w:type="dxa"/>
            <w:vAlign w:val="bottom"/>
          </w:tcPr>
          <w:p>
            <w:pPr>
              <w:spacing w:after="0"/>
              <w:rPr>
                <w:sz w:val="1"/>
                <w:szCs w:val="1"/>
                <w:color w:val="auto"/>
              </w:rPr>
            </w:pPr>
          </w:p>
        </w:tc>
      </w:tr>
      <w:tr>
        <w:trPr>
          <w:trHeight w:val="136"/>
        </w:trPr>
        <w:tc>
          <w:tcPr>
            <w:tcW w:w="6320" w:type="dxa"/>
            <w:vAlign w:val="bottom"/>
            <w:gridSpan w:val="2"/>
          </w:tcPr>
          <w:p>
            <w:pPr>
              <w:ind w:left="320"/>
              <w:spacing w:after="0"/>
              <w:rPr>
                <w:sz w:val="20"/>
                <w:szCs w:val="20"/>
                <w:color w:val="auto"/>
              </w:rPr>
            </w:pPr>
            <w:r>
              <w:rPr>
                <w:rFonts w:ascii="Arial" w:cs="Arial" w:eastAsia="Arial" w:hAnsi="Arial"/>
                <w:sz w:val="10"/>
                <w:szCs w:val="10"/>
                <w:b w:val="1"/>
                <w:bCs w:val="1"/>
                <w:color w:val="auto"/>
              </w:rPr>
              <w:t>% of total revenue</w:t>
            </w:r>
          </w:p>
        </w:tc>
        <w:tc>
          <w:tcPr>
            <w:tcW w:w="3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26.0%</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23.6%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6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Research and development expenses</w:t>
            </w:r>
          </w:p>
        </w:tc>
        <w:tc>
          <w:tcPr>
            <w:tcW w:w="3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6,136</w:t>
            </w:r>
          </w:p>
        </w:tc>
        <w:tc>
          <w:tcPr>
            <w:tcW w:w="1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6,544</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(408)</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(6.2)</w:t>
            </w:r>
          </w:p>
        </w:tc>
        <w:tc>
          <w:tcPr>
            <w:tcW w:w="0" w:type="dxa"/>
            <w:vAlign w:val="bottom"/>
          </w:tcPr>
          <w:p>
            <w:pPr>
              <w:spacing w:after="0"/>
              <w:rPr>
                <w:sz w:val="1"/>
                <w:szCs w:val="1"/>
                <w:color w:val="auto"/>
              </w:rPr>
            </w:pPr>
          </w:p>
        </w:tc>
      </w:tr>
      <w:tr>
        <w:trPr>
          <w:trHeight w:val="136"/>
        </w:trPr>
        <w:tc>
          <w:tcPr>
            <w:tcW w:w="6320" w:type="dxa"/>
            <w:vAlign w:val="bottom"/>
            <w:gridSpan w:val="2"/>
          </w:tcPr>
          <w:p>
            <w:pPr>
              <w:ind w:left="320"/>
              <w:spacing w:after="0"/>
              <w:rPr>
                <w:sz w:val="20"/>
                <w:szCs w:val="20"/>
                <w:color w:val="auto"/>
              </w:rPr>
            </w:pPr>
            <w:r>
              <w:rPr>
                <w:rFonts w:ascii="Arial" w:cs="Arial" w:eastAsia="Arial" w:hAnsi="Arial"/>
                <w:sz w:val="10"/>
                <w:szCs w:val="10"/>
                <w:b w:val="1"/>
                <w:bCs w:val="1"/>
                <w:color w:val="auto"/>
              </w:rPr>
              <w:t>% of total revenue</w:t>
            </w:r>
          </w:p>
        </w:tc>
        <w:tc>
          <w:tcPr>
            <w:tcW w:w="3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1.3%</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6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Depreciation and amortization</w:t>
            </w: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122,374</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115,325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7,049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6.1</w:t>
            </w:r>
          </w:p>
        </w:tc>
        <w:tc>
          <w:tcPr>
            <w:tcW w:w="0" w:type="dxa"/>
            <w:vAlign w:val="bottom"/>
          </w:tcPr>
          <w:p>
            <w:pPr>
              <w:spacing w:after="0"/>
              <w:rPr>
                <w:sz w:val="1"/>
                <w:szCs w:val="1"/>
                <w:color w:val="auto"/>
              </w:rPr>
            </w:pPr>
          </w:p>
        </w:tc>
      </w:tr>
      <w:tr>
        <w:trPr>
          <w:trHeight w:val="116"/>
        </w:trPr>
        <w:tc>
          <w:tcPr>
            <w:tcW w:w="6320" w:type="dxa"/>
            <w:vAlign w:val="bottom"/>
            <w:gridSpan w:val="2"/>
          </w:tcPr>
          <w:p>
            <w:pPr>
              <w:ind w:left="320"/>
              <w:spacing w:after="0"/>
              <w:rPr>
                <w:sz w:val="20"/>
                <w:szCs w:val="20"/>
                <w:color w:val="auto"/>
              </w:rPr>
            </w:pPr>
            <w:r>
              <w:rPr>
                <w:rFonts w:ascii="Arial" w:cs="Arial" w:eastAsia="Arial" w:hAnsi="Arial"/>
                <w:sz w:val="10"/>
                <w:szCs w:val="10"/>
                <w:color w:val="auto"/>
              </w:rPr>
              <w:t>Total costs and expenses</w:t>
            </w:r>
          </w:p>
        </w:tc>
        <w:tc>
          <w:tcPr>
            <w:tcW w:w="3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0"/>
                <w:szCs w:val="10"/>
                <w:color w:val="auto"/>
              </w:rPr>
              <w:t>446,216</w:t>
            </w:r>
          </w:p>
        </w:tc>
        <w:tc>
          <w:tcPr>
            <w:tcW w:w="1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0"/>
                <w:szCs w:val="10"/>
                <w:color w:val="auto"/>
              </w:rPr>
              <w:t>418,017</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0"/>
                <w:szCs w:val="10"/>
                <w:color w:val="auto"/>
              </w:rPr>
              <w:t>28,199</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vMerge w:val="restart"/>
          </w:tcPr>
          <w:p>
            <w:pPr>
              <w:jc w:val="right"/>
              <w:ind w:right="72"/>
              <w:spacing w:after="0"/>
              <w:rPr>
                <w:sz w:val="20"/>
                <w:szCs w:val="20"/>
                <w:color w:val="auto"/>
              </w:rPr>
            </w:pPr>
            <w:r>
              <w:rPr>
                <w:rFonts w:ascii="Arial" w:cs="Arial" w:eastAsia="Arial" w:hAnsi="Arial"/>
                <w:sz w:val="10"/>
                <w:szCs w:val="10"/>
                <w:color w:val="auto"/>
              </w:rPr>
              <w:t>6.7</w:t>
            </w:r>
          </w:p>
        </w:tc>
        <w:tc>
          <w:tcPr>
            <w:tcW w:w="0" w:type="dxa"/>
            <w:vAlign w:val="bottom"/>
          </w:tcPr>
          <w:p>
            <w:pPr>
              <w:spacing w:after="0"/>
              <w:rPr>
                <w:sz w:val="1"/>
                <w:szCs w:val="1"/>
                <w:color w:val="auto"/>
              </w:rPr>
            </w:pPr>
          </w:p>
        </w:tc>
      </w:tr>
      <w:tr>
        <w:trPr>
          <w:trHeight w:val="40"/>
        </w:trPr>
        <w:tc>
          <w:tcPr>
            <w:tcW w:w="62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800" w:type="dxa"/>
            <w:vAlign w:val="bottom"/>
            <w:tcBorders>
              <w:bottom w:val="single" w:sz="8" w:color="CCEEFF"/>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3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0"/>
                <w:szCs w:val="10"/>
                <w:color w:val="auto"/>
              </w:rPr>
              <w:t>Operating income</w:t>
            </w: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26,046</w:t>
            </w:r>
          </w:p>
        </w:tc>
        <w:tc>
          <w:tcPr>
            <w:tcW w:w="1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38,257</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(12,211)</w:t>
            </w: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(31.9)</w:t>
            </w:r>
          </w:p>
        </w:tc>
        <w:tc>
          <w:tcPr>
            <w:tcW w:w="0" w:type="dxa"/>
            <w:vAlign w:val="bottom"/>
          </w:tcPr>
          <w:p>
            <w:pPr>
              <w:spacing w:after="0"/>
              <w:rPr>
                <w:sz w:val="1"/>
                <w:szCs w:val="1"/>
                <w:color w:val="auto"/>
              </w:rPr>
            </w:pPr>
          </w:p>
        </w:tc>
      </w:tr>
      <w:tr>
        <w:trPr>
          <w:trHeight w:val="209"/>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Other income (expense):</w:t>
            </w: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6320" w:type="dxa"/>
            <w:vAlign w:val="bottom"/>
            <w:gridSpan w:val="2"/>
          </w:tcPr>
          <w:p>
            <w:pPr>
              <w:ind w:left="180"/>
              <w:spacing w:after="0"/>
              <w:rPr>
                <w:sz w:val="20"/>
                <w:szCs w:val="20"/>
                <w:color w:val="auto"/>
              </w:rPr>
            </w:pPr>
            <w:r>
              <w:rPr>
                <w:rFonts w:ascii="Arial" w:cs="Arial" w:eastAsia="Arial" w:hAnsi="Arial"/>
                <w:sz w:val="10"/>
                <w:szCs w:val="10"/>
                <w:color w:val="auto"/>
              </w:rPr>
              <w:t>Interest income</w:t>
            </w:r>
          </w:p>
        </w:tc>
        <w:tc>
          <w:tcPr>
            <w:tcW w:w="300" w:type="dxa"/>
            <w:vAlign w:val="bottom"/>
          </w:tcPr>
          <w:p>
            <w:pPr>
              <w:spacing w:after="0"/>
              <w:rPr>
                <w:sz w:val="11"/>
                <w:szCs w:val="11"/>
                <w:color w:val="auto"/>
              </w:rPr>
            </w:pPr>
          </w:p>
        </w:tc>
        <w:tc>
          <w:tcPr>
            <w:tcW w:w="960" w:type="dxa"/>
            <w:vAlign w:val="bottom"/>
            <w:vMerge w:val="restart"/>
          </w:tcPr>
          <w:p>
            <w:pPr>
              <w:jc w:val="right"/>
              <w:ind w:right="72"/>
              <w:spacing w:after="0"/>
              <w:rPr>
                <w:sz w:val="20"/>
                <w:szCs w:val="20"/>
                <w:color w:val="auto"/>
              </w:rPr>
            </w:pPr>
            <w:r>
              <w:rPr>
                <w:rFonts w:ascii="Arial" w:cs="Arial" w:eastAsia="Arial" w:hAnsi="Arial"/>
                <w:sz w:val="10"/>
                <w:szCs w:val="10"/>
                <w:color w:val="auto"/>
              </w:rPr>
              <w:t>17,175</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jc w:val="right"/>
              <w:ind w:right="72"/>
              <w:spacing w:after="0"/>
              <w:rPr>
                <w:sz w:val="20"/>
                <w:szCs w:val="20"/>
                <w:color w:val="auto"/>
              </w:rPr>
            </w:pPr>
            <w:r>
              <w:rPr>
                <w:rFonts w:ascii="Arial" w:cs="Arial" w:eastAsia="Arial" w:hAnsi="Arial"/>
                <w:sz w:val="10"/>
                <w:szCs w:val="10"/>
                <w:color w:val="auto"/>
              </w:rPr>
              <w:t>21,349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right"/>
              <w:ind w:right="32"/>
              <w:spacing w:after="0"/>
              <w:rPr>
                <w:sz w:val="20"/>
                <w:szCs w:val="20"/>
                <w:color w:val="auto"/>
              </w:rPr>
            </w:pPr>
            <w:r>
              <w:rPr>
                <w:rFonts w:ascii="Arial" w:cs="Arial" w:eastAsia="Arial" w:hAnsi="Arial"/>
                <w:sz w:val="10"/>
                <w:szCs w:val="10"/>
                <w:color w:val="auto"/>
              </w:rPr>
              <w:t>(4,174)</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vMerge w:val="restart"/>
          </w:tcPr>
          <w:p>
            <w:pPr>
              <w:jc w:val="right"/>
              <w:ind w:right="32"/>
              <w:spacing w:after="0"/>
              <w:rPr>
                <w:sz w:val="20"/>
                <w:szCs w:val="20"/>
                <w:color w:val="auto"/>
              </w:rPr>
            </w:pPr>
            <w:r>
              <w:rPr>
                <w:rFonts w:ascii="Arial" w:cs="Arial" w:eastAsia="Arial" w:hAnsi="Arial"/>
                <w:sz w:val="10"/>
                <w:szCs w:val="10"/>
                <w:color w:val="auto"/>
              </w:rPr>
              <w:t>(19.6)</w:t>
            </w:r>
          </w:p>
        </w:tc>
        <w:tc>
          <w:tcPr>
            <w:tcW w:w="0" w:type="dxa"/>
            <w:vAlign w:val="bottom"/>
          </w:tcPr>
          <w:p>
            <w:pPr>
              <w:spacing w:after="0"/>
              <w:rPr>
                <w:sz w:val="1"/>
                <w:szCs w:val="1"/>
                <w:color w:val="auto"/>
              </w:rPr>
            </w:pPr>
          </w:p>
        </w:tc>
      </w:tr>
      <w:tr>
        <w:trPr>
          <w:trHeight w:val="40"/>
        </w:trPr>
        <w:tc>
          <w:tcPr>
            <w:tcW w:w="6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Interest expense, net of amounts capitalized</w:t>
            </w:r>
          </w:p>
        </w:tc>
        <w:tc>
          <w:tcPr>
            <w:tcW w:w="3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(49,865)</w:t>
            </w:r>
          </w:p>
        </w:tc>
        <w:tc>
          <w:tcPr>
            <w:tcW w:w="1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(54,878)</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5,013</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9.1</w:t>
            </w:r>
          </w:p>
        </w:tc>
        <w:tc>
          <w:tcPr>
            <w:tcW w:w="0" w:type="dxa"/>
            <w:vAlign w:val="bottom"/>
          </w:tcPr>
          <w:p>
            <w:pPr>
              <w:spacing w:after="0"/>
              <w:rPr>
                <w:sz w:val="1"/>
                <w:szCs w:val="1"/>
                <w:color w:val="auto"/>
              </w:rPr>
            </w:pPr>
          </w:p>
        </w:tc>
      </w:tr>
      <w:tr>
        <w:trPr>
          <w:trHeight w:val="136"/>
        </w:trPr>
        <w:tc>
          <w:tcPr>
            <w:tcW w:w="6320" w:type="dxa"/>
            <w:vAlign w:val="bottom"/>
            <w:gridSpan w:val="2"/>
          </w:tcPr>
          <w:p>
            <w:pPr>
              <w:ind w:left="180"/>
              <w:spacing w:after="0"/>
              <w:rPr>
                <w:sz w:val="20"/>
                <w:szCs w:val="20"/>
                <w:color w:val="auto"/>
              </w:rPr>
            </w:pPr>
            <w:r>
              <w:rPr>
                <w:rFonts w:ascii="Arial" w:cs="Arial" w:eastAsia="Arial" w:hAnsi="Arial"/>
                <w:sz w:val="10"/>
                <w:szCs w:val="10"/>
                <w:color w:val="auto"/>
              </w:rPr>
              <w:t>Gains (losses) on investments, net</w:t>
            </w:r>
          </w:p>
        </w:tc>
        <w:tc>
          <w:tcPr>
            <w:tcW w:w="300" w:type="dxa"/>
            <w:vAlign w:val="bottom"/>
          </w:tcPr>
          <w:p>
            <w:pPr>
              <w:spacing w:after="0"/>
              <w:rPr>
                <w:sz w:val="11"/>
                <w:szCs w:val="11"/>
                <w:color w:val="auto"/>
              </w:rPr>
            </w:pPr>
          </w:p>
        </w:tc>
        <w:tc>
          <w:tcPr>
            <w:tcW w:w="960" w:type="dxa"/>
            <w:vAlign w:val="bottom"/>
            <w:vMerge w:val="restart"/>
          </w:tcPr>
          <w:p>
            <w:pPr>
              <w:jc w:val="right"/>
              <w:ind w:right="72"/>
              <w:spacing w:after="0"/>
              <w:rPr>
                <w:sz w:val="20"/>
                <w:szCs w:val="20"/>
                <w:color w:val="auto"/>
              </w:rPr>
            </w:pPr>
            <w:r>
              <w:rPr>
                <w:rFonts w:ascii="Arial" w:cs="Arial" w:eastAsia="Arial" w:hAnsi="Arial"/>
                <w:sz w:val="10"/>
                <w:szCs w:val="10"/>
                <w:color w:val="auto"/>
              </w:rPr>
              <w:t>8,295</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jc w:val="right"/>
              <w:ind w:right="72"/>
              <w:spacing w:after="0"/>
              <w:rPr>
                <w:sz w:val="20"/>
                <w:szCs w:val="20"/>
                <w:color w:val="auto"/>
              </w:rPr>
            </w:pPr>
            <w:r>
              <w:rPr>
                <w:rFonts w:ascii="Arial" w:cs="Arial" w:eastAsia="Arial" w:hAnsi="Arial"/>
                <w:sz w:val="10"/>
                <w:szCs w:val="10"/>
                <w:color w:val="auto"/>
              </w:rPr>
              <w:t>2,873</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right"/>
              <w:ind w:right="72"/>
              <w:spacing w:after="0"/>
              <w:rPr>
                <w:sz w:val="20"/>
                <w:szCs w:val="20"/>
                <w:color w:val="auto"/>
              </w:rPr>
            </w:pPr>
            <w:r>
              <w:rPr>
                <w:rFonts w:ascii="Arial" w:cs="Arial" w:eastAsia="Arial" w:hAnsi="Arial"/>
                <w:sz w:val="10"/>
                <w:szCs w:val="10"/>
                <w:color w:val="auto"/>
              </w:rPr>
              <w:t>5,422</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0"/>
        </w:trPr>
        <w:tc>
          <w:tcPr>
            <w:tcW w:w="6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Equity in earnings (losses) of unconsolidated affiliates, net</w:t>
            </w:r>
          </w:p>
        </w:tc>
        <w:tc>
          <w:tcPr>
            <w:tcW w:w="3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(3,209)</w:t>
            </w:r>
          </w:p>
        </w:tc>
        <w:tc>
          <w:tcPr>
            <w:tcW w:w="1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416</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(3,625)</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6"/>
        </w:trPr>
        <w:tc>
          <w:tcPr>
            <w:tcW w:w="6320" w:type="dxa"/>
            <w:vAlign w:val="bottom"/>
            <w:gridSpan w:val="2"/>
          </w:tcPr>
          <w:p>
            <w:pPr>
              <w:ind w:left="180"/>
              <w:spacing w:after="0"/>
              <w:rPr>
                <w:sz w:val="20"/>
                <w:szCs w:val="20"/>
                <w:color w:val="auto"/>
              </w:rPr>
            </w:pPr>
            <w:r>
              <w:rPr>
                <w:rFonts w:ascii="Arial" w:cs="Arial" w:eastAsia="Arial" w:hAnsi="Arial"/>
                <w:sz w:val="10"/>
                <w:szCs w:val="10"/>
                <w:color w:val="auto"/>
              </w:rPr>
              <w:t>Other, net</w:t>
            </w:r>
          </w:p>
        </w:tc>
        <w:tc>
          <w:tcPr>
            <w:tcW w:w="300" w:type="dxa"/>
            <w:vAlign w:val="bottom"/>
          </w:tcPr>
          <w:p>
            <w:pPr>
              <w:spacing w:after="0"/>
              <w:rPr>
                <w:sz w:val="11"/>
                <w:szCs w:val="11"/>
                <w:color w:val="auto"/>
              </w:rPr>
            </w:pPr>
          </w:p>
        </w:tc>
        <w:tc>
          <w:tcPr>
            <w:tcW w:w="960" w:type="dxa"/>
            <w:vAlign w:val="bottom"/>
            <w:vMerge w:val="restart"/>
          </w:tcPr>
          <w:p>
            <w:pPr>
              <w:jc w:val="right"/>
              <w:ind w:right="32"/>
              <w:spacing w:after="0"/>
              <w:rPr>
                <w:sz w:val="20"/>
                <w:szCs w:val="20"/>
                <w:color w:val="auto"/>
              </w:rPr>
            </w:pPr>
            <w:r>
              <w:rPr>
                <w:rFonts w:ascii="Arial" w:cs="Arial" w:eastAsia="Arial" w:hAnsi="Arial"/>
                <w:sz w:val="10"/>
                <w:szCs w:val="10"/>
                <w:color w:val="auto"/>
              </w:rPr>
              <w:t>(16,587)</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jc w:val="right"/>
              <w:ind w:right="52"/>
              <w:spacing w:after="0"/>
              <w:rPr>
                <w:sz w:val="20"/>
                <w:szCs w:val="20"/>
                <w:color w:val="auto"/>
              </w:rPr>
            </w:pPr>
            <w:r>
              <w:rPr>
                <w:rFonts w:ascii="Arial" w:cs="Arial" w:eastAsia="Arial" w:hAnsi="Arial"/>
                <w:sz w:val="10"/>
                <w:szCs w:val="10"/>
                <w:color w:val="auto"/>
              </w:rPr>
              <w:t>(3,249)</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right"/>
              <w:ind w:right="32"/>
              <w:spacing w:after="0"/>
              <w:rPr>
                <w:sz w:val="20"/>
                <w:szCs w:val="20"/>
                <w:color w:val="auto"/>
              </w:rPr>
            </w:pPr>
            <w:r>
              <w:rPr>
                <w:rFonts w:ascii="Arial" w:cs="Arial" w:eastAsia="Arial" w:hAnsi="Arial"/>
                <w:sz w:val="10"/>
                <w:szCs w:val="10"/>
                <w:color w:val="auto"/>
              </w:rPr>
              <w:t>(13,338)</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0"/>
        </w:trPr>
        <w:tc>
          <w:tcPr>
            <w:tcW w:w="62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800" w:type="dxa"/>
            <w:vAlign w:val="bottom"/>
            <w:tcBorders>
              <w:bottom w:val="single" w:sz="8" w:color="CCEEFF"/>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63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0"/>
                <w:szCs w:val="10"/>
                <w:color w:val="auto"/>
              </w:rPr>
              <w:t>Total other income (expense), net</w:t>
            </w:r>
          </w:p>
        </w:tc>
        <w:tc>
          <w:tcPr>
            <w:tcW w:w="3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(44,191)</w:t>
            </w:r>
          </w:p>
        </w:tc>
        <w:tc>
          <w:tcPr>
            <w:tcW w:w="1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(33,489)</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(10,702)</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(32.0)</w:t>
            </w:r>
          </w:p>
        </w:tc>
        <w:tc>
          <w:tcPr>
            <w:tcW w:w="0" w:type="dxa"/>
            <w:vAlign w:val="bottom"/>
          </w:tcPr>
          <w:p>
            <w:pPr>
              <w:spacing w:after="0"/>
              <w:rPr>
                <w:sz w:val="1"/>
                <w:szCs w:val="1"/>
                <w:color w:val="auto"/>
              </w:rPr>
            </w:pPr>
          </w:p>
        </w:tc>
      </w:tr>
      <w:tr>
        <w:trPr>
          <w:trHeight w:val="116"/>
        </w:trPr>
        <w:tc>
          <w:tcPr>
            <w:tcW w:w="6320" w:type="dxa"/>
            <w:vAlign w:val="bottom"/>
            <w:gridSpan w:val="2"/>
          </w:tcPr>
          <w:p>
            <w:pPr>
              <w:ind w:left="600"/>
              <w:spacing w:after="0"/>
              <w:rPr>
                <w:sz w:val="20"/>
                <w:szCs w:val="20"/>
                <w:color w:val="auto"/>
              </w:rPr>
            </w:pPr>
            <w:r>
              <w:rPr>
                <w:rFonts w:ascii="Arial" w:cs="Arial" w:eastAsia="Arial" w:hAnsi="Arial"/>
                <w:sz w:val="10"/>
                <w:szCs w:val="10"/>
                <w:color w:val="auto"/>
              </w:rPr>
              <w:t>Income (loss) from continuing operations before income taxes</w:t>
            </w:r>
          </w:p>
        </w:tc>
        <w:tc>
          <w:tcPr>
            <w:tcW w:w="3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0"/>
                <w:szCs w:val="10"/>
                <w:color w:val="auto"/>
              </w:rPr>
              <w:t>(18,145)</w:t>
            </w:r>
          </w:p>
        </w:tc>
        <w:tc>
          <w:tcPr>
            <w:tcW w:w="1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0"/>
                <w:szCs w:val="10"/>
                <w:color w:val="auto"/>
              </w:rPr>
              <w:t>4,768</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0"/>
                <w:szCs w:val="10"/>
                <w:color w:val="auto"/>
              </w:rPr>
              <w:t>(22,913)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0"/>
        </w:trPr>
        <w:tc>
          <w:tcPr>
            <w:tcW w:w="6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3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0"/>
                <w:szCs w:val="10"/>
                <w:color w:val="auto"/>
              </w:rPr>
              <w:t>Income tax benefit (provision), net</w:t>
            </w: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(5,016)</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(7,963)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(2,947)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37.0</w:t>
            </w:r>
          </w:p>
        </w:tc>
        <w:tc>
          <w:tcPr>
            <w:tcW w:w="0" w:type="dxa"/>
            <w:vAlign w:val="bottom"/>
          </w:tcPr>
          <w:p>
            <w:pPr>
              <w:spacing w:after="0"/>
              <w:rPr>
                <w:sz w:val="1"/>
                <w:szCs w:val="1"/>
                <w:color w:val="auto"/>
              </w:rPr>
            </w:pPr>
          </w:p>
        </w:tc>
      </w:tr>
      <w:tr>
        <w:trPr>
          <w:trHeight w:val="116"/>
        </w:trPr>
        <w:tc>
          <w:tcPr>
            <w:tcW w:w="6320" w:type="dxa"/>
            <w:vAlign w:val="bottom"/>
            <w:gridSpan w:val="2"/>
          </w:tcPr>
          <w:p>
            <w:pPr>
              <w:ind w:left="740"/>
              <w:spacing w:after="0"/>
              <w:rPr>
                <w:sz w:val="20"/>
                <w:szCs w:val="20"/>
                <w:color w:val="auto"/>
              </w:rPr>
            </w:pPr>
            <w:r>
              <w:rPr>
                <w:rFonts w:ascii="Arial" w:cs="Arial" w:eastAsia="Arial" w:hAnsi="Arial"/>
                <w:sz w:val="10"/>
                <w:szCs w:val="10"/>
                <w:color w:val="auto"/>
              </w:rPr>
              <w:t>Net loss from continuing operations</w:t>
            </w:r>
          </w:p>
        </w:tc>
        <w:tc>
          <w:tcPr>
            <w:tcW w:w="3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0"/>
                <w:szCs w:val="10"/>
                <w:color w:val="auto"/>
              </w:rPr>
              <w:t>(23,161)</w:t>
            </w:r>
          </w:p>
        </w:tc>
        <w:tc>
          <w:tcPr>
            <w:tcW w:w="1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(3,195)</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0"/>
                <w:szCs w:val="10"/>
                <w:color w:val="auto"/>
              </w:rPr>
              <w:t>(19,966)</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0"/>
        </w:trPr>
        <w:tc>
          <w:tcPr>
            <w:tcW w:w="6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3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0"/>
                <w:szCs w:val="10"/>
                <w:color w:val="auto"/>
              </w:rPr>
              <w:t>Net income from discontinued operations</w:t>
            </w: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2,055</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19,697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(17,642)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(89.6)</w:t>
            </w:r>
          </w:p>
        </w:tc>
        <w:tc>
          <w:tcPr>
            <w:tcW w:w="0" w:type="dxa"/>
            <w:vAlign w:val="bottom"/>
          </w:tcPr>
          <w:p>
            <w:pPr>
              <w:spacing w:after="0"/>
              <w:rPr>
                <w:sz w:val="1"/>
                <w:szCs w:val="1"/>
                <w:color w:val="auto"/>
              </w:rPr>
            </w:pPr>
          </w:p>
        </w:tc>
      </w:tr>
      <w:tr>
        <w:trPr>
          <w:trHeight w:val="116"/>
        </w:trPr>
        <w:tc>
          <w:tcPr>
            <w:tcW w:w="6320" w:type="dxa"/>
            <w:vAlign w:val="bottom"/>
            <w:gridSpan w:val="2"/>
          </w:tcPr>
          <w:p>
            <w:pPr>
              <w:ind w:left="900"/>
              <w:spacing w:after="0"/>
              <w:rPr>
                <w:sz w:val="20"/>
                <w:szCs w:val="20"/>
                <w:color w:val="auto"/>
              </w:rPr>
            </w:pPr>
            <w:r>
              <w:rPr>
                <w:rFonts w:ascii="Arial" w:cs="Arial" w:eastAsia="Arial" w:hAnsi="Arial"/>
                <w:sz w:val="10"/>
                <w:szCs w:val="10"/>
                <w:color w:val="auto"/>
              </w:rPr>
              <w:t>Net income (loss)</w:t>
            </w:r>
          </w:p>
        </w:tc>
        <w:tc>
          <w:tcPr>
            <w:tcW w:w="3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0"/>
                <w:szCs w:val="10"/>
                <w:color w:val="auto"/>
              </w:rPr>
              <w:t>(21,106)</w:t>
            </w:r>
          </w:p>
        </w:tc>
        <w:tc>
          <w:tcPr>
            <w:tcW w:w="1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0"/>
                <w:szCs w:val="10"/>
                <w:color w:val="auto"/>
              </w:rPr>
              <w:t>16,502</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0"/>
                <w:szCs w:val="10"/>
                <w:color w:val="auto"/>
              </w:rPr>
              <w:t>(37,608)</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vMerge w:val="restart"/>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0"/>
        </w:trPr>
        <w:tc>
          <w:tcPr>
            <w:tcW w:w="6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32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0"/>
                <w:szCs w:val="10"/>
                <w:color w:val="auto"/>
              </w:rPr>
              <w:t>Less: Net income (loss) attributable to noncontrolling interests</w:t>
            </w: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(2,797)</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450</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(3,247)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8"/>
        </w:trPr>
        <w:tc>
          <w:tcPr>
            <w:tcW w:w="6320" w:type="dxa"/>
            <w:vAlign w:val="bottom"/>
            <w:tcBorders>
              <w:bottom w:val="single" w:sz="8" w:color="CCEEFF"/>
            </w:tcBorders>
            <w:gridSpan w:val="2"/>
          </w:tcPr>
          <w:p>
            <w:pPr>
              <w:ind w:left="1040"/>
              <w:spacing w:after="0"/>
              <w:rPr>
                <w:sz w:val="20"/>
                <w:szCs w:val="20"/>
                <w:color w:val="auto"/>
              </w:rPr>
            </w:pPr>
            <w:r>
              <w:rPr>
                <w:rFonts w:ascii="Arial" w:cs="Arial" w:eastAsia="Arial" w:hAnsi="Arial"/>
                <w:sz w:val="10"/>
                <w:szCs w:val="10"/>
                <w:color w:val="auto"/>
              </w:rPr>
              <w:t>Net income (loss) attributable to EchoStar Corporation common stock</w:t>
            </w:r>
          </w:p>
        </w:tc>
        <w:tc>
          <w:tcPr>
            <w:tcW w:w="30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(18,309)</w:t>
            </w:r>
          </w:p>
        </w:tc>
        <w:tc>
          <w:tcPr>
            <w:tcW w:w="12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0"/>
                <w:szCs w:val="10"/>
                <w:color w:val="auto"/>
              </w:rPr>
              <w:t>$</w:t>
            </w:r>
          </w:p>
        </w:tc>
        <w:tc>
          <w:tcPr>
            <w:tcW w:w="8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16,052</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0"/>
                <w:szCs w:val="10"/>
                <w:color w:val="auto"/>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rPr>
              <w:t>(34,361)</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6320" w:type="dxa"/>
            <w:vAlign w:val="bottom"/>
            <w:gridSpan w:val="2"/>
          </w:tcPr>
          <w:p>
            <w:pPr>
              <w:ind w:left="20"/>
              <w:spacing w:after="0"/>
              <w:rPr>
                <w:sz w:val="20"/>
                <w:szCs w:val="20"/>
                <w:color w:val="auto"/>
              </w:rPr>
            </w:pPr>
            <w:r>
              <w:rPr>
                <w:rFonts w:ascii="Arial" w:cs="Arial" w:eastAsia="Arial" w:hAnsi="Arial"/>
                <w:sz w:val="10"/>
                <w:szCs w:val="10"/>
                <w:b w:val="1"/>
                <w:bCs w:val="1"/>
                <w:color w:val="auto"/>
              </w:rPr>
              <w:t>Other data:</w:t>
            </w: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6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6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EBITDA (2)</w:t>
            </w: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139,716</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0"/>
                <w:szCs w:val="10"/>
                <w:color w:val="auto"/>
              </w:rPr>
              <w:t>$</w:t>
            </w:r>
          </w:p>
        </w:tc>
        <w:tc>
          <w:tcPr>
            <w:tcW w:w="8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153,172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0"/>
                <w:szCs w:val="10"/>
                <w:color w:val="auto"/>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rPr>
              <w:t>(13,456)</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(8.8)</w:t>
            </w:r>
          </w:p>
        </w:tc>
        <w:tc>
          <w:tcPr>
            <w:tcW w:w="0" w:type="dxa"/>
            <w:vAlign w:val="bottom"/>
          </w:tcPr>
          <w:p>
            <w:pPr>
              <w:spacing w:after="0"/>
              <w:rPr>
                <w:sz w:val="1"/>
                <w:szCs w:val="1"/>
                <w:color w:val="auto"/>
              </w:rPr>
            </w:pPr>
          </w:p>
        </w:tc>
      </w:tr>
      <w:tr>
        <w:trPr>
          <w:trHeight w:val="147"/>
        </w:trPr>
        <w:tc>
          <w:tcPr>
            <w:tcW w:w="6320" w:type="dxa"/>
            <w:vAlign w:val="bottom"/>
            <w:gridSpan w:val="2"/>
          </w:tcPr>
          <w:p>
            <w:pPr>
              <w:ind w:left="180"/>
              <w:spacing w:after="0" w:line="105" w:lineRule="exact"/>
              <w:rPr>
                <w:sz w:val="20"/>
                <w:szCs w:val="20"/>
                <w:color w:val="auto"/>
              </w:rPr>
            </w:pPr>
            <w:r>
              <w:rPr>
                <w:rFonts w:ascii="Arial" w:cs="Arial" w:eastAsia="Arial" w:hAnsi="Arial"/>
                <w:sz w:val="10"/>
                <w:szCs w:val="10"/>
                <w:color w:val="auto"/>
              </w:rPr>
              <w:t>Subscribers, end of period</w:t>
            </w: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1,437,000</w:t>
            </w:r>
          </w:p>
        </w:tc>
        <w:tc>
          <w:tcPr>
            <w:tcW w:w="1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1,332,000</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105,000</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ind w:right="72"/>
              <w:spacing w:after="0"/>
              <w:rPr>
                <w:sz w:val="20"/>
                <w:szCs w:val="20"/>
                <w:color w:val="auto"/>
              </w:rPr>
            </w:pPr>
            <w:r>
              <w:rPr>
                <w:rFonts w:ascii="Arial" w:cs="Arial" w:eastAsia="Arial" w:hAnsi="Arial"/>
                <w:sz w:val="10"/>
                <w:szCs w:val="10"/>
                <w:color w:val="auto"/>
              </w:rPr>
              <w:t>7.9</w:t>
            </w:r>
          </w:p>
        </w:tc>
        <w:tc>
          <w:tcPr>
            <w:tcW w:w="0" w:type="dxa"/>
            <w:vAlign w:val="bottom"/>
          </w:tcPr>
          <w:p>
            <w:pPr>
              <w:spacing w:after="0"/>
              <w:rPr>
                <w:sz w:val="1"/>
                <w:szCs w:val="1"/>
                <w:color w:val="auto"/>
              </w:rPr>
            </w:pPr>
          </w:p>
        </w:tc>
      </w:tr>
      <w:tr>
        <w:trPr>
          <w:trHeight w:val="111"/>
        </w:trPr>
        <w:tc>
          <w:tcPr>
            <w:tcW w:w="6320" w:type="dxa"/>
            <w:vAlign w:val="bottom"/>
            <w:gridSpan w:val="2"/>
          </w:tcPr>
          <w:p>
            <w:pPr>
              <w:spacing w:after="0" w:line="112" w:lineRule="exact"/>
              <w:rPr>
                <w:sz w:val="20"/>
                <w:szCs w:val="20"/>
                <w:color w:val="auto"/>
              </w:rPr>
            </w:pPr>
            <w:r>
              <w:rPr>
                <w:rFonts w:ascii="Arial" w:cs="Arial" w:eastAsia="Arial" w:hAnsi="Arial"/>
                <w:sz w:val="10"/>
                <w:szCs w:val="10"/>
                <w:color w:val="auto"/>
              </w:rPr>
              <w:t>*  Percentage is not meaningful.</w:t>
            </w: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08" w:hanging="208"/>
        <w:spacing w:after="0" w:line="225" w:lineRule="auto"/>
        <w:tabs>
          <w:tab w:leader="none" w:pos="208" w:val="left"/>
        </w:tabs>
        <w:numPr>
          <w:ilvl w:val="0"/>
          <w:numId w:val="8"/>
        </w:numPr>
        <w:rPr>
          <w:rFonts w:ascii="Arial" w:cs="Arial" w:eastAsia="Arial" w:hAnsi="Arial"/>
          <w:sz w:val="10"/>
          <w:szCs w:val="10"/>
          <w:color w:val="auto"/>
        </w:rPr>
      </w:pPr>
      <w:r>
        <w:rPr>
          <w:rFonts w:ascii="Arial" w:cs="Arial" w:eastAsia="Arial" w:hAnsi="Arial"/>
          <w:sz w:val="10"/>
          <w:szCs w:val="10"/>
          <w:color w:val="auto"/>
        </w:rPr>
        <w:t>An explanation of our key metrics is included on pages 68 and 69 under the heading Explanation of Key Metrics and Other Items.</w:t>
      </w:r>
    </w:p>
    <w:p>
      <w:pPr>
        <w:ind w:left="208" w:hanging="208"/>
        <w:spacing w:after="0" w:line="232" w:lineRule="auto"/>
        <w:tabs>
          <w:tab w:leader="none" w:pos="208" w:val="left"/>
        </w:tabs>
        <w:numPr>
          <w:ilvl w:val="0"/>
          <w:numId w:val="8"/>
        </w:numPr>
        <w:rPr>
          <w:rFonts w:ascii="Arial" w:cs="Arial" w:eastAsia="Arial" w:hAnsi="Arial"/>
          <w:sz w:val="10"/>
          <w:szCs w:val="10"/>
          <w:color w:val="auto"/>
        </w:rPr>
      </w:pPr>
      <w:r>
        <w:rPr>
          <w:rFonts w:ascii="Arial" w:cs="Arial" w:eastAsia="Arial" w:hAnsi="Arial"/>
          <w:sz w:val="10"/>
          <w:szCs w:val="10"/>
          <w:color w:val="auto"/>
        </w:rPr>
        <w:t>A reconciliation of EBITDA to Net income, the most directly comparable generally accepted accounting principles (“U.S. GAAP”) measure in the accompanying financial statements, is included on page 56. For further information on our use of EBITDA, see Explanation of Key Metrics and Other Items on page 69.</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53</w:t>
      </w:r>
    </w:p>
    <w:p>
      <w:pPr>
        <w:sectPr>
          <w:pgSz w:w="11900" w:h="16838" w:orient="portrait"/>
          <w:cols w:equalWidth="0" w:num="1">
            <w:col w:w="11488"/>
          </w:cols>
          <w:pgMar w:left="212" w:top="140" w:right="199" w:bottom="1440" w:gutter="0" w:footer="0" w:header="0"/>
        </w:sectPr>
      </w:pPr>
    </w:p>
    <w:bookmarkStart w:id="56" w:name="page57"/>
    <w:bookmarkEnd w:id="5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 - Continued</w:t>
      </w: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color w:val="auto"/>
        </w:rPr>
        <w:t>The following discussion relates to our continuing operations for the three months ended September 30, 2019 and 2018 unless otherwise stated.</w:t>
      </w:r>
    </w:p>
    <w:p>
      <w:pPr>
        <w:spacing w:after="0" w:line="136" w:lineRule="exact"/>
        <w:rPr>
          <w:sz w:val="20"/>
          <w:szCs w:val="20"/>
          <w:color w:val="auto"/>
        </w:rPr>
      </w:pPr>
    </w:p>
    <w:p>
      <w:pPr>
        <w:spacing w:after="0" w:line="286" w:lineRule="auto"/>
        <w:rPr>
          <w:sz w:val="20"/>
          <w:szCs w:val="20"/>
          <w:color w:val="auto"/>
        </w:rPr>
      </w:pPr>
      <w:r>
        <w:rPr>
          <w:rFonts w:ascii="Arial" w:cs="Arial" w:eastAsia="Arial" w:hAnsi="Arial"/>
          <w:sz w:val="12"/>
          <w:szCs w:val="12"/>
          <w:b w:val="1"/>
          <w:bCs w:val="1"/>
          <w:i w:val="1"/>
          <w:iCs w:val="1"/>
          <w:color w:val="auto"/>
        </w:rPr>
        <w:t>Services and other revenue - DISH Network</w:t>
      </w:r>
      <w:r>
        <w:rPr>
          <w:rFonts w:ascii="Arial" w:cs="Arial" w:eastAsia="Arial" w:hAnsi="Arial"/>
          <w:sz w:val="12"/>
          <w:szCs w:val="12"/>
          <w:color w:val="auto"/>
        </w:rPr>
        <w:t>. Services and other revenue - DISH Network totaled $13.2 million for the three months ended September 30, 2019, a decrease of $3.8 million or 22.4%, compared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same period in 2018. The decrease was primarily attributable to a continued decrease in our residential wholesale broadband services in our Hughes segment.</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2"/>
          <w:szCs w:val="12"/>
          <w:b w:val="1"/>
          <w:bCs w:val="1"/>
          <w:i w:val="1"/>
          <w:iCs w:val="1"/>
          <w:color w:val="auto"/>
        </w:rPr>
        <w:t>Services and other revenue - other</w:t>
      </w:r>
      <w:r>
        <w:rPr>
          <w:rFonts w:ascii="Arial" w:cs="Arial" w:eastAsia="Arial" w:hAnsi="Arial"/>
          <w:sz w:val="12"/>
          <w:szCs w:val="12"/>
          <w:color w:val="auto"/>
        </w:rPr>
        <w:t>. Services and other revenue - other totaled $393.3 million for the three months ended September 30, 2019, an increase of $10.9 million or 2.9%, compared to the same period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2018.</w:t>
      </w:r>
    </w:p>
    <w:p>
      <w:pPr>
        <w:spacing w:after="0" w:line="117" w:lineRule="exact"/>
        <w:rPr>
          <w:sz w:val="20"/>
          <w:szCs w:val="20"/>
          <w:color w:val="auto"/>
        </w:rPr>
      </w:pPr>
    </w:p>
    <w:p>
      <w:pPr>
        <w:jc w:val="both"/>
        <w:ind w:left="420"/>
        <w:spacing w:after="0" w:line="256" w:lineRule="auto"/>
        <w:rPr>
          <w:sz w:val="20"/>
          <w:szCs w:val="20"/>
          <w:color w:val="auto"/>
        </w:rPr>
      </w:pPr>
      <w:r>
        <w:rPr>
          <w:rFonts w:ascii="Arial" w:cs="Arial" w:eastAsia="Arial" w:hAnsi="Arial"/>
          <w:sz w:val="12"/>
          <w:szCs w:val="12"/>
          <w:color w:val="auto"/>
        </w:rPr>
        <w:t>Services and other revenue - other from our Hughes segment for the three months ended September 30, 2019 increased by $13.9 million, or 3.7%, to $390.1 million compared to the same period in 2018. The increase was primarily attributable to increases in sales of broadband services to our consumer customers of $24.3 million, partially offset by a decrease in sales of broadband services to our enterprise customers of $11.3 million.</w:t>
      </w:r>
    </w:p>
    <w:p>
      <w:pPr>
        <w:spacing w:after="0" w:line="135" w:lineRule="exact"/>
        <w:rPr>
          <w:sz w:val="20"/>
          <w:szCs w:val="20"/>
          <w:color w:val="auto"/>
        </w:rPr>
      </w:pPr>
    </w:p>
    <w:p>
      <w:pPr>
        <w:jc w:val="both"/>
        <w:ind w:left="420"/>
        <w:spacing w:after="0" w:line="262" w:lineRule="auto"/>
        <w:rPr>
          <w:sz w:val="20"/>
          <w:szCs w:val="20"/>
          <w:color w:val="auto"/>
        </w:rPr>
      </w:pPr>
      <w:r>
        <w:rPr>
          <w:rFonts w:ascii="Arial" w:cs="Arial" w:eastAsia="Arial" w:hAnsi="Arial"/>
          <w:sz w:val="12"/>
          <w:szCs w:val="12"/>
          <w:color w:val="auto"/>
        </w:rPr>
        <w:t>Services and other revenue - other from our ESS segment for the three months ended September 30, 2019 decreased by $2.6 million, or 43.6%, to $3.4 million compared to the same period in 2018. The decrease was due to a net decrease in transponder services provided to third parties.</w:t>
      </w:r>
    </w:p>
    <w:p>
      <w:pPr>
        <w:spacing w:after="0" w:line="117"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b w:val="1"/>
          <w:bCs w:val="1"/>
          <w:i w:val="1"/>
          <w:iCs w:val="1"/>
          <w:color w:val="auto"/>
        </w:rPr>
        <w:t xml:space="preserve">Equipment revenue. </w:t>
      </w:r>
      <w:r>
        <w:rPr>
          <w:rFonts w:ascii="Arial" w:cs="Arial" w:eastAsia="Arial" w:hAnsi="Arial"/>
          <w:sz w:val="12"/>
          <w:szCs w:val="12"/>
          <w:color w:val="auto"/>
        </w:rPr>
        <w:t>Equipment revenue totaled $65.7 million for the three months ended September 30, 2019, an increase of $8.9 million or 15.6%, compared to the same period in 2018. The increase was from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Hughes segment and is mainly due to increases in hardware sales of $10.3 million to our domestic enterprise customers and $3.8 million to our mobile satellite systems customers. The increase was partially offset by a decrease in hardware sales of $5.1 million to our international enterprise customers.</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Cost of sales - services and other</w:t>
      </w:r>
      <w:r>
        <w:rPr>
          <w:rFonts w:ascii="Arial" w:cs="Arial" w:eastAsia="Arial" w:hAnsi="Arial"/>
          <w:sz w:val="12"/>
          <w:szCs w:val="12"/>
          <w:color w:val="auto"/>
        </w:rPr>
        <w:t>. Cost of sales - services and other totaled $143.8 million for the three months ended September 30, 2019, an increase of $1.6 million or 1.1%, compared to the same period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2018. The increase was from our Hughes segment primarily attributable to an increase in the costs of broadband services provided to our consumer customers supporting the increase in number of subscribers and revenue in both the domestic and international markets, partially offset by a decrease in the costs of broadband services provided to our enterprise customers.</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Cost of sales - equipment</w:t>
      </w:r>
      <w:r>
        <w:rPr>
          <w:rFonts w:ascii="Arial" w:cs="Arial" w:eastAsia="Arial" w:hAnsi="Arial"/>
          <w:sz w:val="12"/>
          <w:szCs w:val="12"/>
          <w:color w:val="auto"/>
        </w:rPr>
        <w:t>. Cost of sales - equipment totaled $51.2 million for the three months ended September 30, 2019, an increase of $4.9 million or 10.5%, compared to the same period in 2018. The increase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was from our Hughes segment and primarily attributable to an increase in hardware sales to our domestic enterprise customers and our mobile satellite systems customers. The increase was partially offset by a decrease in hardware sales to our international enterprise customers.</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 xml:space="preserve">Selling, general and administrative expenses. </w:t>
      </w:r>
      <w:r>
        <w:rPr>
          <w:rFonts w:ascii="Arial" w:cs="Arial" w:eastAsia="Arial" w:hAnsi="Arial"/>
          <w:sz w:val="12"/>
          <w:szCs w:val="12"/>
          <w:color w:val="auto"/>
        </w:rPr>
        <w:t>Selling, general and administrative expenses totaled $122.7 million for the three months ended September 30, 2019, an increase of $15.1 million or 14.1%, compared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the same period in 2018. The increase was primarily attributable to increases in marketing and promotional expenses of $7.9 million from our Hughes segment mainly associated with our consumer business and $8.6 million related to certain legal proceedings.</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 xml:space="preserve">Depreciation and amortization. </w:t>
      </w:r>
      <w:r>
        <w:rPr>
          <w:rFonts w:ascii="Arial" w:cs="Arial" w:eastAsia="Arial" w:hAnsi="Arial"/>
          <w:sz w:val="12"/>
          <w:szCs w:val="12"/>
          <w:color w:val="auto"/>
        </w:rPr>
        <w:t>Depreciation and amortization expenses totaled $122.4 million for the three months ended September 30, 2019, an increase of $7.0 million or 6.1%, compared to the same period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2018. The increase was primarily from our Hughes segment and due to increases in depreciation expense of $5.5 million relating to our customer premises equipment and $1.4 million relating to the EchoStar XIX and Telesat T19V satellites.</w:t>
      </w:r>
    </w:p>
    <w:p>
      <w:pPr>
        <w:spacing w:after="0" w:line="114"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Interest income</w:t>
      </w:r>
      <w:r>
        <w:rPr>
          <w:rFonts w:ascii="Arial" w:cs="Arial" w:eastAsia="Arial" w:hAnsi="Arial"/>
          <w:sz w:val="12"/>
          <w:szCs w:val="12"/>
          <w:color w:val="auto"/>
        </w:rPr>
        <w:t>. Interest income totaled $17.2 million for the three months ended September 30, 2019, a decrease of $4.2 million or 19.6%, compared to the same period in 2018 primarily attributable to a decrease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 yield percentage in 2019 compared to 2018 and a result of the decrease in cash and cash equivalents and current marketable investment securities in 2019.</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ectPr>
          <w:pgSz w:w="11900" w:h="16838" w:orient="portrait"/>
          <w:cols w:equalWidth="0" w:num="1">
            <w:col w:w="11480"/>
          </w:cols>
          <w:pgMar w:left="220" w:top="140" w:right="199" w:bottom="1440" w:gutter="0" w:footer="0" w:header="0"/>
        </w:sectPr>
      </w:pPr>
    </w:p>
    <w:bookmarkStart w:id="57" w:name="page58"/>
    <w:bookmarkEnd w:id="5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 - Continued</w:t>
      </w:r>
    </w:p>
    <w:p>
      <w:pPr>
        <w:spacing w:after="0" w:line="312"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i w:val="1"/>
          <w:iCs w:val="1"/>
          <w:color w:val="auto"/>
        </w:rPr>
        <w:t>Interest expense, net of amounts capitalized</w:t>
      </w:r>
      <w:r>
        <w:rPr>
          <w:rFonts w:ascii="Arial" w:cs="Arial" w:eastAsia="Arial" w:hAnsi="Arial"/>
          <w:sz w:val="12"/>
          <w:szCs w:val="12"/>
          <w:color w:val="auto"/>
        </w:rPr>
        <w:t>. Interest expense, net of amounts capitalized totaled $49.9 million for the three months ended September 30, 2019, a decrease of $5.0 million or 9.1%, compared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same period in 2018. The decrease was primarily due to a decrease of $17.2 million in interest expense and in amortization of deferred financing cost as a result of the repurchase and maturity of HSS’ 6 1/2% Senior Secured Notes due 2019 (the “2019 Senior Secured Notes”). The decrease was also attributable to an increase of $1.5 million in capitalized interest relating to the construction of the EchoStar XXIV satellite. The decreases were partially offset by an increase of $13.6 million in interest expense associated with certain legal proceedings.</w:t>
      </w:r>
    </w:p>
    <w:p>
      <w:pPr>
        <w:spacing w:after="0" w:line="118"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i w:val="1"/>
          <w:iCs w:val="1"/>
          <w:color w:val="auto"/>
        </w:rPr>
        <w:t xml:space="preserve">Gains (losses) on investments, net. </w:t>
      </w:r>
      <w:r>
        <w:rPr>
          <w:rFonts w:ascii="Arial" w:cs="Arial" w:eastAsia="Arial" w:hAnsi="Arial"/>
          <w:sz w:val="12"/>
          <w:szCs w:val="12"/>
          <w:color w:val="auto"/>
        </w:rPr>
        <w:t>Gains (losses) on investments, net totaled $8.3 million in gains for the three months ended September 30, 2019, an increase of $5.4 million, compared to the same period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2018. The increase was primarily attributable to an increase in gains on certain marketable equity and debt securities that we account for using the fair value option.</w:t>
      </w:r>
    </w:p>
    <w:p>
      <w:pPr>
        <w:spacing w:after="0" w:line="103"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i w:val="1"/>
          <w:iCs w:val="1"/>
          <w:color w:val="auto"/>
        </w:rPr>
        <w:t>Equity in earnings (losses) of unconsolidated affiliates, net</w:t>
      </w:r>
      <w:r>
        <w:rPr>
          <w:rFonts w:ascii="Arial" w:cs="Arial" w:eastAsia="Arial" w:hAnsi="Arial"/>
          <w:sz w:val="12"/>
          <w:szCs w:val="12"/>
          <w:color w:val="auto"/>
        </w:rPr>
        <w:t>. Equity in earnings (losses) of unconsolidated affiliates, net totaled $3.2 million in loss for the three months ended September 30, 2019, an increase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loss of $3.6 million compared to the same period in 2018.</w:t>
      </w:r>
    </w:p>
    <w:p>
      <w:pPr>
        <w:spacing w:after="0" w:line="103"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i w:val="1"/>
          <w:iCs w:val="1"/>
          <w:color w:val="auto"/>
        </w:rPr>
        <w:t xml:space="preserve">Other, net. </w:t>
      </w:r>
      <w:r>
        <w:rPr>
          <w:rFonts w:ascii="Arial" w:cs="Arial" w:eastAsia="Arial" w:hAnsi="Arial"/>
          <w:sz w:val="12"/>
          <w:szCs w:val="12"/>
          <w:color w:val="auto"/>
        </w:rPr>
        <w:t>Other, net totaled $16.6 million in loss for the three months ended September 30, 2019, an increase in loss of $13.3 million, compared to the same period in 2018. The increase in loss was primarily due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 higher unfavorable foreign exchange impact of $11.0 million for the three months ended September 30, 2019 compared to the same period in 2018.</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b w:val="1"/>
          <w:bCs w:val="1"/>
          <w:i w:val="1"/>
          <w:iCs w:val="1"/>
          <w:color w:val="auto"/>
        </w:rPr>
        <w:t>Income tax benefit (provision), net</w:t>
      </w:r>
      <w:r>
        <w:rPr>
          <w:rFonts w:ascii="Arial" w:cs="Arial" w:eastAsia="Arial" w:hAnsi="Arial"/>
          <w:sz w:val="12"/>
          <w:szCs w:val="12"/>
          <w:color w:val="auto"/>
        </w:rPr>
        <w:t>. Income tax provision was $5.0 million for the three months ended September 30, 2019 compared to an income tax benefit of $8.0 million for the three months ended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September 30, 2018. Our effective income tax rate was (27.6)% and 167.0% for the three months ended September 30, 2019 and 2018, respectively. The variations in our current year effective tax rate from the U.S. federal statutory rate for the three months ended September 30, 2019 were primarily due to the increase in our valuation allowance associated with certain foreign losses and by the impact of state and local taxes partially offset by the change in net unrealized gains that are capital in nature and research and experimentation credits. The variations in our effective tax rate from the U.S. federal statutory rate for the three months ended September 30, 2018 were primarily due to the change in our valuation allowance associated with unrealized gains that are capital in nature.</w:t>
      </w:r>
    </w:p>
    <w:p>
      <w:pPr>
        <w:spacing w:after="0" w:line="120"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i w:val="1"/>
          <w:iCs w:val="1"/>
          <w:color w:val="auto"/>
        </w:rPr>
        <w:t>Net income (loss) attributable to EchoStar Corporation common stock</w:t>
      </w:r>
      <w:r>
        <w:rPr>
          <w:rFonts w:ascii="Arial" w:cs="Arial" w:eastAsia="Arial" w:hAnsi="Arial"/>
          <w:sz w:val="12"/>
          <w:szCs w:val="12"/>
          <w:color w:val="auto"/>
        </w:rPr>
        <w:t>. Net income attributable to EchoStar Corporation common stock totaled $18.3 million for the three months ended September 30, 2019,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decrease of $34.4 million compared to the same period in 2018 as set forth in the following table (amounts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4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760"/>
              <w:spacing w:after="0"/>
              <w:rPr>
                <w:sz w:val="20"/>
                <w:szCs w:val="20"/>
                <w:color w:val="auto"/>
              </w:rPr>
            </w:pPr>
            <w:r>
              <w:rPr>
                <w:rFonts w:ascii="Arial" w:cs="Arial" w:eastAsia="Arial" w:hAnsi="Arial"/>
                <w:sz w:val="12"/>
                <w:szCs w:val="12"/>
                <w:b w:val="1"/>
                <w:bCs w:val="1"/>
                <w:color w:val="auto"/>
              </w:rPr>
              <w:t>Amounts</w:t>
            </w:r>
          </w:p>
        </w:tc>
      </w:tr>
      <w:tr>
        <w:trPr>
          <w:trHeight w:val="214"/>
        </w:trPr>
        <w:tc>
          <w:tcPr>
            <w:tcW w:w="54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80"/>
        </w:trPr>
        <w:tc>
          <w:tcPr>
            <w:tcW w:w="5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attributable to EchoStar Corporation for the three months ended September 30, 2018</w:t>
            </w:r>
          </w:p>
        </w:tc>
        <w:tc>
          <w:tcPr>
            <w:tcW w:w="43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16,052</w:t>
            </w:r>
          </w:p>
        </w:tc>
      </w:tr>
      <w:tr>
        <w:trPr>
          <w:trHeight w:val="176"/>
        </w:trPr>
        <w:tc>
          <w:tcPr>
            <w:tcW w:w="5420" w:type="dxa"/>
            <w:vAlign w:val="bottom"/>
          </w:tcPr>
          <w:p>
            <w:pPr>
              <w:ind w:left="180"/>
              <w:spacing w:after="0"/>
              <w:rPr>
                <w:sz w:val="20"/>
                <w:szCs w:val="20"/>
                <w:color w:val="auto"/>
              </w:rPr>
            </w:pPr>
            <w:r>
              <w:rPr>
                <w:rFonts w:ascii="Arial" w:cs="Arial" w:eastAsia="Arial" w:hAnsi="Arial"/>
                <w:sz w:val="12"/>
                <w:szCs w:val="12"/>
                <w:color w:val="auto"/>
              </w:rPr>
              <w:t>Decrease in operating income, including depreciation and amortization</w:t>
            </w:r>
          </w:p>
        </w:tc>
        <w:tc>
          <w:tcPr>
            <w:tcW w:w="3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tcPr>
          <w:p>
            <w:pPr>
              <w:jc w:val="right"/>
              <w:ind w:right="20"/>
              <w:spacing w:after="0"/>
              <w:rPr>
                <w:sz w:val="20"/>
                <w:szCs w:val="20"/>
                <w:color w:val="auto"/>
              </w:rPr>
            </w:pPr>
            <w:r>
              <w:rPr>
                <w:rFonts w:ascii="Arial" w:cs="Arial" w:eastAsia="Arial" w:hAnsi="Arial"/>
                <w:sz w:val="12"/>
                <w:szCs w:val="12"/>
                <w:color w:val="auto"/>
              </w:rPr>
              <w:t>(12,211)</w:t>
            </w:r>
          </w:p>
        </w:tc>
      </w:tr>
      <w:tr>
        <w:trPr>
          <w:trHeight w:val="185"/>
        </w:trPr>
        <w:tc>
          <w:tcPr>
            <w:tcW w:w="54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Decrease in interest income</w:t>
            </w:r>
          </w:p>
        </w:tc>
        <w:tc>
          <w:tcPr>
            <w:tcW w:w="38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(4,174)</w:t>
            </w:r>
          </w:p>
        </w:tc>
      </w:tr>
      <w:tr>
        <w:trPr>
          <w:trHeight w:val="176"/>
        </w:trPr>
        <w:tc>
          <w:tcPr>
            <w:tcW w:w="5420" w:type="dxa"/>
            <w:vAlign w:val="bottom"/>
          </w:tcPr>
          <w:p>
            <w:pPr>
              <w:ind w:left="180"/>
              <w:spacing w:after="0"/>
              <w:rPr>
                <w:sz w:val="20"/>
                <w:szCs w:val="20"/>
                <w:color w:val="auto"/>
              </w:rPr>
            </w:pPr>
            <w:r>
              <w:rPr>
                <w:rFonts w:ascii="Arial" w:cs="Arial" w:eastAsia="Arial" w:hAnsi="Arial"/>
                <w:sz w:val="12"/>
                <w:szCs w:val="12"/>
                <w:color w:val="auto"/>
              </w:rPr>
              <w:t>Decrease in interest expense, net of amounts capitalized</w:t>
            </w:r>
          </w:p>
        </w:tc>
        <w:tc>
          <w:tcPr>
            <w:tcW w:w="3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tcPr>
          <w:p>
            <w:pPr>
              <w:jc w:val="right"/>
              <w:ind w:right="60"/>
              <w:spacing w:after="0"/>
              <w:rPr>
                <w:sz w:val="20"/>
                <w:szCs w:val="20"/>
                <w:color w:val="auto"/>
              </w:rPr>
            </w:pPr>
            <w:r>
              <w:rPr>
                <w:rFonts w:ascii="Arial" w:cs="Arial" w:eastAsia="Arial" w:hAnsi="Arial"/>
                <w:sz w:val="12"/>
                <w:szCs w:val="12"/>
                <w:color w:val="auto"/>
              </w:rPr>
              <w:t>5,013</w:t>
            </w:r>
          </w:p>
        </w:tc>
      </w:tr>
      <w:tr>
        <w:trPr>
          <w:trHeight w:val="185"/>
        </w:trPr>
        <w:tc>
          <w:tcPr>
            <w:tcW w:w="54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in gains on investments, net</w:t>
            </w:r>
          </w:p>
        </w:tc>
        <w:tc>
          <w:tcPr>
            <w:tcW w:w="38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5,422</w:t>
            </w:r>
          </w:p>
        </w:tc>
      </w:tr>
      <w:tr>
        <w:trPr>
          <w:trHeight w:val="176"/>
        </w:trPr>
        <w:tc>
          <w:tcPr>
            <w:tcW w:w="5420" w:type="dxa"/>
            <w:vAlign w:val="bottom"/>
          </w:tcPr>
          <w:p>
            <w:pPr>
              <w:ind w:left="180"/>
              <w:spacing w:after="0"/>
              <w:rPr>
                <w:sz w:val="20"/>
                <w:szCs w:val="20"/>
                <w:color w:val="auto"/>
              </w:rPr>
            </w:pPr>
            <w:r>
              <w:rPr>
                <w:rFonts w:ascii="Arial" w:cs="Arial" w:eastAsia="Arial" w:hAnsi="Arial"/>
                <w:sz w:val="12"/>
                <w:szCs w:val="12"/>
                <w:color w:val="auto"/>
              </w:rPr>
              <w:t>Increase in equity in losses of unconsolidated affiliates, net</w:t>
            </w:r>
          </w:p>
        </w:tc>
        <w:tc>
          <w:tcPr>
            <w:tcW w:w="3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tcPr>
          <w:p>
            <w:pPr>
              <w:jc w:val="right"/>
              <w:ind w:right="20"/>
              <w:spacing w:after="0"/>
              <w:rPr>
                <w:sz w:val="20"/>
                <w:szCs w:val="20"/>
                <w:color w:val="auto"/>
              </w:rPr>
            </w:pPr>
            <w:r>
              <w:rPr>
                <w:rFonts w:ascii="Arial" w:cs="Arial" w:eastAsia="Arial" w:hAnsi="Arial"/>
                <w:sz w:val="12"/>
                <w:szCs w:val="12"/>
                <w:color w:val="auto"/>
              </w:rPr>
              <w:t>(3,625)</w:t>
            </w:r>
          </w:p>
        </w:tc>
      </w:tr>
      <w:tr>
        <w:trPr>
          <w:trHeight w:val="185"/>
        </w:trPr>
        <w:tc>
          <w:tcPr>
            <w:tcW w:w="54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Decrease in other income</w:t>
            </w:r>
          </w:p>
        </w:tc>
        <w:tc>
          <w:tcPr>
            <w:tcW w:w="38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(13,338)</w:t>
            </w:r>
          </w:p>
        </w:tc>
      </w:tr>
      <w:tr>
        <w:trPr>
          <w:trHeight w:val="176"/>
        </w:trPr>
        <w:tc>
          <w:tcPr>
            <w:tcW w:w="5420" w:type="dxa"/>
            <w:vAlign w:val="bottom"/>
          </w:tcPr>
          <w:p>
            <w:pPr>
              <w:ind w:left="180"/>
              <w:spacing w:after="0"/>
              <w:rPr>
                <w:sz w:val="20"/>
                <w:szCs w:val="20"/>
                <w:color w:val="auto"/>
              </w:rPr>
            </w:pPr>
            <w:r>
              <w:rPr>
                <w:rFonts w:ascii="Arial" w:cs="Arial" w:eastAsia="Arial" w:hAnsi="Arial"/>
                <w:sz w:val="12"/>
                <w:szCs w:val="12"/>
                <w:color w:val="auto"/>
              </w:rPr>
              <w:t>Decrease in income tax provision, net</w:t>
            </w:r>
          </w:p>
        </w:tc>
        <w:tc>
          <w:tcPr>
            <w:tcW w:w="3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20" w:type="dxa"/>
            <w:vAlign w:val="bottom"/>
          </w:tcPr>
          <w:p>
            <w:pPr>
              <w:jc w:val="right"/>
              <w:ind w:right="60"/>
              <w:spacing w:after="0"/>
              <w:rPr>
                <w:sz w:val="20"/>
                <w:szCs w:val="20"/>
                <w:color w:val="auto"/>
              </w:rPr>
            </w:pPr>
            <w:r>
              <w:rPr>
                <w:rFonts w:ascii="Arial" w:cs="Arial" w:eastAsia="Arial" w:hAnsi="Arial"/>
                <w:sz w:val="12"/>
                <w:szCs w:val="12"/>
                <w:color w:val="auto"/>
              </w:rPr>
              <w:t>2,947</w:t>
            </w:r>
          </w:p>
        </w:tc>
      </w:tr>
      <w:tr>
        <w:trPr>
          <w:trHeight w:val="185"/>
        </w:trPr>
        <w:tc>
          <w:tcPr>
            <w:tcW w:w="542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Decrease in net income from discontinued operations</w:t>
            </w:r>
          </w:p>
        </w:tc>
        <w:tc>
          <w:tcPr>
            <w:tcW w:w="38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(17,642)</w:t>
            </w:r>
          </w:p>
        </w:tc>
      </w:tr>
      <w:tr>
        <w:trPr>
          <w:trHeight w:val="176"/>
        </w:trPr>
        <w:tc>
          <w:tcPr>
            <w:tcW w:w="542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Decrease in net income attributable to noncontrolling interests</w:t>
            </w:r>
          </w:p>
        </w:tc>
        <w:tc>
          <w:tcPr>
            <w:tcW w:w="38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3,247</w:t>
            </w:r>
          </w:p>
        </w:tc>
      </w:tr>
      <w:tr>
        <w:trPr>
          <w:trHeight w:val="185"/>
        </w:trPr>
        <w:tc>
          <w:tcPr>
            <w:tcW w:w="542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loss attributable to EchoStar Corporation for the three months ended September 30, 2019</w:t>
            </w:r>
          </w:p>
        </w:tc>
        <w:tc>
          <w:tcPr>
            <w:tcW w:w="434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(18,309)</w:t>
            </w:r>
          </w:p>
        </w:tc>
      </w:tr>
      <w:tr>
        <w:trPr>
          <w:trHeight w:val="437"/>
        </w:trPr>
        <w:tc>
          <w:tcPr>
            <w:tcW w:w="5420" w:type="dxa"/>
            <w:vAlign w:val="bottom"/>
            <w:tcBorders>
              <w:top w:val="single" w:sz="8" w:color="CCEEFF"/>
            </w:tcBorders>
          </w:tcPr>
          <w:p>
            <w:pPr>
              <w:spacing w:after="0"/>
              <w:rPr>
                <w:sz w:val="24"/>
                <w:szCs w:val="24"/>
                <w:color w:val="auto"/>
              </w:rPr>
            </w:pPr>
          </w:p>
        </w:tc>
        <w:tc>
          <w:tcPr>
            <w:tcW w:w="3880" w:type="dxa"/>
            <w:vAlign w:val="bottom"/>
            <w:tcBorders>
              <w:top w:val="single" w:sz="8" w:color="CCEEFF"/>
            </w:tcBorders>
          </w:tcPr>
          <w:p>
            <w:pPr>
              <w:jc w:val="right"/>
              <w:ind w:right="3440"/>
              <w:spacing w:after="0"/>
              <w:rPr>
                <w:sz w:val="20"/>
                <w:szCs w:val="20"/>
                <w:color w:val="auto"/>
              </w:rPr>
            </w:pPr>
            <w:r>
              <w:rPr>
                <w:rFonts w:ascii="Arial" w:cs="Arial" w:eastAsia="Arial" w:hAnsi="Arial"/>
                <w:sz w:val="12"/>
                <w:szCs w:val="12"/>
                <w:color w:val="auto"/>
              </w:rPr>
              <w:t>55</w:t>
            </w:r>
          </w:p>
        </w:tc>
        <w:tc>
          <w:tcPr>
            <w:tcW w:w="46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140" w:right="199" w:bottom="1440" w:gutter="0" w:footer="0" w:header="0"/>
        </w:sectPr>
      </w:pPr>
    </w:p>
    <w:bookmarkStart w:id="58" w:name="page59"/>
    <w:bookmarkEnd w:id="58"/>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56"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EBITDA</w:t>
      </w:r>
      <w:r>
        <w:rPr>
          <w:rFonts w:ascii="Arial" w:cs="Arial" w:eastAsia="Arial" w:hAnsi="Arial"/>
          <w:sz w:val="12"/>
          <w:szCs w:val="12"/>
          <w:color w:val="auto"/>
        </w:rPr>
        <w:t>. EBITDA is a non-GAAP financial measure and is described under Explanation of Key Metrics and Other Items below.  The following table reconciles EBITDA to Net income, the most directly comparable</w:t>
      </w:r>
    </w:p>
    <w:p>
      <w:pPr>
        <w:spacing w:after="0" w:line="20" w:lineRule="exact"/>
        <w:rPr>
          <w:sz w:val="20"/>
          <w:szCs w:val="20"/>
          <w:color w:val="auto"/>
        </w:rPr>
      </w:pPr>
    </w:p>
    <w:p>
      <w:pPr>
        <w:ind w:left="8"/>
        <w:spacing w:after="0"/>
        <w:rPr>
          <w:sz w:val="20"/>
          <w:szCs w:val="20"/>
          <w:color w:val="auto"/>
        </w:rPr>
      </w:pPr>
      <w:r>
        <w:rPr>
          <w:rFonts w:ascii="Arial" w:cs="Arial" w:eastAsia="Arial" w:hAnsi="Arial"/>
          <w:sz w:val="12"/>
          <w:szCs w:val="12"/>
          <w:color w:val="auto"/>
        </w:rPr>
        <w:t>U.S. GAAP measure in the accompanying condensed consolidating financial statements (amounts in thousands):</w:t>
      </w:r>
    </w:p>
    <w:p>
      <w:pPr>
        <w:spacing w:after="0" w:line="97"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6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80" w:type="dxa"/>
            <w:vAlign w:val="bottom"/>
            <w:gridSpan w:val="5"/>
          </w:tcPr>
          <w:p>
            <w:pPr>
              <w:ind w:left="440"/>
              <w:spacing w:after="0"/>
              <w:rPr>
                <w:sz w:val="20"/>
                <w:szCs w:val="20"/>
                <w:color w:val="auto"/>
              </w:rPr>
            </w:pPr>
            <w:r>
              <w:rPr>
                <w:rFonts w:ascii="Arial" w:cs="Arial" w:eastAsia="Arial" w:hAnsi="Arial"/>
                <w:sz w:val="12"/>
                <w:szCs w:val="12"/>
                <w:b w:val="1"/>
                <w:bCs w:val="1"/>
                <w:color w:val="auto"/>
              </w:rPr>
              <w:t>For the three months</w:t>
            </w: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3"/>
        </w:trPr>
        <w:tc>
          <w:tcPr>
            <w:tcW w:w="6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ind w:left="440"/>
              <w:spacing w:after="0"/>
              <w:rPr>
                <w:sz w:val="20"/>
                <w:szCs w:val="20"/>
                <w:color w:val="auto"/>
              </w:rPr>
            </w:pPr>
            <w:r>
              <w:rPr>
                <w:rFonts w:ascii="Arial" w:cs="Arial" w:eastAsia="Arial" w:hAnsi="Arial"/>
                <w:sz w:val="12"/>
                <w:szCs w:val="12"/>
                <w:b w:val="1"/>
                <w:bCs w:val="1"/>
                <w:color w:val="auto"/>
              </w:rPr>
              <w:t>ended September 30,</w:t>
            </w:r>
          </w:p>
        </w:tc>
        <w:tc>
          <w:tcPr>
            <w:tcW w:w="240" w:type="dxa"/>
            <w:vAlign w:val="bottom"/>
          </w:tcPr>
          <w:p>
            <w:pPr>
              <w:spacing w:after="0"/>
              <w:rPr>
                <w:sz w:val="14"/>
                <w:szCs w:val="14"/>
                <w:color w:val="auto"/>
              </w:rPr>
            </w:pPr>
          </w:p>
        </w:tc>
        <w:tc>
          <w:tcPr>
            <w:tcW w:w="1520" w:type="dxa"/>
            <w:vAlign w:val="bottom"/>
            <w:gridSpan w:val="3"/>
          </w:tcPr>
          <w:p>
            <w:pPr>
              <w:ind w:left="840"/>
              <w:spacing w:after="0"/>
              <w:rPr>
                <w:sz w:val="20"/>
                <w:szCs w:val="20"/>
                <w:color w:val="auto"/>
              </w:rPr>
            </w:pPr>
            <w:r>
              <w:rPr>
                <w:rFonts w:ascii="Arial" w:cs="Arial" w:eastAsia="Arial" w:hAnsi="Arial"/>
                <w:sz w:val="12"/>
                <w:szCs w:val="12"/>
                <w:b w:val="1"/>
                <w:bCs w:val="1"/>
                <w:color w:val="auto"/>
              </w:rPr>
              <w:t>Variance</w:t>
            </w:r>
          </w:p>
        </w:tc>
        <w:tc>
          <w:tcPr>
            <w:tcW w:w="860" w:type="dxa"/>
            <w:vAlign w:val="bottom"/>
          </w:tcPr>
          <w:p>
            <w:pPr>
              <w:spacing w:after="0"/>
              <w:rPr>
                <w:sz w:val="14"/>
                <w:szCs w:val="14"/>
                <w:color w:val="auto"/>
              </w:rPr>
            </w:pPr>
          </w:p>
        </w:tc>
      </w:tr>
      <w:tr>
        <w:trPr>
          <w:trHeight w:val="169"/>
        </w:trPr>
        <w:tc>
          <w:tcPr>
            <w:tcW w:w="60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2018</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860" w:type="dxa"/>
            <w:vAlign w:val="bottom"/>
            <w:tcBorders>
              <w:top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w:t>
            </w:r>
          </w:p>
        </w:tc>
      </w:tr>
      <w:tr>
        <w:trPr>
          <w:trHeight w:val="210"/>
        </w:trPr>
        <w:tc>
          <w:tcPr>
            <w:tcW w:w="60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180"/>
        </w:trPr>
        <w:tc>
          <w:tcPr>
            <w:tcW w:w="608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30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(21,106)</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16,502</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(37,608)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6080" w:type="dxa"/>
            <w:vAlign w:val="bottom"/>
          </w:tcPr>
          <w:p>
            <w:pPr>
              <w:ind w:left="180"/>
              <w:spacing w:after="0"/>
              <w:rPr>
                <w:sz w:val="20"/>
                <w:szCs w:val="20"/>
                <w:color w:val="auto"/>
              </w:rPr>
            </w:pPr>
            <w:r>
              <w:rPr>
                <w:rFonts w:ascii="Arial" w:cs="Arial" w:eastAsia="Arial" w:hAnsi="Arial"/>
                <w:sz w:val="12"/>
                <w:szCs w:val="12"/>
                <w:color w:val="auto"/>
              </w:rPr>
              <w:t>Interest income and expense, net</w:t>
            </w:r>
          </w:p>
        </w:tc>
        <w:tc>
          <w:tcPr>
            <w:tcW w:w="300" w:type="dxa"/>
            <w:vAlign w:val="bottom"/>
          </w:tcPr>
          <w:p>
            <w:pPr>
              <w:spacing w:after="0"/>
              <w:rPr>
                <w:sz w:val="15"/>
                <w:szCs w:val="15"/>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32,690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33,529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20"/>
              <w:spacing w:after="0"/>
              <w:rPr>
                <w:sz w:val="20"/>
                <w:szCs w:val="20"/>
                <w:color w:val="auto"/>
              </w:rPr>
            </w:pPr>
            <w:r>
              <w:rPr>
                <w:rFonts w:ascii="Arial" w:cs="Arial" w:eastAsia="Arial" w:hAnsi="Arial"/>
                <w:sz w:val="12"/>
                <w:szCs w:val="12"/>
                <w:color w:val="auto"/>
              </w:rPr>
              <w:t>(839)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ind w:right="20"/>
              <w:spacing w:after="0"/>
              <w:rPr>
                <w:sz w:val="20"/>
                <w:szCs w:val="20"/>
                <w:color w:val="auto"/>
              </w:rPr>
            </w:pPr>
            <w:r>
              <w:rPr>
                <w:rFonts w:ascii="Arial" w:cs="Arial" w:eastAsia="Arial" w:hAnsi="Arial"/>
                <w:sz w:val="12"/>
                <w:szCs w:val="12"/>
                <w:color w:val="auto"/>
              </w:rPr>
              <w:t>(2.5)</w:t>
            </w:r>
          </w:p>
        </w:tc>
      </w:tr>
      <w:tr>
        <w:trPr>
          <w:trHeight w:val="185"/>
        </w:trPr>
        <w:tc>
          <w:tcPr>
            <w:tcW w:w="60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Income tax provision, net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5,016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7,963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(2,947)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(37.0)</w:t>
            </w:r>
          </w:p>
        </w:tc>
      </w:tr>
      <w:tr>
        <w:trPr>
          <w:trHeight w:val="176"/>
        </w:trPr>
        <w:tc>
          <w:tcPr>
            <w:tcW w:w="6080" w:type="dxa"/>
            <w:vAlign w:val="bottom"/>
          </w:tcPr>
          <w:p>
            <w:pPr>
              <w:ind w:left="180"/>
              <w:spacing w:after="0"/>
              <w:rPr>
                <w:sz w:val="20"/>
                <w:szCs w:val="20"/>
                <w:color w:val="auto"/>
              </w:rPr>
            </w:pPr>
            <w:r>
              <w:rPr>
                <w:rFonts w:ascii="Arial" w:cs="Arial" w:eastAsia="Arial" w:hAnsi="Arial"/>
                <w:sz w:val="12"/>
                <w:szCs w:val="12"/>
                <w:color w:val="auto"/>
              </w:rPr>
              <w:t>Depreciation and amortization</w:t>
            </w:r>
          </w:p>
        </w:tc>
        <w:tc>
          <w:tcPr>
            <w:tcW w:w="300" w:type="dxa"/>
            <w:vAlign w:val="bottom"/>
          </w:tcPr>
          <w:p>
            <w:pPr>
              <w:spacing w:after="0"/>
              <w:rPr>
                <w:sz w:val="15"/>
                <w:szCs w:val="15"/>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122,374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115,325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7,049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6.1</w:t>
            </w:r>
          </w:p>
        </w:tc>
      </w:tr>
      <w:tr>
        <w:trPr>
          <w:trHeight w:val="185"/>
        </w:trPr>
        <w:tc>
          <w:tcPr>
            <w:tcW w:w="608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(income) loss from discontinued operations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(2,055)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(19,697)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(17,642)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89.6</w:t>
            </w:r>
          </w:p>
        </w:tc>
      </w:tr>
      <w:tr>
        <w:trPr>
          <w:trHeight w:val="176"/>
        </w:trPr>
        <w:tc>
          <w:tcPr>
            <w:tcW w:w="608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Net (income) loss attributable to noncontrolling interests</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2,797</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(450)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3,247</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jc w:val="right"/>
              <w:ind w:right="60"/>
              <w:spacing w:after="0"/>
              <w:rPr>
                <w:sz w:val="20"/>
                <w:szCs w:val="20"/>
                <w:color w:val="auto"/>
              </w:rPr>
            </w:pPr>
            <w:r>
              <w:rPr>
                <w:rFonts w:ascii="Arial" w:cs="Arial" w:eastAsia="Arial" w:hAnsi="Arial"/>
                <w:sz w:val="12"/>
                <w:szCs w:val="12"/>
                <w:color w:val="auto"/>
              </w:rPr>
              <w:t>*</w:t>
            </w:r>
          </w:p>
        </w:tc>
      </w:tr>
      <w:tr>
        <w:trPr>
          <w:trHeight w:val="172"/>
        </w:trPr>
        <w:tc>
          <w:tcPr>
            <w:tcW w:w="6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EBITDA</w:t>
            </w:r>
          </w:p>
        </w:tc>
        <w:tc>
          <w:tcPr>
            <w:tcW w:w="3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139,716</w:t>
            </w: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153,172</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(13,456)</w:t>
            </w: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(8.8)</w:t>
            </w:r>
          </w:p>
        </w:tc>
      </w:tr>
    </w:tbl>
    <w:p>
      <w:pPr>
        <w:spacing w:after="0" w:line="3" w:lineRule="exact"/>
        <w:rPr>
          <w:sz w:val="20"/>
          <w:szCs w:val="20"/>
          <w:color w:val="auto"/>
        </w:rPr>
      </w:pPr>
    </w:p>
    <w:p>
      <w:pPr>
        <w:ind w:left="148" w:hanging="148"/>
        <w:spacing w:after="0"/>
        <w:tabs>
          <w:tab w:leader="none" w:pos="148" w:val="left"/>
        </w:tabs>
        <w:numPr>
          <w:ilvl w:val="0"/>
          <w:numId w:val="9"/>
        </w:numPr>
        <w:rPr>
          <w:rFonts w:ascii="Arial" w:cs="Arial" w:eastAsia="Arial" w:hAnsi="Arial"/>
          <w:sz w:val="10"/>
          <w:szCs w:val="10"/>
          <w:color w:val="auto"/>
        </w:rPr>
      </w:pPr>
      <w:r>
        <w:rPr>
          <w:rFonts w:ascii="Arial" w:cs="Arial" w:eastAsia="Arial" w:hAnsi="Arial"/>
          <w:sz w:val="10"/>
          <w:szCs w:val="10"/>
          <w:color w:val="auto"/>
        </w:rPr>
        <w:t>Percentage is not meaningful.</w:t>
      </w:r>
    </w:p>
    <w:p>
      <w:pPr>
        <w:spacing w:after="0" w:line="134"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color w:val="auto"/>
        </w:rPr>
        <w:t>EBITDA was $ 139.7 million for the three months ended September 30, 2019, a decrease of $13.5 million or 8.8%, compared to the same period in 2018. The decrease was primarily due to (i) a decrease of $13.3 million in other income, (ii) an increase of $3.6 million in equity in losses of unconsolidated affiliates, net and (iii) a decrease of $ 1.9 million in operating income, excluding depreciation and amortization and net loss attributable to noncontrolling interests. The decrease was partially offset by an increase of $5.4 million in gains on investments, net of losses and write-downs.</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Segment Operating Results and Capital Expenditures</w:t>
      </w:r>
    </w:p>
    <w:p>
      <w:pPr>
        <w:spacing w:after="0" w:line="164" w:lineRule="exact"/>
        <w:rPr>
          <w:sz w:val="20"/>
          <w:szCs w:val="20"/>
          <w:color w:val="auto"/>
        </w:rPr>
      </w:pPr>
    </w:p>
    <w:p>
      <w:pPr>
        <w:jc w:val="both"/>
        <w:ind w:left="8"/>
        <w:spacing w:after="0" w:line="262" w:lineRule="auto"/>
        <w:rPr>
          <w:sz w:val="20"/>
          <w:szCs w:val="20"/>
          <w:color w:val="auto"/>
        </w:rPr>
      </w:pPr>
      <w:r>
        <w:rPr>
          <w:rFonts w:ascii="Arial" w:cs="Arial" w:eastAsia="Arial" w:hAnsi="Arial"/>
          <w:sz w:val="12"/>
          <w:szCs w:val="12"/>
          <w:color w:val="auto"/>
        </w:rPr>
        <w:t>The following tables present our operating results, capital expenditures and EBITDA by segment for the three months ended September 30, 2019 compared to the three months ended September 30, 2018 (amounts in thousands). Capital expenditures exclude capital expenditures from discontinued operations of $0.3 million and de minimis three months ended September 30, 2019 and 2018, respectively.</w:t>
      </w:r>
    </w:p>
    <w:p>
      <w:pPr>
        <w:spacing w:after="0" w:line="78"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5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ind w:right="360"/>
              <w:spacing w:after="0"/>
              <w:rPr>
                <w:sz w:val="20"/>
                <w:szCs w:val="20"/>
                <w:color w:val="auto"/>
              </w:rPr>
            </w:pPr>
            <w:r>
              <w:rPr>
                <w:rFonts w:ascii="Arial" w:cs="Arial" w:eastAsia="Arial" w:hAnsi="Arial"/>
                <w:sz w:val="12"/>
                <w:szCs w:val="12"/>
                <w:b w:val="1"/>
                <w:bCs w:val="1"/>
                <w:color w:val="auto"/>
              </w:rPr>
              <w:t>Consolidated</w:t>
            </w:r>
          </w:p>
        </w:tc>
      </w:tr>
      <w:tr>
        <w:trPr>
          <w:trHeight w:val="163"/>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280"/>
              <w:spacing w:after="0"/>
              <w:rPr>
                <w:sz w:val="20"/>
                <w:szCs w:val="20"/>
                <w:color w:val="auto"/>
              </w:rPr>
            </w:pPr>
            <w:r>
              <w:rPr>
                <w:rFonts w:ascii="Arial" w:cs="Arial" w:eastAsia="Arial" w:hAnsi="Arial"/>
                <w:sz w:val="12"/>
                <w:szCs w:val="12"/>
                <w:b w:val="1"/>
                <w:bCs w:val="1"/>
                <w:color w:val="auto"/>
              </w:rPr>
              <w:t>Hughes</w:t>
            </w:r>
          </w:p>
        </w:tc>
        <w:tc>
          <w:tcPr>
            <w:tcW w:w="320" w:type="dxa"/>
            <w:vAlign w:val="bottom"/>
          </w:tcPr>
          <w:p>
            <w:pPr>
              <w:spacing w:after="0"/>
              <w:rPr>
                <w:sz w:val="14"/>
                <w:szCs w:val="14"/>
                <w:color w:val="auto"/>
              </w:rPr>
            </w:pPr>
          </w:p>
        </w:tc>
        <w:tc>
          <w:tcPr>
            <w:tcW w:w="1180" w:type="dxa"/>
            <w:vAlign w:val="bottom"/>
            <w:gridSpan w:val="2"/>
          </w:tcPr>
          <w:p>
            <w:pPr>
              <w:ind w:left="260"/>
              <w:spacing w:after="0"/>
              <w:rPr>
                <w:sz w:val="20"/>
                <w:szCs w:val="20"/>
                <w:color w:val="auto"/>
              </w:rPr>
            </w:pPr>
            <w:r>
              <w:rPr>
                <w:rFonts w:ascii="Arial" w:cs="Arial" w:eastAsia="Arial" w:hAnsi="Arial"/>
                <w:sz w:val="12"/>
                <w:szCs w:val="12"/>
                <w:b w:val="1"/>
                <w:bCs w:val="1"/>
                <w:color w:val="auto"/>
              </w:rPr>
              <w:t>ESS</w:t>
            </w:r>
          </w:p>
        </w:tc>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2"/>
                <w:szCs w:val="12"/>
                <w:b w:val="1"/>
                <w:bCs w:val="1"/>
                <w:color w:val="auto"/>
              </w:rPr>
              <w:t>Corporate and Other</w:t>
            </w:r>
          </w:p>
        </w:tc>
        <w:tc>
          <w:tcPr>
            <w:tcW w:w="260" w:type="dxa"/>
            <w:vAlign w:val="bottom"/>
          </w:tcPr>
          <w:p>
            <w:pPr>
              <w:spacing w:after="0"/>
              <w:rPr>
                <w:sz w:val="14"/>
                <w:szCs w:val="14"/>
                <w:color w:val="auto"/>
              </w:rPr>
            </w:pPr>
          </w:p>
        </w:tc>
        <w:tc>
          <w:tcPr>
            <w:tcW w:w="1340" w:type="dxa"/>
            <w:vAlign w:val="bottom"/>
          </w:tcPr>
          <w:p>
            <w:pPr>
              <w:jc w:val="right"/>
              <w:ind w:right="600"/>
              <w:spacing w:after="0"/>
              <w:rPr>
                <w:sz w:val="20"/>
                <w:szCs w:val="20"/>
                <w:color w:val="auto"/>
              </w:rPr>
            </w:pPr>
            <w:r>
              <w:rPr>
                <w:rFonts w:ascii="Arial" w:cs="Arial" w:eastAsia="Arial" w:hAnsi="Arial"/>
                <w:sz w:val="12"/>
                <w:szCs w:val="12"/>
                <w:b w:val="1"/>
                <w:bCs w:val="1"/>
                <w:color w:val="auto"/>
              </w:rPr>
              <w:t>Total</w:t>
            </w:r>
          </w:p>
        </w:tc>
      </w:tr>
      <w:tr>
        <w:trPr>
          <w:trHeight w:val="210"/>
        </w:trPr>
        <w:tc>
          <w:tcPr>
            <w:tcW w:w="54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180"/>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For the three months ended September 30, 2019</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76"/>
        </w:trPr>
        <w:tc>
          <w:tcPr>
            <w:tcW w:w="5400" w:type="dxa"/>
            <w:vAlign w:val="bottom"/>
          </w:tcPr>
          <w:p>
            <w:pPr>
              <w:ind w:left="20"/>
              <w:spacing w:after="0"/>
              <w:rPr>
                <w:sz w:val="20"/>
                <w:szCs w:val="20"/>
                <w:color w:val="auto"/>
              </w:rPr>
            </w:pPr>
            <w:r>
              <w:rPr>
                <w:rFonts w:ascii="Arial" w:cs="Arial" w:eastAsia="Arial" w:hAnsi="Arial"/>
                <w:sz w:val="12"/>
                <w:szCs w:val="12"/>
                <w:color w:val="auto"/>
              </w:rPr>
              <w:t>Total revenue</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463,735</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4,098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4,429</w:t>
            </w:r>
          </w:p>
        </w:tc>
        <w:tc>
          <w:tcPr>
            <w:tcW w:w="10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472,262</w:t>
            </w:r>
          </w:p>
        </w:tc>
      </w:tr>
      <w:tr>
        <w:trPr>
          <w:trHeight w:val="185"/>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Capital expenditures</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76,572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18,583</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95,155</w:t>
            </w:r>
          </w:p>
        </w:tc>
      </w:tr>
      <w:tr>
        <w:trPr>
          <w:trHeight w:val="176"/>
        </w:trPr>
        <w:tc>
          <w:tcPr>
            <w:tcW w:w="5400" w:type="dxa"/>
            <w:vAlign w:val="bottom"/>
          </w:tcPr>
          <w:p>
            <w:pPr>
              <w:ind w:left="20"/>
              <w:spacing w:after="0"/>
              <w:rPr>
                <w:sz w:val="20"/>
                <w:szCs w:val="20"/>
                <w:color w:val="auto"/>
              </w:rPr>
            </w:pPr>
            <w:r>
              <w:rPr>
                <w:rFonts w:ascii="Arial" w:cs="Arial" w:eastAsia="Arial" w:hAnsi="Arial"/>
                <w:sz w:val="12"/>
                <w:szCs w:val="12"/>
                <w:color w:val="auto"/>
              </w:rPr>
              <w:t>EBITDA</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155,940</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1,791</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20"/>
              <w:spacing w:after="0"/>
              <w:rPr>
                <w:sz w:val="20"/>
                <w:szCs w:val="20"/>
                <w:color w:val="auto"/>
              </w:rPr>
            </w:pPr>
            <w:r>
              <w:rPr>
                <w:rFonts w:ascii="Arial" w:cs="Arial" w:eastAsia="Arial" w:hAnsi="Arial"/>
                <w:sz w:val="12"/>
                <w:szCs w:val="12"/>
                <w:color w:val="auto"/>
              </w:rPr>
              <w:t>(18,015)</w:t>
            </w:r>
          </w:p>
        </w:tc>
        <w:tc>
          <w:tcPr>
            <w:tcW w:w="10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139,716</w:t>
            </w:r>
          </w:p>
        </w:tc>
      </w:tr>
      <w:tr>
        <w:trPr>
          <w:trHeight w:val="203"/>
        </w:trPr>
        <w:tc>
          <w:tcPr>
            <w:tcW w:w="5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171"/>
        </w:trPr>
        <w:tc>
          <w:tcPr>
            <w:tcW w:w="5400" w:type="dxa"/>
            <w:vAlign w:val="bottom"/>
          </w:tcPr>
          <w:p>
            <w:pPr>
              <w:ind w:left="20"/>
              <w:spacing w:after="0"/>
              <w:rPr>
                <w:sz w:val="20"/>
                <w:szCs w:val="20"/>
                <w:color w:val="auto"/>
              </w:rPr>
            </w:pPr>
            <w:r>
              <w:rPr>
                <w:rFonts w:ascii="Arial" w:cs="Arial" w:eastAsia="Arial" w:hAnsi="Arial"/>
                <w:sz w:val="12"/>
                <w:szCs w:val="12"/>
                <w:b w:val="1"/>
                <w:bCs w:val="1"/>
                <w:color w:val="auto"/>
              </w:rPr>
              <w:t>For the three months ended September 30, 2018</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89"/>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444,762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6,802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4,710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456,274</w:t>
            </w:r>
          </w:p>
        </w:tc>
      </w:tr>
      <w:tr>
        <w:trPr>
          <w:trHeight w:val="176"/>
        </w:trPr>
        <w:tc>
          <w:tcPr>
            <w:tcW w:w="5400" w:type="dxa"/>
            <w:vAlign w:val="bottom"/>
          </w:tcPr>
          <w:p>
            <w:pPr>
              <w:ind w:left="20"/>
              <w:spacing w:after="0"/>
              <w:rPr>
                <w:sz w:val="20"/>
                <w:szCs w:val="20"/>
                <w:color w:val="auto"/>
              </w:rPr>
            </w:pPr>
            <w:r>
              <w:rPr>
                <w:rFonts w:ascii="Arial" w:cs="Arial" w:eastAsia="Arial" w:hAnsi="Arial"/>
                <w:sz w:val="12"/>
                <w:szCs w:val="12"/>
                <w:color w:val="auto"/>
              </w:rPr>
              <w:t>Capital expenditures</w:t>
            </w: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tcPr>
          <w:p>
            <w:pPr>
              <w:jc w:val="right"/>
              <w:ind w:right="60"/>
              <w:spacing w:after="0"/>
              <w:rPr>
                <w:sz w:val="20"/>
                <w:szCs w:val="20"/>
                <w:color w:val="auto"/>
              </w:rPr>
            </w:pPr>
            <w:r>
              <w:rPr>
                <w:rFonts w:ascii="Arial" w:cs="Arial" w:eastAsia="Arial" w:hAnsi="Arial"/>
                <w:sz w:val="12"/>
                <w:szCs w:val="12"/>
                <w:color w:val="auto"/>
              </w:rPr>
              <w:t>110,550</w:t>
            </w:r>
          </w:p>
        </w:tc>
        <w:tc>
          <w:tcPr>
            <w:tcW w:w="120" w:type="dxa"/>
            <w:vAlign w:val="bottom"/>
          </w:tcPr>
          <w:p>
            <w:pPr>
              <w:spacing w:after="0"/>
              <w:rPr>
                <w:sz w:val="15"/>
                <w:szCs w:val="15"/>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ind w:right="60"/>
              <w:spacing w:after="0"/>
              <w:rPr>
                <w:sz w:val="20"/>
                <w:szCs w:val="20"/>
                <w:color w:val="auto"/>
              </w:rPr>
            </w:pPr>
            <w:r>
              <w:rPr>
                <w:rFonts w:ascii="Arial" w:cs="Arial" w:eastAsia="Arial" w:hAnsi="Arial"/>
                <w:sz w:val="12"/>
                <w:szCs w:val="12"/>
                <w:color w:val="auto"/>
              </w:rPr>
              <w:t>56,576</w:t>
            </w:r>
          </w:p>
        </w:tc>
        <w:tc>
          <w:tcPr>
            <w:tcW w:w="10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tcPr>
          <w:p>
            <w:pPr>
              <w:jc w:val="right"/>
              <w:ind w:right="60"/>
              <w:spacing w:after="0"/>
              <w:rPr>
                <w:sz w:val="20"/>
                <w:szCs w:val="20"/>
                <w:color w:val="auto"/>
              </w:rPr>
            </w:pPr>
            <w:r>
              <w:rPr>
                <w:rFonts w:ascii="Arial" w:cs="Arial" w:eastAsia="Arial" w:hAnsi="Arial"/>
                <w:sz w:val="12"/>
                <w:szCs w:val="12"/>
                <w:color w:val="auto"/>
              </w:rPr>
              <w:t>167,144</w:t>
            </w:r>
          </w:p>
        </w:tc>
      </w:tr>
      <w:tr>
        <w:trPr>
          <w:trHeight w:val="185"/>
        </w:trPr>
        <w:tc>
          <w:tcPr>
            <w:tcW w:w="5400" w:type="dxa"/>
            <w:vAlign w:val="bottom"/>
            <w:shd w:val="clear" w:color="auto" w:fill="CCEEFF"/>
          </w:tcPr>
          <w:p>
            <w:pPr>
              <w:ind w:left="20"/>
              <w:spacing w:after="0"/>
              <w:rPr>
                <w:sz w:val="20"/>
                <w:szCs w:val="20"/>
                <w:color w:val="auto"/>
              </w:rPr>
            </w:pPr>
            <w:r>
              <w:rPr>
                <w:rFonts w:ascii="Arial" w:cs="Arial" w:eastAsia="Arial" w:hAnsi="Arial"/>
                <w:sz w:val="12"/>
                <w:szCs w:val="12"/>
                <w:color w:val="auto"/>
              </w:rPr>
              <w:t>EBITDA</w:t>
            </w: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1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164,135</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4,687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(15,650)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153,172</w:t>
            </w:r>
          </w:p>
        </w:tc>
      </w:tr>
      <w:tr>
        <w:trPr>
          <w:trHeight w:val="450"/>
        </w:trPr>
        <w:tc>
          <w:tcPr>
            <w:tcW w:w="5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920"/>
              <w:spacing w:after="0"/>
              <w:rPr>
                <w:sz w:val="20"/>
                <w:szCs w:val="20"/>
                <w:color w:val="auto"/>
              </w:rPr>
            </w:pPr>
            <w:r>
              <w:rPr>
                <w:rFonts w:ascii="Arial" w:cs="Arial" w:eastAsia="Arial" w:hAnsi="Arial"/>
                <w:sz w:val="12"/>
                <w:szCs w:val="12"/>
                <w:color w:val="auto"/>
              </w:rPr>
              <w:t>56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88"/>
          </w:cols>
          <w:pgMar w:left="212" w:top="140" w:right="199" w:bottom="1440" w:gutter="0" w:footer="0" w:header="0"/>
        </w:sectPr>
      </w:pPr>
    </w:p>
    <w:bookmarkStart w:id="59" w:name="page60"/>
    <w:bookmarkEnd w:id="5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 - Continued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860" w:type="dxa"/>
            <w:vAlign w:val="bottom"/>
            <w:gridSpan w:val="2"/>
          </w:tcPr>
          <w:p>
            <w:pPr>
              <w:spacing w:after="0"/>
              <w:rPr>
                <w:sz w:val="20"/>
                <w:szCs w:val="20"/>
                <w:color w:val="auto"/>
              </w:rPr>
            </w:pPr>
            <w:r>
              <w:rPr>
                <w:rFonts w:ascii="Arial" w:cs="Arial" w:eastAsia="Arial" w:hAnsi="Arial"/>
                <w:sz w:val="12"/>
                <w:szCs w:val="12"/>
                <w:i w:val="1"/>
                <w:iCs w:val="1"/>
                <w:color w:val="auto"/>
              </w:rPr>
              <w:t>Hughes Segment</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229"/>
        </w:trPr>
        <w:tc>
          <w:tcPr>
            <w:tcW w:w="8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500" w:type="dxa"/>
            <w:vAlign w:val="bottom"/>
            <w:gridSpan w:val="3"/>
          </w:tcPr>
          <w:p>
            <w:pPr>
              <w:jc w:val="right"/>
              <w:ind w:right="240"/>
              <w:spacing w:after="0"/>
              <w:rPr>
                <w:sz w:val="20"/>
                <w:szCs w:val="20"/>
                <w:color w:val="auto"/>
              </w:rPr>
            </w:pPr>
            <w:r>
              <w:rPr>
                <w:rFonts w:ascii="Arial" w:cs="Arial" w:eastAsia="Arial" w:hAnsi="Arial"/>
                <w:sz w:val="12"/>
                <w:szCs w:val="12"/>
                <w:b w:val="1"/>
                <w:bCs w:val="1"/>
                <w:color w:val="auto"/>
                <w:w w:val="98"/>
              </w:rPr>
              <w:t>For the three months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63"/>
        </w:trPr>
        <w:tc>
          <w:tcPr>
            <w:tcW w:w="8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2"/>
                <w:szCs w:val="12"/>
                <w:b w:val="1"/>
                <w:bCs w:val="1"/>
                <w:color w:val="auto"/>
                <w:w w:val="99"/>
              </w:rPr>
              <w:t>ended 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900"/>
              <w:spacing w:after="0"/>
              <w:rPr>
                <w:sz w:val="20"/>
                <w:szCs w:val="20"/>
                <w:color w:val="auto"/>
              </w:rPr>
            </w:pPr>
            <w:r>
              <w:rPr>
                <w:rFonts w:ascii="Arial" w:cs="Arial" w:eastAsia="Arial" w:hAnsi="Arial"/>
                <w:sz w:val="12"/>
                <w:szCs w:val="12"/>
                <w:b w:val="1"/>
                <w:bCs w:val="1"/>
                <w:color w:val="auto"/>
              </w:rPr>
              <w:t>Variance</w:t>
            </w:r>
          </w:p>
        </w:tc>
        <w:tc>
          <w:tcPr>
            <w:tcW w:w="960" w:type="dxa"/>
            <w:vAlign w:val="bottom"/>
            <w:tcBorders>
              <w:bottom w:val="single" w:sz="8" w:color="auto"/>
            </w:tcBorders>
          </w:tcPr>
          <w:p>
            <w:pPr>
              <w:spacing w:after="0"/>
              <w:rPr>
                <w:sz w:val="14"/>
                <w:szCs w:val="14"/>
                <w:color w:val="auto"/>
              </w:rPr>
            </w:pPr>
          </w:p>
        </w:tc>
      </w:tr>
      <w:tr>
        <w:trPr>
          <w:trHeight w:val="169"/>
        </w:trPr>
        <w:tc>
          <w:tcPr>
            <w:tcW w:w="8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2018</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ind w:left="200"/>
              <w:spacing w:after="0"/>
              <w:rPr>
                <w:sz w:val="20"/>
                <w:szCs w:val="20"/>
                <w:color w:val="auto"/>
              </w:rPr>
            </w:pPr>
            <w:r>
              <w:rPr>
                <w:rFonts w:ascii="Arial" w:cs="Arial" w:eastAsia="Arial" w:hAnsi="Arial"/>
                <w:sz w:val="12"/>
                <w:szCs w:val="12"/>
                <w:b w:val="1"/>
                <w:bCs w:val="1"/>
                <w:color w:val="auto"/>
              </w:rPr>
              <w:t>Amount</w:t>
            </w:r>
          </w:p>
        </w:tc>
        <w:tc>
          <w:tcPr>
            <w:tcW w:w="960" w:type="dxa"/>
            <w:vAlign w:val="bottom"/>
          </w:tcPr>
          <w:p>
            <w:pPr>
              <w:jc w:val="right"/>
              <w:ind w:right="580"/>
              <w:spacing w:after="0"/>
              <w:rPr>
                <w:sz w:val="20"/>
                <w:szCs w:val="20"/>
                <w:color w:val="auto"/>
              </w:rPr>
            </w:pPr>
            <w:r>
              <w:rPr>
                <w:rFonts w:ascii="Arial" w:cs="Arial" w:eastAsia="Arial" w:hAnsi="Arial"/>
                <w:sz w:val="12"/>
                <w:szCs w:val="12"/>
                <w:b w:val="1"/>
                <w:bCs w:val="1"/>
                <w:color w:val="auto"/>
              </w:rPr>
              <w:t>%</w:t>
            </w:r>
          </w:p>
        </w:tc>
      </w:tr>
      <w:tr>
        <w:trPr>
          <w:trHeight w:val="210"/>
        </w:trPr>
        <w:tc>
          <w:tcPr>
            <w:tcW w:w="8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180"/>
        </w:trPr>
        <w:tc>
          <w:tcPr>
            <w:tcW w:w="800" w:type="dxa"/>
            <w:vAlign w:val="bottom"/>
          </w:tcPr>
          <w:p>
            <w:pPr>
              <w:spacing w:after="0"/>
              <w:rPr>
                <w:sz w:val="15"/>
                <w:szCs w:val="15"/>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w:t>
            </w:r>
          </w:p>
        </w:tc>
        <w:tc>
          <w:tcPr>
            <w:tcW w:w="82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463,735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700"/>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6"/>
              </w:rPr>
              <w:t>444,762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18,973</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4.3</w:t>
            </w:r>
          </w:p>
        </w:tc>
      </w:tr>
      <w:tr>
        <w:trPr>
          <w:trHeight w:val="176"/>
        </w:trPr>
        <w:tc>
          <w:tcPr>
            <w:tcW w:w="800" w:type="dxa"/>
            <w:vAlign w:val="bottom"/>
          </w:tcPr>
          <w:p>
            <w:pPr>
              <w:spacing w:after="0"/>
              <w:rPr>
                <w:sz w:val="15"/>
                <w:szCs w:val="15"/>
                <w:color w:val="auto"/>
              </w:rPr>
            </w:pPr>
          </w:p>
        </w:tc>
        <w:tc>
          <w:tcPr>
            <w:tcW w:w="4060" w:type="dxa"/>
            <w:vAlign w:val="bottom"/>
          </w:tcPr>
          <w:p>
            <w:pPr>
              <w:ind w:left="20"/>
              <w:spacing w:after="0"/>
              <w:rPr>
                <w:sz w:val="20"/>
                <w:szCs w:val="20"/>
                <w:color w:val="auto"/>
              </w:rPr>
            </w:pPr>
            <w:r>
              <w:rPr>
                <w:rFonts w:ascii="Arial" w:cs="Arial" w:eastAsia="Arial" w:hAnsi="Arial"/>
                <w:sz w:val="12"/>
                <w:szCs w:val="12"/>
                <w:color w:val="auto"/>
              </w:rPr>
              <w:t>Capital expenditures</w:t>
            </w:r>
          </w:p>
        </w:tc>
        <w:tc>
          <w:tcPr>
            <w:tcW w:w="820" w:type="dxa"/>
            <w:vAlign w:val="bottom"/>
          </w:tcPr>
          <w:p>
            <w:pPr>
              <w:jc w:val="right"/>
              <w:ind w:right="680"/>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40"/>
              <w:spacing w:after="0"/>
              <w:rPr>
                <w:sz w:val="20"/>
                <w:szCs w:val="20"/>
                <w:color w:val="auto"/>
              </w:rPr>
            </w:pPr>
            <w:r>
              <w:rPr>
                <w:rFonts w:ascii="Arial" w:cs="Arial" w:eastAsia="Arial" w:hAnsi="Arial"/>
                <w:sz w:val="12"/>
                <w:szCs w:val="12"/>
                <w:color w:val="auto"/>
              </w:rPr>
              <w:t>76,572</w:t>
            </w:r>
          </w:p>
        </w:tc>
        <w:tc>
          <w:tcPr>
            <w:tcW w:w="100" w:type="dxa"/>
            <w:vAlign w:val="bottom"/>
          </w:tcPr>
          <w:p>
            <w:pPr>
              <w:spacing w:after="0"/>
              <w:rPr>
                <w:sz w:val="15"/>
                <w:szCs w:val="15"/>
                <w:color w:val="auto"/>
              </w:rPr>
            </w:pPr>
          </w:p>
        </w:tc>
        <w:tc>
          <w:tcPr>
            <w:tcW w:w="840" w:type="dxa"/>
            <w:vAlign w:val="bottom"/>
          </w:tcPr>
          <w:p>
            <w:pPr>
              <w:jc w:val="right"/>
              <w:ind w:right="700"/>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40"/>
              <w:spacing w:after="0"/>
              <w:rPr>
                <w:sz w:val="20"/>
                <w:szCs w:val="20"/>
                <w:color w:val="auto"/>
              </w:rPr>
            </w:pPr>
            <w:r>
              <w:rPr>
                <w:rFonts w:ascii="Arial" w:cs="Arial" w:eastAsia="Arial" w:hAnsi="Arial"/>
                <w:sz w:val="12"/>
                <w:szCs w:val="12"/>
                <w:color w:val="auto"/>
                <w:w w:val="96"/>
              </w:rPr>
              <w:t>110,550</w:t>
            </w:r>
          </w:p>
        </w:tc>
        <w:tc>
          <w:tcPr>
            <w:tcW w:w="10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(33,978)</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(30.7)</w:t>
            </w:r>
          </w:p>
        </w:tc>
      </w:tr>
      <w:tr>
        <w:trPr>
          <w:trHeight w:val="185"/>
        </w:trPr>
        <w:tc>
          <w:tcPr>
            <w:tcW w:w="800" w:type="dxa"/>
            <w:vAlign w:val="bottom"/>
          </w:tcPr>
          <w:p>
            <w:pPr>
              <w:spacing w:after="0"/>
              <w:rPr>
                <w:sz w:val="16"/>
                <w:szCs w:val="16"/>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EBITDA</w:t>
            </w:r>
          </w:p>
        </w:tc>
        <w:tc>
          <w:tcPr>
            <w:tcW w:w="82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155,940</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00"/>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96"/>
              </w:rPr>
              <w:t>164,135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(8,195)</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w:t>
            </w:r>
          </w:p>
        </w:tc>
      </w:tr>
    </w:tbl>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Total revenue for the three months ended September 30, 2019 increased by $19.0 million, or 4.3%, compared to the same period in 2018. The increase was primarily due to a net increase of $ 20.3 million in sales of broadband services to our consumer customers and net increases in hardware sales of $5.2 million to our enterprise customers and $3.8 million to our mobile satellite systems customers. The increase was partially offset by a decrease in sales of broadband services to our enterprise customers of $11.3 million.</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Capital expenditures for the three months ended September 30, 2019 decreased by $34.0 million, or 30.7%, compared to the same period in 2018, primarily due to net decreases in capital expenditures associated with the construction and infrastructure of our satellites and in our consumer and enterprise businesses.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EBITDA for the three months ended September 30, 2019 was $155.9 million, a decrease of $8.2 million, or 5.0%, compared to the same period in 2018. The change in EBITDA was primarily attributable to an increase of $12.6 million in gross margins, which was offset by increases in (i) expense of $8.6 million related to certain legal proceedings, (ii) foreign exchange with an unfavorable impact of $8.1 million, and (iii) marketing and promotional expenses of $7.9 million mainly associated with our consumer business.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ESS Segment</w:t>
      </w:r>
    </w:p>
    <w:p>
      <w:pPr>
        <w:spacing w:after="0" w:line="109" w:lineRule="exact"/>
        <w:rPr>
          <w:sz w:val="20"/>
          <w:szCs w:val="20"/>
          <w:color w:val="auto"/>
        </w:rPr>
      </w:pPr>
    </w:p>
    <w:tbl>
      <w:tblPr>
        <w:tblLayout w:type="fixed"/>
        <w:tblInd w:w="800" w:type="dxa"/>
        <w:tblCellMar>
          <w:top w:w="0" w:type="dxa"/>
          <w:left w:w="0" w:type="dxa"/>
          <w:bottom w:w="0" w:type="dxa"/>
          <w:right w:w="0" w:type="dxa"/>
        </w:tblCellMar>
      </w:tblPr>
      <w:tr>
        <w:trPr>
          <w:trHeight w:val="138"/>
        </w:trPr>
        <w:tc>
          <w:tcPr>
            <w:tcW w:w="4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6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w w:val="98"/>
              </w:rPr>
              <w:t>For the three months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3"/>
        </w:trPr>
        <w:tc>
          <w:tcPr>
            <w:tcW w:w="40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b w:val="1"/>
                <w:bCs w:val="1"/>
                <w:color w:val="auto"/>
                <w:w w:val="99"/>
              </w:rPr>
              <w:t>ended September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900"/>
              <w:spacing w:after="0"/>
              <w:rPr>
                <w:sz w:val="20"/>
                <w:szCs w:val="20"/>
                <w:color w:val="auto"/>
              </w:rPr>
            </w:pPr>
            <w:r>
              <w:rPr>
                <w:rFonts w:ascii="Arial" w:cs="Arial" w:eastAsia="Arial" w:hAnsi="Arial"/>
                <w:sz w:val="12"/>
                <w:szCs w:val="12"/>
                <w:b w:val="1"/>
                <w:bCs w:val="1"/>
                <w:color w:val="auto"/>
              </w:rPr>
              <w:t>Variance</w:t>
            </w:r>
          </w:p>
        </w:tc>
        <w:tc>
          <w:tcPr>
            <w:tcW w:w="960" w:type="dxa"/>
            <w:vAlign w:val="bottom"/>
            <w:tcBorders>
              <w:bottom w:val="single" w:sz="8" w:color="auto"/>
            </w:tcBorders>
          </w:tcPr>
          <w:p>
            <w:pPr>
              <w:spacing w:after="0"/>
              <w:rPr>
                <w:sz w:val="14"/>
                <w:szCs w:val="14"/>
                <w:color w:val="auto"/>
              </w:rPr>
            </w:pPr>
          </w:p>
        </w:tc>
      </w:tr>
      <w:tr>
        <w:trPr>
          <w:trHeight w:val="169"/>
        </w:trPr>
        <w:tc>
          <w:tcPr>
            <w:tcW w:w="40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0"/>
              <w:spacing w:after="0"/>
              <w:rPr>
                <w:sz w:val="20"/>
                <w:szCs w:val="20"/>
                <w:color w:val="auto"/>
              </w:rPr>
            </w:pPr>
            <w:r>
              <w:rPr>
                <w:rFonts w:ascii="Arial" w:cs="Arial" w:eastAsia="Arial" w:hAnsi="Arial"/>
                <w:sz w:val="12"/>
                <w:szCs w:val="12"/>
                <w:b w:val="1"/>
                <w:bCs w:val="1"/>
                <w:color w:val="auto"/>
              </w:rPr>
              <w:t>2018</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ind w:left="200"/>
              <w:spacing w:after="0"/>
              <w:rPr>
                <w:sz w:val="20"/>
                <w:szCs w:val="20"/>
                <w:color w:val="auto"/>
              </w:rPr>
            </w:pPr>
            <w:r>
              <w:rPr>
                <w:rFonts w:ascii="Arial" w:cs="Arial" w:eastAsia="Arial" w:hAnsi="Arial"/>
                <w:sz w:val="12"/>
                <w:szCs w:val="12"/>
                <w:b w:val="1"/>
                <w:bCs w:val="1"/>
                <w:color w:val="auto"/>
              </w:rPr>
              <w:t>Amount</w:t>
            </w:r>
          </w:p>
        </w:tc>
        <w:tc>
          <w:tcPr>
            <w:tcW w:w="960" w:type="dxa"/>
            <w:vAlign w:val="bottom"/>
          </w:tcPr>
          <w:p>
            <w:pPr>
              <w:jc w:val="right"/>
              <w:ind w:right="580"/>
              <w:spacing w:after="0"/>
              <w:rPr>
                <w:sz w:val="20"/>
                <w:szCs w:val="20"/>
                <w:color w:val="auto"/>
              </w:rPr>
            </w:pPr>
            <w:r>
              <w:rPr>
                <w:rFonts w:ascii="Arial" w:cs="Arial" w:eastAsia="Arial" w:hAnsi="Arial"/>
                <w:sz w:val="12"/>
                <w:szCs w:val="12"/>
                <w:b w:val="1"/>
                <w:bCs w:val="1"/>
                <w:color w:val="auto"/>
              </w:rPr>
              <w:t>%</w:t>
            </w:r>
          </w:p>
        </w:tc>
      </w:tr>
      <w:tr>
        <w:trPr>
          <w:trHeight w:val="210"/>
        </w:trPr>
        <w:tc>
          <w:tcPr>
            <w:tcW w:w="40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180"/>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w:t>
            </w:r>
          </w:p>
        </w:tc>
        <w:tc>
          <w:tcPr>
            <w:tcW w:w="82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4,098</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60"/>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6,802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(2,704)</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(39.8)</w:t>
            </w:r>
          </w:p>
        </w:tc>
      </w:tr>
      <w:tr>
        <w:trPr>
          <w:trHeight w:val="176"/>
        </w:trPr>
        <w:tc>
          <w:tcPr>
            <w:tcW w:w="4060" w:type="dxa"/>
            <w:vAlign w:val="bottom"/>
          </w:tcPr>
          <w:p>
            <w:pPr>
              <w:ind w:left="20"/>
              <w:spacing w:after="0"/>
              <w:rPr>
                <w:sz w:val="20"/>
                <w:szCs w:val="20"/>
                <w:color w:val="auto"/>
              </w:rPr>
            </w:pPr>
            <w:r>
              <w:rPr>
                <w:rFonts w:ascii="Arial" w:cs="Arial" w:eastAsia="Arial" w:hAnsi="Arial"/>
                <w:sz w:val="12"/>
                <w:szCs w:val="12"/>
                <w:color w:val="auto"/>
              </w:rPr>
              <w:t>Capital expenditures</w:t>
            </w:r>
          </w:p>
        </w:tc>
        <w:tc>
          <w:tcPr>
            <w:tcW w:w="820" w:type="dxa"/>
            <w:vAlign w:val="bottom"/>
          </w:tcPr>
          <w:p>
            <w:pPr>
              <w:jc w:val="right"/>
              <w:ind w:right="680"/>
              <w:spacing w:after="0"/>
              <w:rPr>
                <w:sz w:val="20"/>
                <w:szCs w:val="20"/>
                <w:color w:val="auto"/>
              </w:rPr>
            </w:pPr>
            <w:r>
              <w:rPr>
                <w:rFonts w:ascii="Arial" w:cs="Arial" w:eastAsia="Arial" w:hAnsi="Arial"/>
                <w:sz w:val="12"/>
                <w:szCs w:val="12"/>
                <w:color w:val="auto"/>
                <w:w w:val="89"/>
              </w:rPr>
              <w:t>$</w:t>
            </w: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760"/>
              <w:spacing w:after="0"/>
              <w:rPr>
                <w:sz w:val="20"/>
                <w:szCs w:val="20"/>
                <w:color w:val="auto"/>
              </w:rPr>
            </w:pPr>
            <w:r>
              <w:rPr>
                <w:rFonts w:ascii="Arial" w:cs="Arial" w:eastAsia="Arial" w:hAnsi="Arial"/>
                <w:sz w:val="12"/>
                <w:szCs w:val="12"/>
                <w:color w:val="auto"/>
                <w:w w:val="89"/>
              </w:rPr>
              <w:t>$</w:t>
            </w:r>
          </w:p>
        </w:tc>
        <w:tc>
          <w:tcPr>
            <w:tcW w:w="480" w:type="dxa"/>
            <w:vAlign w:val="bottom"/>
          </w:tcPr>
          <w:p>
            <w:pPr>
              <w:jc w:val="right"/>
              <w:ind w:right="40"/>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(18)</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(100.0)</w:t>
            </w:r>
          </w:p>
        </w:tc>
      </w:tr>
      <w:tr>
        <w:trPr>
          <w:trHeight w:val="185"/>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EBITDA</w:t>
            </w:r>
          </w:p>
        </w:tc>
        <w:tc>
          <w:tcPr>
            <w:tcW w:w="82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1,791</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60"/>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4,687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(2,896)</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(61.8)</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Total revenue for the three months ended September 30, 2019 decreased by $2.7 million or 39.8%, compared to the same period in 2018, due to a net decrease in transponder services provided to third parties.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EBITDA for the three months ended September 30, 2019 was $1.8 million, an increase of $2.9 million, or 61.8%, compared to the same period in 2018, primarily due to the decrease in ESS revenue.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ectPr>
          <w:pgSz w:w="11900" w:h="16838" w:orient="portrait"/>
          <w:cols w:equalWidth="0" w:num="1">
            <w:col w:w="11480"/>
          </w:cols>
          <w:pgMar w:left="220" w:top="140" w:right="199" w:bottom="1440" w:gutter="0" w:footer="0" w:header="0"/>
        </w:sectPr>
      </w:pPr>
    </w:p>
    <w:bookmarkStart w:id="60" w:name="page61"/>
    <w:bookmarkEnd w:id="6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 - Continued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860" w:type="dxa"/>
            <w:vAlign w:val="bottom"/>
            <w:gridSpan w:val="2"/>
          </w:tcPr>
          <w:p>
            <w:pPr>
              <w:spacing w:after="0"/>
              <w:rPr>
                <w:sz w:val="20"/>
                <w:szCs w:val="20"/>
                <w:color w:val="auto"/>
              </w:rPr>
            </w:pPr>
            <w:r>
              <w:rPr>
                <w:rFonts w:ascii="Arial" w:cs="Arial" w:eastAsia="Arial" w:hAnsi="Arial"/>
                <w:sz w:val="12"/>
                <w:szCs w:val="12"/>
                <w:i w:val="1"/>
                <w:iCs w:val="1"/>
                <w:color w:val="auto"/>
              </w:rPr>
              <w:t>Corporate and Other</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373"/>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w w:val="98"/>
              </w:rPr>
              <w:t>For the three months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3"/>
        </w:trPr>
        <w:tc>
          <w:tcPr>
            <w:tcW w:w="8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2"/>
                <w:szCs w:val="12"/>
                <w:b w:val="1"/>
                <w:bCs w:val="1"/>
                <w:color w:val="auto"/>
                <w:w w:val="99"/>
              </w:rPr>
              <w:t>ended September 30,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900"/>
              <w:spacing w:after="0"/>
              <w:rPr>
                <w:sz w:val="20"/>
                <w:szCs w:val="20"/>
                <w:color w:val="auto"/>
              </w:rPr>
            </w:pPr>
            <w:r>
              <w:rPr>
                <w:rFonts w:ascii="Arial" w:cs="Arial" w:eastAsia="Arial" w:hAnsi="Arial"/>
                <w:sz w:val="12"/>
                <w:szCs w:val="12"/>
                <w:b w:val="1"/>
                <w:bCs w:val="1"/>
                <w:color w:val="auto"/>
              </w:rPr>
              <w:t>Variance</w:t>
            </w:r>
          </w:p>
        </w:tc>
        <w:tc>
          <w:tcPr>
            <w:tcW w:w="960" w:type="dxa"/>
            <w:vAlign w:val="bottom"/>
            <w:tcBorders>
              <w:bottom w:val="single" w:sz="8" w:color="auto"/>
            </w:tcBorders>
          </w:tcPr>
          <w:p>
            <w:pPr>
              <w:spacing w:after="0"/>
              <w:rPr>
                <w:sz w:val="14"/>
                <w:szCs w:val="14"/>
                <w:color w:val="auto"/>
              </w:rPr>
            </w:pPr>
          </w:p>
        </w:tc>
      </w:tr>
      <w:tr>
        <w:trPr>
          <w:trHeight w:val="169"/>
        </w:trPr>
        <w:tc>
          <w:tcPr>
            <w:tcW w:w="8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2018</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ind w:left="200"/>
              <w:spacing w:after="0"/>
              <w:rPr>
                <w:sz w:val="20"/>
                <w:szCs w:val="20"/>
                <w:color w:val="auto"/>
              </w:rPr>
            </w:pPr>
            <w:r>
              <w:rPr>
                <w:rFonts w:ascii="Arial" w:cs="Arial" w:eastAsia="Arial" w:hAnsi="Arial"/>
                <w:sz w:val="12"/>
                <w:szCs w:val="12"/>
                <w:b w:val="1"/>
                <w:bCs w:val="1"/>
                <w:color w:val="auto"/>
              </w:rPr>
              <w:t>Amount</w:t>
            </w:r>
          </w:p>
        </w:tc>
        <w:tc>
          <w:tcPr>
            <w:tcW w:w="960" w:type="dxa"/>
            <w:vAlign w:val="bottom"/>
          </w:tcPr>
          <w:p>
            <w:pPr>
              <w:jc w:val="right"/>
              <w:ind w:right="580"/>
              <w:spacing w:after="0"/>
              <w:rPr>
                <w:sz w:val="20"/>
                <w:szCs w:val="20"/>
                <w:color w:val="auto"/>
              </w:rPr>
            </w:pPr>
            <w:r>
              <w:rPr>
                <w:rFonts w:ascii="Arial" w:cs="Arial" w:eastAsia="Arial" w:hAnsi="Arial"/>
                <w:sz w:val="12"/>
                <w:szCs w:val="12"/>
                <w:b w:val="1"/>
                <w:bCs w:val="1"/>
                <w:color w:val="auto"/>
              </w:rPr>
              <w:t>%</w:t>
            </w:r>
          </w:p>
        </w:tc>
      </w:tr>
      <w:tr>
        <w:trPr>
          <w:trHeight w:val="210"/>
        </w:trPr>
        <w:tc>
          <w:tcPr>
            <w:tcW w:w="8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180"/>
        </w:trPr>
        <w:tc>
          <w:tcPr>
            <w:tcW w:w="800" w:type="dxa"/>
            <w:vAlign w:val="bottom"/>
          </w:tcPr>
          <w:p>
            <w:pPr>
              <w:spacing w:after="0"/>
              <w:rPr>
                <w:sz w:val="15"/>
                <w:szCs w:val="15"/>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w:t>
            </w:r>
          </w:p>
        </w:tc>
        <w:tc>
          <w:tcPr>
            <w:tcW w:w="82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4,429</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2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4,710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r>
      <w:tr>
        <w:trPr>
          <w:trHeight w:val="176"/>
        </w:trPr>
        <w:tc>
          <w:tcPr>
            <w:tcW w:w="800" w:type="dxa"/>
            <w:vAlign w:val="bottom"/>
          </w:tcPr>
          <w:p>
            <w:pPr>
              <w:spacing w:after="0"/>
              <w:rPr>
                <w:sz w:val="15"/>
                <w:szCs w:val="15"/>
                <w:color w:val="auto"/>
              </w:rPr>
            </w:pPr>
          </w:p>
        </w:tc>
        <w:tc>
          <w:tcPr>
            <w:tcW w:w="4060" w:type="dxa"/>
            <w:vAlign w:val="bottom"/>
          </w:tcPr>
          <w:p>
            <w:pPr>
              <w:ind w:left="20"/>
              <w:spacing w:after="0"/>
              <w:rPr>
                <w:sz w:val="20"/>
                <w:szCs w:val="20"/>
                <w:color w:val="auto"/>
              </w:rPr>
            </w:pPr>
            <w:r>
              <w:rPr>
                <w:rFonts w:ascii="Arial" w:cs="Arial" w:eastAsia="Arial" w:hAnsi="Arial"/>
                <w:sz w:val="12"/>
                <w:szCs w:val="12"/>
                <w:color w:val="auto"/>
              </w:rPr>
              <w:t>Capital expenditures</w:t>
            </w:r>
          </w:p>
        </w:tc>
        <w:tc>
          <w:tcPr>
            <w:tcW w:w="820" w:type="dxa"/>
            <w:vAlign w:val="bottom"/>
          </w:tcPr>
          <w:p>
            <w:pPr>
              <w:jc w:val="right"/>
              <w:ind w:right="680"/>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40"/>
              <w:spacing w:after="0"/>
              <w:rPr>
                <w:sz w:val="20"/>
                <w:szCs w:val="20"/>
                <w:color w:val="auto"/>
              </w:rPr>
            </w:pPr>
            <w:r>
              <w:rPr>
                <w:rFonts w:ascii="Arial" w:cs="Arial" w:eastAsia="Arial" w:hAnsi="Arial"/>
                <w:sz w:val="12"/>
                <w:szCs w:val="12"/>
                <w:color w:val="auto"/>
              </w:rPr>
              <w:t>18,583</w:t>
            </w:r>
          </w:p>
        </w:tc>
        <w:tc>
          <w:tcPr>
            <w:tcW w:w="100" w:type="dxa"/>
            <w:vAlign w:val="bottom"/>
          </w:tcPr>
          <w:p>
            <w:pPr>
              <w:spacing w:after="0"/>
              <w:rPr>
                <w:sz w:val="15"/>
                <w:szCs w:val="15"/>
                <w:color w:val="auto"/>
              </w:rPr>
            </w:pPr>
          </w:p>
        </w:tc>
        <w:tc>
          <w:tcPr>
            <w:tcW w:w="860" w:type="dxa"/>
            <w:vAlign w:val="bottom"/>
          </w:tcPr>
          <w:p>
            <w:pPr>
              <w:jc w:val="right"/>
              <w:ind w:right="72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ind w:right="40"/>
              <w:spacing w:after="0"/>
              <w:rPr>
                <w:sz w:val="20"/>
                <w:szCs w:val="20"/>
                <w:color w:val="auto"/>
              </w:rPr>
            </w:pPr>
            <w:r>
              <w:rPr>
                <w:rFonts w:ascii="Arial" w:cs="Arial" w:eastAsia="Arial" w:hAnsi="Arial"/>
                <w:sz w:val="12"/>
                <w:szCs w:val="12"/>
                <w:color w:val="auto"/>
              </w:rPr>
              <w:t>56,576</w:t>
            </w:r>
          </w:p>
        </w:tc>
        <w:tc>
          <w:tcPr>
            <w:tcW w:w="10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(37,993)</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(67.2)</w:t>
            </w:r>
          </w:p>
        </w:tc>
      </w:tr>
      <w:tr>
        <w:trPr>
          <w:trHeight w:val="185"/>
        </w:trPr>
        <w:tc>
          <w:tcPr>
            <w:tcW w:w="800" w:type="dxa"/>
            <w:vAlign w:val="bottom"/>
          </w:tcPr>
          <w:p>
            <w:pPr>
              <w:spacing w:after="0"/>
              <w:rPr>
                <w:sz w:val="16"/>
                <w:szCs w:val="16"/>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EBITDA</w:t>
            </w:r>
          </w:p>
        </w:tc>
        <w:tc>
          <w:tcPr>
            <w:tcW w:w="82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(18,015)</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2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(15,650)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(2,365)</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15.1</w:t>
            </w:r>
          </w:p>
        </w:tc>
      </w:tr>
    </w:tbl>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Capital expenditures for the three months ended September 30, 2019 decreased by $38.0 million, or 67.2%, compared to the same period in 2018, primarily due to decreases in satellite expenditures on the EchoStar XXIV satellite.</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EBITDA for the three months ended September 30, 2019 was a loss of $18.0 million, an increase in loss of $2.4 million or 15.1% compared to the same period in 2018. The increase in loss was largely attributable to a higher unfavorable foreign exchange impact of $2.9 million, a decrease in equity in earnings from our investment in unconsolidated entities of $2.2 million and an increase of $2.5 million in general and administrative expenses primarily related to strategic transactions. The increase in loss was partially offset by an increase in gains of $5.5 million on certain marketable equity and debt securities that we account for using the fair value option.</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ectPr>
          <w:pgSz w:w="11900" w:h="16838" w:orient="portrait"/>
          <w:cols w:equalWidth="0" w:num="1">
            <w:col w:w="11480"/>
          </w:cols>
          <w:pgMar w:left="220" w:top="140" w:right="199" w:bottom="1440" w:gutter="0" w:footer="0" w:header="0"/>
        </w:sectPr>
      </w:pPr>
    </w:p>
    <w:bookmarkStart w:id="61" w:name="page62"/>
    <w:bookmarkEnd w:id="61"/>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 - Continued</w:t>
      </w:r>
    </w:p>
    <w:p>
      <w:pPr>
        <w:spacing w:after="0" w:line="16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Nine Months Ended September 30, 2019 Compared to the Nine Months Ended September 30, 2018</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table presents our consolidated results of operations for the nine months ended September 30, 2019 compared to the nine months ended September 30, 2018 (amounts in thousands):</w:t>
      </w:r>
    </w:p>
    <w:p>
      <w:pPr>
        <w:spacing w:after="0" w:line="99"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5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gridSpan w:val="3"/>
          </w:tcPr>
          <w:p>
            <w:pPr>
              <w:jc w:val="right"/>
              <w:ind w:right="12"/>
              <w:spacing w:after="0"/>
              <w:rPr>
                <w:sz w:val="20"/>
                <w:szCs w:val="20"/>
                <w:color w:val="auto"/>
              </w:rPr>
            </w:pPr>
            <w:r>
              <w:rPr>
                <w:rFonts w:ascii="Arial" w:cs="Arial" w:eastAsia="Arial" w:hAnsi="Arial"/>
                <w:sz w:val="10"/>
                <w:szCs w:val="10"/>
                <w:b w:val="1"/>
                <w:bCs w:val="1"/>
                <w:color w:val="auto"/>
              </w:rPr>
              <w:t>For the nine months</w:t>
            </w: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5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ended September 30,</w:t>
            </w: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ind w:left="780"/>
              <w:spacing w:after="0"/>
              <w:rPr>
                <w:sz w:val="20"/>
                <w:szCs w:val="20"/>
                <w:color w:val="auto"/>
              </w:rPr>
            </w:pPr>
            <w:r>
              <w:rPr>
                <w:rFonts w:ascii="Arial" w:cs="Arial" w:eastAsia="Arial" w:hAnsi="Arial"/>
                <w:sz w:val="10"/>
                <w:szCs w:val="10"/>
                <w:b w:val="1"/>
                <w:bCs w:val="1"/>
                <w:color w:val="auto"/>
              </w:rPr>
              <w:t>Variance</w:t>
            </w: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680" w:type="dxa"/>
            <w:vAlign w:val="bottom"/>
            <w:gridSpan w:val="2"/>
          </w:tcPr>
          <w:p>
            <w:pPr>
              <w:ind w:left="20"/>
              <w:spacing w:after="0"/>
              <w:rPr>
                <w:sz w:val="20"/>
                <w:szCs w:val="20"/>
                <w:color w:val="auto"/>
              </w:rPr>
            </w:pPr>
            <w:r>
              <w:rPr>
                <w:rFonts w:ascii="Arial" w:cs="Arial" w:eastAsia="Arial" w:hAnsi="Arial"/>
                <w:sz w:val="10"/>
                <w:szCs w:val="10"/>
                <w:b w:val="1"/>
                <w:bCs w:val="1"/>
                <w:color w:val="auto"/>
              </w:rPr>
              <w:t>Statements of Operations Data (1)</w:t>
            </w:r>
          </w:p>
        </w:tc>
        <w:tc>
          <w:tcPr>
            <w:tcW w:w="280" w:type="dxa"/>
            <w:vAlign w:val="bottom"/>
          </w:tcPr>
          <w:p>
            <w:pPr>
              <w:spacing w:after="0"/>
              <w:rPr>
                <w:sz w:val="14"/>
                <w:szCs w:val="14"/>
                <w:color w:val="auto"/>
              </w:rPr>
            </w:pPr>
          </w:p>
        </w:tc>
        <w:tc>
          <w:tcPr>
            <w:tcW w:w="920" w:type="dxa"/>
            <w:vAlign w:val="bottom"/>
          </w:tcPr>
          <w:p>
            <w:pPr>
              <w:jc w:val="right"/>
              <w:ind w:right="452"/>
              <w:spacing w:after="0"/>
              <w:rPr>
                <w:sz w:val="20"/>
                <w:szCs w:val="20"/>
                <w:color w:val="auto"/>
              </w:rPr>
            </w:pPr>
            <w:r>
              <w:rPr>
                <w:rFonts w:ascii="Arial" w:cs="Arial" w:eastAsia="Arial" w:hAnsi="Arial"/>
                <w:sz w:val="10"/>
                <w:szCs w:val="10"/>
                <w:b w:val="1"/>
                <w:bCs w:val="1"/>
                <w:color w:val="auto"/>
              </w:rPr>
              <w:t>2019</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jc w:val="right"/>
              <w:ind w:right="452"/>
              <w:spacing w:after="0"/>
              <w:rPr>
                <w:sz w:val="20"/>
                <w:szCs w:val="20"/>
                <w:color w:val="auto"/>
              </w:rPr>
            </w:pPr>
            <w:r>
              <w:rPr>
                <w:rFonts w:ascii="Arial" w:cs="Arial" w:eastAsia="Arial" w:hAnsi="Arial"/>
                <w:sz w:val="10"/>
                <w:szCs w:val="10"/>
                <w:b w:val="1"/>
                <w:bCs w:val="1"/>
                <w:color w:val="auto"/>
                <w:w w:val="98"/>
              </w:rPr>
              <w:t>2018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ind w:left="160"/>
              <w:spacing w:after="0"/>
              <w:rPr>
                <w:sz w:val="20"/>
                <w:szCs w:val="20"/>
                <w:color w:val="auto"/>
              </w:rPr>
            </w:pPr>
            <w:r>
              <w:rPr>
                <w:rFonts w:ascii="Arial" w:cs="Arial" w:eastAsia="Arial" w:hAnsi="Arial"/>
                <w:sz w:val="10"/>
                <w:szCs w:val="10"/>
                <w:b w:val="1"/>
                <w:bCs w:val="1"/>
                <w:color w:val="auto"/>
              </w:rPr>
              <w:t>Amount</w:t>
            </w:r>
          </w:p>
        </w:tc>
        <w:tc>
          <w:tcPr>
            <w:tcW w:w="820" w:type="dxa"/>
            <w:vAlign w:val="bottom"/>
          </w:tcPr>
          <w:p>
            <w:pPr>
              <w:jc w:val="right"/>
              <w:ind w:right="512"/>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191"/>
        </w:trPr>
        <w:tc>
          <w:tcPr>
            <w:tcW w:w="5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Revenue:</w:t>
            </w:r>
          </w:p>
        </w:tc>
        <w:tc>
          <w:tcPr>
            <w:tcW w:w="2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5680" w:type="dxa"/>
            <w:vAlign w:val="bottom"/>
            <w:gridSpan w:val="2"/>
          </w:tcPr>
          <w:p>
            <w:pPr>
              <w:ind w:left="180"/>
              <w:spacing w:after="0"/>
              <w:rPr>
                <w:sz w:val="20"/>
                <w:szCs w:val="20"/>
                <w:color w:val="auto"/>
              </w:rPr>
            </w:pPr>
            <w:r>
              <w:rPr>
                <w:rFonts w:ascii="Arial" w:cs="Arial" w:eastAsia="Arial" w:hAnsi="Arial"/>
                <w:sz w:val="10"/>
                <w:szCs w:val="10"/>
                <w:color w:val="auto"/>
              </w:rPr>
              <w:t>Services and other revenue - DISH Network</w:t>
            </w:r>
          </w:p>
        </w:tc>
        <w:tc>
          <w:tcPr>
            <w:tcW w:w="280" w:type="dxa"/>
            <w:vAlign w:val="bottom"/>
            <w:vMerge w:val="restart"/>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vMerge w:val="restart"/>
          </w:tcPr>
          <w:p>
            <w:pPr>
              <w:jc w:val="right"/>
              <w:ind w:right="72"/>
              <w:spacing w:after="0"/>
              <w:rPr>
                <w:sz w:val="20"/>
                <w:szCs w:val="20"/>
                <w:color w:val="auto"/>
              </w:rPr>
            </w:pPr>
            <w:r>
              <w:rPr>
                <w:rFonts w:ascii="Arial" w:cs="Arial" w:eastAsia="Arial" w:hAnsi="Arial"/>
                <w:sz w:val="10"/>
                <w:szCs w:val="10"/>
                <w:color w:val="auto"/>
              </w:rPr>
              <w:t>42,532</w:t>
            </w:r>
          </w:p>
        </w:tc>
        <w:tc>
          <w:tcPr>
            <w:tcW w:w="100" w:type="dxa"/>
            <w:vAlign w:val="bottom"/>
          </w:tcPr>
          <w:p>
            <w:pPr>
              <w:spacing w:after="0"/>
              <w:rPr>
                <w:sz w:val="11"/>
                <w:szCs w:val="11"/>
                <w:color w:val="auto"/>
              </w:rPr>
            </w:pPr>
          </w:p>
        </w:tc>
        <w:tc>
          <w:tcPr>
            <w:tcW w:w="460" w:type="dxa"/>
            <w:vAlign w:val="bottom"/>
            <w:vMerge w:val="restart"/>
          </w:tcPr>
          <w:p>
            <w:pPr>
              <w:jc w:val="right"/>
              <w:ind w:right="332"/>
              <w:spacing w:after="0"/>
              <w:rPr>
                <w:sz w:val="20"/>
                <w:szCs w:val="20"/>
                <w:color w:val="auto"/>
              </w:rPr>
            </w:pPr>
            <w:r>
              <w:rPr>
                <w:rFonts w:ascii="Arial" w:cs="Arial" w:eastAsia="Arial" w:hAnsi="Arial"/>
                <w:sz w:val="10"/>
                <w:szCs w:val="10"/>
                <w:color w:val="auto"/>
              </w:rPr>
              <w:t>$</w:t>
            </w:r>
          </w:p>
        </w:tc>
        <w:tc>
          <w:tcPr>
            <w:tcW w:w="740" w:type="dxa"/>
            <w:vAlign w:val="bottom"/>
            <w:vMerge w:val="restart"/>
          </w:tcPr>
          <w:p>
            <w:pPr>
              <w:jc w:val="right"/>
              <w:ind w:right="72"/>
              <w:spacing w:after="0"/>
              <w:rPr>
                <w:sz w:val="20"/>
                <w:szCs w:val="20"/>
                <w:color w:val="auto"/>
              </w:rPr>
            </w:pPr>
            <w:r>
              <w:rPr>
                <w:rFonts w:ascii="Arial" w:cs="Arial" w:eastAsia="Arial" w:hAnsi="Arial"/>
                <w:sz w:val="10"/>
                <w:szCs w:val="10"/>
                <w:color w:val="auto"/>
              </w:rPr>
              <w:t>57,410</w:t>
            </w:r>
          </w:p>
        </w:tc>
        <w:tc>
          <w:tcPr>
            <w:tcW w:w="100" w:type="dxa"/>
            <w:vAlign w:val="bottom"/>
          </w:tcPr>
          <w:p>
            <w:pPr>
              <w:spacing w:after="0"/>
              <w:rPr>
                <w:sz w:val="11"/>
                <w:szCs w:val="11"/>
                <w:color w:val="auto"/>
              </w:rPr>
            </w:pPr>
          </w:p>
        </w:tc>
        <w:tc>
          <w:tcPr>
            <w:tcW w:w="240" w:type="dxa"/>
            <w:vAlign w:val="bottom"/>
            <w:vMerge w:val="restart"/>
          </w:tcPr>
          <w:p>
            <w:pPr>
              <w:jc w:val="right"/>
              <w:ind w:right="132"/>
              <w:spacing w:after="0"/>
              <w:rPr>
                <w:sz w:val="20"/>
                <w:szCs w:val="20"/>
                <w:color w:val="auto"/>
              </w:rPr>
            </w:pPr>
            <w:r>
              <w:rPr>
                <w:rFonts w:ascii="Arial" w:cs="Arial" w:eastAsia="Arial" w:hAnsi="Arial"/>
                <w:sz w:val="10"/>
                <w:szCs w:val="10"/>
                <w:color w:val="auto"/>
                <w:w w:val="71"/>
              </w:rPr>
              <w:t>$</w:t>
            </w:r>
          </w:p>
        </w:tc>
        <w:tc>
          <w:tcPr>
            <w:tcW w:w="920" w:type="dxa"/>
            <w:vAlign w:val="bottom"/>
            <w:vMerge w:val="restart"/>
          </w:tcPr>
          <w:p>
            <w:pPr>
              <w:jc w:val="right"/>
              <w:ind w:right="12"/>
              <w:spacing w:after="0"/>
              <w:rPr>
                <w:sz w:val="20"/>
                <w:szCs w:val="20"/>
                <w:color w:val="auto"/>
              </w:rPr>
            </w:pPr>
            <w:r>
              <w:rPr>
                <w:rFonts w:ascii="Arial" w:cs="Arial" w:eastAsia="Arial" w:hAnsi="Arial"/>
                <w:sz w:val="10"/>
                <w:szCs w:val="10"/>
                <w:color w:val="auto"/>
              </w:rPr>
              <w:t>(14,878)</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vMerge w:val="restart"/>
          </w:tcPr>
          <w:p>
            <w:pPr>
              <w:jc w:val="right"/>
              <w:ind w:right="32"/>
              <w:spacing w:after="0"/>
              <w:rPr>
                <w:sz w:val="20"/>
                <w:szCs w:val="20"/>
                <w:color w:val="auto"/>
              </w:rPr>
            </w:pPr>
            <w:r>
              <w:rPr>
                <w:rFonts w:ascii="Arial" w:cs="Arial" w:eastAsia="Arial" w:hAnsi="Arial"/>
                <w:sz w:val="10"/>
                <w:szCs w:val="10"/>
                <w:color w:val="auto"/>
              </w:rPr>
              <w:t>(25.9)</w:t>
            </w:r>
          </w:p>
        </w:tc>
        <w:tc>
          <w:tcPr>
            <w:tcW w:w="0" w:type="dxa"/>
            <w:vAlign w:val="bottom"/>
          </w:tcPr>
          <w:p>
            <w:pPr>
              <w:spacing w:after="0"/>
              <w:rPr>
                <w:sz w:val="1"/>
                <w:szCs w:val="1"/>
                <w:color w:val="auto"/>
              </w:rPr>
            </w:pPr>
          </w:p>
        </w:tc>
      </w:tr>
      <w:tr>
        <w:trPr>
          <w:trHeight w:val="40"/>
        </w:trPr>
        <w:tc>
          <w:tcPr>
            <w:tcW w:w="5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5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Services and other revenue - other</w:t>
            </w:r>
          </w:p>
        </w:tc>
        <w:tc>
          <w:tcPr>
            <w:tcW w:w="2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1,169,459</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1,101,111</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68,348</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6.2</w:t>
            </w:r>
          </w:p>
        </w:tc>
        <w:tc>
          <w:tcPr>
            <w:tcW w:w="0" w:type="dxa"/>
            <w:vAlign w:val="bottom"/>
          </w:tcPr>
          <w:p>
            <w:pPr>
              <w:spacing w:after="0"/>
              <w:rPr>
                <w:sz w:val="1"/>
                <w:szCs w:val="1"/>
                <w:color w:val="auto"/>
              </w:rPr>
            </w:pPr>
          </w:p>
        </w:tc>
      </w:tr>
      <w:tr>
        <w:trPr>
          <w:trHeight w:val="136"/>
        </w:trPr>
        <w:tc>
          <w:tcPr>
            <w:tcW w:w="5680" w:type="dxa"/>
            <w:vAlign w:val="bottom"/>
            <w:gridSpan w:val="2"/>
          </w:tcPr>
          <w:p>
            <w:pPr>
              <w:ind w:left="180"/>
              <w:spacing w:after="0"/>
              <w:rPr>
                <w:sz w:val="20"/>
                <w:szCs w:val="20"/>
                <w:color w:val="auto"/>
              </w:rPr>
            </w:pPr>
            <w:r>
              <w:rPr>
                <w:rFonts w:ascii="Arial" w:cs="Arial" w:eastAsia="Arial" w:hAnsi="Arial"/>
                <w:sz w:val="10"/>
                <w:szCs w:val="10"/>
                <w:color w:val="auto"/>
              </w:rPr>
              <w:t>Equipment revenue</w:t>
            </w:r>
          </w:p>
        </w:tc>
        <w:tc>
          <w:tcPr>
            <w:tcW w:w="280" w:type="dxa"/>
            <w:vAlign w:val="bottom"/>
          </w:tcPr>
          <w:p>
            <w:pPr>
              <w:spacing w:after="0"/>
              <w:rPr>
                <w:sz w:val="11"/>
                <w:szCs w:val="11"/>
                <w:color w:val="auto"/>
              </w:rPr>
            </w:pPr>
          </w:p>
        </w:tc>
        <w:tc>
          <w:tcPr>
            <w:tcW w:w="920" w:type="dxa"/>
            <w:vAlign w:val="bottom"/>
            <w:vMerge w:val="restart"/>
          </w:tcPr>
          <w:p>
            <w:pPr>
              <w:jc w:val="right"/>
              <w:ind w:right="72"/>
              <w:spacing w:after="0"/>
              <w:rPr>
                <w:sz w:val="20"/>
                <w:szCs w:val="20"/>
                <w:color w:val="auto"/>
              </w:rPr>
            </w:pPr>
            <w:r>
              <w:rPr>
                <w:rFonts w:ascii="Arial" w:cs="Arial" w:eastAsia="Arial" w:hAnsi="Arial"/>
                <w:sz w:val="10"/>
                <w:szCs w:val="10"/>
                <w:color w:val="auto"/>
              </w:rPr>
              <w:t>175,084</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vMerge w:val="restart"/>
          </w:tcPr>
          <w:p>
            <w:pPr>
              <w:jc w:val="right"/>
              <w:ind w:right="72"/>
              <w:spacing w:after="0"/>
              <w:rPr>
                <w:sz w:val="20"/>
                <w:szCs w:val="20"/>
                <w:color w:val="auto"/>
              </w:rPr>
            </w:pPr>
            <w:r>
              <w:rPr>
                <w:rFonts w:ascii="Arial" w:cs="Arial" w:eastAsia="Arial" w:hAnsi="Arial"/>
                <w:sz w:val="10"/>
                <w:szCs w:val="10"/>
                <w:color w:val="auto"/>
              </w:rPr>
              <w:t>150,134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right"/>
              <w:ind w:right="52"/>
              <w:spacing w:after="0"/>
              <w:rPr>
                <w:sz w:val="20"/>
                <w:szCs w:val="20"/>
                <w:color w:val="auto"/>
              </w:rPr>
            </w:pPr>
            <w:r>
              <w:rPr>
                <w:rFonts w:ascii="Arial" w:cs="Arial" w:eastAsia="Arial" w:hAnsi="Arial"/>
                <w:sz w:val="10"/>
                <w:szCs w:val="10"/>
                <w:color w:val="auto"/>
              </w:rPr>
              <w:t>24,950</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vMerge w:val="restart"/>
          </w:tcPr>
          <w:p>
            <w:pPr>
              <w:jc w:val="right"/>
              <w:ind w:right="52"/>
              <w:spacing w:after="0"/>
              <w:rPr>
                <w:sz w:val="20"/>
                <w:szCs w:val="20"/>
                <w:color w:val="auto"/>
              </w:rPr>
            </w:pPr>
            <w:r>
              <w:rPr>
                <w:rFonts w:ascii="Arial" w:cs="Arial" w:eastAsia="Arial" w:hAnsi="Arial"/>
                <w:sz w:val="10"/>
                <w:szCs w:val="10"/>
                <w:color w:val="auto"/>
              </w:rPr>
              <w:t>16.6</w:t>
            </w:r>
          </w:p>
        </w:tc>
        <w:tc>
          <w:tcPr>
            <w:tcW w:w="0" w:type="dxa"/>
            <w:vAlign w:val="bottom"/>
          </w:tcPr>
          <w:p>
            <w:pPr>
              <w:spacing w:after="0"/>
              <w:rPr>
                <w:sz w:val="1"/>
                <w:szCs w:val="1"/>
                <w:color w:val="auto"/>
              </w:rPr>
            </w:pPr>
          </w:p>
        </w:tc>
      </w:tr>
      <w:tr>
        <w:trPr>
          <w:trHeight w:val="40"/>
        </w:trPr>
        <w:tc>
          <w:tcPr>
            <w:tcW w:w="55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56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0"/>
                <w:szCs w:val="10"/>
                <w:color w:val="auto"/>
              </w:rPr>
              <w:t>Total revenue</w:t>
            </w:r>
          </w:p>
        </w:tc>
        <w:tc>
          <w:tcPr>
            <w:tcW w:w="2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1,387,075</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1,308,655</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78,420</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6.0</w:t>
            </w:r>
          </w:p>
        </w:tc>
        <w:tc>
          <w:tcPr>
            <w:tcW w:w="0" w:type="dxa"/>
            <w:vAlign w:val="bottom"/>
          </w:tcPr>
          <w:p>
            <w:pPr>
              <w:spacing w:after="0"/>
              <w:rPr>
                <w:sz w:val="1"/>
                <w:szCs w:val="1"/>
                <w:color w:val="auto"/>
              </w:rPr>
            </w:pPr>
          </w:p>
        </w:tc>
      </w:tr>
      <w:tr>
        <w:trPr>
          <w:trHeight w:val="116"/>
        </w:trPr>
        <w:tc>
          <w:tcPr>
            <w:tcW w:w="5680" w:type="dxa"/>
            <w:vAlign w:val="bottom"/>
            <w:gridSpan w:val="2"/>
          </w:tcPr>
          <w:p>
            <w:pPr>
              <w:ind w:left="20"/>
              <w:spacing w:after="0"/>
              <w:rPr>
                <w:sz w:val="20"/>
                <w:szCs w:val="20"/>
                <w:color w:val="auto"/>
              </w:rPr>
            </w:pPr>
            <w:r>
              <w:rPr>
                <w:rFonts w:ascii="Arial" w:cs="Arial" w:eastAsia="Arial" w:hAnsi="Arial"/>
                <w:sz w:val="10"/>
                <w:szCs w:val="10"/>
                <w:b w:val="1"/>
                <w:bCs w:val="1"/>
                <w:color w:val="auto"/>
              </w:rPr>
              <w:t>Costs and expenses:</w:t>
            </w:r>
          </w:p>
        </w:tc>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5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5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Cost of sales - services and other</w:t>
            </w:r>
          </w:p>
        </w:tc>
        <w:tc>
          <w:tcPr>
            <w:tcW w:w="2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429,869</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421,622</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8,247</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2.0</w:t>
            </w:r>
          </w:p>
        </w:tc>
        <w:tc>
          <w:tcPr>
            <w:tcW w:w="0" w:type="dxa"/>
            <w:vAlign w:val="bottom"/>
          </w:tcPr>
          <w:p>
            <w:pPr>
              <w:spacing w:after="0"/>
              <w:rPr>
                <w:sz w:val="1"/>
                <w:szCs w:val="1"/>
                <w:color w:val="auto"/>
              </w:rPr>
            </w:pPr>
          </w:p>
        </w:tc>
      </w:tr>
      <w:tr>
        <w:trPr>
          <w:trHeight w:val="136"/>
        </w:trPr>
        <w:tc>
          <w:tcPr>
            <w:tcW w:w="5680" w:type="dxa"/>
            <w:vAlign w:val="bottom"/>
            <w:gridSpan w:val="2"/>
          </w:tcPr>
          <w:p>
            <w:pPr>
              <w:ind w:left="320"/>
              <w:spacing w:after="0"/>
              <w:rPr>
                <w:sz w:val="20"/>
                <w:szCs w:val="20"/>
                <w:color w:val="auto"/>
              </w:rPr>
            </w:pPr>
            <w:r>
              <w:rPr>
                <w:rFonts w:ascii="Arial" w:cs="Arial" w:eastAsia="Arial" w:hAnsi="Arial"/>
                <w:sz w:val="10"/>
                <w:szCs w:val="10"/>
                <w:b w:val="1"/>
                <w:bCs w:val="1"/>
                <w:color w:val="auto"/>
              </w:rPr>
              <w:t>% of total services and other revenue</w:t>
            </w:r>
          </w:p>
        </w:tc>
        <w:tc>
          <w:tcPr>
            <w:tcW w:w="2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35.5%</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36.4%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5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5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Cost of sales - equipment</w:t>
            </w:r>
          </w:p>
        </w:tc>
        <w:tc>
          <w:tcPr>
            <w:tcW w:w="2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142,744</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127,254</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15,490</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12.2</w:t>
            </w:r>
          </w:p>
        </w:tc>
        <w:tc>
          <w:tcPr>
            <w:tcW w:w="0" w:type="dxa"/>
            <w:vAlign w:val="bottom"/>
          </w:tcPr>
          <w:p>
            <w:pPr>
              <w:spacing w:after="0"/>
              <w:rPr>
                <w:sz w:val="1"/>
                <w:szCs w:val="1"/>
                <w:color w:val="auto"/>
              </w:rPr>
            </w:pPr>
          </w:p>
        </w:tc>
      </w:tr>
      <w:tr>
        <w:trPr>
          <w:trHeight w:val="136"/>
        </w:trPr>
        <w:tc>
          <w:tcPr>
            <w:tcW w:w="5680" w:type="dxa"/>
            <w:vAlign w:val="bottom"/>
            <w:gridSpan w:val="2"/>
          </w:tcPr>
          <w:p>
            <w:pPr>
              <w:ind w:left="320"/>
              <w:spacing w:after="0"/>
              <w:rPr>
                <w:sz w:val="20"/>
                <w:szCs w:val="20"/>
                <w:color w:val="auto"/>
              </w:rPr>
            </w:pPr>
            <w:r>
              <w:rPr>
                <w:rFonts w:ascii="Arial" w:cs="Arial" w:eastAsia="Arial" w:hAnsi="Arial"/>
                <w:sz w:val="10"/>
                <w:szCs w:val="10"/>
                <w:b w:val="1"/>
                <w:bCs w:val="1"/>
                <w:color w:val="auto"/>
              </w:rPr>
              <w:t>% of total equipment revenue</w:t>
            </w:r>
          </w:p>
        </w:tc>
        <w:tc>
          <w:tcPr>
            <w:tcW w:w="2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81.5%</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84.8%</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5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5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Selling, general and administrative expenses</w:t>
            </w:r>
          </w:p>
        </w:tc>
        <w:tc>
          <w:tcPr>
            <w:tcW w:w="2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384,152</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314,040</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70,112</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22.3</w:t>
            </w:r>
          </w:p>
        </w:tc>
        <w:tc>
          <w:tcPr>
            <w:tcW w:w="0" w:type="dxa"/>
            <w:vAlign w:val="bottom"/>
          </w:tcPr>
          <w:p>
            <w:pPr>
              <w:spacing w:after="0"/>
              <w:rPr>
                <w:sz w:val="1"/>
                <w:szCs w:val="1"/>
                <w:color w:val="auto"/>
              </w:rPr>
            </w:pPr>
          </w:p>
        </w:tc>
      </w:tr>
      <w:tr>
        <w:trPr>
          <w:trHeight w:val="136"/>
        </w:trPr>
        <w:tc>
          <w:tcPr>
            <w:tcW w:w="5680" w:type="dxa"/>
            <w:vAlign w:val="bottom"/>
            <w:gridSpan w:val="2"/>
          </w:tcPr>
          <w:p>
            <w:pPr>
              <w:ind w:left="320"/>
              <w:spacing w:after="0"/>
              <w:rPr>
                <w:sz w:val="20"/>
                <w:szCs w:val="20"/>
                <w:color w:val="auto"/>
              </w:rPr>
            </w:pPr>
            <w:r>
              <w:rPr>
                <w:rFonts w:ascii="Arial" w:cs="Arial" w:eastAsia="Arial" w:hAnsi="Arial"/>
                <w:sz w:val="10"/>
                <w:szCs w:val="10"/>
                <w:b w:val="1"/>
                <w:bCs w:val="1"/>
                <w:color w:val="auto"/>
              </w:rPr>
              <w:t>% of total revenue</w:t>
            </w:r>
          </w:p>
        </w:tc>
        <w:tc>
          <w:tcPr>
            <w:tcW w:w="2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27.7%</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24.0%</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5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5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Research and development expenses</w:t>
            </w:r>
          </w:p>
        </w:tc>
        <w:tc>
          <w:tcPr>
            <w:tcW w:w="2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19,411</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20,328</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(917)</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(4.5)</w:t>
            </w:r>
          </w:p>
        </w:tc>
        <w:tc>
          <w:tcPr>
            <w:tcW w:w="0" w:type="dxa"/>
            <w:vAlign w:val="bottom"/>
          </w:tcPr>
          <w:p>
            <w:pPr>
              <w:spacing w:after="0"/>
              <w:rPr>
                <w:sz w:val="1"/>
                <w:szCs w:val="1"/>
                <w:color w:val="auto"/>
              </w:rPr>
            </w:pPr>
          </w:p>
        </w:tc>
      </w:tr>
      <w:tr>
        <w:trPr>
          <w:trHeight w:val="136"/>
        </w:trPr>
        <w:tc>
          <w:tcPr>
            <w:tcW w:w="5680" w:type="dxa"/>
            <w:vAlign w:val="bottom"/>
            <w:gridSpan w:val="2"/>
          </w:tcPr>
          <w:p>
            <w:pPr>
              <w:ind w:left="320"/>
              <w:spacing w:after="0"/>
              <w:rPr>
                <w:sz w:val="20"/>
                <w:szCs w:val="20"/>
                <w:color w:val="auto"/>
              </w:rPr>
            </w:pPr>
            <w:r>
              <w:rPr>
                <w:rFonts w:ascii="Arial" w:cs="Arial" w:eastAsia="Arial" w:hAnsi="Arial"/>
                <w:sz w:val="10"/>
                <w:szCs w:val="10"/>
                <w:b w:val="1"/>
                <w:bCs w:val="1"/>
                <w:color w:val="auto"/>
              </w:rPr>
              <w:t>% of total revenue</w:t>
            </w:r>
          </w:p>
        </w:tc>
        <w:tc>
          <w:tcPr>
            <w:tcW w:w="2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1.4%</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1.6%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5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Depreciation and amortization</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361,619</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338,737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22,882</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6.8</w:t>
            </w:r>
          </w:p>
        </w:tc>
        <w:tc>
          <w:tcPr>
            <w:tcW w:w="0" w:type="dxa"/>
            <w:vAlign w:val="bottom"/>
          </w:tcPr>
          <w:p>
            <w:pPr>
              <w:spacing w:after="0"/>
              <w:rPr>
                <w:sz w:val="1"/>
                <w:szCs w:val="1"/>
                <w:color w:val="auto"/>
              </w:rPr>
            </w:pPr>
          </w:p>
        </w:tc>
      </w:tr>
      <w:tr>
        <w:trPr>
          <w:trHeight w:val="116"/>
        </w:trPr>
        <w:tc>
          <w:tcPr>
            <w:tcW w:w="5680" w:type="dxa"/>
            <w:vAlign w:val="bottom"/>
            <w:gridSpan w:val="2"/>
          </w:tcPr>
          <w:p>
            <w:pPr>
              <w:ind w:left="320"/>
              <w:spacing w:after="0"/>
              <w:rPr>
                <w:sz w:val="20"/>
                <w:szCs w:val="20"/>
                <w:color w:val="auto"/>
              </w:rPr>
            </w:pPr>
            <w:r>
              <w:rPr>
                <w:rFonts w:ascii="Arial" w:cs="Arial" w:eastAsia="Arial" w:hAnsi="Arial"/>
                <w:sz w:val="10"/>
                <w:szCs w:val="10"/>
                <w:color w:val="auto"/>
              </w:rPr>
              <w:t>Total costs and expenses</w:t>
            </w:r>
          </w:p>
        </w:tc>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0"/>
                <w:szCs w:val="10"/>
                <w:color w:val="auto"/>
              </w:rPr>
              <w:t>1,337,795</w:t>
            </w: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0"/>
                <w:szCs w:val="10"/>
                <w:color w:val="auto"/>
              </w:rPr>
              <w:t>1,221,981</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115,814</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vMerge w:val="restart"/>
          </w:tcPr>
          <w:p>
            <w:pPr>
              <w:jc w:val="right"/>
              <w:ind w:right="52"/>
              <w:spacing w:after="0"/>
              <w:rPr>
                <w:sz w:val="20"/>
                <w:szCs w:val="20"/>
                <w:color w:val="auto"/>
              </w:rPr>
            </w:pPr>
            <w:r>
              <w:rPr>
                <w:rFonts w:ascii="Arial" w:cs="Arial" w:eastAsia="Arial" w:hAnsi="Arial"/>
                <w:sz w:val="10"/>
                <w:szCs w:val="10"/>
                <w:color w:val="auto"/>
              </w:rPr>
              <w:t>9.5</w:t>
            </w:r>
          </w:p>
        </w:tc>
        <w:tc>
          <w:tcPr>
            <w:tcW w:w="0" w:type="dxa"/>
            <w:vAlign w:val="bottom"/>
          </w:tcPr>
          <w:p>
            <w:pPr>
              <w:spacing w:after="0"/>
              <w:rPr>
                <w:sz w:val="1"/>
                <w:szCs w:val="1"/>
                <w:color w:val="auto"/>
              </w:rPr>
            </w:pPr>
          </w:p>
        </w:tc>
      </w:tr>
      <w:tr>
        <w:trPr>
          <w:trHeight w:val="40"/>
        </w:trPr>
        <w:tc>
          <w:tcPr>
            <w:tcW w:w="55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56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0"/>
                <w:szCs w:val="10"/>
                <w:color w:val="auto"/>
              </w:rPr>
              <w:t>Operating income</w:t>
            </w:r>
          </w:p>
        </w:tc>
        <w:tc>
          <w:tcPr>
            <w:tcW w:w="2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49,280</w:t>
            </w: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86,674</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(37,394)</w:t>
            </w: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(43.1)</w:t>
            </w:r>
          </w:p>
        </w:tc>
        <w:tc>
          <w:tcPr>
            <w:tcW w:w="0" w:type="dxa"/>
            <w:vAlign w:val="bottom"/>
          </w:tcPr>
          <w:p>
            <w:pPr>
              <w:spacing w:after="0"/>
              <w:rPr>
                <w:sz w:val="1"/>
                <w:szCs w:val="1"/>
                <w:color w:val="auto"/>
              </w:rPr>
            </w:pPr>
          </w:p>
        </w:tc>
      </w:tr>
      <w:tr>
        <w:trPr>
          <w:trHeight w:val="182"/>
        </w:trPr>
        <w:tc>
          <w:tcPr>
            <w:tcW w:w="5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5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b w:val="1"/>
                <w:bCs w:val="1"/>
                <w:color w:val="auto"/>
              </w:rPr>
              <w:t>Other income (expense):</w:t>
            </w:r>
          </w:p>
        </w:tc>
        <w:tc>
          <w:tcPr>
            <w:tcW w:w="28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9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5680" w:type="dxa"/>
            <w:vAlign w:val="bottom"/>
            <w:gridSpan w:val="2"/>
          </w:tcPr>
          <w:p>
            <w:pPr>
              <w:ind w:left="180"/>
              <w:spacing w:after="0"/>
              <w:rPr>
                <w:sz w:val="20"/>
                <w:szCs w:val="20"/>
                <w:color w:val="auto"/>
              </w:rPr>
            </w:pPr>
            <w:r>
              <w:rPr>
                <w:rFonts w:ascii="Arial" w:cs="Arial" w:eastAsia="Arial" w:hAnsi="Arial"/>
                <w:sz w:val="10"/>
                <w:szCs w:val="10"/>
                <w:color w:val="auto"/>
              </w:rPr>
              <w:t>Interest income</w:t>
            </w:r>
          </w:p>
        </w:tc>
        <w:tc>
          <w:tcPr>
            <w:tcW w:w="280" w:type="dxa"/>
            <w:vAlign w:val="bottom"/>
          </w:tcPr>
          <w:p>
            <w:pPr>
              <w:spacing w:after="0"/>
              <w:rPr>
                <w:sz w:val="11"/>
                <w:szCs w:val="11"/>
                <w:color w:val="auto"/>
              </w:rPr>
            </w:pPr>
          </w:p>
        </w:tc>
        <w:tc>
          <w:tcPr>
            <w:tcW w:w="920" w:type="dxa"/>
            <w:vAlign w:val="bottom"/>
            <w:vMerge w:val="restart"/>
          </w:tcPr>
          <w:p>
            <w:pPr>
              <w:jc w:val="right"/>
              <w:ind w:right="72"/>
              <w:spacing w:after="0"/>
              <w:rPr>
                <w:sz w:val="20"/>
                <w:szCs w:val="20"/>
                <w:color w:val="auto"/>
              </w:rPr>
            </w:pPr>
            <w:r>
              <w:rPr>
                <w:rFonts w:ascii="Arial" w:cs="Arial" w:eastAsia="Arial" w:hAnsi="Arial"/>
                <w:sz w:val="10"/>
                <w:szCs w:val="10"/>
                <w:color w:val="auto"/>
              </w:rPr>
              <w:t>64,817</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vMerge w:val="restart"/>
          </w:tcPr>
          <w:p>
            <w:pPr>
              <w:jc w:val="right"/>
              <w:ind w:right="72"/>
              <w:spacing w:after="0"/>
              <w:rPr>
                <w:sz w:val="20"/>
                <w:szCs w:val="20"/>
                <w:color w:val="auto"/>
              </w:rPr>
            </w:pPr>
            <w:r>
              <w:rPr>
                <w:rFonts w:ascii="Arial" w:cs="Arial" w:eastAsia="Arial" w:hAnsi="Arial"/>
                <w:sz w:val="10"/>
                <w:szCs w:val="10"/>
                <w:color w:val="auto"/>
              </w:rPr>
              <w:t>56,237</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right"/>
              <w:ind w:right="52"/>
              <w:spacing w:after="0"/>
              <w:rPr>
                <w:sz w:val="20"/>
                <w:szCs w:val="20"/>
                <w:color w:val="auto"/>
              </w:rPr>
            </w:pPr>
            <w:r>
              <w:rPr>
                <w:rFonts w:ascii="Arial" w:cs="Arial" w:eastAsia="Arial" w:hAnsi="Arial"/>
                <w:sz w:val="10"/>
                <w:szCs w:val="10"/>
                <w:color w:val="auto"/>
              </w:rPr>
              <w:t>8,580</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vMerge w:val="restart"/>
          </w:tcPr>
          <w:p>
            <w:pPr>
              <w:jc w:val="right"/>
              <w:ind w:right="52"/>
              <w:spacing w:after="0"/>
              <w:rPr>
                <w:sz w:val="20"/>
                <w:szCs w:val="20"/>
                <w:color w:val="auto"/>
              </w:rPr>
            </w:pPr>
            <w:r>
              <w:rPr>
                <w:rFonts w:ascii="Arial" w:cs="Arial" w:eastAsia="Arial" w:hAnsi="Arial"/>
                <w:sz w:val="10"/>
                <w:szCs w:val="10"/>
                <w:color w:val="auto"/>
              </w:rPr>
              <w:t>15.3</w:t>
            </w:r>
          </w:p>
        </w:tc>
        <w:tc>
          <w:tcPr>
            <w:tcW w:w="0" w:type="dxa"/>
            <w:vAlign w:val="bottom"/>
          </w:tcPr>
          <w:p>
            <w:pPr>
              <w:spacing w:after="0"/>
              <w:rPr>
                <w:sz w:val="1"/>
                <w:szCs w:val="1"/>
                <w:color w:val="auto"/>
              </w:rPr>
            </w:pPr>
          </w:p>
        </w:tc>
      </w:tr>
      <w:tr>
        <w:trPr>
          <w:trHeight w:val="40"/>
        </w:trPr>
        <w:tc>
          <w:tcPr>
            <w:tcW w:w="5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5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Interest expense, net of amounts capitalized</w:t>
            </w:r>
          </w:p>
        </w:tc>
        <w:tc>
          <w:tcPr>
            <w:tcW w:w="2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(156,813)</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(164,038)</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7,225</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4.4</w:t>
            </w:r>
          </w:p>
        </w:tc>
        <w:tc>
          <w:tcPr>
            <w:tcW w:w="0" w:type="dxa"/>
            <w:vAlign w:val="bottom"/>
          </w:tcPr>
          <w:p>
            <w:pPr>
              <w:spacing w:after="0"/>
              <w:rPr>
                <w:sz w:val="1"/>
                <w:szCs w:val="1"/>
                <w:color w:val="auto"/>
              </w:rPr>
            </w:pPr>
          </w:p>
        </w:tc>
      </w:tr>
      <w:tr>
        <w:trPr>
          <w:trHeight w:val="136"/>
        </w:trPr>
        <w:tc>
          <w:tcPr>
            <w:tcW w:w="5680" w:type="dxa"/>
            <w:vAlign w:val="bottom"/>
            <w:gridSpan w:val="2"/>
          </w:tcPr>
          <w:p>
            <w:pPr>
              <w:ind w:left="180"/>
              <w:spacing w:after="0"/>
              <w:rPr>
                <w:sz w:val="20"/>
                <w:szCs w:val="20"/>
                <w:color w:val="auto"/>
              </w:rPr>
            </w:pPr>
            <w:r>
              <w:rPr>
                <w:rFonts w:ascii="Arial" w:cs="Arial" w:eastAsia="Arial" w:hAnsi="Arial"/>
                <w:sz w:val="10"/>
                <w:szCs w:val="10"/>
                <w:color w:val="auto"/>
              </w:rPr>
              <w:t>Gains (losses) on investments, net</w:t>
            </w:r>
          </w:p>
        </w:tc>
        <w:tc>
          <w:tcPr>
            <w:tcW w:w="280" w:type="dxa"/>
            <w:vAlign w:val="bottom"/>
          </w:tcPr>
          <w:p>
            <w:pPr>
              <w:spacing w:after="0"/>
              <w:rPr>
                <w:sz w:val="11"/>
                <w:szCs w:val="11"/>
                <w:color w:val="auto"/>
              </w:rPr>
            </w:pPr>
          </w:p>
        </w:tc>
        <w:tc>
          <w:tcPr>
            <w:tcW w:w="920" w:type="dxa"/>
            <w:vAlign w:val="bottom"/>
            <w:vMerge w:val="restart"/>
          </w:tcPr>
          <w:p>
            <w:pPr>
              <w:jc w:val="right"/>
              <w:ind w:right="72"/>
              <w:spacing w:after="0"/>
              <w:rPr>
                <w:sz w:val="20"/>
                <w:szCs w:val="20"/>
                <w:color w:val="auto"/>
              </w:rPr>
            </w:pPr>
            <w:r>
              <w:rPr>
                <w:rFonts w:ascii="Arial" w:cs="Arial" w:eastAsia="Arial" w:hAnsi="Arial"/>
                <w:sz w:val="10"/>
                <w:szCs w:val="10"/>
                <w:color w:val="auto"/>
              </w:rPr>
              <w:t>28,087</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vMerge w:val="restart"/>
          </w:tcPr>
          <w:p>
            <w:pPr>
              <w:jc w:val="right"/>
              <w:ind w:right="72"/>
              <w:spacing w:after="0"/>
              <w:rPr>
                <w:sz w:val="20"/>
                <w:szCs w:val="20"/>
                <w:color w:val="auto"/>
              </w:rPr>
            </w:pPr>
            <w:r>
              <w:rPr>
                <w:rFonts w:ascii="Arial" w:cs="Arial" w:eastAsia="Arial" w:hAnsi="Arial"/>
                <w:sz w:val="10"/>
                <w:szCs w:val="10"/>
                <w:color w:val="auto"/>
              </w:rPr>
              <w:t>31,606</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right"/>
              <w:ind w:right="12"/>
              <w:spacing w:after="0"/>
              <w:rPr>
                <w:sz w:val="20"/>
                <w:szCs w:val="20"/>
                <w:color w:val="auto"/>
              </w:rPr>
            </w:pPr>
            <w:r>
              <w:rPr>
                <w:rFonts w:ascii="Arial" w:cs="Arial" w:eastAsia="Arial" w:hAnsi="Arial"/>
                <w:sz w:val="10"/>
                <w:szCs w:val="10"/>
                <w:color w:val="auto"/>
              </w:rPr>
              <w:t>(3,519)</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vMerge w:val="restart"/>
          </w:tcPr>
          <w:p>
            <w:pPr>
              <w:jc w:val="right"/>
              <w:ind w:right="32"/>
              <w:spacing w:after="0"/>
              <w:rPr>
                <w:sz w:val="20"/>
                <w:szCs w:val="20"/>
                <w:color w:val="auto"/>
              </w:rPr>
            </w:pPr>
            <w:r>
              <w:rPr>
                <w:rFonts w:ascii="Arial" w:cs="Arial" w:eastAsia="Arial" w:hAnsi="Arial"/>
                <w:sz w:val="10"/>
                <w:szCs w:val="10"/>
                <w:color w:val="auto"/>
              </w:rPr>
              <w:t>(11.1)</w:t>
            </w:r>
          </w:p>
        </w:tc>
        <w:tc>
          <w:tcPr>
            <w:tcW w:w="0" w:type="dxa"/>
            <w:vAlign w:val="bottom"/>
          </w:tcPr>
          <w:p>
            <w:pPr>
              <w:spacing w:after="0"/>
              <w:rPr>
                <w:sz w:val="1"/>
                <w:szCs w:val="1"/>
                <w:color w:val="auto"/>
              </w:rPr>
            </w:pPr>
          </w:p>
        </w:tc>
      </w:tr>
      <w:tr>
        <w:trPr>
          <w:trHeight w:val="40"/>
        </w:trPr>
        <w:tc>
          <w:tcPr>
            <w:tcW w:w="5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5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Equity in earnings (losses) of unconsolidated affiliates, net</w:t>
            </w:r>
          </w:p>
        </w:tc>
        <w:tc>
          <w:tcPr>
            <w:tcW w:w="2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(14,317)</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(2,651)</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(11,666)</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6"/>
        </w:trPr>
        <w:tc>
          <w:tcPr>
            <w:tcW w:w="5680" w:type="dxa"/>
            <w:vAlign w:val="bottom"/>
            <w:gridSpan w:val="2"/>
          </w:tcPr>
          <w:p>
            <w:pPr>
              <w:ind w:left="180"/>
              <w:spacing w:after="0"/>
              <w:rPr>
                <w:sz w:val="20"/>
                <w:szCs w:val="20"/>
                <w:color w:val="auto"/>
              </w:rPr>
            </w:pPr>
            <w:r>
              <w:rPr>
                <w:rFonts w:ascii="Arial" w:cs="Arial" w:eastAsia="Arial" w:hAnsi="Arial"/>
                <w:sz w:val="10"/>
                <w:szCs w:val="10"/>
                <w:color w:val="auto"/>
              </w:rPr>
              <w:t>Other, net</w:t>
            </w:r>
          </w:p>
        </w:tc>
        <w:tc>
          <w:tcPr>
            <w:tcW w:w="280" w:type="dxa"/>
            <w:vAlign w:val="bottom"/>
          </w:tcPr>
          <w:p>
            <w:pPr>
              <w:spacing w:after="0"/>
              <w:rPr>
                <w:sz w:val="11"/>
                <w:szCs w:val="11"/>
                <w:color w:val="auto"/>
              </w:rPr>
            </w:pPr>
          </w:p>
        </w:tc>
        <w:tc>
          <w:tcPr>
            <w:tcW w:w="920" w:type="dxa"/>
            <w:vAlign w:val="bottom"/>
            <w:vMerge w:val="restart"/>
          </w:tcPr>
          <w:p>
            <w:pPr>
              <w:jc w:val="right"/>
              <w:ind w:right="52"/>
              <w:spacing w:after="0"/>
              <w:rPr>
                <w:sz w:val="20"/>
                <w:szCs w:val="20"/>
                <w:color w:val="auto"/>
              </w:rPr>
            </w:pPr>
            <w:r>
              <w:rPr>
                <w:rFonts w:ascii="Arial" w:cs="Arial" w:eastAsia="Arial" w:hAnsi="Arial"/>
                <w:sz w:val="10"/>
                <w:szCs w:val="10"/>
                <w:color w:val="auto"/>
              </w:rPr>
              <w:t>(16,028)</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0"/>
                <w:szCs w:val="10"/>
                <w:color w:val="auto"/>
              </w:rPr>
              <w:t>(3,381)</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right"/>
              <w:ind w:right="12"/>
              <w:spacing w:after="0"/>
              <w:rPr>
                <w:sz w:val="20"/>
                <w:szCs w:val="20"/>
                <w:color w:val="auto"/>
              </w:rPr>
            </w:pPr>
            <w:r>
              <w:rPr>
                <w:rFonts w:ascii="Arial" w:cs="Arial" w:eastAsia="Arial" w:hAnsi="Arial"/>
                <w:sz w:val="10"/>
                <w:szCs w:val="10"/>
                <w:color w:val="auto"/>
              </w:rPr>
              <w:t>(12,647)</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0"/>
        </w:trPr>
        <w:tc>
          <w:tcPr>
            <w:tcW w:w="556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vMerge w:val="continue"/>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56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0"/>
                <w:szCs w:val="10"/>
                <w:color w:val="auto"/>
              </w:rPr>
              <w:t>Total other income (expense), net</w:t>
            </w:r>
          </w:p>
        </w:tc>
        <w:tc>
          <w:tcPr>
            <w:tcW w:w="28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(94,254)</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(82,227)</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(12,027)</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(14.6)</w:t>
            </w:r>
          </w:p>
        </w:tc>
        <w:tc>
          <w:tcPr>
            <w:tcW w:w="0" w:type="dxa"/>
            <w:vAlign w:val="bottom"/>
          </w:tcPr>
          <w:p>
            <w:pPr>
              <w:spacing w:after="0"/>
              <w:rPr>
                <w:sz w:val="1"/>
                <w:szCs w:val="1"/>
                <w:color w:val="auto"/>
              </w:rPr>
            </w:pPr>
          </w:p>
        </w:tc>
      </w:tr>
      <w:tr>
        <w:trPr>
          <w:trHeight w:val="116"/>
        </w:trPr>
        <w:tc>
          <w:tcPr>
            <w:tcW w:w="5680" w:type="dxa"/>
            <w:vAlign w:val="bottom"/>
            <w:gridSpan w:val="2"/>
          </w:tcPr>
          <w:p>
            <w:pPr>
              <w:ind w:left="600"/>
              <w:spacing w:after="0"/>
              <w:rPr>
                <w:sz w:val="20"/>
                <w:szCs w:val="20"/>
                <w:color w:val="auto"/>
              </w:rPr>
            </w:pPr>
            <w:r>
              <w:rPr>
                <w:rFonts w:ascii="Arial" w:cs="Arial" w:eastAsia="Arial" w:hAnsi="Arial"/>
                <w:sz w:val="10"/>
                <w:szCs w:val="10"/>
                <w:color w:val="auto"/>
              </w:rPr>
              <w:t>Income (loss) from continuing operations before income taxes</w:t>
            </w:r>
          </w:p>
        </w:tc>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(44,974)</w:t>
            </w: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0"/>
                <w:szCs w:val="10"/>
                <w:color w:val="auto"/>
              </w:rPr>
              <w:t>4,447</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0"/>
                <w:szCs w:val="10"/>
                <w:color w:val="auto"/>
              </w:rPr>
              <w:t>(49,421)</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0"/>
        </w:trPr>
        <w:tc>
          <w:tcPr>
            <w:tcW w:w="5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6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0"/>
                <w:szCs w:val="10"/>
                <w:color w:val="auto"/>
              </w:rPr>
              <w:t>Income tax benefit (provision), net</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(12,607)</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(8,275)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4,332</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(52.4)</w:t>
            </w:r>
          </w:p>
        </w:tc>
        <w:tc>
          <w:tcPr>
            <w:tcW w:w="0" w:type="dxa"/>
            <w:vAlign w:val="bottom"/>
          </w:tcPr>
          <w:p>
            <w:pPr>
              <w:spacing w:after="0"/>
              <w:rPr>
                <w:sz w:val="1"/>
                <w:szCs w:val="1"/>
                <w:color w:val="auto"/>
              </w:rPr>
            </w:pPr>
          </w:p>
        </w:tc>
      </w:tr>
      <w:tr>
        <w:trPr>
          <w:trHeight w:val="116"/>
        </w:trPr>
        <w:tc>
          <w:tcPr>
            <w:tcW w:w="5680" w:type="dxa"/>
            <w:vAlign w:val="bottom"/>
            <w:gridSpan w:val="2"/>
          </w:tcPr>
          <w:p>
            <w:pPr>
              <w:ind w:left="740"/>
              <w:spacing w:after="0"/>
              <w:rPr>
                <w:sz w:val="20"/>
                <w:szCs w:val="20"/>
                <w:color w:val="auto"/>
              </w:rPr>
            </w:pPr>
            <w:r>
              <w:rPr>
                <w:rFonts w:ascii="Arial" w:cs="Arial" w:eastAsia="Arial" w:hAnsi="Arial"/>
                <w:sz w:val="10"/>
                <w:szCs w:val="10"/>
                <w:color w:val="auto"/>
              </w:rPr>
              <w:t>Net loss from continuing operations</w:t>
            </w:r>
          </w:p>
        </w:tc>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(57,581)</w:t>
            </w: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0"/>
                <w:szCs w:val="10"/>
                <w:color w:val="auto"/>
              </w:rPr>
              <w:t>(3,828)</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53,753</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0"/>
        </w:trPr>
        <w:tc>
          <w:tcPr>
            <w:tcW w:w="5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6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0"/>
                <w:szCs w:val="10"/>
                <w:color w:val="auto"/>
              </w:rPr>
              <w:t>Net income from discontinued operations</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46,423</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76,843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(30,420)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(39.6)</w:t>
            </w:r>
          </w:p>
        </w:tc>
        <w:tc>
          <w:tcPr>
            <w:tcW w:w="0" w:type="dxa"/>
            <w:vAlign w:val="bottom"/>
          </w:tcPr>
          <w:p>
            <w:pPr>
              <w:spacing w:after="0"/>
              <w:rPr>
                <w:sz w:val="1"/>
                <w:szCs w:val="1"/>
                <w:color w:val="auto"/>
              </w:rPr>
            </w:pPr>
          </w:p>
        </w:tc>
      </w:tr>
      <w:tr>
        <w:trPr>
          <w:trHeight w:val="116"/>
        </w:trPr>
        <w:tc>
          <w:tcPr>
            <w:tcW w:w="5680" w:type="dxa"/>
            <w:vAlign w:val="bottom"/>
            <w:gridSpan w:val="2"/>
          </w:tcPr>
          <w:p>
            <w:pPr>
              <w:ind w:left="900"/>
              <w:spacing w:after="0"/>
              <w:rPr>
                <w:sz w:val="20"/>
                <w:szCs w:val="20"/>
                <w:color w:val="auto"/>
              </w:rPr>
            </w:pPr>
            <w:r>
              <w:rPr>
                <w:rFonts w:ascii="Arial" w:cs="Arial" w:eastAsia="Arial" w:hAnsi="Arial"/>
                <w:sz w:val="10"/>
                <w:szCs w:val="10"/>
                <w:color w:val="auto"/>
              </w:rPr>
              <w:t>Net income (loss)</w:t>
            </w:r>
          </w:p>
        </w:tc>
        <w:tc>
          <w:tcPr>
            <w:tcW w:w="2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0"/>
                <w:szCs w:val="10"/>
                <w:color w:val="auto"/>
              </w:rPr>
              <w:t>(11,158)</w:t>
            </w:r>
          </w:p>
        </w:tc>
        <w:tc>
          <w:tcPr>
            <w:tcW w:w="1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72"/>
              <w:spacing w:after="0"/>
              <w:rPr>
                <w:sz w:val="20"/>
                <w:szCs w:val="20"/>
                <w:color w:val="auto"/>
              </w:rPr>
            </w:pPr>
            <w:r>
              <w:rPr>
                <w:rFonts w:ascii="Arial" w:cs="Arial" w:eastAsia="Arial" w:hAnsi="Arial"/>
                <w:sz w:val="10"/>
                <w:szCs w:val="10"/>
                <w:color w:val="auto"/>
              </w:rPr>
              <w:t>73,015</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0"/>
                <w:szCs w:val="10"/>
                <w:color w:val="auto"/>
              </w:rPr>
              <w:t>(84,173)</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vMerge w:val="restart"/>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40"/>
        </w:trPr>
        <w:tc>
          <w:tcPr>
            <w:tcW w:w="5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6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0"/>
                <w:szCs w:val="10"/>
                <w:color w:val="auto"/>
              </w:rPr>
              <w:t>Less: Net income (loss) attributable to noncontrolling interests</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(1,359)</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rPr>
              <w:t>1,292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0"/>
                <w:szCs w:val="10"/>
                <w:color w:val="auto"/>
              </w:rPr>
              <w:t>(2,651)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8"/>
        </w:trPr>
        <w:tc>
          <w:tcPr>
            <w:tcW w:w="5680" w:type="dxa"/>
            <w:vAlign w:val="bottom"/>
            <w:tcBorders>
              <w:bottom w:val="single" w:sz="8" w:color="CCEEFF"/>
            </w:tcBorders>
            <w:gridSpan w:val="2"/>
          </w:tcPr>
          <w:p>
            <w:pPr>
              <w:ind w:left="1040"/>
              <w:spacing w:after="0"/>
              <w:rPr>
                <w:sz w:val="20"/>
                <w:szCs w:val="20"/>
                <w:color w:val="auto"/>
              </w:rPr>
            </w:pPr>
            <w:r>
              <w:rPr>
                <w:rFonts w:ascii="Arial" w:cs="Arial" w:eastAsia="Arial" w:hAnsi="Arial"/>
                <w:sz w:val="10"/>
                <w:szCs w:val="10"/>
                <w:color w:val="auto"/>
              </w:rPr>
              <w:t>Net income (loss) attributable to EchoStar Corporation common stock</w:t>
            </w:r>
          </w:p>
        </w:tc>
        <w:tc>
          <w:tcPr>
            <w:tcW w:w="2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rPr>
              <w:t>(9,799)</w:t>
            </w:r>
          </w:p>
        </w:tc>
        <w:tc>
          <w:tcPr>
            <w:tcW w:w="100" w:type="dxa"/>
            <w:vAlign w:val="bottom"/>
            <w:tcBorders>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0"/>
                <w:szCs w:val="10"/>
                <w:color w:val="auto"/>
              </w:rPr>
              <w:t>$</w:t>
            </w:r>
          </w:p>
        </w:tc>
        <w:tc>
          <w:tcPr>
            <w:tcW w:w="7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rPr>
              <w:t>71,723</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(81,522)</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jc w:val="right"/>
              <w:ind w:right="5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89"/>
        </w:trPr>
        <w:tc>
          <w:tcPr>
            <w:tcW w:w="5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5680" w:type="dxa"/>
            <w:vAlign w:val="bottom"/>
            <w:gridSpan w:val="2"/>
          </w:tcPr>
          <w:p>
            <w:pPr>
              <w:ind w:left="20"/>
              <w:spacing w:after="0"/>
              <w:rPr>
                <w:sz w:val="20"/>
                <w:szCs w:val="20"/>
                <w:color w:val="auto"/>
              </w:rPr>
            </w:pPr>
            <w:r>
              <w:rPr>
                <w:rFonts w:ascii="Arial" w:cs="Arial" w:eastAsia="Arial" w:hAnsi="Arial"/>
                <w:sz w:val="10"/>
                <w:szCs w:val="10"/>
                <w:b w:val="1"/>
                <w:bCs w:val="1"/>
                <w:color w:val="auto"/>
              </w:rPr>
              <w:t>Other data:</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5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56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0"/>
                <w:szCs w:val="10"/>
                <w:color w:val="auto"/>
              </w:rPr>
              <w:t>EBITDA (2)</w:t>
            </w: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410,000</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449,693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(39,693)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0"/>
                <w:szCs w:val="10"/>
                <w:color w:val="auto"/>
              </w:rPr>
              <w:t>(8.8)</w:t>
            </w:r>
          </w:p>
        </w:tc>
        <w:tc>
          <w:tcPr>
            <w:tcW w:w="0" w:type="dxa"/>
            <w:vAlign w:val="bottom"/>
          </w:tcPr>
          <w:p>
            <w:pPr>
              <w:spacing w:after="0"/>
              <w:rPr>
                <w:sz w:val="1"/>
                <w:szCs w:val="1"/>
                <w:color w:val="auto"/>
              </w:rPr>
            </w:pPr>
          </w:p>
        </w:tc>
      </w:tr>
      <w:tr>
        <w:trPr>
          <w:trHeight w:val="147"/>
        </w:trPr>
        <w:tc>
          <w:tcPr>
            <w:tcW w:w="5680" w:type="dxa"/>
            <w:vAlign w:val="bottom"/>
            <w:gridSpan w:val="2"/>
          </w:tcPr>
          <w:p>
            <w:pPr>
              <w:ind w:left="180"/>
              <w:spacing w:after="0" w:line="105" w:lineRule="exact"/>
              <w:rPr>
                <w:sz w:val="20"/>
                <w:szCs w:val="20"/>
                <w:color w:val="auto"/>
              </w:rPr>
            </w:pPr>
            <w:r>
              <w:rPr>
                <w:rFonts w:ascii="Arial" w:cs="Arial" w:eastAsia="Arial" w:hAnsi="Arial"/>
                <w:sz w:val="10"/>
                <w:szCs w:val="10"/>
                <w:color w:val="auto"/>
              </w:rPr>
              <w:t>Subscribers, end of period</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1,437,000</w:t>
            </w:r>
          </w:p>
        </w:tc>
        <w:tc>
          <w:tcPr>
            <w:tcW w:w="10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1,332,000</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105,000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jc w:val="right"/>
              <w:ind w:right="52"/>
              <w:spacing w:after="0"/>
              <w:rPr>
                <w:sz w:val="20"/>
                <w:szCs w:val="20"/>
                <w:color w:val="auto"/>
              </w:rPr>
            </w:pPr>
            <w:r>
              <w:rPr>
                <w:rFonts w:ascii="Arial" w:cs="Arial" w:eastAsia="Arial" w:hAnsi="Arial"/>
                <w:sz w:val="10"/>
                <w:szCs w:val="10"/>
                <w:color w:val="auto"/>
              </w:rPr>
              <w:t>7.9</w:t>
            </w:r>
          </w:p>
        </w:tc>
        <w:tc>
          <w:tcPr>
            <w:tcW w:w="0" w:type="dxa"/>
            <w:vAlign w:val="bottom"/>
          </w:tcPr>
          <w:p>
            <w:pPr>
              <w:spacing w:after="0"/>
              <w:rPr>
                <w:sz w:val="1"/>
                <w:szCs w:val="1"/>
                <w:color w:val="auto"/>
              </w:rPr>
            </w:pPr>
          </w:p>
        </w:tc>
      </w:tr>
      <w:tr>
        <w:trPr>
          <w:trHeight w:val="111"/>
        </w:trPr>
        <w:tc>
          <w:tcPr>
            <w:tcW w:w="5680" w:type="dxa"/>
            <w:vAlign w:val="bottom"/>
            <w:gridSpan w:val="2"/>
          </w:tcPr>
          <w:p>
            <w:pPr>
              <w:spacing w:after="0" w:line="112" w:lineRule="exact"/>
              <w:rPr>
                <w:sz w:val="20"/>
                <w:szCs w:val="20"/>
                <w:color w:val="auto"/>
              </w:rPr>
            </w:pPr>
            <w:r>
              <w:rPr>
                <w:rFonts w:ascii="Arial" w:cs="Arial" w:eastAsia="Arial" w:hAnsi="Arial"/>
                <w:sz w:val="10"/>
                <w:szCs w:val="10"/>
                <w:color w:val="auto"/>
              </w:rPr>
              <w:t>*  Percentage is not meaningful.</w:t>
            </w: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08" w:hanging="208"/>
        <w:spacing w:after="0" w:line="225" w:lineRule="auto"/>
        <w:tabs>
          <w:tab w:leader="none" w:pos="208" w:val="left"/>
        </w:tabs>
        <w:numPr>
          <w:ilvl w:val="0"/>
          <w:numId w:val="10"/>
        </w:numPr>
        <w:rPr>
          <w:rFonts w:ascii="Arial" w:cs="Arial" w:eastAsia="Arial" w:hAnsi="Arial"/>
          <w:sz w:val="10"/>
          <w:szCs w:val="10"/>
          <w:color w:val="auto"/>
        </w:rPr>
      </w:pPr>
      <w:r>
        <w:rPr>
          <w:rFonts w:ascii="Arial" w:cs="Arial" w:eastAsia="Arial" w:hAnsi="Arial"/>
          <w:sz w:val="10"/>
          <w:szCs w:val="10"/>
          <w:color w:val="auto"/>
        </w:rPr>
        <w:t>An explanation of our key metrics is included on pages 68 and 69 under the heading Explanation of Key Metrics and Other Items.</w:t>
      </w:r>
    </w:p>
    <w:p>
      <w:pPr>
        <w:ind w:left="208" w:hanging="208"/>
        <w:spacing w:after="0" w:line="232" w:lineRule="auto"/>
        <w:tabs>
          <w:tab w:leader="none" w:pos="208" w:val="left"/>
        </w:tabs>
        <w:numPr>
          <w:ilvl w:val="0"/>
          <w:numId w:val="10"/>
        </w:numPr>
        <w:rPr>
          <w:rFonts w:ascii="Arial" w:cs="Arial" w:eastAsia="Arial" w:hAnsi="Arial"/>
          <w:sz w:val="10"/>
          <w:szCs w:val="10"/>
          <w:color w:val="auto"/>
        </w:rPr>
      </w:pPr>
      <w:r>
        <w:rPr>
          <w:rFonts w:ascii="Arial" w:cs="Arial" w:eastAsia="Arial" w:hAnsi="Arial"/>
          <w:sz w:val="10"/>
          <w:szCs w:val="10"/>
          <w:color w:val="auto"/>
        </w:rPr>
        <w:t>A reconciliation of EBITDA to Net income, the most directly comparable U.S. GAAP measure in the accompanying financial statements, is included on page 62. For further information on our use of EBITDA, see Explanation of Key Metrics and Other Items on page 69.</w:t>
      </w:r>
    </w:p>
    <w:p>
      <w:pPr>
        <w:spacing w:after="0" w:line="29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59</w:t>
      </w:r>
    </w:p>
    <w:p>
      <w:pPr>
        <w:sectPr>
          <w:pgSz w:w="11900" w:h="16838" w:orient="portrait"/>
          <w:cols w:equalWidth="0" w:num="1">
            <w:col w:w="11488"/>
          </w:cols>
          <w:pgMar w:left="212" w:top="140" w:right="199" w:bottom="1440" w:gutter="0" w:footer="0" w:header="0"/>
        </w:sectPr>
      </w:pPr>
    </w:p>
    <w:bookmarkStart w:id="62" w:name="page63"/>
    <w:bookmarkEnd w:id="6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 - Continued</w:t>
      </w:r>
    </w:p>
    <w:p>
      <w:pPr>
        <w:spacing w:after="0" w:line="18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discussion relates to our continuing operations for the nine months ended September 30, 2019 and 2018 unless otherwise stated.</w:t>
      </w:r>
    </w:p>
    <w:p>
      <w:pPr>
        <w:spacing w:after="0" w:line="136" w:lineRule="exact"/>
        <w:rPr>
          <w:sz w:val="20"/>
          <w:szCs w:val="20"/>
          <w:color w:val="auto"/>
        </w:rPr>
      </w:pPr>
    </w:p>
    <w:p>
      <w:pPr>
        <w:spacing w:after="0" w:line="286" w:lineRule="auto"/>
        <w:rPr>
          <w:sz w:val="20"/>
          <w:szCs w:val="20"/>
          <w:color w:val="auto"/>
        </w:rPr>
      </w:pPr>
      <w:r>
        <w:rPr>
          <w:rFonts w:ascii="Arial" w:cs="Arial" w:eastAsia="Arial" w:hAnsi="Arial"/>
          <w:sz w:val="12"/>
          <w:szCs w:val="12"/>
          <w:b w:val="1"/>
          <w:bCs w:val="1"/>
          <w:i w:val="1"/>
          <w:iCs w:val="1"/>
          <w:color w:val="auto"/>
        </w:rPr>
        <w:t>Services and other revenue - DISH Network</w:t>
      </w:r>
      <w:r>
        <w:rPr>
          <w:rFonts w:ascii="Arial" w:cs="Arial" w:eastAsia="Arial" w:hAnsi="Arial"/>
          <w:sz w:val="12"/>
          <w:szCs w:val="12"/>
          <w:color w:val="auto"/>
        </w:rPr>
        <w:t>. Services and other revenue - DISH Network totaled $42.5 million for the nine months ended September 30, 2019, a decrease of $14.9 million or 25.9%, compared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same period in 2018.</w:t>
      </w:r>
    </w:p>
    <w:p>
      <w:pPr>
        <w:spacing w:after="0" w:line="117" w:lineRule="exact"/>
        <w:rPr>
          <w:sz w:val="20"/>
          <w:szCs w:val="20"/>
          <w:color w:val="auto"/>
        </w:rPr>
      </w:pPr>
    </w:p>
    <w:p>
      <w:pPr>
        <w:jc w:val="both"/>
        <w:ind w:left="420" w:right="20"/>
        <w:spacing w:after="0" w:line="262" w:lineRule="auto"/>
        <w:rPr>
          <w:sz w:val="20"/>
          <w:szCs w:val="20"/>
          <w:color w:val="auto"/>
        </w:rPr>
      </w:pPr>
      <w:r>
        <w:rPr>
          <w:rFonts w:ascii="Arial" w:cs="Arial" w:eastAsia="Arial" w:hAnsi="Arial"/>
          <w:sz w:val="12"/>
          <w:szCs w:val="12"/>
          <w:color w:val="auto"/>
        </w:rPr>
        <w:t>Services and other revenue - DISH Network from our Hughes segment for the nine months ended September 30, 2019 decreased by $13.7 million, or 34.9%, to $25.6 million compared to the same period in 2018. The decrease was primarily attributable to a continued decrease in our residential wholesale broadband services.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Services and other revenue - DISH Network from our ESS segment for the nine months ended September 30, 2019 decreased by $1.6 million, or 41.4%, to $2.2 million compared to the same period in 2018.</w:t>
      </w:r>
    </w:p>
    <w:p>
      <w:pPr>
        <w:spacing w:after="0" w:line="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decrease was primarily due to a decrease of $1.6 million in satellite capacity leased to DISH Network on the EchoStar IX satellite.</w:t>
      </w:r>
    </w:p>
    <w:p>
      <w:pPr>
        <w:spacing w:after="0" w:line="136" w:lineRule="exact"/>
        <w:rPr>
          <w:sz w:val="20"/>
          <w:szCs w:val="20"/>
          <w:color w:val="auto"/>
        </w:rPr>
      </w:pPr>
    </w:p>
    <w:p>
      <w:pPr>
        <w:spacing w:after="0" w:line="286" w:lineRule="auto"/>
        <w:rPr>
          <w:sz w:val="20"/>
          <w:szCs w:val="20"/>
          <w:color w:val="auto"/>
        </w:rPr>
      </w:pPr>
      <w:r>
        <w:rPr>
          <w:rFonts w:ascii="Arial" w:cs="Arial" w:eastAsia="Arial" w:hAnsi="Arial"/>
          <w:sz w:val="12"/>
          <w:szCs w:val="12"/>
          <w:b w:val="1"/>
          <w:bCs w:val="1"/>
          <w:i w:val="1"/>
          <w:iCs w:val="1"/>
          <w:color w:val="auto"/>
        </w:rPr>
        <w:t>Services and other revenue - other</w:t>
      </w:r>
      <w:r>
        <w:rPr>
          <w:rFonts w:ascii="Arial" w:cs="Arial" w:eastAsia="Arial" w:hAnsi="Arial"/>
          <w:sz w:val="12"/>
          <w:szCs w:val="12"/>
          <w:color w:val="auto"/>
        </w:rPr>
        <w:t>. Services and other revenue - other totaled $1.2 billion for the nine months ended September 30, 2019, an increase of $68.3 million or 6.2%, compared to the same period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2018.</w:t>
      </w:r>
    </w:p>
    <w:p>
      <w:pPr>
        <w:spacing w:after="0" w:line="117" w:lineRule="exact"/>
        <w:rPr>
          <w:sz w:val="20"/>
          <w:szCs w:val="20"/>
          <w:color w:val="auto"/>
        </w:rPr>
      </w:pPr>
    </w:p>
    <w:p>
      <w:pPr>
        <w:jc w:val="both"/>
        <w:ind w:left="420"/>
        <w:spacing w:after="0" w:line="256" w:lineRule="auto"/>
        <w:rPr>
          <w:sz w:val="20"/>
          <w:szCs w:val="20"/>
          <w:color w:val="auto"/>
        </w:rPr>
      </w:pPr>
      <w:r>
        <w:rPr>
          <w:rFonts w:ascii="Arial" w:cs="Arial" w:eastAsia="Arial" w:hAnsi="Arial"/>
          <w:sz w:val="12"/>
          <w:szCs w:val="12"/>
          <w:color w:val="auto"/>
        </w:rPr>
        <w:t>Services and other revenue - other from our Hughes segment for the nine months ended September 30, 2019 increased by $77.8 million, or 7.2%, to $1.2 billion compared to the same period in 2018. The increase was primarily attributable to increases in sales of broadband services to our consumer customers of $95.4 million, partially offset by a decrease in sales of broadband services to our enterprise customers of $20.5 million.</w:t>
      </w:r>
    </w:p>
    <w:p>
      <w:pPr>
        <w:spacing w:after="0" w:line="135" w:lineRule="exact"/>
        <w:rPr>
          <w:sz w:val="20"/>
          <w:szCs w:val="20"/>
          <w:color w:val="auto"/>
        </w:rPr>
      </w:pPr>
    </w:p>
    <w:p>
      <w:pPr>
        <w:jc w:val="both"/>
        <w:ind w:left="420"/>
        <w:spacing w:after="0" w:line="262" w:lineRule="auto"/>
        <w:rPr>
          <w:sz w:val="20"/>
          <w:szCs w:val="20"/>
          <w:color w:val="auto"/>
        </w:rPr>
      </w:pPr>
      <w:r>
        <w:rPr>
          <w:rFonts w:ascii="Arial" w:cs="Arial" w:eastAsia="Arial" w:hAnsi="Arial"/>
          <w:sz w:val="12"/>
          <w:szCs w:val="12"/>
          <w:color w:val="auto"/>
        </w:rPr>
        <w:t>Services and other revenue - other from our ESS segment for the nine months ended September 30, 2019 decreased by $9.7 million, or 48.5%, to $9.7 million compared to the same period in 2018. The decrease was due to a net decrease in transponder services provided to third parties.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 xml:space="preserve">Equipment revenue. </w:t>
      </w:r>
      <w:r>
        <w:rPr>
          <w:rFonts w:ascii="Arial" w:cs="Arial" w:eastAsia="Arial" w:hAnsi="Arial"/>
          <w:sz w:val="12"/>
          <w:szCs w:val="12"/>
          <w:color w:val="auto"/>
        </w:rPr>
        <w:t>Equipment revenue totaled $175.1 million for the nine months ended September 30, 2019, an increase of $25.0 million or 16.6%, compared to the same period in 2018. The increase was from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our Hughes segment and mainly due to increases in hardware sales of $15.0 million to our international enterprise customers and $11.9 million to our mobile satellite systems customers. The increase was partially offset by a decrease in hardware sales of $2.6 million to our domestic consumer and enterprise customers.</w:t>
      </w:r>
    </w:p>
    <w:p>
      <w:pPr>
        <w:spacing w:after="0" w:line="114"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Cost of sales - services and other</w:t>
      </w:r>
      <w:r>
        <w:rPr>
          <w:rFonts w:ascii="Arial" w:cs="Arial" w:eastAsia="Arial" w:hAnsi="Arial"/>
          <w:sz w:val="12"/>
          <w:szCs w:val="12"/>
          <w:color w:val="auto"/>
        </w:rPr>
        <w:t>. Cost of sales - services and other totaled $429.9 million for the nine months ended September 30, 2019, an increase of $8.2 million or 2.0%, compared to the same period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2018. The increase was from our Hughes segment primarily attributable to an increase in the costs of broadband services provided to our consumer customers supporting the increase in number of subscribers and revenue in both the domestic and international markets, partially offset by a decrease in the costs of broadband services provided to our enterprise customers.</w:t>
      </w:r>
    </w:p>
    <w:p>
      <w:pPr>
        <w:spacing w:after="0" w:line="114"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b w:val="1"/>
          <w:bCs w:val="1"/>
          <w:i w:val="1"/>
          <w:iCs w:val="1"/>
          <w:color w:val="auto"/>
        </w:rPr>
        <w:t>Cost of sales - equipment</w:t>
      </w:r>
      <w:r>
        <w:rPr>
          <w:rFonts w:ascii="Arial" w:cs="Arial" w:eastAsia="Arial" w:hAnsi="Arial"/>
          <w:sz w:val="12"/>
          <w:szCs w:val="12"/>
          <w:color w:val="auto"/>
        </w:rPr>
        <w:t>. Cost of sales - equipment totaled $ 142.7 million for the nine months ended September 30, 2019, an increase of $ 15.5 million or 12.2%, compared to the same period in 2018.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increase was from our Hughes segment and primarily attributable to an increase in hardware sales to our international enterprise customers and our mobile satellite systems customers. The increase was partially offset by a decrease in hardware sales to our domestic consumer and enterprise customers.</w:t>
      </w:r>
    </w:p>
    <w:p>
      <w:pPr>
        <w:spacing w:after="0" w:line="114"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b w:val="1"/>
          <w:bCs w:val="1"/>
          <w:i w:val="1"/>
          <w:iCs w:val="1"/>
          <w:color w:val="auto"/>
        </w:rPr>
        <w:t xml:space="preserve">Selling, general and administrative expenses. </w:t>
      </w:r>
      <w:r>
        <w:rPr>
          <w:rFonts w:ascii="Arial" w:cs="Arial" w:eastAsia="Arial" w:hAnsi="Arial"/>
          <w:sz w:val="12"/>
          <w:szCs w:val="12"/>
          <w:color w:val="auto"/>
        </w:rPr>
        <w:t>Selling, general and administrative expenses totaled $ 384.2 million for the nine months ended September 30, 2019, an increase of $70.1 million or 22.3%, compared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to the same period in 2018. The increase was primarily attributable to increases in (i) expense of $32.9 million related to certain legal proceedings, (ii) marketing and promotional expenses of $18.4 million from our Hughes segment mainly associated with our consumer business, (iii) bad debt expense of $6.6 million and (iv) other general and administrative expenses of $12.2 million.</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ectPr>
          <w:pgSz w:w="11900" w:h="16838" w:orient="portrait"/>
          <w:cols w:equalWidth="0" w:num="1">
            <w:col w:w="11480"/>
          </w:cols>
          <w:pgMar w:left="220" w:top="140" w:right="199" w:bottom="1440" w:gutter="0" w:footer="0" w:header="0"/>
        </w:sectPr>
      </w:pPr>
    </w:p>
    <w:bookmarkStart w:id="63" w:name="page64"/>
    <w:bookmarkEnd w:id="6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 - Continued</w:t>
      </w:r>
    </w:p>
    <w:p>
      <w:pPr>
        <w:spacing w:after="0" w:line="168"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 xml:space="preserve">Depreciation and amortization. </w:t>
      </w:r>
      <w:r>
        <w:rPr>
          <w:rFonts w:ascii="Arial" w:cs="Arial" w:eastAsia="Arial" w:hAnsi="Arial"/>
          <w:sz w:val="12"/>
          <w:szCs w:val="12"/>
          <w:color w:val="auto"/>
        </w:rPr>
        <w:t>Depreciation and amortization expenses totaled $361.6 million for the nine months ended September 30, 2019, an increase of $22.9 million or 6.8%, compared to the same period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2018. The increase was primarily due to increases in depreciation expense of (i) $12.6 million relating to our customer premises equipment, (ii) $4.8 million relating the Telesat T19V satellite that was placed into service in the fourth quarter of 2018 and (iii) $3.1 million relating to the decrease in depreciable life of the SPACEWAY 3 satellite.</w:t>
      </w:r>
    </w:p>
    <w:p>
      <w:pPr>
        <w:spacing w:after="0" w:line="114"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Interest income</w:t>
      </w:r>
      <w:r>
        <w:rPr>
          <w:rFonts w:ascii="Arial" w:cs="Arial" w:eastAsia="Arial" w:hAnsi="Arial"/>
          <w:sz w:val="12"/>
          <w:szCs w:val="12"/>
          <w:color w:val="auto"/>
        </w:rPr>
        <w:t>. Interest income totaled $64.8 million for the nine months ended September 30, 2019, an increase of $8.6 million or 15.3%, compared to the same period in 2018 primarily attributable to an increase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 yield percentage in 2019 compared to 2018, partially offset by a decrease in interest income as a result of the decrease in cash and cash equivalents and current marketable investment securities in 2019.</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i w:val="1"/>
          <w:iCs w:val="1"/>
          <w:color w:val="auto"/>
        </w:rPr>
        <w:t>Interest expense, net of amounts capitalized</w:t>
      </w:r>
      <w:r>
        <w:rPr>
          <w:rFonts w:ascii="Arial" w:cs="Arial" w:eastAsia="Arial" w:hAnsi="Arial"/>
          <w:sz w:val="12"/>
          <w:szCs w:val="12"/>
          <w:color w:val="auto"/>
        </w:rPr>
        <w:t>. Interest expense, net of amounts capitalized totaled $156.8 million for the nine months ended September 30, 2019, a decrease of $7.2 million or 4.4%, compared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same period in 2018. The decrease was primarily due to a decrease of $ 22.4 million in interest expense and the amortization of deferred financing cost as a result of the repurchase and maturity of the 2019 Senior Secured Notes and a net increase of $2.6 million in capitalized interest relating to the construction of the EchoStar XXIV satellite. The decrease was partially offset by an increase of $18.2 million in interest expense associated with certain legal proceedings.</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 xml:space="preserve">Gains (losses) on investments, net. </w:t>
      </w:r>
      <w:r>
        <w:rPr>
          <w:rFonts w:ascii="Arial" w:cs="Arial" w:eastAsia="Arial" w:hAnsi="Arial"/>
          <w:sz w:val="12"/>
          <w:szCs w:val="12"/>
          <w:color w:val="auto"/>
        </w:rPr>
        <w:t>Gains (losses) on investments, net totaled $28.1 million in gains for the nine months ended September 30, 2019, a decrease of $ 3.5 million or 11.1% compared to the same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period in 2018. The decrease was primarily attributable to a $28.7 million reduction to the carrying amount of one of our investments in the first quarter of 2019 and a $1.8 million increase in loss of available for sale securities, partially offset by an increase in gains on certain marketable equity securities of $26.5 million in 2019.</w:t>
      </w:r>
    </w:p>
    <w:p>
      <w:pPr>
        <w:spacing w:after="0" w:line="114"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i w:val="1"/>
          <w:iCs w:val="1"/>
          <w:color w:val="auto"/>
        </w:rPr>
        <w:t>Equity in earnings (losses) of unconsolidated affiliates, net</w:t>
      </w:r>
      <w:r>
        <w:rPr>
          <w:rFonts w:ascii="Arial" w:cs="Arial" w:eastAsia="Arial" w:hAnsi="Arial"/>
          <w:sz w:val="12"/>
          <w:szCs w:val="12"/>
          <w:color w:val="auto"/>
        </w:rPr>
        <w:t>. Equity in earnings (losses) of unconsolidated affiliates, net totaled $14.3 million in loss for the nine months ended September 30, 2019, an increase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loss of $11.7 million compared to the same period in 2018.</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i w:val="1"/>
          <w:iCs w:val="1"/>
          <w:color w:val="auto"/>
        </w:rPr>
        <w:t xml:space="preserve">Other, net. </w:t>
      </w:r>
      <w:r>
        <w:rPr>
          <w:rFonts w:ascii="Arial" w:cs="Arial" w:eastAsia="Arial" w:hAnsi="Arial"/>
          <w:sz w:val="12"/>
          <w:szCs w:val="12"/>
          <w:color w:val="auto"/>
        </w:rPr>
        <w:t>Other, net totaled $16.0 million in loss for the nine months ended September 30, 2019, a decrease of $12.6 million compared to the same period in 2018. For the nine months ended September 30, 2019,</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$16.0 million in loss was primarily related to an unfavorable foreign exchange impact of $14.5 million. For the nine months ended September 30, 2018, the $ 3.4 million in loss was related to (i) an unfavorable foreign exchange impact of $15.5 million, (ii) a net gain of $9.6 million due to the settlement of certain amounts due to and from a third party vendor and (iii) a net decrease of $2.9 million of dividends received from certain marketable equity securities.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2"/>
          <w:szCs w:val="12"/>
          <w:b w:val="1"/>
          <w:bCs w:val="1"/>
          <w:i w:val="1"/>
          <w:iCs w:val="1"/>
          <w:color w:val="auto"/>
        </w:rPr>
        <w:t>Income tax benefit (provision), net</w:t>
      </w:r>
      <w:r>
        <w:rPr>
          <w:rFonts w:ascii="Arial" w:cs="Arial" w:eastAsia="Arial" w:hAnsi="Arial"/>
          <w:sz w:val="12"/>
          <w:szCs w:val="12"/>
          <w:color w:val="auto"/>
        </w:rPr>
        <w:t>. Income tax provision was $12.6 million for the nine months ended September 30, 2019, an increase of $4.3 million or 52.4%, compared to the same period in 2018. Our effective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income tax rate was (28.0)% and 186.1% for the nine months ended September 30, 2019 and 2018, respectively. The variations in our current year effective tax rate from the U.S. federal statutory rate for the nine months ended September 30, 2019 were primarily due to the increase in our valuation allowance associated with certain foreign losses and by the impact of state and local taxes partially offset by the change in net unrealized gains that are capital in nature and research and experimentation credits. For the year ended December 31, 2018, we recorded a tax provision of nil related to the tax on deemed mandatory repatriation of our unrepatriated foreign earnings. As a result of the release of new treasury regulations in June 2019, we have recorded additional tax expense of $1.5 million on deemed mandatory repatriation of certain deferred foreign earnings. The variations in our effective tax rate from the U.S. federal statutory rate for the nine months ended September 30, 2018 were primarily due to research and experimentation credits and the change in our valuation allowance associated with unrealized gains that are capital in nature, partially offset by the impact of state and local taxes and the increase in our valuation allowance associated with certain foreign losses.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ectPr>
          <w:pgSz w:w="11900" w:h="16838" w:orient="portrait"/>
          <w:cols w:equalWidth="0" w:num="1">
            <w:col w:w="11480"/>
          </w:cols>
          <w:pgMar w:left="220" w:top="140" w:right="199" w:bottom="1440" w:gutter="0" w:footer="0" w:header="0"/>
        </w:sectPr>
      </w:pPr>
    </w:p>
    <w:bookmarkStart w:id="64" w:name="page65"/>
    <w:bookmarkEnd w:id="6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 - Continued</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Net income (loss) attributable to EchoStar Corporation common stock</w:t>
      </w:r>
      <w:r>
        <w:rPr>
          <w:rFonts w:ascii="Arial" w:cs="Arial" w:eastAsia="Arial" w:hAnsi="Arial"/>
          <w:sz w:val="12"/>
          <w:szCs w:val="12"/>
          <w:color w:val="auto"/>
        </w:rPr>
        <w:t>. Net income attributable to EchoStar Corporation common stock totaled $9.8 million for the nine months ended September 30, 2019,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decrease of $81.5 million, compared to the same period in 2018 as set forth in the following table (amounts 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760"/>
              <w:spacing w:after="0"/>
              <w:rPr>
                <w:sz w:val="20"/>
                <w:szCs w:val="20"/>
                <w:color w:val="auto"/>
              </w:rPr>
            </w:pPr>
            <w:r>
              <w:rPr>
                <w:rFonts w:ascii="Arial" w:cs="Arial" w:eastAsia="Arial" w:hAnsi="Arial"/>
                <w:sz w:val="12"/>
                <w:szCs w:val="12"/>
                <w:b w:val="1"/>
                <w:bCs w:val="1"/>
                <w:color w:val="auto"/>
              </w:rPr>
              <w:t>Amounts</w:t>
            </w:r>
          </w:p>
        </w:tc>
      </w:tr>
      <w:tr>
        <w:trPr>
          <w:trHeight w:val="214"/>
        </w:trPr>
        <w:tc>
          <w:tcPr>
            <w:tcW w:w="9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80"/>
        </w:trPr>
        <w:tc>
          <w:tcPr>
            <w:tcW w:w="93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attributable to EchoStar Corporation for the nine months ended September 30, 2018</w:t>
            </w:r>
          </w:p>
        </w:tc>
        <w:tc>
          <w:tcPr>
            <w:tcW w:w="46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71,723</w:t>
            </w:r>
          </w:p>
        </w:tc>
      </w:tr>
      <w:tr>
        <w:trPr>
          <w:trHeight w:val="176"/>
        </w:trPr>
        <w:tc>
          <w:tcPr>
            <w:tcW w:w="9300" w:type="dxa"/>
            <w:vAlign w:val="bottom"/>
          </w:tcPr>
          <w:p>
            <w:pPr>
              <w:ind w:left="180"/>
              <w:spacing w:after="0"/>
              <w:rPr>
                <w:sz w:val="20"/>
                <w:szCs w:val="20"/>
                <w:color w:val="auto"/>
              </w:rPr>
            </w:pPr>
            <w:r>
              <w:rPr>
                <w:rFonts w:ascii="Arial" w:cs="Arial" w:eastAsia="Arial" w:hAnsi="Arial"/>
                <w:sz w:val="12"/>
                <w:szCs w:val="12"/>
                <w:color w:val="auto"/>
              </w:rPr>
              <w:t>Decrease in operating income, including depreciation and amortization</w:t>
            </w:r>
          </w:p>
        </w:tc>
        <w:tc>
          <w:tcPr>
            <w:tcW w:w="460" w:type="dxa"/>
            <w:vAlign w:val="bottom"/>
          </w:tcPr>
          <w:p>
            <w:pPr>
              <w:spacing w:after="0"/>
              <w:rPr>
                <w:sz w:val="15"/>
                <w:szCs w:val="15"/>
                <w:color w:val="auto"/>
              </w:rPr>
            </w:pPr>
          </w:p>
        </w:tc>
        <w:tc>
          <w:tcPr>
            <w:tcW w:w="1720" w:type="dxa"/>
            <w:vAlign w:val="bottom"/>
          </w:tcPr>
          <w:p>
            <w:pPr>
              <w:jc w:val="right"/>
              <w:ind w:right="20"/>
              <w:spacing w:after="0"/>
              <w:rPr>
                <w:sz w:val="20"/>
                <w:szCs w:val="20"/>
                <w:color w:val="auto"/>
              </w:rPr>
            </w:pPr>
            <w:r>
              <w:rPr>
                <w:rFonts w:ascii="Arial" w:cs="Arial" w:eastAsia="Arial" w:hAnsi="Arial"/>
                <w:sz w:val="12"/>
                <w:szCs w:val="12"/>
                <w:color w:val="auto"/>
              </w:rPr>
              <w:t>(37,394)</w:t>
            </w:r>
          </w:p>
        </w:tc>
      </w:tr>
      <w:tr>
        <w:trPr>
          <w:trHeight w:val="185"/>
        </w:trPr>
        <w:tc>
          <w:tcPr>
            <w:tcW w:w="93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in interest income</w:t>
            </w:r>
          </w:p>
        </w:tc>
        <w:tc>
          <w:tcPr>
            <w:tcW w:w="46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8,580</w:t>
            </w:r>
          </w:p>
        </w:tc>
      </w:tr>
      <w:tr>
        <w:trPr>
          <w:trHeight w:val="176"/>
        </w:trPr>
        <w:tc>
          <w:tcPr>
            <w:tcW w:w="9300" w:type="dxa"/>
            <w:vAlign w:val="bottom"/>
          </w:tcPr>
          <w:p>
            <w:pPr>
              <w:ind w:left="180"/>
              <w:spacing w:after="0"/>
              <w:rPr>
                <w:sz w:val="20"/>
                <w:szCs w:val="20"/>
                <w:color w:val="auto"/>
              </w:rPr>
            </w:pPr>
            <w:r>
              <w:rPr>
                <w:rFonts w:ascii="Arial" w:cs="Arial" w:eastAsia="Arial" w:hAnsi="Arial"/>
                <w:sz w:val="12"/>
                <w:szCs w:val="12"/>
                <w:color w:val="auto"/>
              </w:rPr>
              <w:t>Decrease in interest expense, net of amounts capitalized</w:t>
            </w:r>
          </w:p>
        </w:tc>
        <w:tc>
          <w:tcPr>
            <w:tcW w:w="460" w:type="dxa"/>
            <w:vAlign w:val="bottom"/>
          </w:tcPr>
          <w:p>
            <w:pPr>
              <w:spacing w:after="0"/>
              <w:rPr>
                <w:sz w:val="15"/>
                <w:szCs w:val="15"/>
                <w:color w:val="auto"/>
              </w:rPr>
            </w:pPr>
          </w:p>
        </w:tc>
        <w:tc>
          <w:tcPr>
            <w:tcW w:w="1720" w:type="dxa"/>
            <w:vAlign w:val="bottom"/>
          </w:tcPr>
          <w:p>
            <w:pPr>
              <w:jc w:val="right"/>
              <w:ind w:right="60"/>
              <w:spacing w:after="0"/>
              <w:rPr>
                <w:sz w:val="20"/>
                <w:szCs w:val="20"/>
                <w:color w:val="auto"/>
              </w:rPr>
            </w:pPr>
            <w:r>
              <w:rPr>
                <w:rFonts w:ascii="Arial" w:cs="Arial" w:eastAsia="Arial" w:hAnsi="Arial"/>
                <w:sz w:val="12"/>
                <w:szCs w:val="12"/>
                <w:color w:val="auto"/>
              </w:rPr>
              <w:t>7,225</w:t>
            </w:r>
          </w:p>
        </w:tc>
      </w:tr>
      <w:tr>
        <w:trPr>
          <w:trHeight w:val="185"/>
        </w:trPr>
        <w:tc>
          <w:tcPr>
            <w:tcW w:w="93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Decrease in gains on investments, net</w:t>
            </w:r>
          </w:p>
        </w:tc>
        <w:tc>
          <w:tcPr>
            <w:tcW w:w="46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(3,519)</w:t>
            </w:r>
          </w:p>
        </w:tc>
      </w:tr>
      <w:tr>
        <w:trPr>
          <w:trHeight w:val="176"/>
        </w:trPr>
        <w:tc>
          <w:tcPr>
            <w:tcW w:w="9300" w:type="dxa"/>
            <w:vAlign w:val="bottom"/>
          </w:tcPr>
          <w:p>
            <w:pPr>
              <w:ind w:left="180"/>
              <w:spacing w:after="0"/>
              <w:rPr>
                <w:sz w:val="20"/>
                <w:szCs w:val="20"/>
                <w:color w:val="auto"/>
              </w:rPr>
            </w:pPr>
            <w:r>
              <w:rPr>
                <w:rFonts w:ascii="Arial" w:cs="Arial" w:eastAsia="Arial" w:hAnsi="Arial"/>
                <w:sz w:val="12"/>
                <w:szCs w:val="12"/>
                <w:color w:val="auto"/>
              </w:rPr>
              <w:t>Increase in equity in losses of unconsolidated affiliates, net</w:t>
            </w:r>
          </w:p>
        </w:tc>
        <w:tc>
          <w:tcPr>
            <w:tcW w:w="460" w:type="dxa"/>
            <w:vAlign w:val="bottom"/>
          </w:tcPr>
          <w:p>
            <w:pPr>
              <w:spacing w:after="0"/>
              <w:rPr>
                <w:sz w:val="15"/>
                <w:szCs w:val="15"/>
                <w:color w:val="auto"/>
              </w:rPr>
            </w:pPr>
          </w:p>
        </w:tc>
        <w:tc>
          <w:tcPr>
            <w:tcW w:w="1720" w:type="dxa"/>
            <w:vAlign w:val="bottom"/>
          </w:tcPr>
          <w:p>
            <w:pPr>
              <w:jc w:val="right"/>
              <w:ind w:right="20"/>
              <w:spacing w:after="0"/>
              <w:rPr>
                <w:sz w:val="20"/>
                <w:szCs w:val="20"/>
                <w:color w:val="auto"/>
              </w:rPr>
            </w:pPr>
            <w:r>
              <w:rPr>
                <w:rFonts w:ascii="Arial" w:cs="Arial" w:eastAsia="Arial" w:hAnsi="Arial"/>
                <w:sz w:val="12"/>
                <w:szCs w:val="12"/>
                <w:color w:val="auto"/>
              </w:rPr>
              <w:t>(11,666)</w:t>
            </w:r>
          </w:p>
        </w:tc>
      </w:tr>
      <w:tr>
        <w:trPr>
          <w:trHeight w:val="185"/>
        </w:trPr>
        <w:tc>
          <w:tcPr>
            <w:tcW w:w="93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Decrease in other income</w:t>
            </w:r>
          </w:p>
        </w:tc>
        <w:tc>
          <w:tcPr>
            <w:tcW w:w="46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(12,647)</w:t>
            </w:r>
          </w:p>
        </w:tc>
      </w:tr>
      <w:tr>
        <w:trPr>
          <w:trHeight w:val="176"/>
        </w:trPr>
        <w:tc>
          <w:tcPr>
            <w:tcW w:w="9300" w:type="dxa"/>
            <w:vAlign w:val="bottom"/>
          </w:tcPr>
          <w:p>
            <w:pPr>
              <w:ind w:left="180"/>
              <w:spacing w:after="0"/>
              <w:rPr>
                <w:sz w:val="20"/>
                <w:szCs w:val="20"/>
                <w:color w:val="auto"/>
              </w:rPr>
            </w:pPr>
            <w:r>
              <w:rPr>
                <w:rFonts w:ascii="Arial" w:cs="Arial" w:eastAsia="Arial" w:hAnsi="Arial"/>
                <w:sz w:val="12"/>
                <w:szCs w:val="12"/>
                <w:color w:val="auto"/>
              </w:rPr>
              <w:t>Increase in income tax provision, net</w:t>
            </w:r>
          </w:p>
        </w:tc>
        <w:tc>
          <w:tcPr>
            <w:tcW w:w="460" w:type="dxa"/>
            <w:vAlign w:val="bottom"/>
          </w:tcPr>
          <w:p>
            <w:pPr>
              <w:spacing w:after="0"/>
              <w:rPr>
                <w:sz w:val="15"/>
                <w:szCs w:val="15"/>
                <w:color w:val="auto"/>
              </w:rPr>
            </w:pPr>
          </w:p>
        </w:tc>
        <w:tc>
          <w:tcPr>
            <w:tcW w:w="1720" w:type="dxa"/>
            <w:vAlign w:val="bottom"/>
          </w:tcPr>
          <w:p>
            <w:pPr>
              <w:jc w:val="right"/>
              <w:ind w:right="20"/>
              <w:spacing w:after="0"/>
              <w:rPr>
                <w:sz w:val="20"/>
                <w:szCs w:val="20"/>
                <w:color w:val="auto"/>
              </w:rPr>
            </w:pPr>
            <w:r>
              <w:rPr>
                <w:rFonts w:ascii="Arial" w:cs="Arial" w:eastAsia="Arial" w:hAnsi="Arial"/>
                <w:sz w:val="12"/>
                <w:szCs w:val="12"/>
                <w:color w:val="auto"/>
              </w:rPr>
              <w:t>(4,332)</w:t>
            </w:r>
          </w:p>
        </w:tc>
      </w:tr>
      <w:tr>
        <w:trPr>
          <w:trHeight w:val="185"/>
        </w:trPr>
        <w:tc>
          <w:tcPr>
            <w:tcW w:w="93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Increase in net income from discontinued operations</w:t>
            </w:r>
          </w:p>
        </w:tc>
        <w:tc>
          <w:tcPr>
            <w:tcW w:w="46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(30,420)</w:t>
            </w:r>
          </w:p>
        </w:tc>
      </w:tr>
      <w:tr>
        <w:trPr>
          <w:trHeight w:val="176"/>
        </w:trPr>
        <w:tc>
          <w:tcPr>
            <w:tcW w:w="930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Decrease in net income attributable to noncontrolling interests</w:t>
            </w:r>
          </w:p>
        </w:tc>
        <w:tc>
          <w:tcPr>
            <w:tcW w:w="4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2,651</w:t>
            </w:r>
          </w:p>
        </w:tc>
      </w:tr>
      <w:tr>
        <w:trPr>
          <w:trHeight w:val="172"/>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loss attributable to EchoStar Corporation for the nine months ended September 30, 2019</w:t>
            </w:r>
          </w:p>
        </w:tc>
        <w:tc>
          <w:tcPr>
            <w:tcW w:w="46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7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(9,799)</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EBITDA</w:t>
      </w:r>
      <w:r>
        <w:rPr>
          <w:rFonts w:ascii="Arial" w:cs="Arial" w:eastAsia="Arial" w:hAnsi="Arial"/>
          <w:sz w:val="12"/>
          <w:szCs w:val="12"/>
          <w:color w:val="auto"/>
        </w:rPr>
        <w:t>. EBITDA is a non-GAAP financial measure and is described under Explanation of Key Metrics and Other Items below.  The following table reconciles EBITDA to Net income, the most directly comparable</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U.S. GAAP measure in the accompanying condensed consolidating financial statements (amounts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40" w:type="dxa"/>
            <w:vAlign w:val="bottom"/>
            <w:gridSpan w:val="3"/>
          </w:tcPr>
          <w:p>
            <w:pPr>
              <w:jc w:val="right"/>
              <w:spacing w:after="0"/>
              <w:rPr>
                <w:sz w:val="20"/>
                <w:szCs w:val="20"/>
                <w:color w:val="auto"/>
              </w:rPr>
            </w:pPr>
            <w:r>
              <w:rPr>
                <w:rFonts w:ascii="Arial" w:cs="Arial" w:eastAsia="Arial" w:hAnsi="Arial"/>
                <w:sz w:val="12"/>
                <w:szCs w:val="12"/>
                <w:b w:val="1"/>
                <w:bCs w:val="1"/>
                <w:color w:val="auto"/>
              </w:rPr>
              <w:t>For the nine months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3"/>
        </w:trPr>
        <w:tc>
          <w:tcPr>
            <w:tcW w:w="56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99"/>
              </w:rPr>
              <w:t>ended September 30,</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920"/>
              <w:spacing w:after="0"/>
              <w:rPr>
                <w:sz w:val="20"/>
                <w:szCs w:val="20"/>
                <w:color w:val="auto"/>
              </w:rPr>
            </w:pPr>
            <w:r>
              <w:rPr>
                <w:rFonts w:ascii="Arial" w:cs="Arial" w:eastAsia="Arial" w:hAnsi="Arial"/>
                <w:sz w:val="12"/>
                <w:szCs w:val="12"/>
                <w:b w:val="1"/>
                <w:bCs w:val="1"/>
                <w:color w:val="auto"/>
              </w:rPr>
              <w:t>Variance</w:t>
            </w:r>
          </w:p>
        </w:tc>
        <w:tc>
          <w:tcPr>
            <w:tcW w:w="960" w:type="dxa"/>
            <w:vAlign w:val="bottom"/>
            <w:tcBorders>
              <w:bottom w:val="single" w:sz="8" w:color="auto"/>
            </w:tcBorders>
          </w:tcPr>
          <w:p>
            <w:pPr>
              <w:spacing w:after="0"/>
              <w:rPr>
                <w:sz w:val="14"/>
                <w:szCs w:val="14"/>
                <w:color w:val="auto"/>
              </w:rPr>
            </w:pPr>
          </w:p>
        </w:tc>
      </w:tr>
      <w:tr>
        <w:trPr>
          <w:trHeight w:val="169"/>
        </w:trPr>
        <w:tc>
          <w:tcPr>
            <w:tcW w:w="5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jc w:val="right"/>
              <w:ind w:right="500"/>
              <w:spacing w:after="0"/>
              <w:rPr>
                <w:sz w:val="20"/>
                <w:szCs w:val="20"/>
                <w:color w:val="auto"/>
              </w:rPr>
            </w:pPr>
            <w:r>
              <w:rPr>
                <w:rFonts w:ascii="Arial" w:cs="Arial" w:eastAsia="Arial" w:hAnsi="Arial"/>
                <w:sz w:val="12"/>
                <w:szCs w:val="12"/>
                <w:b w:val="1"/>
                <w:bCs w:val="1"/>
                <w:color w:val="auto"/>
                <w:w w:val="89"/>
              </w:rPr>
              <w:t>2018</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3"/>
          </w:tcPr>
          <w:p>
            <w:pPr>
              <w:ind w:left="200"/>
              <w:spacing w:after="0"/>
              <w:rPr>
                <w:sz w:val="20"/>
                <w:szCs w:val="20"/>
                <w:color w:val="auto"/>
              </w:rPr>
            </w:pPr>
            <w:r>
              <w:rPr>
                <w:rFonts w:ascii="Arial" w:cs="Arial" w:eastAsia="Arial" w:hAnsi="Arial"/>
                <w:sz w:val="12"/>
                <w:szCs w:val="12"/>
                <w:b w:val="1"/>
                <w:bCs w:val="1"/>
                <w:color w:val="auto"/>
              </w:rPr>
              <w:t>Amount</w:t>
            </w:r>
          </w:p>
        </w:tc>
        <w:tc>
          <w:tcPr>
            <w:tcW w:w="960" w:type="dxa"/>
            <w:vAlign w:val="bottom"/>
          </w:tcPr>
          <w:p>
            <w:pPr>
              <w:jc w:val="right"/>
              <w:ind w:right="580"/>
              <w:spacing w:after="0"/>
              <w:rPr>
                <w:sz w:val="20"/>
                <w:szCs w:val="20"/>
                <w:color w:val="auto"/>
              </w:rPr>
            </w:pPr>
            <w:r>
              <w:rPr>
                <w:rFonts w:ascii="Arial" w:cs="Arial" w:eastAsia="Arial" w:hAnsi="Arial"/>
                <w:sz w:val="12"/>
                <w:szCs w:val="12"/>
                <w:b w:val="1"/>
                <w:bCs w:val="1"/>
                <w:color w:val="auto"/>
              </w:rPr>
              <w:t>%</w:t>
            </w:r>
          </w:p>
        </w:tc>
      </w:tr>
      <w:tr>
        <w:trPr>
          <w:trHeight w:val="210"/>
        </w:trPr>
        <w:tc>
          <w:tcPr>
            <w:tcW w:w="564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180"/>
        </w:trPr>
        <w:tc>
          <w:tcPr>
            <w:tcW w:w="564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82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(11,158)</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73,015</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(84,173)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r>
      <w:tr>
        <w:trPr>
          <w:trHeight w:val="176"/>
        </w:trPr>
        <w:tc>
          <w:tcPr>
            <w:tcW w:w="5640" w:type="dxa"/>
            <w:vAlign w:val="bottom"/>
          </w:tcPr>
          <w:p>
            <w:pPr>
              <w:ind w:left="180"/>
              <w:spacing w:after="0"/>
              <w:rPr>
                <w:sz w:val="20"/>
                <w:szCs w:val="20"/>
                <w:color w:val="auto"/>
              </w:rPr>
            </w:pPr>
            <w:r>
              <w:rPr>
                <w:rFonts w:ascii="Arial" w:cs="Arial" w:eastAsia="Arial" w:hAnsi="Arial"/>
                <w:sz w:val="12"/>
                <w:szCs w:val="12"/>
                <w:color w:val="auto"/>
              </w:rPr>
              <w:t>Interest income and expense, net</w:t>
            </w:r>
          </w:p>
        </w:tc>
        <w:tc>
          <w:tcPr>
            <w:tcW w:w="820" w:type="dxa"/>
            <w:vAlign w:val="bottom"/>
          </w:tcPr>
          <w:p>
            <w:pPr>
              <w:spacing w:after="0"/>
              <w:rPr>
                <w:sz w:val="15"/>
                <w:szCs w:val="15"/>
                <w:color w:val="auto"/>
              </w:rPr>
            </w:pPr>
          </w:p>
        </w:tc>
        <w:tc>
          <w:tcPr>
            <w:tcW w:w="560" w:type="dxa"/>
            <w:vAlign w:val="bottom"/>
          </w:tcPr>
          <w:p>
            <w:pPr>
              <w:jc w:val="right"/>
              <w:ind w:right="60"/>
              <w:spacing w:after="0"/>
              <w:rPr>
                <w:sz w:val="20"/>
                <w:szCs w:val="20"/>
                <w:color w:val="auto"/>
              </w:rPr>
            </w:pPr>
            <w:r>
              <w:rPr>
                <w:rFonts w:ascii="Arial" w:cs="Arial" w:eastAsia="Arial" w:hAnsi="Arial"/>
                <w:sz w:val="12"/>
                <w:szCs w:val="12"/>
                <w:color w:val="auto"/>
              </w:rPr>
              <w:t>91,996</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107,801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(15,805)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20"/>
              <w:spacing w:after="0"/>
              <w:rPr>
                <w:sz w:val="20"/>
                <w:szCs w:val="20"/>
                <w:color w:val="auto"/>
              </w:rPr>
            </w:pPr>
            <w:r>
              <w:rPr>
                <w:rFonts w:ascii="Arial" w:cs="Arial" w:eastAsia="Arial" w:hAnsi="Arial"/>
                <w:sz w:val="12"/>
                <w:szCs w:val="12"/>
                <w:color w:val="auto"/>
              </w:rPr>
              <w:t>(14.7)</w:t>
            </w:r>
          </w:p>
        </w:tc>
      </w:tr>
      <w:tr>
        <w:trPr>
          <w:trHeight w:val="185"/>
        </w:trPr>
        <w:tc>
          <w:tcPr>
            <w:tcW w:w="56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Income tax provision, net</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12,607</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8,275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4,332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52.4</w:t>
            </w:r>
          </w:p>
        </w:tc>
      </w:tr>
      <w:tr>
        <w:trPr>
          <w:trHeight w:val="176"/>
        </w:trPr>
        <w:tc>
          <w:tcPr>
            <w:tcW w:w="5640" w:type="dxa"/>
            <w:vAlign w:val="bottom"/>
          </w:tcPr>
          <w:p>
            <w:pPr>
              <w:ind w:left="180"/>
              <w:spacing w:after="0"/>
              <w:rPr>
                <w:sz w:val="20"/>
                <w:szCs w:val="20"/>
                <w:color w:val="auto"/>
              </w:rPr>
            </w:pPr>
            <w:r>
              <w:rPr>
                <w:rFonts w:ascii="Arial" w:cs="Arial" w:eastAsia="Arial" w:hAnsi="Arial"/>
                <w:sz w:val="12"/>
                <w:szCs w:val="12"/>
                <w:color w:val="auto"/>
              </w:rPr>
              <w:t>Depreciation and amortization</w:t>
            </w:r>
          </w:p>
        </w:tc>
        <w:tc>
          <w:tcPr>
            <w:tcW w:w="820" w:type="dxa"/>
            <w:vAlign w:val="bottom"/>
          </w:tcPr>
          <w:p>
            <w:pPr>
              <w:spacing w:after="0"/>
              <w:rPr>
                <w:sz w:val="15"/>
                <w:szCs w:val="15"/>
                <w:color w:val="auto"/>
              </w:rPr>
            </w:pPr>
          </w:p>
        </w:tc>
        <w:tc>
          <w:tcPr>
            <w:tcW w:w="560" w:type="dxa"/>
            <w:vAlign w:val="bottom"/>
          </w:tcPr>
          <w:p>
            <w:pPr>
              <w:jc w:val="right"/>
              <w:ind w:right="60"/>
              <w:spacing w:after="0"/>
              <w:rPr>
                <w:sz w:val="20"/>
                <w:szCs w:val="20"/>
                <w:color w:val="auto"/>
              </w:rPr>
            </w:pPr>
            <w:r>
              <w:rPr>
                <w:rFonts w:ascii="Arial" w:cs="Arial" w:eastAsia="Arial" w:hAnsi="Arial"/>
                <w:sz w:val="12"/>
                <w:szCs w:val="12"/>
                <w:color w:val="auto"/>
                <w:w w:val="96"/>
              </w:rPr>
              <w:t>361,619</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jc w:val="right"/>
              <w:ind w:right="60"/>
              <w:spacing w:after="0"/>
              <w:rPr>
                <w:sz w:val="20"/>
                <w:szCs w:val="20"/>
                <w:color w:val="auto"/>
              </w:rPr>
            </w:pPr>
            <w:r>
              <w:rPr>
                <w:rFonts w:ascii="Arial" w:cs="Arial" w:eastAsia="Arial" w:hAnsi="Arial"/>
                <w:sz w:val="12"/>
                <w:szCs w:val="12"/>
                <w:color w:val="auto"/>
              </w:rPr>
              <w:t>338,737</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40"/>
              <w:spacing w:after="0"/>
              <w:rPr>
                <w:sz w:val="20"/>
                <w:szCs w:val="20"/>
                <w:color w:val="auto"/>
              </w:rPr>
            </w:pPr>
            <w:r>
              <w:rPr>
                <w:rFonts w:ascii="Arial" w:cs="Arial" w:eastAsia="Arial" w:hAnsi="Arial"/>
                <w:sz w:val="12"/>
                <w:szCs w:val="12"/>
                <w:color w:val="auto"/>
              </w:rPr>
              <w:t>22,882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Arial" w:cs="Arial" w:eastAsia="Arial" w:hAnsi="Arial"/>
                <w:sz w:val="12"/>
                <w:szCs w:val="12"/>
                <w:color w:val="auto"/>
              </w:rPr>
              <w:t>6.8</w:t>
            </w:r>
          </w:p>
        </w:tc>
      </w:tr>
      <w:tr>
        <w:trPr>
          <w:trHeight w:val="185"/>
        </w:trPr>
        <w:tc>
          <w:tcPr>
            <w:tcW w:w="5640" w:type="dxa"/>
            <w:vAlign w:val="bottom"/>
            <w:shd w:val="clear" w:color="auto" w:fill="CCEEFF"/>
          </w:tcPr>
          <w:p>
            <w:pPr>
              <w:ind w:left="180"/>
              <w:spacing w:after="0"/>
              <w:rPr>
                <w:sz w:val="20"/>
                <w:szCs w:val="20"/>
                <w:color w:val="auto"/>
              </w:rPr>
            </w:pPr>
            <w:r>
              <w:rPr>
                <w:rFonts w:ascii="Arial" w:cs="Arial" w:eastAsia="Arial" w:hAnsi="Arial"/>
                <w:sz w:val="12"/>
                <w:szCs w:val="12"/>
                <w:color w:val="auto"/>
              </w:rPr>
              <w:t>Net income from discontinued operations</w:t>
            </w:r>
          </w:p>
        </w:tc>
        <w:tc>
          <w:tcPr>
            <w:tcW w:w="82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(46,423)</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(76,843)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30,420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(39.6)</w:t>
            </w:r>
          </w:p>
        </w:tc>
      </w:tr>
      <w:tr>
        <w:trPr>
          <w:trHeight w:val="176"/>
        </w:trPr>
        <w:tc>
          <w:tcPr>
            <w:tcW w:w="564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Net (income) loss attributable to noncontrolling interests</w:t>
            </w:r>
          </w:p>
        </w:tc>
        <w:tc>
          <w:tcPr>
            <w:tcW w:w="8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1,359</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(1,292)</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2,651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jc w:val="right"/>
              <w:ind w:right="60"/>
              <w:spacing w:after="0"/>
              <w:rPr>
                <w:sz w:val="20"/>
                <w:szCs w:val="20"/>
                <w:color w:val="auto"/>
              </w:rPr>
            </w:pPr>
            <w:r>
              <w:rPr>
                <w:rFonts w:ascii="Arial" w:cs="Arial" w:eastAsia="Arial" w:hAnsi="Arial"/>
                <w:sz w:val="12"/>
                <w:szCs w:val="12"/>
                <w:color w:val="auto"/>
              </w:rPr>
              <w:t>*</w:t>
            </w:r>
          </w:p>
        </w:tc>
      </w:tr>
      <w:tr>
        <w:trPr>
          <w:trHeight w:val="172"/>
        </w:trPr>
        <w:tc>
          <w:tcPr>
            <w:tcW w:w="5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2"/>
                <w:szCs w:val="12"/>
                <w:color w:val="auto"/>
              </w:rPr>
              <w:t>EBITDA</w:t>
            </w:r>
          </w:p>
        </w:tc>
        <w:tc>
          <w:tcPr>
            <w:tcW w:w="820" w:type="dxa"/>
            <w:vAlign w:val="bottom"/>
            <w:tcBorders>
              <w:bottom w:val="single" w:sz="8" w:color="auto"/>
            </w:tcBorders>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96"/>
              </w:rPr>
              <w:t>410,000</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449,693</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(39,693)</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2"/>
                <w:szCs w:val="12"/>
                <w:color w:val="auto"/>
              </w:rPr>
              <w:t>(8.8)</w:t>
            </w:r>
          </w:p>
        </w:tc>
      </w:tr>
    </w:tbl>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EBITDA was $ 410.0 million for the nine months ended September 30, 2019, a decrease of $39.7 million or 8.8%, compared to the same period in 2018. The decrease was primarily due to decreases of (i) $12.6 million in other income, (ii) $11.9 million in operating income, excluding depreciation and amortization and net loss attributable to noncontrolling interests, (iii) $11.7 million in equity in earnings of unconsolidated affiliates and (iv) $3.5 million in gains on investments, net of losses and write-downs.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ectPr>
          <w:pgSz w:w="11900" w:h="16838" w:orient="portrait"/>
          <w:cols w:equalWidth="0" w:num="1">
            <w:col w:w="11480"/>
          </w:cols>
          <w:pgMar w:left="220" w:top="140" w:right="199" w:bottom="1440" w:gutter="0" w:footer="0" w:header="0"/>
        </w:sectPr>
      </w:pPr>
    </w:p>
    <w:bookmarkStart w:id="65" w:name="page66"/>
    <w:bookmarkEnd w:id="6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 - Continued</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Segment Operating Results and Capital Expenditures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 following tables present our operating results, capital expenditures and EBITDA by segment for the nine months ended September 30, 2019 compared to the nine months ended September 30, 2018 (amounts in thousands). Capital expenditures are net of refunds and other receipts related to property and equipment and exclude capital expenditures from discontinued operations of $0.5 million and $0.1 million for the nine months ended September 30, 2019 and 2018, respectively.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Consolidated</w:t>
            </w:r>
          </w:p>
        </w:tc>
      </w:tr>
      <w:tr>
        <w:trPr>
          <w:trHeight w:val="163"/>
        </w:trPr>
        <w:tc>
          <w:tcPr>
            <w:tcW w:w="8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2"/>
                <w:szCs w:val="12"/>
                <w:b w:val="1"/>
                <w:bCs w:val="1"/>
                <w:color w:val="auto"/>
                <w:w w:val="99"/>
              </w:rPr>
              <w:t>Hughes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gridSpan w:val="3"/>
          </w:tcPr>
          <w:p>
            <w:pPr>
              <w:jc w:val="right"/>
              <w:ind w:right="480"/>
              <w:spacing w:after="0"/>
              <w:rPr>
                <w:sz w:val="20"/>
                <w:szCs w:val="20"/>
                <w:color w:val="auto"/>
              </w:rPr>
            </w:pPr>
            <w:r>
              <w:rPr>
                <w:rFonts w:ascii="Arial" w:cs="Arial" w:eastAsia="Arial" w:hAnsi="Arial"/>
                <w:sz w:val="12"/>
                <w:szCs w:val="12"/>
                <w:b w:val="1"/>
                <w:bCs w:val="1"/>
                <w:color w:val="auto"/>
                <w:w w:val="91"/>
              </w:rPr>
              <w:t>ESS</w:t>
            </w:r>
          </w:p>
        </w:tc>
        <w:tc>
          <w:tcPr>
            <w:tcW w:w="1460" w:type="dxa"/>
            <w:vAlign w:val="bottom"/>
            <w:gridSpan w:val="5"/>
          </w:tcPr>
          <w:p>
            <w:pPr>
              <w:ind w:left="140"/>
              <w:spacing w:after="0"/>
              <w:rPr>
                <w:sz w:val="20"/>
                <w:szCs w:val="20"/>
                <w:color w:val="auto"/>
              </w:rPr>
            </w:pPr>
            <w:r>
              <w:rPr>
                <w:rFonts w:ascii="Arial" w:cs="Arial" w:eastAsia="Arial" w:hAnsi="Arial"/>
                <w:sz w:val="12"/>
                <w:szCs w:val="12"/>
                <w:b w:val="1"/>
                <w:bCs w:val="1"/>
                <w:color w:val="auto"/>
              </w:rPr>
              <w:t>Corporate and Other</w:t>
            </w:r>
          </w:p>
        </w:tc>
        <w:tc>
          <w:tcPr>
            <w:tcW w:w="280" w:type="dxa"/>
            <w:vAlign w:val="bottom"/>
          </w:tcPr>
          <w:p>
            <w:pPr>
              <w:spacing w:after="0"/>
              <w:rPr>
                <w:sz w:val="14"/>
                <w:szCs w:val="14"/>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Total</w:t>
            </w:r>
          </w:p>
        </w:tc>
      </w:tr>
      <w:tr>
        <w:trPr>
          <w:trHeight w:val="192"/>
        </w:trPr>
        <w:tc>
          <w:tcPr>
            <w:tcW w:w="80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18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For the nine months ended September 30, 2019</w:t>
            </w: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76"/>
        </w:trPr>
        <w:tc>
          <w:tcPr>
            <w:tcW w:w="4860" w:type="dxa"/>
            <w:vAlign w:val="bottom"/>
            <w:gridSpan w:val="2"/>
          </w:tcPr>
          <w:p>
            <w:pPr>
              <w:ind w:left="20"/>
              <w:spacing w:after="0"/>
              <w:rPr>
                <w:sz w:val="20"/>
                <w:szCs w:val="20"/>
                <w:color w:val="auto"/>
              </w:rPr>
            </w:pPr>
            <w:r>
              <w:rPr>
                <w:rFonts w:ascii="Arial" w:cs="Arial" w:eastAsia="Arial" w:hAnsi="Arial"/>
                <w:sz w:val="12"/>
                <w:szCs w:val="12"/>
                <w:color w:val="auto"/>
              </w:rPr>
              <w:t>Total revenue</w:t>
            </w:r>
          </w:p>
        </w:tc>
        <w:tc>
          <w:tcPr>
            <w:tcW w:w="320" w:type="dxa"/>
            <w:vAlign w:val="bottom"/>
          </w:tcPr>
          <w:p>
            <w:pPr>
              <w:spacing w:after="0"/>
              <w:rPr>
                <w:sz w:val="15"/>
                <w:szCs w:val="15"/>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spacing w:after="0"/>
              <w:rPr>
                <w:sz w:val="20"/>
                <w:szCs w:val="20"/>
                <w:color w:val="auto"/>
              </w:rPr>
            </w:pPr>
            <w:r>
              <w:rPr>
                <w:rFonts w:ascii="Arial" w:cs="Arial" w:eastAsia="Arial" w:hAnsi="Arial"/>
                <w:sz w:val="12"/>
                <w:szCs w:val="12"/>
                <w:color w:val="auto"/>
              </w:rPr>
              <w:t>1,360,919</w:t>
            </w:r>
          </w:p>
        </w:tc>
        <w:tc>
          <w:tcPr>
            <w:tcW w:w="740" w:type="dxa"/>
            <w:vAlign w:val="bottom"/>
            <w:gridSpan w:val="3"/>
          </w:tcPr>
          <w:p>
            <w:pPr>
              <w:jc w:val="right"/>
              <w:ind w:right="42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80"/>
              <w:spacing w:after="0"/>
              <w:rPr>
                <w:sz w:val="20"/>
                <w:szCs w:val="20"/>
                <w:color w:val="auto"/>
              </w:rPr>
            </w:pPr>
            <w:r>
              <w:rPr>
                <w:rFonts w:ascii="Arial" w:cs="Arial" w:eastAsia="Arial" w:hAnsi="Arial"/>
                <w:sz w:val="12"/>
                <w:szCs w:val="12"/>
                <w:color w:val="auto"/>
              </w:rPr>
              <w:t>11,873</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2"/>
                <w:szCs w:val="12"/>
                <w:color w:val="auto"/>
              </w:rPr>
              <w:t>14,283</w:t>
            </w:r>
          </w:p>
        </w:tc>
        <w:tc>
          <w:tcPr>
            <w:tcW w:w="10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1,387,075</w:t>
            </w:r>
          </w:p>
        </w:tc>
      </w:tr>
      <w:tr>
        <w:trPr>
          <w:trHeight w:val="185"/>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Capital expenditures</w:t>
            </w:r>
          </w:p>
        </w:tc>
        <w:tc>
          <w:tcPr>
            <w:tcW w:w="3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224,483</w:t>
            </w:r>
          </w:p>
        </w:tc>
        <w:tc>
          <w:tcPr>
            <w:tcW w:w="740" w:type="dxa"/>
            <w:vAlign w:val="bottom"/>
            <w:gridSpan w:val="3"/>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89,868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314,351</w:t>
            </w:r>
          </w:p>
        </w:tc>
      </w:tr>
      <w:tr>
        <w:trPr>
          <w:trHeight w:val="176"/>
        </w:trPr>
        <w:tc>
          <w:tcPr>
            <w:tcW w:w="4860" w:type="dxa"/>
            <w:vAlign w:val="bottom"/>
            <w:gridSpan w:val="2"/>
          </w:tcPr>
          <w:p>
            <w:pPr>
              <w:ind w:left="20"/>
              <w:spacing w:after="0"/>
              <w:rPr>
                <w:sz w:val="20"/>
                <w:szCs w:val="20"/>
                <w:color w:val="auto"/>
              </w:rPr>
            </w:pPr>
            <w:r>
              <w:rPr>
                <w:rFonts w:ascii="Arial" w:cs="Arial" w:eastAsia="Arial" w:hAnsi="Arial"/>
                <w:sz w:val="12"/>
                <w:szCs w:val="12"/>
                <w:color w:val="auto"/>
              </w:rPr>
              <w:t>EBITDA</w:t>
            </w:r>
          </w:p>
        </w:tc>
        <w:tc>
          <w:tcPr>
            <w:tcW w:w="320" w:type="dxa"/>
            <w:vAlign w:val="bottom"/>
          </w:tcPr>
          <w:p>
            <w:pPr>
              <w:spacing w:after="0"/>
              <w:rPr>
                <w:sz w:val="15"/>
                <w:szCs w:val="15"/>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spacing w:after="0"/>
              <w:rPr>
                <w:sz w:val="20"/>
                <w:szCs w:val="20"/>
                <w:color w:val="auto"/>
              </w:rPr>
            </w:pPr>
            <w:r>
              <w:rPr>
                <w:rFonts w:ascii="Arial" w:cs="Arial" w:eastAsia="Arial" w:hAnsi="Arial"/>
                <w:sz w:val="12"/>
                <w:szCs w:val="12"/>
                <w:color w:val="auto"/>
              </w:rPr>
              <w:t>448,837</w:t>
            </w:r>
          </w:p>
        </w:tc>
        <w:tc>
          <w:tcPr>
            <w:tcW w:w="740" w:type="dxa"/>
            <w:vAlign w:val="bottom"/>
            <w:gridSpan w:val="3"/>
          </w:tcPr>
          <w:p>
            <w:pPr>
              <w:jc w:val="right"/>
              <w:ind w:right="42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80"/>
              <w:spacing w:after="0"/>
              <w:rPr>
                <w:sz w:val="20"/>
                <w:szCs w:val="20"/>
                <w:color w:val="auto"/>
              </w:rPr>
            </w:pPr>
            <w:r>
              <w:rPr>
                <w:rFonts w:ascii="Arial" w:cs="Arial" w:eastAsia="Arial" w:hAnsi="Arial"/>
                <w:sz w:val="12"/>
                <w:szCs w:val="12"/>
                <w:color w:val="auto"/>
              </w:rPr>
              <w:t>5,006</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80"/>
              <w:spacing w:after="0"/>
              <w:rPr>
                <w:sz w:val="20"/>
                <w:szCs w:val="20"/>
                <w:color w:val="auto"/>
              </w:rPr>
            </w:pPr>
            <w:r>
              <w:rPr>
                <w:rFonts w:ascii="Arial" w:cs="Arial" w:eastAsia="Arial" w:hAnsi="Arial"/>
                <w:sz w:val="12"/>
                <w:szCs w:val="12"/>
                <w:color w:val="auto"/>
              </w:rPr>
              <w:t>(43,843)</w:t>
            </w:r>
          </w:p>
        </w:tc>
        <w:tc>
          <w:tcPr>
            <w:tcW w:w="10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410,000</w:t>
            </w:r>
          </w:p>
        </w:tc>
      </w:tr>
      <w:tr>
        <w:trPr>
          <w:trHeight w:val="203"/>
        </w:trPr>
        <w:tc>
          <w:tcPr>
            <w:tcW w:w="80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71"/>
        </w:trPr>
        <w:tc>
          <w:tcPr>
            <w:tcW w:w="4860" w:type="dxa"/>
            <w:vAlign w:val="bottom"/>
            <w:gridSpan w:val="2"/>
          </w:tcPr>
          <w:p>
            <w:pPr>
              <w:ind w:left="20"/>
              <w:spacing w:after="0"/>
              <w:rPr>
                <w:sz w:val="20"/>
                <w:szCs w:val="20"/>
                <w:color w:val="auto"/>
              </w:rPr>
            </w:pPr>
            <w:r>
              <w:rPr>
                <w:rFonts w:ascii="Arial" w:cs="Arial" w:eastAsia="Arial" w:hAnsi="Arial"/>
                <w:sz w:val="12"/>
                <w:szCs w:val="12"/>
                <w:b w:val="1"/>
                <w:bCs w:val="1"/>
                <w:color w:val="auto"/>
              </w:rPr>
              <w:t>For the nine months ended September 30, 2018</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8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revenue</w:t>
            </w:r>
          </w:p>
        </w:tc>
        <w:tc>
          <w:tcPr>
            <w:tcW w:w="3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1,271,886</w:t>
            </w:r>
          </w:p>
        </w:tc>
        <w:tc>
          <w:tcPr>
            <w:tcW w:w="740" w:type="dxa"/>
            <w:vAlign w:val="bottom"/>
            <w:gridSpan w:val="3"/>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22,562</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14,207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1,308,655</w:t>
            </w:r>
          </w:p>
        </w:tc>
      </w:tr>
      <w:tr>
        <w:trPr>
          <w:trHeight w:val="176"/>
        </w:trPr>
        <w:tc>
          <w:tcPr>
            <w:tcW w:w="4860" w:type="dxa"/>
            <w:vAlign w:val="bottom"/>
            <w:gridSpan w:val="2"/>
          </w:tcPr>
          <w:p>
            <w:pPr>
              <w:ind w:left="20"/>
              <w:spacing w:after="0"/>
              <w:rPr>
                <w:sz w:val="20"/>
                <w:szCs w:val="20"/>
                <w:color w:val="auto"/>
              </w:rPr>
            </w:pPr>
            <w:r>
              <w:rPr>
                <w:rFonts w:ascii="Arial" w:cs="Arial" w:eastAsia="Arial" w:hAnsi="Arial"/>
                <w:sz w:val="12"/>
                <w:szCs w:val="12"/>
                <w:color w:val="auto"/>
              </w:rPr>
              <w:t>Capital expenditures</w:t>
            </w:r>
          </w:p>
        </w:tc>
        <w:tc>
          <w:tcPr>
            <w:tcW w:w="320" w:type="dxa"/>
            <w:vAlign w:val="bottom"/>
          </w:tcPr>
          <w:p>
            <w:pPr>
              <w:spacing w:after="0"/>
              <w:rPr>
                <w:sz w:val="15"/>
                <w:szCs w:val="15"/>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spacing w:after="0"/>
              <w:rPr>
                <w:sz w:val="20"/>
                <w:szCs w:val="20"/>
                <w:color w:val="auto"/>
              </w:rPr>
            </w:pPr>
            <w:r>
              <w:rPr>
                <w:rFonts w:ascii="Arial" w:cs="Arial" w:eastAsia="Arial" w:hAnsi="Arial"/>
                <w:sz w:val="12"/>
                <w:szCs w:val="12"/>
                <w:color w:val="auto"/>
              </w:rPr>
              <w:t>285,352</w:t>
            </w:r>
          </w:p>
        </w:tc>
        <w:tc>
          <w:tcPr>
            <w:tcW w:w="740" w:type="dxa"/>
            <w:vAlign w:val="bottom"/>
            <w:gridSpan w:val="3"/>
          </w:tcPr>
          <w:p>
            <w:pPr>
              <w:jc w:val="right"/>
              <w:ind w:right="42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40"/>
              <w:spacing w:after="0"/>
              <w:rPr>
                <w:sz w:val="20"/>
                <w:szCs w:val="20"/>
                <w:color w:val="auto"/>
              </w:rPr>
            </w:pPr>
            <w:r>
              <w:rPr>
                <w:rFonts w:ascii="Arial" w:cs="Arial" w:eastAsia="Arial" w:hAnsi="Arial"/>
                <w:sz w:val="12"/>
                <w:szCs w:val="12"/>
                <w:color w:val="auto"/>
              </w:rPr>
              <w:t>(76,757)</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2"/>
                <w:szCs w:val="12"/>
                <w:color w:val="auto"/>
              </w:rPr>
              <w:t>129,030</w:t>
            </w:r>
          </w:p>
        </w:tc>
        <w:tc>
          <w:tcPr>
            <w:tcW w:w="10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337,625</w:t>
            </w:r>
          </w:p>
        </w:tc>
      </w:tr>
      <w:tr>
        <w:trPr>
          <w:trHeight w:val="185"/>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EBITDA</w:t>
            </w:r>
          </w:p>
        </w:tc>
        <w:tc>
          <w:tcPr>
            <w:tcW w:w="3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452,982</w:t>
            </w:r>
          </w:p>
        </w:tc>
        <w:tc>
          <w:tcPr>
            <w:tcW w:w="740" w:type="dxa"/>
            <w:vAlign w:val="bottom"/>
            <w:gridSpan w:val="3"/>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15,478</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(18,767)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449,693</w:t>
            </w:r>
          </w:p>
        </w:tc>
      </w:tr>
      <w:tr>
        <w:trPr>
          <w:trHeight w:val="288"/>
        </w:trPr>
        <w:tc>
          <w:tcPr>
            <w:tcW w:w="4860" w:type="dxa"/>
            <w:vAlign w:val="bottom"/>
            <w:gridSpan w:val="2"/>
          </w:tcPr>
          <w:p>
            <w:pPr>
              <w:spacing w:after="0"/>
              <w:rPr>
                <w:sz w:val="20"/>
                <w:szCs w:val="20"/>
                <w:color w:val="auto"/>
              </w:rPr>
            </w:pPr>
            <w:r>
              <w:rPr>
                <w:rFonts w:ascii="Arial" w:cs="Arial" w:eastAsia="Arial" w:hAnsi="Arial"/>
                <w:sz w:val="12"/>
                <w:szCs w:val="12"/>
                <w:i w:val="1"/>
                <w:iCs w:val="1"/>
                <w:color w:val="auto"/>
              </w:rPr>
              <w:t>Hughes Segment</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9"/>
        </w:trPr>
        <w:tc>
          <w:tcPr>
            <w:tcW w:w="80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gridSpan w:val="5"/>
          </w:tcPr>
          <w:p>
            <w:pPr>
              <w:jc w:val="right"/>
              <w:ind w:right="40"/>
              <w:spacing w:after="0"/>
              <w:rPr>
                <w:sz w:val="20"/>
                <w:szCs w:val="20"/>
                <w:color w:val="auto"/>
              </w:rPr>
            </w:pPr>
            <w:r>
              <w:rPr>
                <w:rFonts w:ascii="Arial" w:cs="Arial" w:eastAsia="Arial" w:hAnsi="Arial"/>
                <w:sz w:val="12"/>
                <w:szCs w:val="12"/>
                <w:b w:val="1"/>
                <w:bCs w:val="1"/>
                <w:color w:val="auto"/>
              </w:rPr>
              <w:t>For the nine months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63"/>
        </w:trPr>
        <w:tc>
          <w:tcPr>
            <w:tcW w:w="8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jc w:val="right"/>
              <w:ind w:right="740"/>
              <w:spacing w:after="0"/>
              <w:rPr>
                <w:sz w:val="20"/>
                <w:szCs w:val="20"/>
                <w:color w:val="auto"/>
              </w:rPr>
            </w:pPr>
            <w:r>
              <w:rPr>
                <w:rFonts w:ascii="Arial" w:cs="Arial" w:eastAsia="Arial" w:hAnsi="Arial"/>
                <w:sz w:val="12"/>
                <w:szCs w:val="12"/>
                <w:b w:val="1"/>
                <w:bCs w:val="1"/>
                <w:color w:val="auto"/>
              </w:rPr>
              <w:t>ended September 30,</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ind w:left="340"/>
              <w:spacing w:after="0"/>
              <w:rPr>
                <w:sz w:val="20"/>
                <w:szCs w:val="20"/>
                <w:color w:val="auto"/>
              </w:rPr>
            </w:pPr>
            <w:r>
              <w:rPr>
                <w:rFonts w:ascii="Arial" w:cs="Arial" w:eastAsia="Arial" w:hAnsi="Arial"/>
                <w:sz w:val="12"/>
                <w:szCs w:val="12"/>
                <w:b w:val="1"/>
                <w:bCs w:val="1"/>
                <w:color w:val="auto"/>
              </w:rPr>
              <w:t>Variance</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r>
      <w:tr>
        <w:trPr>
          <w:trHeight w:val="169"/>
        </w:trPr>
        <w:tc>
          <w:tcPr>
            <w:tcW w:w="8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3"/>
          </w:tcPr>
          <w:p>
            <w:pPr>
              <w:jc w:val="right"/>
              <w:ind w:right="480"/>
              <w:spacing w:after="0"/>
              <w:rPr>
                <w:sz w:val="20"/>
                <w:szCs w:val="20"/>
                <w:color w:val="auto"/>
              </w:rPr>
            </w:pPr>
            <w:r>
              <w:rPr>
                <w:rFonts w:ascii="Arial" w:cs="Arial" w:eastAsia="Arial" w:hAnsi="Arial"/>
                <w:sz w:val="12"/>
                <w:szCs w:val="12"/>
                <w:b w:val="1"/>
                <w:bCs w:val="1"/>
                <w:color w:val="auto"/>
                <w:w w:val="89"/>
              </w:rPr>
              <w:t>2018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6"/>
          </w:tcPr>
          <w:p>
            <w:pPr>
              <w:ind w:left="48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jc w:val="right"/>
              <w:ind w:right="60"/>
              <w:spacing w:after="0"/>
              <w:rPr>
                <w:sz w:val="20"/>
                <w:szCs w:val="20"/>
                <w:color w:val="auto"/>
              </w:rPr>
            </w:pPr>
            <w:r>
              <w:rPr>
                <w:rFonts w:ascii="Arial" w:cs="Arial" w:eastAsia="Arial" w:hAnsi="Arial"/>
                <w:sz w:val="12"/>
                <w:szCs w:val="12"/>
                <w:b w:val="1"/>
                <w:bCs w:val="1"/>
                <w:color w:val="auto"/>
              </w:rPr>
              <w:t>%</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0"/>
        </w:trPr>
        <w:tc>
          <w:tcPr>
            <w:tcW w:w="8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0" w:type="dxa"/>
            <w:vAlign w:val="bottom"/>
          </w:tcPr>
          <w:p>
            <w:pPr>
              <w:spacing w:after="0"/>
              <w:rPr>
                <w:sz w:val="18"/>
                <w:szCs w:val="18"/>
                <w:color w:val="auto"/>
              </w:rPr>
            </w:pPr>
          </w:p>
        </w:tc>
      </w:tr>
      <w:tr>
        <w:trPr>
          <w:trHeight w:val="180"/>
        </w:trPr>
        <w:tc>
          <w:tcPr>
            <w:tcW w:w="800" w:type="dxa"/>
            <w:vAlign w:val="bottom"/>
          </w:tcPr>
          <w:p>
            <w:pPr>
              <w:spacing w:after="0"/>
              <w:rPr>
                <w:sz w:val="15"/>
                <w:szCs w:val="15"/>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1,360,919</w:t>
            </w:r>
          </w:p>
        </w:tc>
        <w:tc>
          <w:tcPr>
            <w:tcW w:w="760" w:type="dxa"/>
            <w:vAlign w:val="bottom"/>
            <w:gridSpan w:val="3"/>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1,271,886</w:t>
            </w: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89,033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7.0</w:t>
            </w:r>
          </w:p>
        </w:tc>
        <w:tc>
          <w:tcPr>
            <w:tcW w:w="800" w:type="dxa"/>
            <w:vAlign w:val="bottom"/>
          </w:tcPr>
          <w:p>
            <w:pPr>
              <w:spacing w:after="0"/>
              <w:rPr>
                <w:sz w:val="15"/>
                <w:szCs w:val="15"/>
                <w:color w:val="auto"/>
              </w:rPr>
            </w:pPr>
          </w:p>
        </w:tc>
      </w:tr>
      <w:tr>
        <w:trPr>
          <w:trHeight w:val="176"/>
        </w:trPr>
        <w:tc>
          <w:tcPr>
            <w:tcW w:w="800" w:type="dxa"/>
            <w:vAlign w:val="bottom"/>
          </w:tcPr>
          <w:p>
            <w:pPr>
              <w:spacing w:after="0"/>
              <w:rPr>
                <w:sz w:val="15"/>
                <w:szCs w:val="15"/>
                <w:color w:val="auto"/>
              </w:rPr>
            </w:pPr>
          </w:p>
        </w:tc>
        <w:tc>
          <w:tcPr>
            <w:tcW w:w="4060" w:type="dxa"/>
            <w:vAlign w:val="bottom"/>
          </w:tcPr>
          <w:p>
            <w:pPr>
              <w:ind w:left="20"/>
              <w:spacing w:after="0"/>
              <w:rPr>
                <w:sz w:val="20"/>
                <w:szCs w:val="20"/>
                <w:color w:val="auto"/>
              </w:rPr>
            </w:pPr>
            <w:r>
              <w:rPr>
                <w:rFonts w:ascii="Arial" w:cs="Arial" w:eastAsia="Arial" w:hAnsi="Arial"/>
                <w:sz w:val="12"/>
                <w:szCs w:val="12"/>
                <w:color w:val="auto"/>
              </w:rPr>
              <w:t>Capital expenditures</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224,483</w:t>
            </w:r>
          </w:p>
        </w:tc>
        <w:tc>
          <w:tcPr>
            <w:tcW w:w="760" w:type="dxa"/>
            <w:vAlign w:val="bottom"/>
            <w:gridSpan w:val="3"/>
          </w:tcPr>
          <w:p>
            <w:pPr>
              <w:jc w:val="right"/>
              <w:ind w:right="480"/>
              <w:spacing w:after="0"/>
              <w:rPr>
                <w:sz w:val="20"/>
                <w:szCs w:val="20"/>
                <w:color w:val="auto"/>
              </w:rPr>
            </w:pPr>
            <w:r>
              <w:rPr>
                <w:rFonts w:ascii="Arial" w:cs="Arial" w:eastAsia="Arial" w:hAnsi="Arial"/>
                <w:sz w:val="12"/>
                <w:szCs w:val="12"/>
                <w:color w:val="auto"/>
              </w:rPr>
              <w:t>$</w:t>
            </w:r>
          </w:p>
        </w:tc>
        <w:tc>
          <w:tcPr>
            <w:tcW w:w="740" w:type="dxa"/>
            <w:vAlign w:val="bottom"/>
            <w:gridSpan w:val="3"/>
          </w:tcPr>
          <w:p>
            <w:pPr>
              <w:jc w:val="right"/>
              <w:ind w:right="20"/>
              <w:spacing w:after="0"/>
              <w:rPr>
                <w:sz w:val="20"/>
                <w:szCs w:val="20"/>
                <w:color w:val="auto"/>
              </w:rPr>
            </w:pPr>
            <w:r>
              <w:rPr>
                <w:rFonts w:ascii="Arial" w:cs="Arial" w:eastAsia="Arial" w:hAnsi="Arial"/>
                <w:sz w:val="12"/>
                <w:szCs w:val="12"/>
                <w:color w:val="auto"/>
              </w:rPr>
              <w:t>285,352</w:t>
            </w:r>
          </w:p>
        </w:tc>
        <w:tc>
          <w:tcPr>
            <w:tcW w:w="780" w:type="dxa"/>
            <w:vAlign w:val="bottom"/>
            <w:gridSpan w:val="3"/>
          </w:tcPr>
          <w:p>
            <w:pPr>
              <w:jc w:val="right"/>
              <w:ind w:right="46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(60,869)</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(21.3)</w:t>
            </w:r>
          </w:p>
        </w:tc>
        <w:tc>
          <w:tcPr>
            <w:tcW w:w="800" w:type="dxa"/>
            <w:vAlign w:val="bottom"/>
          </w:tcPr>
          <w:p>
            <w:pPr>
              <w:spacing w:after="0"/>
              <w:rPr>
                <w:sz w:val="15"/>
                <w:szCs w:val="15"/>
                <w:color w:val="auto"/>
              </w:rPr>
            </w:pPr>
          </w:p>
        </w:tc>
      </w:tr>
      <w:tr>
        <w:trPr>
          <w:trHeight w:val="185"/>
        </w:trPr>
        <w:tc>
          <w:tcPr>
            <w:tcW w:w="800" w:type="dxa"/>
            <w:vAlign w:val="bottom"/>
          </w:tcPr>
          <w:p>
            <w:pPr>
              <w:spacing w:after="0"/>
              <w:rPr>
                <w:sz w:val="16"/>
                <w:szCs w:val="16"/>
                <w:color w:val="auto"/>
              </w:rPr>
            </w:pPr>
          </w:p>
        </w:tc>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EBITDA</w:t>
            </w:r>
          </w:p>
        </w:tc>
        <w:tc>
          <w:tcPr>
            <w:tcW w:w="320" w:type="dxa"/>
            <w:vAlign w:val="bottom"/>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448,837</w:t>
            </w:r>
          </w:p>
        </w:tc>
        <w:tc>
          <w:tcPr>
            <w:tcW w:w="760" w:type="dxa"/>
            <w:vAlign w:val="bottom"/>
            <w:gridSpan w:val="3"/>
            <w:shd w:val="clear" w:color="auto" w:fill="CCEEFF"/>
          </w:tcPr>
          <w:p>
            <w:pPr>
              <w:jc w:val="right"/>
              <w:ind w:right="480"/>
              <w:spacing w:after="0"/>
              <w:rPr>
                <w:sz w:val="20"/>
                <w:szCs w:val="20"/>
                <w:color w:val="auto"/>
              </w:rPr>
            </w:pPr>
            <w:r>
              <w:rPr>
                <w:rFonts w:ascii="Arial" w:cs="Arial" w:eastAsia="Arial" w:hAnsi="Arial"/>
                <w:sz w:val="12"/>
                <w:szCs w:val="12"/>
                <w:color w:val="auto"/>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452,982</w:t>
            </w: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(4,145)</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w:t>
            </w:r>
          </w:p>
        </w:tc>
        <w:tc>
          <w:tcPr>
            <w:tcW w:w="800" w:type="dxa"/>
            <w:vAlign w:val="bottom"/>
          </w:tcPr>
          <w:p>
            <w:pPr>
              <w:spacing w:after="0"/>
              <w:rPr>
                <w:sz w:val="16"/>
                <w:szCs w:val="16"/>
                <w:color w:val="auto"/>
              </w:rPr>
            </w:pPr>
          </w:p>
        </w:tc>
      </w:tr>
    </w:tbl>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Total revenue for the nine months ended September 30, 2019 increased by $89.0 million, or 7.0%, compared to the same period in 2018. The increase was primarily due to an increase of $81.4 million in sales of broadband services to our consumer customers and net increases in hardware sales of $13.2 million to our enterprise customers and $11.9 million to our mobile satellite systems customers. The increase was partially offset by a decrease of $20.5 million in sales of broadband services to our enterprise customers.</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Capital expenditures for the nine months ended September 30, 2019 decreased by $60.9 million, or 21.3%, compared to the same period in 2018, primarily due to net decreases in capital expenditures associated with the construction and infrastructure of our satellites and in our consumer and enterprise businesses.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EBITDA for the nine months ended September 30, 2019 was $448.8 million, a decrease of $4.1 million, or 0.9%, compared to the same period in 2018. The change in EBITDA was primarily attributable to an increase of $65.3 million in gross margin, which was offset by increases in (i) expense of $ 32.9 million related to certain legal proceedings, (ii) marketing and promotional expenses of $18.4 million mainly associated with our consumer business, (iii) bad debt expense of $6.6 million, (iv) a loss of $4.8 million from certain investments in our unconsolidated entities, and (v) other general and administrative expenses.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ectPr>
          <w:pgSz w:w="11900" w:h="16838" w:orient="portrait"/>
          <w:cols w:equalWidth="0" w:num="1">
            <w:col w:w="11480"/>
          </w:cols>
          <w:pgMar w:left="220" w:top="140" w:right="199" w:bottom="1440" w:gutter="0" w:footer="0" w:header="0"/>
        </w:sectPr>
      </w:pPr>
    </w:p>
    <w:bookmarkStart w:id="66" w:name="page67"/>
    <w:bookmarkEnd w:id="6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 - Continued</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ESS Segment</w:t>
      </w:r>
    </w:p>
    <w:p>
      <w:pPr>
        <w:spacing w:after="0" w:line="109" w:lineRule="exact"/>
        <w:rPr>
          <w:sz w:val="20"/>
          <w:szCs w:val="20"/>
          <w:color w:val="auto"/>
        </w:rPr>
      </w:pPr>
    </w:p>
    <w:tbl>
      <w:tblPr>
        <w:tblLayout w:type="fixed"/>
        <w:tblInd w:w="800" w:type="dxa"/>
        <w:tblCellMar>
          <w:top w:w="0" w:type="dxa"/>
          <w:left w:w="0" w:type="dxa"/>
          <w:bottom w:w="0" w:type="dxa"/>
          <w:right w:w="0" w:type="dxa"/>
        </w:tblCellMar>
      </w:tblPr>
      <w:tr>
        <w:trPr>
          <w:trHeight w:val="138"/>
        </w:trPr>
        <w:tc>
          <w:tcPr>
            <w:tcW w:w="4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rPr>
              <w:t>For the nine months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3"/>
        </w:trPr>
        <w:tc>
          <w:tcPr>
            <w:tcW w:w="40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2"/>
                <w:szCs w:val="12"/>
                <w:b w:val="1"/>
                <w:bCs w:val="1"/>
                <w:color w:val="auto"/>
                <w:w w:val="99"/>
              </w:rPr>
              <w:t>ended September 30,</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900"/>
              <w:spacing w:after="0"/>
              <w:rPr>
                <w:sz w:val="20"/>
                <w:szCs w:val="20"/>
                <w:color w:val="auto"/>
              </w:rPr>
            </w:pPr>
            <w:r>
              <w:rPr>
                <w:rFonts w:ascii="Arial" w:cs="Arial" w:eastAsia="Arial" w:hAnsi="Arial"/>
                <w:sz w:val="12"/>
                <w:szCs w:val="12"/>
                <w:b w:val="1"/>
                <w:bCs w:val="1"/>
                <w:color w:val="auto"/>
              </w:rPr>
              <w:t>Variance</w:t>
            </w:r>
          </w:p>
        </w:tc>
        <w:tc>
          <w:tcPr>
            <w:tcW w:w="960" w:type="dxa"/>
            <w:vAlign w:val="bottom"/>
            <w:tcBorders>
              <w:bottom w:val="single" w:sz="8" w:color="auto"/>
            </w:tcBorders>
          </w:tcPr>
          <w:p>
            <w:pPr>
              <w:spacing w:after="0"/>
              <w:rPr>
                <w:sz w:val="14"/>
                <w:szCs w:val="14"/>
                <w:color w:val="auto"/>
              </w:rPr>
            </w:pPr>
          </w:p>
        </w:tc>
      </w:tr>
      <w:tr>
        <w:trPr>
          <w:trHeight w:val="169"/>
        </w:trPr>
        <w:tc>
          <w:tcPr>
            <w:tcW w:w="40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2"/>
                <w:szCs w:val="12"/>
                <w:b w:val="1"/>
                <w:bCs w:val="1"/>
                <w:color w:val="auto"/>
              </w:rPr>
              <w:t>2018</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ind w:left="200"/>
              <w:spacing w:after="0"/>
              <w:rPr>
                <w:sz w:val="20"/>
                <w:szCs w:val="20"/>
                <w:color w:val="auto"/>
              </w:rPr>
            </w:pPr>
            <w:r>
              <w:rPr>
                <w:rFonts w:ascii="Arial" w:cs="Arial" w:eastAsia="Arial" w:hAnsi="Arial"/>
                <w:sz w:val="12"/>
                <w:szCs w:val="12"/>
                <w:b w:val="1"/>
                <w:bCs w:val="1"/>
                <w:color w:val="auto"/>
              </w:rPr>
              <w:t>Amount</w:t>
            </w:r>
          </w:p>
        </w:tc>
        <w:tc>
          <w:tcPr>
            <w:tcW w:w="960" w:type="dxa"/>
            <w:vAlign w:val="bottom"/>
          </w:tcPr>
          <w:p>
            <w:pPr>
              <w:jc w:val="right"/>
              <w:ind w:right="580"/>
              <w:spacing w:after="0"/>
              <w:rPr>
                <w:sz w:val="20"/>
                <w:szCs w:val="20"/>
                <w:color w:val="auto"/>
              </w:rPr>
            </w:pPr>
            <w:r>
              <w:rPr>
                <w:rFonts w:ascii="Arial" w:cs="Arial" w:eastAsia="Arial" w:hAnsi="Arial"/>
                <w:sz w:val="12"/>
                <w:szCs w:val="12"/>
                <w:b w:val="1"/>
                <w:bCs w:val="1"/>
                <w:color w:val="auto"/>
              </w:rPr>
              <w:t>%</w:t>
            </w:r>
          </w:p>
        </w:tc>
      </w:tr>
      <w:tr>
        <w:trPr>
          <w:trHeight w:val="210"/>
        </w:trPr>
        <w:tc>
          <w:tcPr>
            <w:tcW w:w="40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180"/>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w:t>
            </w:r>
          </w:p>
        </w:tc>
        <w:tc>
          <w:tcPr>
            <w:tcW w:w="82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11,873</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72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22,562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(10,689)</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(47.4)</w:t>
            </w:r>
          </w:p>
        </w:tc>
      </w:tr>
      <w:tr>
        <w:trPr>
          <w:trHeight w:val="176"/>
        </w:trPr>
        <w:tc>
          <w:tcPr>
            <w:tcW w:w="4060" w:type="dxa"/>
            <w:vAlign w:val="bottom"/>
          </w:tcPr>
          <w:p>
            <w:pPr>
              <w:ind w:left="20"/>
              <w:spacing w:after="0"/>
              <w:rPr>
                <w:sz w:val="20"/>
                <w:szCs w:val="20"/>
                <w:color w:val="auto"/>
              </w:rPr>
            </w:pPr>
            <w:r>
              <w:rPr>
                <w:rFonts w:ascii="Arial" w:cs="Arial" w:eastAsia="Arial" w:hAnsi="Arial"/>
                <w:sz w:val="12"/>
                <w:szCs w:val="12"/>
                <w:color w:val="auto"/>
              </w:rPr>
              <w:t>Capital expenditures</w:t>
            </w:r>
          </w:p>
        </w:tc>
        <w:tc>
          <w:tcPr>
            <w:tcW w:w="820" w:type="dxa"/>
            <w:vAlign w:val="bottom"/>
          </w:tcPr>
          <w:p>
            <w:pPr>
              <w:jc w:val="right"/>
              <w:ind w:right="680"/>
              <w:spacing w:after="0"/>
              <w:rPr>
                <w:sz w:val="20"/>
                <w:szCs w:val="20"/>
                <w:color w:val="auto"/>
              </w:rPr>
            </w:pPr>
            <w:r>
              <w:rPr>
                <w:rFonts w:ascii="Arial" w:cs="Arial" w:eastAsia="Arial" w:hAnsi="Arial"/>
                <w:sz w:val="12"/>
                <w:szCs w:val="12"/>
                <w:color w:val="auto"/>
                <w:w w:val="89"/>
              </w:rPr>
              <w:t>$</w:t>
            </w: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720"/>
              <w:spacing w:after="0"/>
              <w:rPr>
                <w:sz w:val="20"/>
                <w:szCs w:val="20"/>
                <w:color w:val="auto"/>
              </w:rPr>
            </w:pPr>
            <w:r>
              <w:rPr>
                <w:rFonts w:ascii="Arial" w:cs="Arial" w:eastAsia="Arial" w:hAnsi="Arial"/>
                <w:sz w:val="12"/>
                <w:szCs w:val="12"/>
                <w:color w:val="auto"/>
                <w:w w:val="89"/>
              </w:rPr>
              <w:t>$</w:t>
            </w:r>
          </w:p>
        </w:tc>
        <w:tc>
          <w:tcPr>
            <w:tcW w:w="520" w:type="dxa"/>
            <w:vAlign w:val="bottom"/>
          </w:tcPr>
          <w:p>
            <w:pPr>
              <w:jc w:val="right"/>
              <w:spacing w:after="0"/>
              <w:rPr>
                <w:sz w:val="20"/>
                <w:szCs w:val="20"/>
                <w:color w:val="auto"/>
              </w:rPr>
            </w:pPr>
            <w:r>
              <w:rPr>
                <w:rFonts w:ascii="Arial" w:cs="Arial" w:eastAsia="Arial" w:hAnsi="Arial"/>
                <w:sz w:val="12"/>
                <w:szCs w:val="12"/>
                <w:color w:val="auto"/>
                <w:w w:val="98"/>
              </w:rPr>
              <w:t>(76,757)</w:t>
            </w:r>
          </w:p>
        </w:tc>
        <w:tc>
          <w:tcPr>
            <w:tcW w:w="10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2"/>
                <w:szCs w:val="12"/>
                <w:color w:val="auto"/>
              </w:rPr>
              <w:t>76,757</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(100.0)</w:t>
            </w:r>
          </w:p>
        </w:tc>
      </w:tr>
      <w:tr>
        <w:trPr>
          <w:trHeight w:val="185"/>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EBITDA</w:t>
            </w:r>
          </w:p>
        </w:tc>
        <w:tc>
          <w:tcPr>
            <w:tcW w:w="82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5,006</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720"/>
              <w:spacing w:after="0"/>
              <w:rPr>
                <w:sz w:val="20"/>
                <w:szCs w:val="20"/>
                <w:color w:val="auto"/>
              </w:rPr>
            </w:pPr>
            <w:r>
              <w:rPr>
                <w:rFonts w:ascii="Arial" w:cs="Arial" w:eastAsia="Arial" w:hAnsi="Arial"/>
                <w:sz w:val="12"/>
                <w:szCs w:val="12"/>
                <w:color w:val="auto"/>
                <w:w w:val="89"/>
              </w:rPr>
              <w:t>$</w:t>
            </w:r>
          </w:p>
        </w:tc>
        <w:tc>
          <w:tcPr>
            <w:tcW w:w="5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15,478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(10,472)</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(67.7)</w:t>
            </w:r>
          </w:p>
        </w:tc>
      </w:tr>
    </w:tbl>
    <w:p>
      <w:pPr>
        <w:spacing w:after="0" w:line="3" w:lineRule="exact"/>
        <w:rPr>
          <w:sz w:val="20"/>
          <w:szCs w:val="20"/>
          <w:color w:val="auto"/>
        </w:rPr>
      </w:pPr>
    </w:p>
    <w:p>
      <w:pPr>
        <w:ind w:left="560" w:hanging="136"/>
        <w:spacing w:after="0"/>
        <w:tabs>
          <w:tab w:leader="none" w:pos="560" w:val="left"/>
        </w:tabs>
        <w:numPr>
          <w:ilvl w:val="0"/>
          <w:numId w:val="11"/>
        </w:numPr>
        <w:rPr>
          <w:rFonts w:ascii="Arial" w:cs="Arial" w:eastAsia="Arial" w:hAnsi="Arial"/>
          <w:sz w:val="10"/>
          <w:szCs w:val="10"/>
          <w:color w:val="auto"/>
        </w:rPr>
      </w:pPr>
      <w:r>
        <w:rPr>
          <w:rFonts w:ascii="Arial" w:cs="Arial" w:eastAsia="Arial" w:hAnsi="Arial"/>
          <w:sz w:val="10"/>
          <w:szCs w:val="10"/>
          <w:color w:val="auto"/>
        </w:rPr>
        <w:t>Percentage is not meaningful.</w:t>
      </w:r>
    </w:p>
    <w:p>
      <w:pPr>
        <w:spacing w:after="0" w:line="134"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Total revenue for the nine months ended September 30, 2019 decreased by $10.7 million, or 47.4%, compared to the same period in 2018. The decrease was attributable to a net decrease of $9.7 million in transponder services provided to third parties and a decrease of $1.6 million in satellite capacity leased to DISH Network on the EchoStar IX satellite.</w:t>
      </w:r>
    </w:p>
    <w:p>
      <w:pPr>
        <w:spacing w:after="0" w:line="131"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Capital expenditures for the nine months ended September 30, 2019 increased by $76.8 million compared to the same period in 2018, primarily due to a reimbursement of $77 million related to the EchoStar 105/SES-11 satellite received in the first quarter of 2018.</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EBITDA for the nine months ended September 30, 2019 was $5.0 million, a decrease of $10.5 million, or 67.7%, compared to the same period in 2018, primarily due to the decrease in ESS revenue.</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Corporate and Other</w:t>
      </w:r>
    </w:p>
    <w:p>
      <w:pPr>
        <w:spacing w:after="0" w:line="253" w:lineRule="exact"/>
        <w:rPr>
          <w:sz w:val="20"/>
          <w:szCs w:val="20"/>
          <w:color w:val="auto"/>
        </w:rPr>
      </w:pPr>
    </w:p>
    <w:tbl>
      <w:tblPr>
        <w:tblLayout w:type="fixed"/>
        <w:tblInd w:w="800" w:type="dxa"/>
        <w:tblCellMar>
          <w:top w:w="0" w:type="dxa"/>
          <w:left w:w="0" w:type="dxa"/>
          <w:bottom w:w="0" w:type="dxa"/>
          <w:right w:w="0" w:type="dxa"/>
        </w:tblCellMar>
      </w:tblPr>
      <w:tr>
        <w:trPr>
          <w:trHeight w:val="138"/>
        </w:trPr>
        <w:tc>
          <w:tcPr>
            <w:tcW w:w="40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0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rPr>
              <w:t>For the nine months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3"/>
        </w:trPr>
        <w:tc>
          <w:tcPr>
            <w:tcW w:w="40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2"/>
                <w:szCs w:val="12"/>
                <w:b w:val="1"/>
                <w:bCs w:val="1"/>
                <w:color w:val="auto"/>
                <w:w w:val="99"/>
              </w:rPr>
              <w:t>ended 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ind w:left="900"/>
              <w:spacing w:after="0"/>
              <w:rPr>
                <w:sz w:val="20"/>
                <w:szCs w:val="20"/>
                <w:color w:val="auto"/>
              </w:rPr>
            </w:pPr>
            <w:r>
              <w:rPr>
                <w:rFonts w:ascii="Arial" w:cs="Arial" w:eastAsia="Arial" w:hAnsi="Arial"/>
                <w:sz w:val="12"/>
                <w:szCs w:val="12"/>
                <w:b w:val="1"/>
                <w:bCs w:val="1"/>
                <w:color w:val="auto"/>
              </w:rPr>
              <w:t>Variance</w:t>
            </w:r>
          </w:p>
        </w:tc>
        <w:tc>
          <w:tcPr>
            <w:tcW w:w="960" w:type="dxa"/>
            <w:vAlign w:val="bottom"/>
            <w:tcBorders>
              <w:bottom w:val="single" w:sz="8" w:color="auto"/>
            </w:tcBorders>
          </w:tcPr>
          <w:p>
            <w:pPr>
              <w:spacing w:after="0"/>
              <w:rPr>
                <w:sz w:val="14"/>
                <w:szCs w:val="14"/>
                <w:color w:val="auto"/>
              </w:rPr>
            </w:pPr>
          </w:p>
        </w:tc>
      </w:tr>
      <w:tr>
        <w:trPr>
          <w:trHeight w:val="169"/>
        </w:trPr>
        <w:tc>
          <w:tcPr>
            <w:tcW w:w="40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2019</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2018</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ind w:left="200"/>
              <w:spacing w:after="0"/>
              <w:rPr>
                <w:sz w:val="20"/>
                <w:szCs w:val="20"/>
                <w:color w:val="auto"/>
              </w:rPr>
            </w:pPr>
            <w:r>
              <w:rPr>
                <w:rFonts w:ascii="Arial" w:cs="Arial" w:eastAsia="Arial" w:hAnsi="Arial"/>
                <w:sz w:val="12"/>
                <w:szCs w:val="12"/>
                <w:b w:val="1"/>
                <w:bCs w:val="1"/>
                <w:color w:val="auto"/>
              </w:rPr>
              <w:t>Amount</w:t>
            </w:r>
          </w:p>
        </w:tc>
        <w:tc>
          <w:tcPr>
            <w:tcW w:w="960" w:type="dxa"/>
            <w:vAlign w:val="bottom"/>
          </w:tcPr>
          <w:p>
            <w:pPr>
              <w:jc w:val="right"/>
              <w:ind w:right="580"/>
              <w:spacing w:after="0"/>
              <w:rPr>
                <w:sz w:val="20"/>
                <w:szCs w:val="20"/>
                <w:color w:val="auto"/>
              </w:rPr>
            </w:pPr>
            <w:r>
              <w:rPr>
                <w:rFonts w:ascii="Arial" w:cs="Arial" w:eastAsia="Arial" w:hAnsi="Arial"/>
                <w:sz w:val="12"/>
                <w:szCs w:val="12"/>
                <w:b w:val="1"/>
                <w:bCs w:val="1"/>
                <w:color w:val="auto"/>
              </w:rPr>
              <w:t>%</w:t>
            </w:r>
          </w:p>
        </w:tc>
      </w:tr>
      <w:tr>
        <w:trPr>
          <w:trHeight w:val="210"/>
        </w:trPr>
        <w:tc>
          <w:tcPr>
            <w:tcW w:w="40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180"/>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revenue</w:t>
            </w:r>
          </w:p>
        </w:tc>
        <w:tc>
          <w:tcPr>
            <w:tcW w:w="82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14,283</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700"/>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14,207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76</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0.5</w:t>
            </w:r>
          </w:p>
        </w:tc>
      </w:tr>
      <w:tr>
        <w:trPr>
          <w:trHeight w:val="176"/>
        </w:trPr>
        <w:tc>
          <w:tcPr>
            <w:tcW w:w="4060" w:type="dxa"/>
            <w:vAlign w:val="bottom"/>
          </w:tcPr>
          <w:p>
            <w:pPr>
              <w:ind w:left="20"/>
              <w:spacing w:after="0"/>
              <w:rPr>
                <w:sz w:val="20"/>
                <w:szCs w:val="20"/>
                <w:color w:val="auto"/>
              </w:rPr>
            </w:pPr>
            <w:r>
              <w:rPr>
                <w:rFonts w:ascii="Arial" w:cs="Arial" w:eastAsia="Arial" w:hAnsi="Arial"/>
                <w:sz w:val="12"/>
                <w:szCs w:val="12"/>
                <w:color w:val="auto"/>
              </w:rPr>
              <w:t>Capital expenditures</w:t>
            </w:r>
          </w:p>
        </w:tc>
        <w:tc>
          <w:tcPr>
            <w:tcW w:w="820" w:type="dxa"/>
            <w:vAlign w:val="bottom"/>
          </w:tcPr>
          <w:p>
            <w:pPr>
              <w:jc w:val="right"/>
              <w:ind w:right="680"/>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ind w:right="40"/>
              <w:spacing w:after="0"/>
              <w:rPr>
                <w:sz w:val="20"/>
                <w:szCs w:val="20"/>
                <w:color w:val="auto"/>
              </w:rPr>
            </w:pPr>
            <w:r>
              <w:rPr>
                <w:rFonts w:ascii="Arial" w:cs="Arial" w:eastAsia="Arial" w:hAnsi="Arial"/>
                <w:sz w:val="12"/>
                <w:szCs w:val="12"/>
                <w:color w:val="auto"/>
              </w:rPr>
              <w:t>89,868</w:t>
            </w:r>
          </w:p>
        </w:tc>
        <w:tc>
          <w:tcPr>
            <w:tcW w:w="100" w:type="dxa"/>
            <w:vAlign w:val="bottom"/>
          </w:tcPr>
          <w:p>
            <w:pPr>
              <w:spacing w:after="0"/>
              <w:rPr>
                <w:sz w:val="15"/>
                <w:szCs w:val="15"/>
                <w:color w:val="auto"/>
              </w:rPr>
            </w:pPr>
          </w:p>
        </w:tc>
        <w:tc>
          <w:tcPr>
            <w:tcW w:w="840" w:type="dxa"/>
            <w:vAlign w:val="bottom"/>
          </w:tcPr>
          <w:p>
            <w:pPr>
              <w:jc w:val="right"/>
              <w:ind w:right="700"/>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40"/>
              <w:spacing w:after="0"/>
              <w:rPr>
                <w:sz w:val="20"/>
                <w:szCs w:val="20"/>
                <w:color w:val="auto"/>
              </w:rPr>
            </w:pPr>
            <w:r>
              <w:rPr>
                <w:rFonts w:ascii="Arial" w:cs="Arial" w:eastAsia="Arial" w:hAnsi="Arial"/>
                <w:sz w:val="12"/>
                <w:szCs w:val="12"/>
                <w:color w:val="auto"/>
                <w:w w:val="96"/>
              </w:rPr>
              <w:t>129,030</w:t>
            </w:r>
          </w:p>
        </w:tc>
        <w:tc>
          <w:tcPr>
            <w:tcW w:w="10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(39,162)</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(30.4)</w:t>
            </w:r>
          </w:p>
        </w:tc>
      </w:tr>
      <w:tr>
        <w:trPr>
          <w:trHeight w:val="185"/>
        </w:trPr>
        <w:tc>
          <w:tcPr>
            <w:tcW w:w="4060" w:type="dxa"/>
            <w:vAlign w:val="bottom"/>
            <w:shd w:val="clear" w:color="auto" w:fill="CCEEFF"/>
          </w:tcPr>
          <w:p>
            <w:pPr>
              <w:ind w:left="20"/>
              <w:spacing w:after="0"/>
              <w:rPr>
                <w:sz w:val="20"/>
                <w:szCs w:val="20"/>
                <w:color w:val="auto"/>
              </w:rPr>
            </w:pPr>
            <w:r>
              <w:rPr>
                <w:rFonts w:ascii="Arial" w:cs="Arial" w:eastAsia="Arial" w:hAnsi="Arial"/>
                <w:sz w:val="12"/>
                <w:szCs w:val="12"/>
                <w:color w:val="auto"/>
              </w:rPr>
              <w:t>EBITDA</w:t>
            </w:r>
          </w:p>
        </w:tc>
        <w:tc>
          <w:tcPr>
            <w:tcW w:w="820" w:type="dxa"/>
            <w:vAlign w:val="bottom"/>
            <w:shd w:val="clear" w:color="auto" w:fill="CCEEFF"/>
          </w:tcPr>
          <w:p>
            <w:pPr>
              <w:jc w:val="right"/>
              <w:ind w:right="680"/>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(43,843)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00"/>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(18,767)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(25,076)</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w:t>
            </w:r>
          </w:p>
        </w:tc>
      </w:tr>
    </w:tbl>
    <w:p>
      <w:pPr>
        <w:spacing w:after="0" w:line="3" w:lineRule="exact"/>
        <w:rPr>
          <w:sz w:val="20"/>
          <w:szCs w:val="20"/>
          <w:color w:val="auto"/>
        </w:rPr>
      </w:pPr>
    </w:p>
    <w:p>
      <w:pPr>
        <w:ind w:left="560" w:hanging="136"/>
        <w:spacing w:after="0"/>
        <w:tabs>
          <w:tab w:leader="none" w:pos="560" w:val="left"/>
        </w:tabs>
        <w:numPr>
          <w:ilvl w:val="0"/>
          <w:numId w:val="12"/>
        </w:numPr>
        <w:rPr>
          <w:rFonts w:ascii="Arial" w:cs="Arial" w:eastAsia="Arial" w:hAnsi="Arial"/>
          <w:sz w:val="10"/>
          <w:szCs w:val="10"/>
          <w:color w:val="auto"/>
        </w:rPr>
      </w:pPr>
      <w:r>
        <w:rPr>
          <w:rFonts w:ascii="Arial" w:cs="Arial" w:eastAsia="Arial" w:hAnsi="Arial"/>
          <w:sz w:val="10"/>
          <w:szCs w:val="10"/>
          <w:color w:val="auto"/>
        </w:rPr>
        <w:t>Percentage is not meaningful.</w:t>
      </w:r>
    </w:p>
    <w:p>
      <w:pPr>
        <w:spacing w:after="0" w:line="13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Capital expenditures for the nine months ended September 30, 2019 decreased by $39.2 million, or 30.4%, compared to the same period in 2018, primarily due to decreases in satellite expenditures on the EchoStar XXIV satellite.</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EBITDA for the nine months ended September 30, 2019 was a loss of $43.8 million, an increase in loss of $25.1 million compared to the same period in 2018. The increase in loss was largely attributable to (i) a net gain of $9.6 million due to the settlement of certain amounts due to and from a third party vendor in 2018, (ii) a decrease of $6.9 million in earnings from investments in our unconsolidated entities, (iii) a net decrease of $2.5 million of dividends received from certain marketable equity securities, (iv) a decrease of $2.5 million in gains on investments, net of losses and write-downs and (v) a higher unfavorable foreign exchange impact of $1.6 million.</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Cash Equivalents and Current Marketable Investment Securities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consider all liquid investments purchased with an original maturity of less than 90 days to be cash equivalents. See Quantitative and Qualitative Disclosures about Market Risk for further discussion regarding our marketable investment securities.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As of September 30, 2019, our cash, cash equivalents, including restricted cash, and current marketable investment securities, totaled $2.5 billion compared to $3.2 billion as of December 31, 2018.</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ectPr>
          <w:pgSz w:w="11900" w:h="16838" w:orient="portrait"/>
          <w:cols w:equalWidth="0" w:num="1">
            <w:col w:w="11480"/>
          </w:cols>
          <w:pgMar w:left="220" w:top="140" w:right="199" w:bottom="1440" w:gutter="0" w:footer="0" w:header="0"/>
        </w:sectPr>
      </w:pPr>
    </w:p>
    <w:bookmarkStart w:id="67" w:name="page68"/>
    <w:bookmarkEnd w:id="67"/>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326" w:lineRule="exact"/>
        <w:rPr>
          <w:sz w:val="20"/>
          <w:szCs w:val="20"/>
          <w:color w:val="auto"/>
        </w:rPr>
      </w:pPr>
    </w:p>
    <w:p>
      <w:pPr>
        <w:ind w:left="8"/>
        <w:spacing w:after="0" w:line="262" w:lineRule="auto"/>
        <w:rPr>
          <w:sz w:val="20"/>
          <w:szCs w:val="20"/>
          <w:color w:val="auto"/>
        </w:rPr>
      </w:pPr>
      <w:r>
        <w:rPr>
          <w:rFonts w:ascii="Arial" w:cs="Arial" w:eastAsia="Arial" w:hAnsi="Arial"/>
          <w:sz w:val="12"/>
          <w:szCs w:val="12"/>
          <w:color w:val="auto"/>
        </w:rPr>
        <w:t>As of September 30, 2019 and December 31, 2018, we held $1.0 billion and $2.3 billion, respectively, of marketable investment securities, consisting of various debt and equity instruments including corporate bonds, corporate equity securities, government bonds and mutual funds.</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following discussion highlights our cash flow activities for the nine months ended September 30, 2019.</w:t>
      </w:r>
    </w:p>
    <w:p>
      <w:pPr>
        <w:spacing w:after="0" w:line="136" w:lineRule="exact"/>
        <w:rPr>
          <w:sz w:val="20"/>
          <w:szCs w:val="20"/>
          <w:color w:val="auto"/>
        </w:rPr>
      </w:pPr>
    </w:p>
    <w:p>
      <w:pPr>
        <w:jc w:val="both"/>
        <w:ind w:left="8"/>
        <w:spacing w:after="0" w:line="262" w:lineRule="auto"/>
        <w:rPr>
          <w:sz w:val="20"/>
          <w:szCs w:val="20"/>
          <w:color w:val="auto"/>
        </w:rPr>
      </w:pPr>
      <w:r>
        <w:rPr>
          <w:rFonts w:ascii="Arial" w:cs="Arial" w:eastAsia="Arial" w:hAnsi="Arial"/>
          <w:sz w:val="12"/>
          <w:szCs w:val="12"/>
          <w:b w:val="1"/>
          <w:bCs w:val="1"/>
          <w:i w:val="1"/>
          <w:iCs w:val="1"/>
          <w:color w:val="auto"/>
        </w:rPr>
        <w:t>Cash flows from operating activities</w:t>
      </w:r>
      <w:r>
        <w:rPr>
          <w:rFonts w:ascii="Arial" w:cs="Arial" w:eastAsia="Arial" w:hAnsi="Arial"/>
          <w:sz w:val="12"/>
          <w:szCs w:val="12"/>
          <w:color w:val="auto"/>
        </w:rPr>
        <w:t>. We typically reinvest the cash flow from operating activities in our business. For the nine months ended September 30, 2019, we reported net cash inflows from operating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activities of $533.1 million, a decrease of $10.9 million, compared to the same period in 2018. The decrease in cash inflows was primarily attributable to lower net income of $43.9 million adjusted to exclude:</w:t>
      </w:r>
    </w:p>
    <w:p>
      <w:pPr>
        <w:spacing w:after="0" w:line="1" w:lineRule="exact"/>
        <w:rPr>
          <w:sz w:val="20"/>
          <w:szCs w:val="20"/>
          <w:color w:val="auto"/>
        </w:rPr>
      </w:pPr>
    </w:p>
    <w:p>
      <w:pPr>
        <w:ind w:left="8" w:hanging="8"/>
        <w:spacing w:after="0" w:line="262" w:lineRule="auto"/>
        <w:tabs>
          <w:tab w:leader="none" w:pos="148" w:val="left"/>
        </w:tabs>
        <w:numPr>
          <w:ilvl w:val="0"/>
          <w:numId w:val="13"/>
        </w:numPr>
        <w:rPr>
          <w:rFonts w:ascii="Arial" w:cs="Arial" w:eastAsia="Arial" w:hAnsi="Arial"/>
          <w:sz w:val="12"/>
          <w:szCs w:val="12"/>
          <w:color w:val="auto"/>
        </w:rPr>
      </w:pPr>
      <w:r>
        <w:rPr>
          <w:rFonts w:ascii="Arial" w:cs="Arial" w:eastAsia="Arial" w:hAnsi="Arial"/>
          <w:sz w:val="12"/>
          <w:szCs w:val="12"/>
          <w:i w:val="1"/>
          <w:iCs w:val="1"/>
          <w:color w:val="auto"/>
        </w:rPr>
        <w:t>Depreciation and amortization</w:t>
      </w:r>
      <w:r>
        <w:rPr>
          <w:rFonts w:ascii="Arial" w:cs="Arial" w:eastAsia="Arial" w:hAnsi="Arial"/>
          <w:sz w:val="12"/>
          <w:szCs w:val="12"/>
          <w:color w:val="auto"/>
        </w:rPr>
        <w:t>; (ii)</w:t>
      </w:r>
      <w:r>
        <w:rPr>
          <w:rFonts w:ascii="Arial" w:cs="Arial" w:eastAsia="Arial" w:hAnsi="Arial"/>
          <w:sz w:val="12"/>
          <w:szCs w:val="12"/>
          <w:i w:val="1"/>
          <w:iCs w:val="1"/>
          <w:color w:val="auto"/>
        </w:rPr>
        <w:t xml:space="preserve"> Amortization of debt issuance costs</w:t>
      </w:r>
      <w:r>
        <w:rPr>
          <w:rFonts w:ascii="Arial" w:cs="Arial" w:eastAsia="Arial" w:hAnsi="Arial"/>
          <w:sz w:val="12"/>
          <w:szCs w:val="12"/>
          <w:color w:val="auto"/>
        </w:rPr>
        <w:t>, (iii)</w:t>
      </w:r>
      <w:r>
        <w:rPr>
          <w:rFonts w:ascii="Arial" w:cs="Arial" w:eastAsia="Arial" w:hAnsi="Arial"/>
          <w:sz w:val="12"/>
          <w:szCs w:val="12"/>
          <w:i w:val="1"/>
          <w:iCs w:val="1"/>
          <w:color w:val="auto"/>
        </w:rPr>
        <w:t xml:space="preserve"> Equity in losses of unconsolidated affiliates, net</w:t>
      </w:r>
      <w:r>
        <w:rPr>
          <w:rFonts w:ascii="Arial" w:cs="Arial" w:eastAsia="Arial" w:hAnsi="Arial"/>
          <w:sz w:val="12"/>
          <w:szCs w:val="12"/>
          <w:color w:val="auto"/>
        </w:rPr>
        <w:t>; (iv)</w:t>
      </w:r>
      <w:r>
        <w:rPr>
          <w:rFonts w:ascii="Arial" w:cs="Arial" w:eastAsia="Arial" w:hAnsi="Arial"/>
          <w:sz w:val="12"/>
          <w:szCs w:val="12"/>
          <w:i w:val="1"/>
          <w:iCs w:val="1"/>
          <w:color w:val="auto"/>
        </w:rPr>
        <w:t xml:space="preserve"> (Gains) losses on investments, net</w:t>
      </w:r>
      <w:r>
        <w:rPr>
          <w:rFonts w:ascii="Arial" w:cs="Arial" w:eastAsia="Arial" w:hAnsi="Arial"/>
          <w:sz w:val="12"/>
          <w:szCs w:val="12"/>
          <w:color w:val="auto"/>
        </w:rPr>
        <w:t>; (v)</w:t>
      </w:r>
      <w:r>
        <w:rPr>
          <w:rFonts w:ascii="Arial" w:cs="Arial" w:eastAsia="Arial" w:hAnsi="Arial"/>
          <w:sz w:val="12"/>
          <w:szCs w:val="12"/>
          <w:i w:val="1"/>
          <w:iCs w:val="1"/>
          <w:color w:val="auto"/>
        </w:rPr>
        <w:t xml:space="preserve"> Stock-based compensation</w:t>
      </w:r>
      <w:r>
        <w:rPr>
          <w:rFonts w:ascii="Arial" w:cs="Arial" w:eastAsia="Arial" w:hAnsi="Arial"/>
          <w:sz w:val="12"/>
          <w:szCs w:val="12"/>
          <w:color w:val="auto"/>
        </w:rPr>
        <w:t>; (vi)</w:t>
      </w:r>
      <w:r>
        <w:rPr>
          <w:rFonts w:ascii="Arial" w:cs="Arial" w:eastAsia="Arial" w:hAnsi="Arial"/>
          <w:sz w:val="12"/>
          <w:szCs w:val="12"/>
          <w:i w:val="1"/>
          <w:iCs w:val="1"/>
          <w:color w:val="auto"/>
        </w:rPr>
        <w:t xml:space="preserve"> Deferred tax provision</w:t>
      </w:r>
      <w:r>
        <w:rPr>
          <w:rFonts w:ascii="Arial" w:cs="Arial" w:eastAsia="Arial" w:hAnsi="Arial"/>
          <w:sz w:val="12"/>
          <w:szCs w:val="12"/>
          <w:color w:val="auto"/>
        </w:rPr>
        <w:t>; and (vii)</w:t>
      </w:r>
      <w:r>
        <w:rPr>
          <w:rFonts w:ascii="Arial" w:cs="Arial" w:eastAsia="Arial" w:hAnsi="Arial"/>
          <w:sz w:val="12"/>
          <w:szCs w:val="12"/>
          <w:i w:val="1"/>
          <w:iCs w:val="1"/>
          <w:color w:val="auto"/>
        </w:rPr>
        <w:t xml:space="preserve"> Dividend received from unconsolidated entity</w:t>
      </w:r>
      <w:r>
        <w:rPr>
          <w:rFonts w:ascii="Arial" w:cs="Arial" w:eastAsia="Arial" w:hAnsi="Arial"/>
          <w:sz w:val="12"/>
          <w:szCs w:val="12"/>
          <w:color w:val="auto"/>
        </w:rPr>
        <w:t>, partially offset by an increase of $33.0 million resulting from changes in operating assets and liabilities.</w:t>
      </w:r>
    </w:p>
    <w:p>
      <w:pPr>
        <w:spacing w:after="0" w:line="117"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b w:val="1"/>
          <w:bCs w:val="1"/>
          <w:i w:val="1"/>
          <w:iCs w:val="1"/>
          <w:color w:val="auto"/>
        </w:rPr>
        <w:t>Cash flows from investing activities</w:t>
      </w:r>
      <w:r>
        <w:rPr>
          <w:rFonts w:ascii="Arial" w:cs="Arial" w:eastAsia="Arial" w:hAnsi="Arial"/>
          <w:sz w:val="12"/>
          <w:szCs w:val="12"/>
          <w:color w:val="auto"/>
        </w:rPr>
        <w:t>. Our investing activities generally include purchases and sales of marketable investment securities, capital expenditures, acquisitions and strategic investments. For the nine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months ended September 30, 2019, we reported net cash inflows from investing activities of $991.4 million compared to net cash outflows of $1.4 billion for the same period in 2018. For the nine months ended September 30, 2019, we had net sales and maturities of marketable securities of $1.3 billion, partially offset by expenditures for property and equipment of $314.9 million. For the nine months ended September 30, 2018, we had net purchases of marketable securities of $991.9 million, expenditures for property and equipment of $415.3 million and a reimbursement of $77.5 million million related to the EchoStar 105/SES-11 satellite.</w:t>
      </w:r>
    </w:p>
    <w:p>
      <w:pPr>
        <w:spacing w:after="0" w:line="120" w:lineRule="exact"/>
        <w:rPr>
          <w:sz w:val="20"/>
          <w:szCs w:val="20"/>
          <w:color w:val="auto"/>
        </w:rPr>
      </w:pPr>
    </w:p>
    <w:p>
      <w:pPr>
        <w:jc w:val="both"/>
        <w:ind w:left="8"/>
        <w:spacing w:after="0" w:line="257" w:lineRule="auto"/>
        <w:rPr>
          <w:sz w:val="20"/>
          <w:szCs w:val="20"/>
          <w:color w:val="auto"/>
        </w:rPr>
      </w:pPr>
      <w:r>
        <w:rPr>
          <w:rFonts w:ascii="Arial" w:cs="Arial" w:eastAsia="Arial" w:hAnsi="Arial"/>
          <w:sz w:val="12"/>
          <w:szCs w:val="12"/>
          <w:b w:val="1"/>
          <w:bCs w:val="1"/>
          <w:i w:val="1"/>
          <w:iCs w:val="1"/>
          <w:color w:val="auto"/>
        </w:rPr>
        <w:t>Cash flows from financing activities</w:t>
      </w:r>
      <w:r>
        <w:rPr>
          <w:rFonts w:ascii="Arial" w:cs="Arial" w:eastAsia="Arial" w:hAnsi="Arial"/>
          <w:sz w:val="12"/>
          <w:szCs w:val="12"/>
          <w:color w:val="auto"/>
        </w:rPr>
        <w:t>. Our financing activities generally include proceeds related to the issuance of debt and cash used for the repurchase, redemption or payment of debt and capital lease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obligations and the proceeds from Class A common stock options exercised and stock issued under our stock incentive plans and employee stock purchase plan. For the nine months ended September 30, 2019, we reported net cash outflows from financing activities of $ 890.0 million, an increase of $869.0 million compared to the same period in 2018. Net cash outflows for the nine months ended September 30, 2019 included $920.9 million for the repurchasing and maturity of debt and $7.3 million for the purchase of noncontrolling shareholder interests in a subsidiary of ours that were held by an unaffiliated third party. These transactions did not occur during the nine months ended September 30, 2018. Additionally, during the nine months ended September 30, 2019, we received $64.1 million in net proceeds from Class A common stock options exercised in 2019 compared to $4.4 million during the nine months ended September 30, 2018.</w:t>
      </w:r>
    </w:p>
    <w:p>
      <w:pPr>
        <w:spacing w:after="0" w:line="12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Obligations and Future Capital Requirements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Contractual Obligations</w:t>
      </w:r>
    </w:p>
    <w:p>
      <w:pPr>
        <w:spacing w:after="0" w:line="164"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color w:val="auto"/>
        </w:rPr>
        <w:t>As of September 30, 2019, our satellite-related obligations were $439.1 million. Our satellite-related obligations primarily include payments pursuant to agreements for the construction of the EchoStar XXIV satellite; payments pursuant to regulatory authorizations; non-lease costs associated with our finance lease satellites; and in-orbit incentives relating to certain satellites; as well as commitments for satellite service arrangements.</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Off-Balance Sheet Arrangements</w:t>
      </w:r>
    </w:p>
    <w:p>
      <w:pPr>
        <w:spacing w:after="0" w:line="164" w:lineRule="exact"/>
        <w:rPr>
          <w:sz w:val="20"/>
          <w:szCs w:val="20"/>
          <w:color w:val="auto"/>
        </w:rPr>
      </w:pPr>
    </w:p>
    <w:p>
      <w:pPr>
        <w:ind w:left="8"/>
        <w:spacing w:after="0"/>
        <w:rPr>
          <w:sz w:val="20"/>
          <w:szCs w:val="20"/>
          <w:color w:val="auto"/>
        </w:rPr>
      </w:pPr>
      <w:r>
        <w:rPr>
          <w:rFonts w:ascii="Arial" w:cs="Arial" w:eastAsia="Arial" w:hAnsi="Arial"/>
          <w:sz w:val="12"/>
          <w:szCs w:val="12"/>
          <w:color w:val="auto"/>
        </w:rPr>
        <w:t>We generally do not engage in off-balance sheet financing activities or use derivative financial instruments for hedge accounting or speculative purposes.</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Letters of Credit</w:t>
      </w:r>
    </w:p>
    <w:p>
      <w:pPr>
        <w:spacing w:after="0" w:line="164" w:lineRule="exact"/>
        <w:rPr>
          <w:sz w:val="20"/>
          <w:szCs w:val="20"/>
          <w:color w:val="auto"/>
        </w:rPr>
      </w:pPr>
    </w:p>
    <w:p>
      <w:pPr>
        <w:jc w:val="both"/>
        <w:ind w:left="8"/>
        <w:spacing w:after="0" w:line="262" w:lineRule="auto"/>
        <w:rPr>
          <w:sz w:val="20"/>
          <w:szCs w:val="20"/>
          <w:color w:val="auto"/>
        </w:rPr>
      </w:pPr>
      <w:r>
        <w:rPr>
          <w:rFonts w:ascii="Arial" w:cs="Arial" w:eastAsia="Arial" w:hAnsi="Arial"/>
          <w:sz w:val="12"/>
          <w:szCs w:val="12"/>
          <w:color w:val="auto"/>
        </w:rPr>
        <w:t>As of September 30, 2019, we had $52.1 million of letters of credit and insurance bonds. Of this amount, $25.5 million was secured by restricted cash, $4.3 million was related to insurance bonds and $22.3 million was issued under credit arrangements available to our foreign subsidiaries. Certain letters of credit are secured by assets of our foreign subsidiaries.</w:t>
      </w:r>
    </w:p>
    <w:p>
      <w:pPr>
        <w:spacing w:after="0" w:line="29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65</w:t>
      </w:r>
    </w:p>
    <w:p>
      <w:pPr>
        <w:sectPr>
          <w:pgSz w:w="11900" w:h="16838" w:orient="portrait"/>
          <w:cols w:equalWidth="0" w:num="1">
            <w:col w:w="11488"/>
          </w:cols>
          <w:pgMar w:left="212" w:top="140" w:right="199" w:bottom="1440" w:gutter="0" w:footer="0" w:header="0"/>
        </w:sectPr>
      </w:pPr>
    </w:p>
    <w:bookmarkStart w:id="68" w:name="page69"/>
    <w:bookmarkEnd w:id="6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31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Satellites</w:t>
      </w:r>
    </w:p>
    <w:p>
      <w:pPr>
        <w:spacing w:after="0" w:line="164"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As our satellite fleet ages, we will be required to evaluate replacement alternatives such as acquiring, leasing or constructing additional satellites, with or without customer commitments for capacity. We may also construct, acquire or lease additional satellites in the future to provide satellite services at additional orbital locations or to improve the quality of our satellite services.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Satellite Insurance</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historically have not carried in-orbit insurance on our satellites because we have assessed that the cost of insurance is not economical relative to the risk of failures. Therefore, we generally bear the risk of any in-orbit failures. Pursuant to the terms of the agreements governing certain portions of our indebtedness, we are required, subject to certain limitations on coverage, to maintain only for our SPACEWAY 3 and EchoStar XVII satellites insurance or other contractual arrangements during the commercial in-orbit service of such satellite. We were required pursuant to such agreements to maintain similar insurance or other contractual arrangements for the EchoStar XVI satellite, which we transferred to DISH Network pursuant to the BSS Transaction. Our other satellites, either in orbit or under construction, are not covered by launch or in-orbit insurance. We will continue to assess circumstances going forward and make insurance decisions on a case-by-case basis.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Future Capital Requirements</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We primarily rely on our existing cash and marketable investment securities balances, as well as cash flow generated through our operations to fund our business. The loss of or a significant reduction in provision of satellite services would significantly reduce our revenue and materially adversely impact our results of operations. We no longer generate cash flows from our former BSS Business, which comprised a substantial portion of our ESS segment prior to the BSS Transaction. Revenue in our ESS segment depends largely on our ability to continuously make use of our available satellite capacity with existing customers and our ability to enter into commercial relationships with new customers. Consumer revenue in our Hughes segment depends on our success in adding new and retaining existing subscribers and driving higher average revenue per subscriber across our wholesale and retail channels. Revenue in our aeronautical, enterprise and equipment businesses relies heavily on global economic conditions and the competitive landscape for pricing relative to competitors and alternative technologies. Service costs related to ongoing support of our direct and indirect customers and partners are typically impacted most significantly by our growth. There can be no assurance that we will have positive cash flows from operations. Furthermore, if we experience negative cash flows, our existing cash and marketable investment securities balances may be reduced.</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We have a significant amount of outstanding indebtedness. As of September 30, 2019, our total indebtedness was $2.4 billion, of which $ 1.2 million related to finance lease obligations. See our most recent Annual Report on Form 10-K for a discussion of the terms of our indebtedness. In June 2019, we repurchased the outstanding principal of the 2019 Senior Secured Notes at maturity. Our liquidity requirements will be continue to be significant, primarily due to our remaining debt service requirements and the design and construction of our new EchoStar XXIV satellite. We may from time to time seek to purchase amounts of our outstanding debt in open market purchases, privately negotiated transactions or otherwise, depending on market conditions, our liquidity needs and other factors. The amounts we may repurchase may be material. In addition, our future capital expenditures are likely to increase if we make acquisitions or additional investments in infrastructure or joint ventures to support and expand our business, or if we decide to purchase or build one or more additional satellites. Other aspects of our business operations may also require additional capital.</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We periodically evaluate various strategic initiatives, the pursuit of which could also require us to invest or raise significant additional capital, which may not be available on acceptable terms or at all. The Tax Cuts and Jobs Act of 2017 (“2017 Tax Act”) limits the deductibility of interest expense for U.S. federal income tax purposes. While the 2017 Tax Act generally is likely to reduce our federal income tax obligations, if these limitations or other newly enacted provisions become applicable to us they could minimize such reductions or otherwise require us to pay additional federal income taxes, which in turn could result in additional liquidity needs. We do not expect to owe U.S. Federal income tax for 2019.</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ectPr>
          <w:pgSz w:w="11900" w:h="16838" w:orient="portrait"/>
          <w:cols w:equalWidth="0" w:num="1">
            <w:col w:w="11480"/>
          </w:cols>
          <w:pgMar w:left="220" w:top="140" w:right="199" w:bottom="1440" w:gutter="0" w:footer="0" w:header="0"/>
        </w:sectPr>
      </w:pPr>
    </w:p>
    <w:bookmarkStart w:id="69" w:name="page70"/>
    <w:bookmarkEnd w:id="6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326" w:lineRule="exact"/>
        <w:rPr>
          <w:sz w:val="20"/>
          <w:szCs w:val="20"/>
          <w:color w:val="auto"/>
        </w:rPr>
      </w:pPr>
    </w:p>
    <w:p>
      <w:pPr>
        <w:spacing w:after="0"/>
        <w:rPr>
          <w:sz w:val="20"/>
          <w:szCs w:val="20"/>
          <w:color w:val="auto"/>
        </w:rPr>
      </w:pPr>
      <w:r>
        <w:rPr>
          <w:rFonts w:ascii="Arial" w:cs="Arial" w:eastAsia="Arial" w:hAnsi="Arial"/>
          <w:sz w:val="12"/>
          <w:szCs w:val="12"/>
          <w:color w:val="auto"/>
        </w:rPr>
        <w:t>We anticipate that our existing cash and marketable investment securities are sufficient to fund the currently anticipated operations of our business through the next twelve months.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The preparation of Condensed Consolidated Financial Statements in conformity with U.S. GAAP requires us to make certain estimates, judgments and assumptions that affect the reported amounts of assets and liabilities at the date of the balance sheets, the reported amounts of revenue and expenses for each reporting period, and certain information disclosed in the notes to our accompanying Condensed Consolidated Financial Statements in Item 1 of this Form 10-Q. We base our estimates, judgments and assumptions on historical experience and on various other factors that we believe to be relevant under the circumstances. Actual results may differ from previously estimated amounts, and such differences may be material to our Condensed Consolidated Financial Statements. We review our estimates and assumptions periodically, and the effects of revisions are reflected in the period they occur or prospectively if the revised estimate affects future periods. The following represent what we believe are the critical accounting policies that may involve a high degree of estimation, judgment and complexity. For a summary of our significant accounting policies, including those discussed below, see Note 2 in the notes to our accompanying Condensed Consolidated Financial Statements in Item 1 of this Form 10-Q.</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Contingent Liabilities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record an accrual for litigation and other loss contingencies when we determine that a loss is probable and the amount of the loss can be reasonably estimated. Legal fees and other costs of defending legal proceedings are charged to expense as incurred. A significant amount of management judgment is required in determining whether an accrual should be recorded for a loss contingency and the amount of such accrual. Estimates generally are developed in consultation with legal counsel and are based on an analysis of potential outcomes. Due to the inherent uncertainty in determining the likelihood of potential outcomes and the potential financial statement impact of such outcomes, it is possible that upon further development or resolution of a contingent matter, charges related to existing loss contingencies could be recorded in future periods, which could be material to our consolidated results of operations and financial position.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Our Hughes segment enters into contracts to design, develop and deliver telecommunication networks to customers in our enterprise and mobile satellite systems markets. Those contracts require significant effort to develop and construct the network over an extended time period. Revenue from such contracts is recognized over time using an appropriate method to measure progress toward completion. Depending on the nature of the arrangement, we measure progress toward completion using the cost-to-cost input method or the units-of-delivery output method. Under the cost-to-cost method, revenue reflects the ratio of costs incurred to estimated total costs at completion. Under the units-of-delivery method, revenue and related costs are recognized as products are delivered based on the expected profit for the entire agreement. Profit margins on long-term contracts are based on estimates of total revenue and costs at completion. We review and revise our estimates periodically and recognize related adjustments in the period in which the revisions are made. Estimated losses on contracts are recorded in the period in which they are identified. Changes in our periodic estimates for these contracts could result in significant adjustments to our revenue or costs, which could be material to our consolidated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Impairment of Long-lived Assets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We evaluate our long-lived assets other than goodwill and intangible assets with indefinite lives for impairment whenever events and changes in circumstances indicate that their carrying amounts may not be recoverable. The carrying amount of a long-lived asset or asset group is considered to not be recoverable when the estimated future undiscounted cash flows from such asset or asset group is less than its carrying amount. In that event, an impairment loss is recorded in the determination of operating income based on the amount by which the carrying amount exceeds the estimated fair value of the long-lived asset or asset group. Fair value is determined primarily using discounted cash flow techniques reflecting the estimated cash flows and discount rate that would be assumed by a market participant for the asset or asset group under review. Our discounted cash flow estimates typically include assumptions based on unobservable inputs and may reflect probability-weighting of alternative scenarios. Estimated losses on long-lived assets to be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ectPr>
          <w:pgSz w:w="11900" w:h="16838" w:orient="portrait"/>
          <w:cols w:equalWidth="0" w:num="1">
            <w:col w:w="11480"/>
          </w:cols>
          <w:pgMar w:left="220" w:top="140" w:right="199" w:bottom="1440" w:gutter="0" w:footer="0" w:header="0"/>
        </w:sectPr>
      </w:pPr>
    </w:p>
    <w:bookmarkStart w:id="70" w:name="page71"/>
    <w:bookmarkEnd w:id="7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326"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disposed of by sale may be determined in a similar manner, except that fair value estimates are reduced for estimated selling costs. Changes in estimates of future cash flows, discount rates and other assumptions could result in recognition of additional impairment losses in future periods.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Seasonality</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For our Hughes segment, service revenue is generally not impacted by seasonal fluctuations other than those associated with fluctuations related to sales and promotional activities. However, like many communications infrastructure equipment vendors, a higher amount of our hardware revenue occurs in the second half of the year due to our customers’ annual procurement and budget cycles. Large enterprises and operators often allocate their capital expenditure budgets at the beginning of their fiscal year (which often coincides with the calendar year). The typical sales cycle for large complex system procurements is six to 12 months, which often results in the customer expenditure occurring towards the end of the year. Customers often seek to expend the budgeted funds prior to the end of the year and the next budget cycle.</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Our ESS segment is not generally affected by seasonal impacts.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Inflation</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Inflation has not materially affected our operations during the past three years. We believe that our ability to increase the prices charged for our products and services in future periods will depend primarily on competitive pressures or contractual terms.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EXPLANATION OF KEY METRICS AND OTHER ITEMS</w:t>
      </w:r>
    </w:p>
    <w:p>
      <w:pPr>
        <w:spacing w:after="0" w:line="150"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i w:val="1"/>
          <w:iCs w:val="1"/>
          <w:color w:val="auto"/>
        </w:rPr>
        <w:t>Services and other revenue - DISH Network</w:t>
      </w:r>
      <w:r>
        <w:rPr>
          <w:rFonts w:ascii="Arial" w:cs="Arial" w:eastAsia="Arial" w:hAnsi="Arial"/>
          <w:sz w:val="12"/>
          <w:szCs w:val="12"/>
          <w:color w:val="auto"/>
        </w:rPr>
        <w:t>. Services and other revenue - DISH Network primarily includes revenue associated with satellite and transponder leases and services, TT&amp;C, professional services,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facilities rental revenue and other services provided to DISH Network. Services and other revenue - DISH Network also includes subscriber wholesale service fees for the HughesNet service sold to DISH Network.</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Services and other revenue - other</w:t>
      </w:r>
      <w:r>
        <w:rPr>
          <w:rFonts w:ascii="Arial" w:cs="Arial" w:eastAsia="Arial" w:hAnsi="Arial"/>
          <w:sz w:val="12"/>
          <w:szCs w:val="12"/>
          <w:color w:val="auto"/>
        </w:rPr>
        <w:t>. Services and other revenue - other primarily includes the sales of enterprise and consumer broadband services, as well as maintenance and other contracted services. Services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other revenue - other also includes revenue associated with satellite and transponder leases and services, satellite uplinking/downlinking and other services provided to customers other than DISH Network.</w:t>
      </w:r>
    </w:p>
    <w:p>
      <w:pPr>
        <w:spacing w:after="0" w:line="103"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i w:val="1"/>
          <w:iCs w:val="1"/>
          <w:color w:val="auto"/>
        </w:rPr>
        <w:t>Equipment revenue</w:t>
      </w:r>
      <w:r>
        <w:rPr>
          <w:rFonts w:ascii="Arial" w:cs="Arial" w:eastAsia="Arial" w:hAnsi="Arial"/>
          <w:sz w:val="12"/>
          <w:szCs w:val="12"/>
          <w:color w:val="auto"/>
        </w:rPr>
        <w:t>. Equipment revenue primarily includes broadband equipment and networks sold to customers in our enterprise and consumer markets and sales of satellite broadband equipment and related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equipment, related to the HughesNet service, to DISH Network.</w:t>
      </w:r>
    </w:p>
    <w:p>
      <w:pPr>
        <w:spacing w:after="0" w:line="103" w:lineRule="exact"/>
        <w:rPr>
          <w:sz w:val="20"/>
          <w:szCs w:val="20"/>
          <w:color w:val="auto"/>
        </w:rPr>
      </w:pPr>
    </w:p>
    <w:p>
      <w:pPr>
        <w:jc w:val="both"/>
        <w:spacing w:after="0" w:line="268" w:lineRule="auto"/>
        <w:rPr>
          <w:sz w:val="20"/>
          <w:szCs w:val="20"/>
          <w:color w:val="auto"/>
        </w:rPr>
      </w:pPr>
      <w:r>
        <w:rPr>
          <w:rFonts w:ascii="Arial" w:cs="Arial" w:eastAsia="Arial" w:hAnsi="Arial"/>
          <w:sz w:val="12"/>
          <w:szCs w:val="12"/>
          <w:b w:val="1"/>
          <w:bCs w:val="1"/>
          <w:i w:val="1"/>
          <w:iCs w:val="1"/>
          <w:color w:val="auto"/>
        </w:rPr>
        <w:t>Cost of sales - services and other</w:t>
      </w:r>
      <w:r>
        <w:rPr>
          <w:rFonts w:ascii="Arial" w:cs="Arial" w:eastAsia="Arial" w:hAnsi="Arial"/>
          <w:sz w:val="12"/>
          <w:szCs w:val="12"/>
          <w:color w:val="auto"/>
        </w:rPr>
        <w:t>. Cost of sales - services and other primarily includes the cost of broadband services provided to our enterprise and consumer customers, and to DISH Network, as well as the cost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providing maintenance and other contracted services. Cost of sales - services and other also includes the costs associated with satellite and transponder leases and services, TT&amp;C, professional services, facilities rental costs and other services provided to our customers, including DISH Network.</w:t>
      </w:r>
    </w:p>
    <w:p>
      <w:pPr>
        <w:spacing w:after="0" w:line="114"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Cost of sales - equipment</w:t>
      </w:r>
      <w:r>
        <w:rPr>
          <w:rFonts w:ascii="Arial" w:cs="Arial" w:eastAsia="Arial" w:hAnsi="Arial"/>
          <w:sz w:val="12"/>
          <w:szCs w:val="12"/>
          <w:color w:val="auto"/>
        </w:rPr>
        <w:t>. Cost of sales - equipment consists primarily of the cost of broadband equipment and networks sold to customers in our enterprise and consumer markets and to DISH Network. Cost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sales - equipment also includes certain other costs associated with the deployment of equipment to our customers.</w:t>
      </w:r>
    </w:p>
    <w:p>
      <w:pPr>
        <w:spacing w:after="0" w:line="103" w:lineRule="exact"/>
        <w:rPr>
          <w:sz w:val="20"/>
          <w:szCs w:val="20"/>
          <w:color w:val="auto"/>
        </w:rPr>
      </w:pPr>
    </w:p>
    <w:p>
      <w:pPr>
        <w:jc w:val="both"/>
        <w:ind w:right="20"/>
        <w:spacing w:after="0" w:line="268" w:lineRule="auto"/>
        <w:rPr>
          <w:sz w:val="20"/>
          <w:szCs w:val="20"/>
          <w:color w:val="auto"/>
        </w:rPr>
      </w:pPr>
      <w:r>
        <w:rPr>
          <w:rFonts w:ascii="Arial" w:cs="Arial" w:eastAsia="Arial" w:hAnsi="Arial"/>
          <w:sz w:val="12"/>
          <w:szCs w:val="12"/>
          <w:b w:val="1"/>
          <w:bCs w:val="1"/>
          <w:i w:val="1"/>
          <w:iCs w:val="1"/>
          <w:color w:val="auto"/>
        </w:rPr>
        <w:t>Selling, general and administrative expenses</w:t>
      </w:r>
      <w:r>
        <w:rPr>
          <w:rFonts w:ascii="Arial" w:cs="Arial" w:eastAsia="Arial" w:hAnsi="Arial"/>
          <w:sz w:val="12"/>
          <w:szCs w:val="12"/>
          <w:color w:val="auto"/>
        </w:rPr>
        <w:t>. Selling, general and administrative expenses primarily includes selling and marketing costs and employee-related costs associated with administrative services (e.g.,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information systems, human resources and other services), including stock-based compensation expense. It also includes professional fees (e.g. legal, information systems and accounting services) and other items associated with facilities and administrative services provided by DISH Network and other third parties.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ectPr>
          <w:pgSz w:w="11900" w:h="16838" w:orient="portrait"/>
          <w:cols w:equalWidth="0" w:num="1">
            <w:col w:w="11480"/>
          </w:cols>
          <w:pgMar w:left="220" w:top="140" w:right="199" w:bottom="1440" w:gutter="0" w:footer="0" w:header="0"/>
        </w:sectPr>
      </w:pPr>
    </w:p>
    <w:bookmarkStart w:id="71" w:name="page72"/>
    <w:bookmarkEnd w:id="7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36"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1"/>
          <w:szCs w:val="11"/>
          <w:b w:val="1"/>
          <w:bCs w:val="1"/>
          <w:color w:val="auto"/>
        </w:rPr>
        <w:t>MANAGEMENT’S DISCUSSION AND ANALYSIS OF FINANCIAL CONDITION AND RESULTS OF OPERATIONS</w:t>
      </w:r>
    </w:p>
    <w:p>
      <w:pPr>
        <w:spacing w:after="0" w:line="312" w:lineRule="exact"/>
        <w:rPr>
          <w:sz w:val="20"/>
          <w:szCs w:val="20"/>
          <w:color w:val="auto"/>
        </w:rPr>
      </w:pPr>
    </w:p>
    <w:p>
      <w:pPr>
        <w:jc w:val="both"/>
        <w:ind w:right="20"/>
        <w:spacing w:after="0" w:line="286" w:lineRule="auto"/>
        <w:rPr>
          <w:sz w:val="20"/>
          <w:szCs w:val="20"/>
          <w:color w:val="auto"/>
        </w:rPr>
      </w:pPr>
      <w:r>
        <w:rPr>
          <w:rFonts w:ascii="Arial" w:cs="Arial" w:eastAsia="Arial" w:hAnsi="Arial"/>
          <w:sz w:val="12"/>
          <w:szCs w:val="12"/>
          <w:b w:val="1"/>
          <w:bCs w:val="1"/>
          <w:i w:val="1"/>
          <w:iCs w:val="1"/>
          <w:color w:val="auto"/>
        </w:rPr>
        <w:t>Research and development expenses</w:t>
      </w:r>
      <w:r>
        <w:rPr>
          <w:rFonts w:ascii="Arial" w:cs="Arial" w:eastAsia="Arial" w:hAnsi="Arial"/>
          <w:sz w:val="12"/>
          <w:szCs w:val="12"/>
          <w:color w:val="auto"/>
        </w:rPr>
        <w:t>. Research and development expenses primarily includes costs associated with the design and development of products to support future growth and provide new technology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innovation to our customers.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income</w:t>
      </w:r>
      <w:r>
        <w:rPr>
          <w:rFonts w:ascii="Arial" w:cs="Arial" w:eastAsia="Arial" w:hAnsi="Arial"/>
          <w:sz w:val="12"/>
          <w:szCs w:val="12"/>
          <w:color w:val="auto"/>
        </w:rPr>
        <w:t>. Interest income primarily includes interest earned on our cash, cash equivalents and marketable investment securities, including premium amortization and discount accretion on debt securities.</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Interest expense, net of amounts capitalized</w:t>
      </w:r>
      <w:r>
        <w:rPr>
          <w:rFonts w:ascii="Arial" w:cs="Arial" w:eastAsia="Arial" w:hAnsi="Arial"/>
          <w:sz w:val="12"/>
          <w:szCs w:val="12"/>
          <w:color w:val="auto"/>
        </w:rPr>
        <w:t>. Interest expense, net of amounts capitalized primarily includes interest expense associated with our debt and capital lease obligations (net of capitalized interest)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amortization of debt issuance costs.</w:t>
      </w:r>
    </w:p>
    <w:p>
      <w:pPr>
        <w:spacing w:after="0" w:line="103" w:lineRule="exact"/>
        <w:rPr>
          <w:sz w:val="20"/>
          <w:szCs w:val="20"/>
          <w:color w:val="auto"/>
        </w:rPr>
      </w:pPr>
    </w:p>
    <w:p>
      <w:pPr>
        <w:jc w:val="both"/>
        <w:spacing w:after="0" w:line="262" w:lineRule="auto"/>
        <w:rPr>
          <w:sz w:val="20"/>
          <w:szCs w:val="20"/>
          <w:color w:val="auto"/>
        </w:rPr>
      </w:pPr>
      <w:r>
        <w:rPr>
          <w:rFonts w:ascii="Arial" w:cs="Arial" w:eastAsia="Arial" w:hAnsi="Arial"/>
          <w:sz w:val="12"/>
          <w:szCs w:val="12"/>
          <w:b w:val="1"/>
          <w:bCs w:val="1"/>
          <w:i w:val="1"/>
          <w:iCs w:val="1"/>
          <w:color w:val="auto"/>
        </w:rPr>
        <w:t>Gains (losses) on investments, net</w:t>
      </w:r>
      <w:r>
        <w:rPr>
          <w:rFonts w:ascii="Arial" w:cs="Arial" w:eastAsia="Arial" w:hAnsi="Arial"/>
          <w:sz w:val="12"/>
          <w:szCs w:val="12"/>
          <w:color w:val="auto"/>
        </w:rPr>
        <w:t>. Gains (losses) on investments, net primarily includes changes in fair value of our marketable equity securities and other investments for which we have elected the fair value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option. It may also include realized gains and losses on the sale or exchange of our available-for-sale debt securities, other-than-temporary impairment losses on our available-for-sale securities, realized gains and losses on the sale or exchange of our investments in unconsolidated entities and adjustments to the carrying amount of investments in unconsolidated entities and marketable equity securities resulting from impairments and observable price changes.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in earnings (losses) of unconsolidated affiliates, net</w:t>
      </w:r>
      <w:r>
        <w:rPr>
          <w:rFonts w:ascii="Arial" w:cs="Arial" w:eastAsia="Arial" w:hAnsi="Arial"/>
          <w:sz w:val="12"/>
          <w:szCs w:val="12"/>
          <w:color w:val="auto"/>
        </w:rPr>
        <w:t>. Equity in earnings (losses) of unconsolidated affiliates, net includes earnings or losses from our investments accounted for using the equity method.</w:t>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Other, net</w:t>
      </w:r>
      <w:r>
        <w:rPr>
          <w:rFonts w:ascii="Arial" w:cs="Arial" w:eastAsia="Arial" w:hAnsi="Arial"/>
          <w:sz w:val="12"/>
          <w:szCs w:val="12"/>
          <w:color w:val="auto"/>
        </w:rPr>
        <w:t>. Other, net primarily includes foreign exchange gains and losses, dividends received from our marketable investment securities and other non-operating income or expense items that are not appropriately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classified elsewhere in our Condensed Consolidated Statements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Net income from discontinued operations</w:t>
      </w:r>
      <w:r>
        <w:rPr>
          <w:rFonts w:ascii="Arial" w:cs="Arial" w:eastAsia="Arial" w:hAnsi="Arial"/>
          <w:sz w:val="10"/>
          <w:szCs w:val="10"/>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Net income from discontinued operations includes the condensed consolidated financial statements of the BSS Business transferred in the BSS Transaction.</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2"/>
          <w:szCs w:val="12"/>
          <w:b w:val="1"/>
          <w:bCs w:val="1"/>
          <w:i w:val="1"/>
          <w:iCs w:val="1"/>
          <w:color w:val="auto"/>
        </w:rPr>
        <w:t>Earnings before interest, taxes, depreciation and amortization (“EBITDA”)</w:t>
      </w:r>
      <w:r>
        <w:rPr>
          <w:rFonts w:ascii="Arial" w:cs="Arial" w:eastAsia="Arial" w:hAnsi="Arial"/>
          <w:sz w:val="12"/>
          <w:szCs w:val="12"/>
          <w:color w:val="auto"/>
        </w:rPr>
        <w:t>. EBITDA is defined as Net income (loss) excluding Interest income and expense, net, Income tax benefit (provision), net, Depreciation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 xml:space="preserve">and amortization, Net income (loss) from discontinued operations and Net income (loss) attributable to noncontrolling interests. EBITDA is not a measure determined in accordance with U.S. GAAP. This non-GAAP measure is reconciled to </w:t>
      </w:r>
      <w:r>
        <w:rPr>
          <w:rFonts w:ascii="Arial" w:cs="Arial" w:eastAsia="Arial" w:hAnsi="Arial"/>
          <w:sz w:val="12"/>
          <w:szCs w:val="12"/>
          <w:i w:val="1"/>
          <w:iCs w:val="1"/>
          <w:color w:val="auto"/>
        </w:rPr>
        <w:t>Net income (loss)</w:t>
      </w:r>
      <w:r>
        <w:rPr>
          <w:rFonts w:ascii="Arial" w:cs="Arial" w:eastAsia="Arial" w:hAnsi="Arial"/>
          <w:sz w:val="12"/>
          <w:szCs w:val="12"/>
          <w:color w:val="auto"/>
        </w:rPr>
        <w:t xml:space="preserve"> in our discussion of Results of Operations above. EBITDA should not be considered in isolation or as a substitute for operating income, net income or any other measure determined in accordance with U.S.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Subscribers</w:t>
      </w:r>
      <w:r>
        <w:rPr>
          <w:rFonts w:ascii="Arial" w:cs="Arial" w:eastAsia="Arial" w:hAnsi="Arial"/>
          <w:sz w:val="12"/>
          <w:szCs w:val="12"/>
          <w:color w:val="auto"/>
        </w:rPr>
        <w:t>. Subscribers include customers that subscribe to our HughesNet service, through retail, wholesale and small/medium enterprise service channels.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ectPr>
          <w:pgSz w:w="11900" w:h="16838" w:orient="portrait"/>
          <w:cols w:equalWidth="0" w:num="1">
            <w:col w:w="11480"/>
          </w:cols>
          <w:pgMar w:left="220" w:top="140" w:right="199" w:bottom="1440" w:gutter="0" w:footer="0" w:header="0"/>
        </w:sectPr>
      </w:pPr>
    </w:p>
    <w:bookmarkStart w:id="72" w:name="page73"/>
    <w:bookmarkEnd w:id="7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1"/>
          <w:szCs w:val="11"/>
          <w:b w:val="1"/>
          <w:bCs w:val="1"/>
          <w:color w:val="auto"/>
        </w:rPr>
        <w:t>QUANTITATIVE AND QUALITATIVE DISCLOSURES ABOUT MARKET RISK</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Risks Associated with Financial Instruments and Foreign Currency</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Our investments and debt are exposed to market risks as discussed below.</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Cash Equivalents and Current Marketable Investment Securities</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As of September 30, 2019, our cash, cash equivalents and current marketable investment securities had a fair value of $2.5 billion. Of this amount, a total of $2.5 billion was invested in: (a) cash; (b) commercial paper and corporate notes with an overall average maturity of less than one year and rated in one of the four highest rating categories by at least two nationally recognized statistical rating organizations; (c) debt instruments of the United States (“U.S.”) government and its agencies; and/or (d) instruments with similar risk, duration and credit quality characteristics to the commercial paper and corporate obligations described above. The primary purpose of these investing activities has been to preserve principal until the cash is required to, among other things, fund operations, make strategic investments and expand the business. Consequently, the size of this portfolio fluctuates significantly as cash is received and used in our business. The value of this portfolio may be negatively impacted by credit losses; however, this risk is mitigated through diversification that limits our exposure to any one issuer.</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Rate Risk</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A change in interest rates would not affect the fair value of our cash, or materially affect the fair value of our cash equivalents due to their maturities of less than 90 days. A change in interest rates would affect the fair value of our current marketable debt securities portfolio; however, we normally hold these investments to maturity. Based on our cash, cash equivalents and current marketable debt securities investment portfolio of $2.5 billion as of September 30, 2019, a hypothetical 10% change in average interest rates during the nine months ended September 30, 2019 would not have had a material impact on the fair value of our cash, cash equivalents and debt securities portfolio due to the limited duration of our investments.</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Our cash, cash equivalents and current marketable debt securities had an average annual rate of return for the nine months ended September 30, 2019 of 2.9%. A change in interest rates would affect our future annual interest income from this portfolio, since funds would be re-invested at different rates as the instruments mature. A hypothetical 10% decrease in average interest rates during the nine months ended September 30, 2019 would have resulted in a decrease of $8.2 million in annual interest income.</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Strategic Marketable Investment Securities</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As of September 30, 2019, we held investments in the publicly traded securities of several companies with a fair value of $44.0 million. These investments, which are held for strategic and financial purposes, are concentrated in a small number of companies, are highly speculative and have experienced, and continue to experience, volatility. The fair value of these investments are subject to significant fluctuations in fair value and can be significantly impacted by the risk of adverse changes in securities markets generally, as well as risks related to the performance of the companies whose securities we have invested in, risks associated with specific industries and other factors. In general, our strategic marketable investment securities portfolio is not significantly impacted by interest rate fluctuations as it currently consists primarily of equity securities, the value of which is more closely related to factors specific to the underlying business. A hypothetical 10% adverse change in the market price of our public strategic equity investments during the nine months ended September 30, 2019 would have resulted in a decrease of $4.4 million in the fair value of these investments.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Investments in Unconsolidated Entities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As of September 30, 2019, we had investments with an aggregate carrying amount of $225.9 million in securities of privately held companies that we hold for strategic business purposes. The fair value of these investments is not readily determinable. We periodically review these investments, estimate fair value and adjust the carrying amount when there are indications of impairment or observable prices changes for the investments. A hypothetical adverse change equal to 10% of the carrying amount of these equity instruments during the nine months ended September 30, 2019 would have resulted in a decrease of $22.6 million in the value of these investments.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ectPr>
          <w:pgSz w:w="11900" w:h="16838" w:orient="portrait"/>
          <w:cols w:equalWidth="0" w:num="1">
            <w:col w:w="11480"/>
          </w:cols>
          <w:pgMar w:left="220" w:top="140" w:right="199" w:bottom="1440" w:gutter="0" w:footer="0" w:header="0"/>
        </w:sectPr>
      </w:pPr>
    </w:p>
    <w:bookmarkStart w:id="73" w:name="page74"/>
    <w:bookmarkEnd w:id="7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12"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Our ability to realize value from our strategic investments in companies that are privately held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Foreign Currency Exchange Risk</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generally conduct our business in U.S. dollars. Our international business is conducted in a variety of foreign currencies with our largest exposures being to the Brazilian real, the Indian rupee, European euro and the British pound. This exposes us to fluctuations in foreign currency exchange rates. Transactions in foreign currencies are converted into U.S. dollars using exchange rates in effect on the dates of the transactions.</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Our objective in managing our exposure to foreign currency changes is to reduce earnings and cash flow volatility associated with foreign exchange rate fluctuations. Accordingly, we may enter into foreign currency forward contracts, or take other measures, to mitigate risks associated with foreign currency denominated assets, liabilities, commitments and anticipated foreign currency transactions. As of September 30, 2019, we had a de minimis amount of net foreign currency denominated receivables and payables outstanding and foreign currency forward contracts with a notional value of $3.7 million in place to partially mitigate foreign currency exchange risk. The estimated fair values of the foreign exchange contracts were not material as of September 30, 2019. The impact of a hypothetical 10% adverse change in exchange rates on the carrying amount of the net assets and liabilities of our foreign subsidiaries during nine months ended September 30, 2019 would have been an estimated loss to the cumulative translation adjustment of $16.1 million as of September 30, 2019.</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Derivative Financial Instruments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generally do not use derivative financial instruments for speculative purposes and we generally do not apply hedge accounting treatment to our derivative financial instruments. We evaluate our derivative financial instruments from time to time but there can be no assurance that we will not enter into additional foreign currency forward contracts, or take other measures, in the future to mitigate our foreign exchange risk.</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ectPr>
          <w:pgSz w:w="11900" w:h="16838" w:orient="portrait"/>
          <w:cols w:equalWidth="0" w:num="1">
            <w:col w:w="11480"/>
          </w:cols>
          <w:pgMar w:left="220" w:top="140" w:right="199" w:bottom="1440" w:gutter="0" w:footer="0" w:header="0"/>
        </w:sectPr>
      </w:pPr>
    </w:p>
    <w:bookmarkStart w:id="74" w:name="page75"/>
    <w:bookmarkEnd w:id="7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4.</w:t>
        <w:tab/>
        <w:t>CONTROLS AND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Disclosure Controls and Procedures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2"/>
          <w:szCs w:val="12"/>
          <w:color w:val="auto"/>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(the “Exchange Act”) as of the end of the period covered by this report. Based upon that evaluation, our Chief Executive Officer and Chief Financial Officer concluded that our disclosure controls and procedures were effective as of the end of the period covered by this report such that the information required to be disclosed in our Securities and Exchange Commission reports is recorded, processed, summarized and reported within the time periods specified in the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There has been no change in our internal control over financial reporting (as defined in Rule 13a-15(f) and Rule 15d-15(f) under the Exchange Act) that occurred during the three months ended September 30, 2019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ectPr>
          <w:pgSz w:w="11900" w:h="16838" w:orient="portrait"/>
          <w:cols w:equalWidth="0" w:num="1">
            <w:col w:w="11480"/>
          </w:cols>
          <w:pgMar w:left="220" w:top="140" w:right="199" w:bottom="1440" w:gutter="0" w:footer="0" w:header="0"/>
        </w:sectPr>
      </w:pPr>
    </w:p>
    <w:bookmarkStart w:id="75" w:name="page76"/>
    <w:bookmarkEnd w:id="7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 — OTHER INFORMATION</w:t>
      </w:r>
    </w:p>
    <w:p>
      <w:pPr>
        <w:spacing w:after="0" w:line="150"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1.</w:t>
        <w:tab/>
        <w:t>LEGAL PROCEEDINGS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For a discussion of legal proceedings, see Part I, Item 1. Financial Statements — Note 16 Commitments and Contingencies — Litigation in this Quarterly Report on Form 10-Q.</w:t>
      </w:r>
    </w:p>
    <w:p>
      <w:pPr>
        <w:spacing w:after="0" w:line="136"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164"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The following information updates, and should be read in conjunction with, the information in Part I, Item 1A, Risk Factors, of our Annual Report on Form 10-K/A for the year ended December 31, 2018, which was filed with the Securities and Exchange Commission on February 27, 2019.</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THE BSS TRANSACTION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Certain of our directors and executive officers have interests in the BSS Transaction that may be different from, or in addition to, those of our other stockholders.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Certain of our directors and executive officers have interests in the BSS Transaction that may be different from, or in addition to, the interests of our stockholders generally. Our directors and executive officers of EchoStar who own shares of our common stock participated in the Distribution and the Merger on the same terms as our other stockholders. Additionally, Mr. Ergen, director and Chairman of both us and DISH, serves as a director and executive officer of BSS Corp. following the consummation of the BSS Transaction. The EchoStar parties that approved the BSS Transaction, as described below, were aware of and considered these interests, among other things, in deciding to approve the terms of the Master Transaction Agreement and the BSS Transaction.</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BSS Transaction was approved, in accordance with our longstanding related party transaction policy, by (i) our independent management, (ii) our non-interlocking directors (i.e., directors who are not also directors or employees of DISH Network), with our director, Mr. R. Stanton Dodge, recusing himself to avoid the appearance of any potential conflict resulting from his prior employment with DISH Network and our director, Mr. Anthony M. Federico, recusing himself to avoid the appearance of any potential conflict resulting from his service on DISH’s special litigation committee, (iii) our audit committee, with Mr. Federico recusing himself and, after all such approvals were obtained, (iv) our board of directors, with, our chairman, Mr. Ergen, recusing himself.</w:t>
      </w:r>
    </w:p>
    <w:p>
      <w:pPr>
        <w:spacing w:after="0" w:line="122" w:lineRule="exact"/>
        <w:rPr>
          <w:sz w:val="20"/>
          <w:szCs w:val="20"/>
          <w:color w:val="auto"/>
        </w:rPr>
      </w:pPr>
    </w:p>
    <w:p>
      <w:pPr>
        <w:jc w:val="both"/>
        <w:spacing w:after="0" w:line="152" w:lineRule="exact"/>
        <w:rPr>
          <w:sz w:val="20"/>
          <w:szCs w:val="20"/>
          <w:color w:val="auto"/>
        </w:rPr>
      </w:pPr>
      <w:r>
        <w:rPr>
          <w:rFonts w:ascii="Arial" w:cs="Arial" w:eastAsia="Arial" w:hAnsi="Arial"/>
          <w:sz w:val="12"/>
          <w:szCs w:val="12"/>
          <w:b w:val="1"/>
          <w:bCs w:val="1"/>
          <w:i w:val="1"/>
          <w:iCs w:val="1"/>
          <w:color w:val="auto"/>
        </w:rPr>
        <w:t>If the Distribution and the Merger do not qualify as a tax</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free distribution and merger under the Code, then we and/or our stockholders may be required to pay substantial U.S. federal income taxes and under certain circumstances we may have indemnification obligations to DISH Network.</w:t>
      </w:r>
    </w:p>
    <w:p>
      <w:pPr>
        <w:spacing w:after="0" w:line="144" w:lineRule="exact"/>
        <w:rPr>
          <w:sz w:val="20"/>
          <w:szCs w:val="20"/>
          <w:color w:val="auto"/>
        </w:rPr>
      </w:pPr>
    </w:p>
    <w:p>
      <w:pPr>
        <w:jc w:val="both"/>
        <w:spacing w:after="0" w:line="145" w:lineRule="exact"/>
        <w:rPr>
          <w:sz w:val="20"/>
          <w:szCs w:val="20"/>
          <w:color w:val="auto"/>
        </w:rPr>
      </w:pPr>
      <w:r>
        <w:rPr>
          <w:rFonts w:ascii="Arial" w:cs="Arial" w:eastAsia="Arial" w:hAnsi="Arial"/>
          <w:sz w:val="12"/>
          <w:szCs w:val="12"/>
          <w:color w:val="auto"/>
        </w:rPr>
        <w:t>The parties received a tax opinion from their respective counsels as to the tax</w:t>
      </w:r>
      <w:r>
        <w:rPr>
          <w:rFonts w:ascii="MS PGothic" w:cs="MS PGothic" w:eastAsia="MS PGothic" w:hAnsi="MS PGothic"/>
          <w:sz w:val="12"/>
          <w:szCs w:val="12"/>
          <w:color w:val="auto"/>
        </w:rPr>
        <w:t>‑</w:t>
      </w:r>
      <w:r>
        <w:rPr>
          <w:rFonts w:ascii="Arial" w:cs="Arial" w:eastAsia="Arial" w:hAnsi="Arial"/>
          <w:sz w:val="12"/>
          <w:szCs w:val="12"/>
          <w:color w:val="auto"/>
        </w:rPr>
        <w:t>free nature of the transactions. They did not obtain a private letter ruling from the IRS with respect to the Distribution and the Merger and instead are relying solely on their respective tax opinions for comfort that the Distribution and the Merger qualify for tax</w:t>
      </w:r>
      <w:r>
        <w:rPr>
          <w:rFonts w:ascii="MS PGothic" w:cs="MS PGothic" w:eastAsia="MS PGothic" w:hAnsi="MS PGothic"/>
          <w:sz w:val="12"/>
          <w:szCs w:val="12"/>
          <w:color w:val="auto"/>
        </w:rPr>
        <w:t>‑</w:t>
      </w:r>
      <w:r>
        <w:rPr>
          <w:rFonts w:ascii="Arial" w:cs="Arial" w:eastAsia="Arial" w:hAnsi="Arial"/>
          <w:sz w:val="12"/>
          <w:szCs w:val="12"/>
          <w:color w:val="auto"/>
        </w:rPr>
        <w:t>free treatment for U.S. federal income tax purposes under the Code.</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The tax opinions were based on, among other things, certain undertakings made by us and DISH Network, as well as certain representations and assumptions as to factual matters made by us, DISH Network, and Mr. and Mrs. Ergen. The failure of any factual representation or assumption to be true, correct and complete, or any undertaking to be fully complied with, could affect the validity of the tax opinions. An opinion of counsel represents counsel’s best legal judgment, is not binding on the IRS or the courts, and the IRS or the courts may not agree with the conclusions set forth in the tax opinions. In addition, the tax opinions will be based on current law, and cannot be relied upon if current law changes with retroactive effect.</w:t>
      </w:r>
    </w:p>
    <w:p>
      <w:pPr>
        <w:spacing w:after="0" w:line="136" w:lineRule="exact"/>
        <w:rPr>
          <w:sz w:val="20"/>
          <w:szCs w:val="20"/>
          <w:color w:val="auto"/>
        </w:rPr>
      </w:pPr>
    </w:p>
    <w:p>
      <w:pPr>
        <w:jc w:val="both"/>
        <w:spacing w:after="0" w:line="144" w:lineRule="exact"/>
        <w:rPr>
          <w:sz w:val="20"/>
          <w:szCs w:val="20"/>
          <w:color w:val="auto"/>
        </w:rPr>
      </w:pPr>
      <w:r>
        <w:rPr>
          <w:rFonts w:ascii="Arial" w:cs="Arial" w:eastAsia="Arial" w:hAnsi="Arial"/>
          <w:sz w:val="12"/>
          <w:szCs w:val="12"/>
          <w:color w:val="auto"/>
        </w:rPr>
        <w:t>If the Distribution does not qualify as a tax</w:t>
      </w:r>
      <w:r>
        <w:rPr>
          <w:rFonts w:ascii="MS PGothic" w:cs="MS PGothic" w:eastAsia="MS PGothic" w:hAnsi="MS PGothic"/>
          <w:sz w:val="12"/>
          <w:szCs w:val="12"/>
          <w:color w:val="auto"/>
        </w:rPr>
        <w:t>‑</w:t>
      </w:r>
      <w:r>
        <w:rPr>
          <w:rFonts w:ascii="Arial" w:cs="Arial" w:eastAsia="Arial" w:hAnsi="Arial"/>
          <w:sz w:val="12"/>
          <w:szCs w:val="12"/>
          <w:color w:val="auto"/>
        </w:rPr>
        <w:t>free distribution under Section 355 of the Code, then the Distribution would be taxable to our stockholders, we would recognize a substantial gain on the Distribution, we and our stockholders could incur significant U.S. federal income tax liabilities, and we could be required to indemnify DISH Network for the tax on such gain if the failure of the Distribution to so qualify is the result of certain actions or misrepresentations by us, but we will not be required to indemnify any of our stockholders. In the event we are required to indemnify DISH Network for taxes incurred in connection with the BSS Transaction, the indemnification obligation could have a material adverse effect on our business, financial conditions, results or operations and cash flow.</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ectPr>
          <w:pgSz w:w="11900" w:h="16838" w:orient="portrait"/>
          <w:cols w:equalWidth="0" w:num="1">
            <w:col w:w="11480"/>
          </w:cols>
          <w:pgMar w:left="220" w:top="140" w:right="199" w:bottom="1440" w:gutter="0" w:footer="0" w:header="0"/>
        </w:sectPr>
      </w:pPr>
    </w:p>
    <w:bookmarkStart w:id="76" w:name="page77"/>
    <w:bookmarkEnd w:id="7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312"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Even if the Distribution otherwise qualifies as a tax-free distribution, the Distribution would be taxable to us (but not to our stockholders) pursuant to Section 355(e) of the Code if one or more persons acquire a 50% or greater interest (measured by vote or value) in our or BSS Corp.’s stock, directly or indirectly (including through acquisitions of the BSS Common Stock or DISH Common Stock after the completion of the BSS Transaction), as part of a plan or series of related transactions that includes the Distribution. If there is a change of control of DISH Network or BSS Corp. after the completion of the BSS Transaction or a transfer of stock or assets of DISH Network or BSS Corp. that results in the Distribution being taxable to us under Section 355(e) of the Code, DISH Network would be required to indemnify us (but not our stockholders) for such taxes only if DISH Network took an action or knowingly facilitated, consented to or assisted with an action by a DISH shareholder that caused the Distribution to fail to qualify as a tax-free distribution. If the Merger were taxable, our stockholders would be considered to have made a taxable sale of their BSS Common Stock to DISH Network and, consequently, our stockholders would recognize taxable gain or loss on their receipt of DISH Common Stock in the Merger. In addition, the Merger being taxable could cause the Distribution to fail to qualify as a tax-free distribution.</w:t>
      </w:r>
    </w:p>
    <w:p>
      <w:pPr>
        <w:spacing w:after="0" w:line="125" w:lineRule="exact"/>
        <w:rPr>
          <w:sz w:val="20"/>
          <w:szCs w:val="20"/>
          <w:color w:val="auto"/>
        </w:rPr>
      </w:pPr>
    </w:p>
    <w:p>
      <w:pPr>
        <w:jc w:val="both"/>
        <w:spacing w:after="0" w:line="286" w:lineRule="auto"/>
        <w:rPr>
          <w:sz w:val="20"/>
          <w:szCs w:val="20"/>
          <w:color w:val="auto"/>
        </w:rPr>
      </w:pPr>
      <w:r>
        <w:rPr>
          <w:rFonts w:ascii="Arial" w:cs="Arial" w:eastAsia="Arial" w:hAnsi="Arial"/>
          <w:sz w:val="12"/>
          <w:szCs w:val="12"/>
          <w:b w:val="1"/>
          <w:bCs w:val="1"/>
          <w:i w:val="1"/>
          <w:iCs w:val="1"/>
          <w:color w:val="auto"/>
        </w:rPr>
        <w:t>A putative class action lawsuit relating to the BSS Transaction has been filed against us, DISH Network, Mr. Ergen and certain of our officers and other lawsuits related to the BSS Transaction may be filed against us, DISH Network and other persons which could result in substantial costs.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2"/>
          <w:szCs w:val="12"/>
          <w:color w:val="auto"/>
        </w:rPr>
        <w:t>As of November 7, 2019, one complaint has been filed by a purported EchoStar stockholder. See Note 16 in the notes to our accompanying Condensed Consolidated Financial Statements in Item 1 of this Form 10-Q for more information about litigation related to the BSS Transaction that has been commenced prior to the date of this report. There can be no assurance that additional complaints will not be filed with respect to the BSS Transaction.</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Even if this lawsuit and any others that may be filed are without merit, defending against these claims can result in substantial costs and divert management time and resources. An adverse judgment could result in monetary damages, which could have a negative impact on our liquidity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operate and control our satellites is subject to risks related to DISH Network’s integration of the BSS Business.</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In connection with the BSS Transaction, we transferred our satellite operation centers, which are used to monitor and control our satellites, to DISH Network. DISH Network may not be able to successfully or profitably integrate, operate, maintain and manage the BSS Business and its employees, including the operations and employees of the satellite operations centers. DISH Network may not be able to maintain uniform standards, controls, procedures and policies with respect to the satellite operations centers, and this may lead to operational inefficiencies. A failure or inefficiency at any of the satellite operations centers could cause a significant loss of service for our customers and might lead to a breakdown in the ability to communicate with one or more of our satellites or cause the transmission of incorrect commands to the affected satellite(s), which could lead to a temporary or permanent degradation in satellite performance or to the loss of one or more of our satellites. Any such failure could have a material adverse impact on our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BUSINESS AND OUR CLASS A COMMON STOCK</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be more susceptible to adverse events as a result of the BSS Transaction.</w:t>
      </w:r>
    </w:p>
    <w:p>
      <w:pPr>
        <w:spacing w:after="0" w:line="164"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We have divested the BSS Business and our business will be subject to concentration of the risks that affect our retained businesses. We are now a smaller, less diversified and more narrowly focused business, which makes us more vulnerable to changing market and economic conditions. Operating as a smaller entity may reduce or eliminate some of the benefits and synergies which previously existed across our business platforms, including our operating diversity, purchasing and borrowing leverage, available capital, and relationships and opportunities to pursue integrated strategies within our businesses and attract, retain and motivate key employees. In addition, as a smaller company, our ability to absorb costs may be negatively impacted, including the significant cost of the BSS Transaction, and we may be unable to obtain financing, goods or services at prices or on terms as favorable as those obtained prior to the BSS Transaction. Any of these factors could have a material adverse effect on our business, financial condition, results of operations, cash flows, business prospects and the trading price of our common stock. By separating the BSS Business, we also may be more susceptible to market fluctuations and other adverse events. If we fail to achieve some or all of the benefits that we expect to achieve as a result of the BSS Transaction, or do not achieve them in the time we expect, our results of operations and financial condition could be materially adversely affected.</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ectPr>
          <w:pgSz w:w="11900" w:h="16838" w:orient="portrait"/>
          <w:cols w:equalWidth="0" w:num="1">
            <w:col w:w="11480"/>
          </w:cols>
          <w:pgMar w:left="220" w:top="140" w:right="199" w:bottom="1440" w:gutter="0" w:footer="0" w:header="0"/>
        </w:sectPr>
      </w:pPr>
    </w:p>
    <w:bookmarkStart w:id="77" w:name="page78"/>
    <w:bookmarkEnd w:id="7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spacing w:after="0" w:line="138" w:lineRule="exact"/>
        <w:rPr>
          <w:sz w:val="20"/>
          <w:szCs w:val="20"/>
          <w:color w:val="auto"/>
        </w:rPr>
      </w:pPr>
      <w:r>
        <w:rPr>
          <w:rFonts w:ascii="Arial" w:cs="Arial" w:eastAsia="Arial" w:hAnsi="Arial"/>
          <w:sz w:val="12"/>
          <w:szCs w:val="12"/>
          <w:b w:val="1"/>
          <w:bCs w:val="1"/>
          <w:i w:val="1"/>
          <w:iCs w:val="1"/>
          <w:color w:val="auto"/>
        </w:rPr>
        <w:t>We might not be able to engage in certain strategic transactions because we have agreed to certain restrictions to comply with U.S. federal income tax requirements for a tax</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free spin</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off.</w:t>
      </w:r>
    </w:p>
    <w:p>
      <w:pPr>
        <w:spacing w:after="0" w:line="164" w:lineRule="exact"/>
        <w:rPr>
          <w:sz w:val="20"/>
          <w:szCs w:val="20"/>
          <w:color w:val="auto"/>
        </w:rPr>
      </w:pPr>
    </w:p>
    <w:p>
      <w:pPr>
        <w:jc w:val="both"/>
        <w:spacing w:after="0" w:line="144" w:lineRule="exact"/>
        <w:rPr>
          <w:sz w:val="20"/>
          <w:szCs w:val="20"/>
          <w:color w:val="auto"/>
        </w:rPr>
      </w:pPr>
      <w:r>
        <w:rPr>
          <w:rFonts w:ascii="Arial" w:cs="Arial" w:eastAsia="Arial" w:hAnsi="Arial"/>
          <w:sz w:val="12"/>
          <w:szCs w:val="12"/>
          <w:color w:val="auto"/>
        </w:rPr>
        <w:t>To preserve the intended tax treatment of the Distribution, we will undertake to comply with certain restrictions under current U.S. federal income tax laws for spin</w:t>
      </w:r>
      <w:r>
        <w:rPr>
          <w:rFonts w:ascii="MS PGothic" w:cs="MS PGothic" w:eastAsia="MS PGothic" w:hAnsi="MS PGothic"/>
          <w:sz w:val="12"/>
          <w:szCs w:val="12"/>
          <w:color w:val="auto"/>
        </w:rPr>
        <w:t>‑</w:t>
      </w:r>
      <w:r>
        <w:rPr>
          <w:rFonts w:ascii="Arial" w:cs="Arial" w:eastAsia="Arial" w:hAnsi="Arial"/>
          <w:sz w:val="12"/>
          <w:szCs w:val="12"/>
          <w:color w:val="auto"/>
        </w:rPr>
        <w:t>offs, including (i) refraining from engaging in certain transactions that would result in a fifty percent or greater change by vote or by value in our stock ownership, (ii) continuing to own and manage our historic business, and (iii) limiting sales or redemptions of our common stock. These restrictions could prevent us from pursuing otherwise attractive business opportunities, result in our inability to respond effectively to competitive pressures, industry developments and future opportunities and may otherwise harm our business, financial results and operations. If these restrictions, among others, are not followed, the Distribution could be taxable to us and possibly our stockholders. In addition, we could be required to indemnify DISH Network for any tax liability incurred by DISH Network as a result of our non</w:t>
      </w:r>
      <w:r>
        <w:rPr>
          <w:rFonts w:ascii="MS PGothic" w:cs="MS PGothic" w:eastAsia="MS PGothic" w:hAnsi="MS PGothic"/>
          <w:sz w:val="12"/>
          <w:szCs w:val="12"/>
          <w:color w:val="auto"/>
        </w:rPr>
        <w:t>‑</w:t>
      </w:r>
      <w:r>
        <w:rPr>
          <w:rFonts w:ascii="Arial" w:cs="Arial" w:eastAsia="Arial" w:hAnsi="Arial"/>
          <w:sz w:val="12"/>
          <w:szCs w:val="12"/>
          <w:color w:val="auto"/>
        </w:rPr>
        <w:t>compliance with these restrictions, and such indemnity obligations could be substantial.</w:t>
      </w:r>
    </w:p>
    <w:p>
      <w:pPr>
        <w:spacing w:after="0" w:line="132"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1"/>
          <w:szCs w:val="11"/>
          <w:b w:val="1"/>
          <w:bCs w:val="1"/>
          <w:color w:val="auto"/>
        </w:rPr>
        <w:t>UNREGISTERED SALES OF EQUITY SECURITIES AND USE OF PROCEEDS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Issuer Purchases of Equity Securities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There were no repurchases of our Class A common stock during the nine months ended September 30, 2019.</w:t>
      </w:r>
    </w:p>
    <w:p>
      <w:pPr>
        <w:spacing w:after="0" w:line="136"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1"/>
          <w:szCs w:val="11"/>
          <w:b w:val="1"/>
          <w:bCs w:val="1"/>
          <w:color w:val="auto"/>
        </w:rPr>
        <w:t>DEFAULTS UPON SENIOR SECURITIES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136" w:lineRule="exact"/>
        <w:rPr>
          <w:sz w:val="20"/>
          <w:szCs w:val="20"/>
          <w:color w:val="auto"/>
        </w:rPr>
      </w:pPr>
    </w:p>
    <w:p>
      <w:pPr>
        <w:spacing w:after="0"/>
        <w:tabs>
          <w:tab w:leader="none" w:pos="520" w:val="left"/>
        </w:tabs>
        <w:rPr>
          <w:sz w:val="20"/>
          <w:szCs w:val="20"/>
          <w:color w:val="auto"/>
        </w:rPr>
      </w:pPr>
      <w:r>
        <w:rPr>
          <w:rFonts w:ascii="Arial" w:cs="Arial" w:eastAsia="Arial" w:hAnsi="Arial"/>
          <w:sz w:val="12"/>
          <w:szCs w:val="12"/>
          <w:b w:val="1"/>
          <w:bCs w:val="1"/>
          <w:color w:val="auto"/>
        </w:rPr>
        <w:t>ITEM 4.</w:t>
        <w:tab/>
        <w:t>MINE SAFETY DISCLOSURES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ectPr>
          <w:pgSz w:w="11900" w:h="16838" w:orient="portrait"/>
          <w:cols w:equalWidth="0" w:num="1">
            <w:col w:w="11480"/>
          </w:cols>
          <w:pgMar w:left="220" w:top="140" w:right="199" w:bottom="1440" w:gutter="0" w:footer="0" w:header="0"/>
        </w:sectPr>
      </w:pPr>
    </w:p>
    <w:bookmarkStart w:id="78" w:name="page79"/>
    <w:bookmarkEnd w:id="78"/>
    <w:p>
      <w:pPr>
        <w:ind w:left="8"/>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ind w:left="8"/>
        <w:spacing w:after="0"/>
        <w:tabs>
          <w:tab w:leader="none" w:pos="528"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1"/>
          <w:szCs w:val="11"/>
          <w:b w:val="1"/>
          <w:bCs w:val="1"/>
          <w:color w:val="auto"/>
        </w:rPr>
        <w:t>OTHER INFORMATION</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Stock Repurchases</w:t>
      </w:r>
    </w:p>
    <w:p>
      <w:pPr>
        <w:spacing w:after="0" w:line="164" w:lineRule="exact"/>
        <w:rPr>
          <w:sz w:val="20"/>
          <w:szCs w:val="20"/>
          <w:color w:val="auto"/>
        </w:rPr>
      </w:pPr>
    </w:p>
    <w:p>
      <w:pPr>
        <w:jc w:val="both"/>
        <w:ind w:left="8"/>
        <w:spacing w:after="0" w:line="253" w:lineRule="auto"/>
        <w:rPr>
          <w:sz w:val="20"/>
          <w:szCs w:val="20"/>
          <w:color w:val="auto"/>
        </w:rPr>
      </w:pPr>
      <w:r>
        <w:rPr>
          <w:rFonts w:ascii="Arial" w:cs="Arial" w:eastAsia="Arial" w:hAnsi="Arial"/>
          <w:sz w:val="12"/>
          <w:szCs w:val="12"/>
          <w:color w:val="auto"/>
        </w:rPr>
        <w:t>In October 2018, our Board of Directors authorized us to repurchase up to $500.0 million of our Class A common stock through and including December 31, 2019. In 2018, we repurchased $33.3 million of our Class A common stock. On October 29, 2019, our Board of Directors terminated its prior authorization and authorized us to repurchase under this authorization up to $500.0 million of our Class A common stock through and including December 31, 2020. Purchases under our repurchase authorization may be made through privately negotiated transactions, open market repurchases, one or more trading plans in accordance with Rule 10b5-1 under the Securities Exchange Act of 1934, as amended, or otherwise, subject to market conditions and other factors. We may elect not to purchase the maximum amount or any of the shares allowable under this program and we may also enter into additional share repurchase programs authorized by our Board of Directors.</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Financial Results</w:t>
      </w:r>
    </w:p>
    <w:p>
      <w:pPr>
        <w:spacing w:after="0" w:line="164" w:lineRule="exact"/>
        <w:rPr>
          <w:sz w:val="20"/>
          <w:szCs w:val="20"/>
          <w:color w:val="auto"/>
        </w:rPr>
      </w:pPr>
    </w:p>
    <w:p>
      <w:pPr>
        <w:jc w:val="both"/>
        <w:ind w:left="8"/>
        <w:spacing w:after="0" w:line="253" w:lineRule="auto"/>
        <w:rPr>
          <w:sz w:val="20"/>
          <w:szCs w:val="20"/>
          <w:color w:val="auto"/>
        </w:rPr>
      </w:pPr>
      <w:r>
        <w:rPr>
          <w:rFonts w:ascii="Arial" w:cs="Arial" w:eastAsia="Arial" w:hAnsi="Arial"/>
          <w:sz w:val="12"/>
          <w:szCs w:val="12"/>
          <w:color w:val="auto"/>
        </w:rPr>
        <w:t>On November 7, 2019, we issued a press release (the “Press Release”) announcing our financial results for the quarter ended September 30, 2019 and a supplemental investor information presentation (the “Presentation”) providing preliminary unaudited pro forma financial information. A copy of the Press Release and Presentation are furnished herewith as Exhibit 99.1 and Exhibit 99.2, respectively. The foregoing information, including the exhibits related thereto, are furnished in response to Item 2.02 of Form 8-K and shall not be deemed filed for the purposes of Section 18 of the Securities Exchange Act of 1934, as amended (the “Exchange Act”), or otherwise, and shall not be incorporated by reference into any registration statement or other document pursuant to the Securities Act of 1933, as amended, or into any filing or other document pursuant to the Exchange Act, except as otherwise expressly stated in any such filing.</w:t>
      </w:r>
    </w:p>
    <w:p>
      <w:pPr>
        <w:spacing w:after="0" w:line="123"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1920" w:type="dxa"/>
            <w:vAlign w:val="bottom"/>
            <w:gridSpan w:val="6"/>
          </w:tcPr>
          <w:p>
            <w:pPr>
              <w:spacing w:after="0"/>
              <w:rPr>
                <w:sz w:val="20"/>
                <w:szCs w:val="20"/>
                <w:color w:val="auto"/>
              </w:rPr>
            </w:pPr>
            <w:r>
              <w:rPr>
                <w:rFonts w:ascii="Arial" w:cs="Arial" w:eastAsia="Arial" w:hAnsi="Arial"/>
                <w:sz w:val="12"/>
                <w:szCs w:val="12"/>
                <w:b w:val="1"/>
                <w:bCs w:val="1"/>
                <w:color w:val="auto"/>
              </w:rPr>
              <w:t>ITEM 6.  EXHIBITS</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80" w:type="dxa"/>
            <w:vAlign w:val="bottom"/>
          </w:tcPr>
          <w:p>
            <w:pPr>
              <w:spacing w:after="0"/>
              <w:rPr>
                <w:sz w:val="13"/>
                <w:szCs w:val="13"/>
                <w:color w:val="auto"/>
              </w:rPr>
            </w:pPr>
          </w:p>
        </w:tc>
      </w:tr>
      <w:tr>
        <w:trPr>
          <w:trHeight w:val="257"/>
        </w:trPr>
        <w:tc>
          <w:tcPr>
            <w:tcW w:w="100" w:type="dxa"/>
            <w:vAlign w:val="bottom"/>
          </w:tcPr>
          <w:p>
            <w:pPr>
              <w:spacing w:after="0"/>
              <w:rPr>
                <w:sz w:val="22"/>
                <w:szCs w:val="22"/>
                <w:color w:val="auto"/>
              </w:rPr>
            </w:pPr>
          </w:p>
        </w:tc>
        <w:tc>
          <w:tcPr>
            <w:tcW w:w="1360" w:type="dxa"/>
            <w:vAlign w:val="bottom"/>
            <w:tcBorders>
              <w:bottom w:val="single" w:sz="8" w:color="auto"/>
            </w:tcBorders>
            <w:gridSpan w:val="4"/>
          </w:tcPr>
          <w:p>
            <w:pPr>
              <w:ind w:left="20"/>
              <w:spacing w:after="0"/>
              <w:rPr>
                <w:sz w:val="20"/>
                <w:szCs w:val="20"/>
                <w:color w:val="auto"/>
              </w:rPr>
            </w:pPr>
            <w:r>
              <w:rPr>
                <w:rFonts w:ascii="Arial" w:cs="Arial" w:eastAsia="Arial" w:hAnsi="Arial"/>
                <w:sz w:val="12"/>
                <w:szCs w:val="12"/>
                <w:b w:val="1"/>
                <w:bCs w:val="1"/>
                <w:color w:val="auto"/>
              </w:rPr>
              <w:t>Exhibit No.</w:t>
            </w:r>
          </w:p>
        </w:tc>
        <w:tc>
          <w:tcPr>
            <w:tcW w:w="4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320" w:type="dxa"/>
            <w:vAlign w:val="bottom"/>
            <w:tcBorders>
              <w:bottom w:val="single" w:sz="8" w:color="auto"/>
            </w:tcBorders>
            <w:gridSpan w:val="3"/>
          </w:tcPr>
          <w:p>
            <w:pPr>
              <w:ind w:left="220"/>
              <w:spacing w:after="0"/>
              <w:rPr>
                <w:sz w:val="20"/>
                <w:szCs w:val="20"/>
                <w:color w:val="auto"/>
              </w:rPr>
            </w:pPr>
            <w:r>
              <w:rPr>
                <w:rFonts w:ascii="Arial" w:cs="Arial" w:eastAsia="Arial" w:hAnsi="Arial"/>
                <w:sz w:val="12"/>
                <w:szCs w:val="12"/>
                <w:b w:val="1"/>
                <w:bCs w:val="1"/>
                <w:color w:val="auto"/>
              </w:rPr>
              <w:t>Description</w:t>
            </w:r>
          </w:p>
        </w:tc>
      </w:tr>
      <w:tr>
        <w:trPr>
          <w:trHeight w:val="345"/>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gridSpan w:val="2"/>
          </w:tcPr>
          <w:p>
            <w:pPr>
              <w:jc w:val="center"/>
              <w:ind w:right="20"/>
              <w:spacing w:after="0"/>
              <w:rPr>
                <w:rFonts w:ascii="Arial" w:cs="Arial" w:eastAsia="Arial" w:hAnsi="Arial"/>
                <w:sz w:val="12"/>
                <w:szCs w:val="12"/>
                <w:color w:val="0000FF"/>
                <w:w w:val="89"/>
              </w:rPr>
            </w:pPr>
            <w:hyperlink w:anchor="page81">
              <w:r>
                <w:rPr>
                  <w:rFonts w:ascii="Arial" w:cs="Arial" w:eastAsia="Arial" w:hAnsi="Arial"/>
                  <w:sz w:val="12"/>
                  <w:szCs w:val="12"/>
                  <w:color w:val="0000FF"/>
                  <w:w w:val="89"/>
                </w:rPr>
                <w:t>31.</w:t>
              </w:r>
              <w:r>
                <w:rPr>
                  <w:rFonts w:ascii="Arial" w:cs="Arial" w:eastAsia="Arial" w:hAnsi="Arial"/>
                  <w:sz w:val="12"/>
                  <w:szCs w:val="12"/>
                  <w:u w:val="single" w:color="auto"/>
                  <w:color w:val="0000FF"/>
                  <w:w w:val="89"/>
                </w:rPr>
                <w:t>1(H)</w:t>
              </w:r>
            </w:hyperlink>
          </w:p>
        </w:tc>
        <w:tc>
          <w:tcPr>
            <w:tcW w:w="9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rFonts w:ascii="Arial" w:cs="Arial" w:eastAsia="Arial" w:hAnsi="Arial"/>
                <w:sz w:val="12"/>
                <w:szCs w:val="12"/>
                <w:color w:val="0000FF"/>
              </w:rPr>
            </w:pPr>
            <w:hyperlink w:anchor="page81">
              <w:r>
                <w:rPr>
                  <w:rFonts w:ascii="Arial" w:cs="Arial" w:eastAsia="Arial" w:hAnsi="Arial"/>
                  <w:sz w:val="12"/>
                  <w:szCs w:val="12"/>
                  <w:color w:val="0000FF"/>
                </w:rPr>
                <w:t>Section 302</w:t>
              </w:r>
            </w:hyperlink>
          </w:p>
        </w:tc>
        <w:tc>
          <w:tcPr>
            <w:tcW w:w="8880" w:type="dxa"/>
            <w:vAlign w:val="bottom"/>
            <w:gridSpan w:val="6"/>
          </w:tcPr>
          <w:p>
            <w:pPr>
              <w:ind w:left="20"/>
              <w:spacing w:after="0"/>
              <w:rPr>
                <w:rFonts w:ascii="Arial" w:cs="Arial" w:eastAsia="Arial" w:hAnsi="Arial"/>
                <w:sz w:val="12"/>
                <w:szCs w:val="12"/>
                <w:color w:val="0000FF"/>
              </w:rPr>
            </w:pPr>
            <w:hyperlink w:anchor="page81">
              <w:r>
                <w:rPr>
                  <w:rFonts w:ascii="Arial" w:cs="Arial" w:eastAsia="Arial" w:hAnsi="Arial"/>
                  <w:sz w:val="12"/>
                  <w:szCs w:val="12"/>
                  <w:color w:val="0000FF"/>
                </w:rPr>
                <w:t>Certification of Chief Executive Officer.</w:t>
              </w:r>
            </w:hyperlink>
          </w:p>
        </w:tc>
      </w:tr>
      <w:tr>
        <w:trPr>
          <w:trHeight w:val="151"/>
        </w:trPr>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Borders>
              <w:top w:val="single" w:sz="8" w:color="0000FF"/>
            </w:tcBorders>
            <w:gridSpan w:val="2"/>
          </w:tcPr>
          <w:p>
            <w:pPr>
              <w:jc w:val="center"/>
              <w:ind w:right="20"/>
              <w:spacing w:after="0"/>
              <w:rPr>
                <w:rFonts w:ascii="Arial" w:cs="Arial" w:eastAsia="Arial" w:hAnsi="Arial"/>
                <w:sz w:val="12"/>
                <w:szCs w:val="12"/>
                <w:color w:val="0000FF"/>
                <w:w w:val="89"/>
              </w:rPr>
            </w:pPr>
            <w:hyperlink w:anchor="page82">
              <w:r>
                <w:rPr>
                  <w:rFonts w:ascii="Arial" w:cs="Arial" w:eastAsia="Arial" w:hAnsi="Arial"/>
                  <w:sz w:val="12"/>
                  <w:szCs w:val="12"/>
                  <w:color w:val="0000FF"/>
                  <w:w w:val="89"/>
                </w:rPr>
                <w:t>31.</w:t>
              </w:r>
              <w:r>
                <w:rPr>
                  <w:rFonts w:ascii="Arial" w:cs="Arial" w:eastAsia="Arial" w:hAnsi="Arial"/>
                  <w:sz w:val="12"/>
                  <w:szCs w:val="12"/>
                  <w:u w:val="single" w:color="auto"/>
                  <w:color w:val="0000FF"/>
                  <w:w w:val="89"/>
                </w:rPr>
                <w:t>2(H)</w:t>
              </w:r>
            </w:hyperlink>
          </w:p>
        </w:tc>
        <w:tc>
          <w:tcPr>
            <w:tcW w:w="9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0000FF"/>
            </w:tcBorders>
          </w:tcPr>
          <w:p>
            <w:pPr>
              <w:spacing w:after="0"/>
              <w:rPr>
                <w:rFonts w:ascii="Arial" w:cs="Arial" w:eastAsia="Arial" w:hAnsi="Arial"/>
                <w:sz w:val="12"/>
                <w:szCs w:val="12"/>
                <w:color w:val="0000FF"/>
              </w:rPr>
            </w:pPr>
            <w:hyperlink w:anchor="page82">
              <w:r>
                <w:rPr>
                  <w:rFonts w:ascii="Arial" w:cs="Arial" w:eastAsia="Arial" w:hAnsi="Arial"/>
                  <w:sz w:val="12"/>
                  <w:szCs w:val="12"/>
                  <w:color w:val="0000FF"/>
                </w:rPr>
                <w:t>Section 302</w:t>
              </w:r>
            </w:hyperlink>
          </w:p>
        </w:tc>
        <w:tc>
          <w:tcPr>
            <w:tcW w:w="2060" w:type="dxa"/>
            <w:vAlign w:val="bottom"/>
            <w:tcBorders>
              <w:top w:val="single" w:sz="8" w:color="0000FF"/>
            </w:tcBorders>
            <w:gridSpan w:val="2"/>
          </w:tcPr>
          <w:p>
            <w:pPr>
              <w:ind w:left="20"/>
              <w:spacing w:after="0"/>
              <w:rPr>
                <w:rFonts w:ascii="Arial" w:cs="Arial" w:eastAsia="Arial" w:hAnsi="Arial"/>
                <w:sz w:val="12"/>
                <w:szCs w:val="12"/>
                <w:color w:val="0000FF"/>
              </w:rPr>
            </w:pPr>
            <w:hyperlink w:anchor="page82">
              <w:r>
                <w:rPr>
                  <w:rFonts w:ascii="Arial" w:cs="Arial" w:eastAsia="Arial" w:hAnsi="Arial"/>
                  <w:sz w:val="12"/>
                  <w:szCs w:val="12"/>
                  <w:color w:val="0000FF"/>
                </w:rPr>
                <w:t>Certification of Chief Financial Officer.</w:t>
              </w:r>
            </w:hyperlink>
          </w:p>
        </w:tc>
        <w:tc>
          <w:tcPr>
            <w:tcW w:w="6820" w:type="dxa"/>
            <w:vAlign w:val="bottom"/>
            <w:gridSpan w:val="4"/>
          </w:tcPr>
          <w:p>
            <w:pPr>
              <w:spacing w:after="0"/>
              <w:rPr>
                <w:sz w:val="13"/>
                <w:szCs w:val="13"/>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51"/>
        </w:trPr>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jc w:val="center"/>
              <w:spacing w:after="0"/>
              <w:rPr>
                <w:rFonts w:ascii="Arial" w:cs="Arial" w:eastAsia="Arial" w:hAnsi="Arial"/>
                <w:sz w:val="12"/>
                <w:szCs w:val="12"/>
                <w:color w:val="0000FF"/>
                <w:w w:val="97"/>
              </w:rPr>
            </w:pPr>
            <w:hyperlink w:anchor="page83">
              <w:r>
                <w:rPr>
                  <w:rFonts w:ascii="Arial" w:cs="Arial" w:eastAsia="Arial" w:hAnsi="Arial"/>
                  <w:sz w:val="12"/>
                  <w:szCs w:val="12"/>
                  <w:color w:val="0000FF"/>
                  <w:w w:val="97"/>
                </w:rPr>
                <w:t>32.</w:t>
              </w:r>
              <w:r>
                <w:rPr>
                  <w:rFonts w:ascii="Arial" w:cs="Arial" w:eastAsia="Arial" w:hAnsi="Arial"/>
                  <w:sz w:val="12"/>
                  <w:szCs w:val="12"/>
                  <w:u w:val="single" w:color="auto"/>
                  <w:color w:val="0000FF"/>
                  <w:w w:val="97"/>
                </w:rPr>
                <w:t>1(I)</w:t>
              </w:r>
            </w:hyperlink>
          </w:p>
        </w:tc>
        <w:tc>
          <w:tcPr>
            <w:tcW w:w="9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rFonts w:ascii="Arial" w:cs="Arial" w:eastAsia="Arial" w:hAnsi="Arial"/>
                <w:sz w:val="12"/>
                <w:szCs w:val="12"/>
                <w:color w:val="0000FF"/>
              </w:rPr>
            </w:pPr>
            <w:hyperlink w:anchor="page83">
              <w:r>
                <w:rPr>
                  <w:rFonts w:ascii="Arial" w:cs="Arial" w:eastAsia="Arial" w:hAnsi="Arial"/>
                  <w:sz w:val="12"/>
                  <w:szCs w:val="12"/>
                  <w:color w:val="0000FF"/>
                </w:rPr>
                <w:t>Section 906</w:t>
              </w:r>
            </w:hyperlink>
          </w:p>
        </w:tc>
        <w:tc>
          <w:tcPr>
            <w:tcW w:w="8880" w:type="dxa"/>
            <w:vAlign w:val="bottom"/>
            <w:gridSpan w:val="6"/>
          </w:tcPr>
          <w:p>
            <w:pPr>
              <w:ind w:left="20"/>
              <w:spacing w:after="0"/>
              <w:rPr>
                <w:rFonts w:ascii="Arial" w:cs="Arial" w:eastAsia="Arial" w:hAnsi="Arial"/>
                <w:sz w:val="12"/>
                <w:szCs w:val="12"/>
                <w:color w:val="0000FF"/>
              </w:rPr>
            </w:pPr>
            <w:hyperlink w:anchor="page83">
              <w:r>
                <w:rPr>
                  <w:rFonts w:ascii="Arial" w:cs="Arial" w:eastAsia="Arial" w:hAnsi="Arial"/>
                  <w:sz w:val="12"/>
                  <w:szCs w:val="12"/>
                  <w:color w:val="0000FF"/>
                </w:rPr>
                <w:t>Certifications of Chief Executive Officer and Chief Financial Officer.</w:t>
              </w:r>
            </w:hyperlink>
          </w:p>
        </w:tc>
      </w:tr>
      <w:tr>
        <w:trPr>
          <w:trHeight w:val="20"/>
        </w:trPr>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20" w:type="dxa"/>
            <w:vAlign w:val="bottom"/>
            <w:gridSpan w:val="4"/>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51"/>
        </w:trPr>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Borders>
              <w:bottom w:val="single" w:sz="8" w:color="0000FF"/>
            </w:tcBorders>
          </w:tcPr>
          <w:p>
            <w:pPr>
              <w:jc w:val="center"/>
              <w:spacing w:after="0"/>
              <w:rPr>
                <w:rFonts w:ascii="Arial" w:cs="Arial" w:eastAsia="Arial" w:hAnsi="Arial"/>
                <w:sz w:val="12"/>
                <w:szCs w:val="12"/>
                <w:color w:val="0000FF"/>
                <w:w w:val="97"/>
              </w:rPr>
            </w:pPr>
            <w:hyperlink w:anchor="page84">
              <w:r>
                <w:rPr>
                  <w:rFonts w:ascii="Arial" w:cs="Arial" w:eastAsia="Arial" w:hAnsi="Arial"/>
                  <w:sz w:val="12"/>
                  <w:szCs w:val="12"/>
                  <w:color w:val="0000FF"/>
                  <w:w w:val="97"/>
                </w:rPr>
                <w:t>99.</w:t>
              </w:r>
              <w:r>
                <w:rPr>
                  <w:rFonts w:ascii="Arial" w:cs="Arial" w:eastAsia="Arial" w:hAnsi="Arial"/>
                  <w:sz w:val="12"/>
                  <w:szCs w:val="12"/>
                  <w:u w:val="single" w:color="auto"/>
                  <w:color w:val="0000FF"/>
                  <w:w w:val="97"/>
                </w:rPr>
                <w:t>1(I)</w:t>
              </w:r>
            </w:hyperlink>
          </w:p>
        </w:tc>
        <w:tc>
          <w:tcPr>
            <w:tcW w:w="9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460" w:type="dxa"/>
            <w:vAlign w:val="bottom"/>
            <w:tcBorders>
              <w:bottom w:val="single" w:sz="8" w:color="0000FF"/>
            </w:tcBorders>
            <w:gridSpan w:val="6"/>
          </w:tcPr>
          <w:p>
            <w:pPr>
              <w:spacing w:after="0"/>
              <w:rPr>
                <w:rFonts w:ascii="Arial" w:cs="Arial" w:eastAsia="Arial" w:hAnsi="Arial"/>
                <w:sz w:val="12"/>
                <w:szCs w:val="12"/>
                <w:color w:val="0000FF"/>
                <w:w w:val="99"/>
              </w:rPr>
            </w:pPr>
            <w:hyperlink w:anchor="page84">
              <w:r>
                <w:rPr>
                  <w:rFonts w:ascii="Arial" w:cs="Arial" w:eastAsia="Arial" w:hAnsi="Arial"/>
                  <w:sz w:val="12"/>
                  <w:szCs w:val="12"/>
                  <w:color w:val="0000FF"/>
                  <w:w w:val="99"/>
                </w:rPr>
                <w:t>Press release dated November 7, 2019 issued by EchoStar Corporation regarding financial results for the period ended September 30, 2019</w:t>
              </w:r>
            </w:hyperlink>
          </w:p>
        </w:tc>
        <w:tc>
          <w:tcPr>
            <w:tcW w:w="2080" w:type="dxa"/>
            <w:vAlign w:val="bottom"/>
          </w:tcPr>
          <w:p>
            <w:pPr>
              <w:spacing w:after="0"/>
              <w:rPr>
                <w:sz w:val="13"/>
                <w:szCs w:val="13"/>
                <w:color w:val="auto"/>
              </w:rPr>
            </w:pPr>
          </w:p>
        </w:tc>
      </w:tr>
      <w:tr>
        <w:trPr>
          <w:trHeight w:val="160"/>
        </w:trPr>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Borders>
              <w:bottom w:val="single" w:sz="8" w:color="0000FF"/>
            </w:tcBorders>
          </w:tcPr>
          <w:p>
            <w:pPr>
              <w:jc w:val="center"/>
              <w:spacing w:after="0"/>
              <w:rPr>
                <w:rFonts w:ascii="Arial" w:cs="Arial" w:eastAsia="Arial" w:hAnsi="Arial"/>
                <w:sz w:val="12"/>
                <w:szCs w:val="12"/>
                <w:color w:val="0000FF"/>
                <w:w w:val="97"/>
              </w:rPr>
            </w:pPr>
            <w:hyperlink w:anchor="page91">
              <w:r>
                <w:rPr>
                  <w:rFonts w:ascii="Arial" w:cs="Arial" w:eastAsia="Arial" w:hAnsi="Arial"/>
                  <w:sz w:val="12"/>
                  <w:szCs w:val="12"/>
                  <w:color w:val="0000FF"/>
                  <w:w w:val="97"/>
                </w:rPr>
                <w:t>99.</w:t>
              </w:r>
              <w:r>
                <w:rPr>
                  <w:rFonts w:ascii="Arial" w:cs="Arial" w:eastAsia="Arial" w:hAnsi="Arial"/>
                  <w:sz w:val="12"/>
                  <w:szCs w:val="12"/>
                  <w:u w:val="single" w:color="auto"/>
                  <w:color w:val="0000FF"/>
                  <w:w w:val="97"/>
                </w:rPr>
                <w:t>2(I)</w:t>
              </w:r>
            </w:hyperlink>
          </w:p>
        </w:tc>
        <w:tc>
          <w:tcPr>
            <w:tcW w:w="9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140" w:type="dxa"/>
            <w:vAlign w:val="bottom"/>
            <w:tcBorders>
              <w:bottom w:val="single" w:sz="8" w:color="0000FF"/>
            </w:tcBorders>
            <w:gridSpan w:val="5"/>
          </w:tcPr>
          <w:p>
            <w:pPr>
              <w:spacing w:after="0"/>
              <w:rPr>
                <w:rFonts w:ascii="Arial" w:cs="Arial" w:eastAsia="Arial" w:hAnsi="Arial"/>
                <w:sz w:val="12"/>
                <w:szCs w:val="12"/>
                <w:color w:val="0000FF"/>
                <w:w w:val="99"/>
              </w:rPr>
            </w:pPr>
            <w:hyperlink w:anchor="page91">
              <w:r>
                <w:rPr>
                  <w:rFonts w:ascii="Arial" w:cs="Arial" w:eastAsia="Arial" w:hAnsi="Arial"/>
                  <w:sz w:val="12"/>
                  <w:szCs w:val="12"/>
                  <w:color w:val="0000FF"/>
                  <w:w w:val="99"/>
                </w:rPr>
                <w:t>Presentation dated November 7, 2019 issued by EchoStar Corporation regarding preliminary unaudited pro forma financial information</w:t>
              </w:r>
            </w:hyperlink>
          </w:p>
        </w:tc>
        <w:tc>
          <w:tcPr>
            <w:tcW w:w="2400" w:type="dxa"/>
            <w:vAlign w:val="bottom"/>
            <w:gridSpan w:val="2"/>
          </w:tcPr>
          <w:p>
            <w:pPr>
              <w:spacing w:after="0"/>
              <w:rPr>
                <w:sz w:val="13"/>
                <w:szCs w:val="13"/>
                <w:color w:val="auto"/>
              </w:rPr>
            </w:pPr>
          </w:p>
        </w:tc>
      </w:tr>
      <w:tr>
        <w:trPr>
          <w:trHeight w:val="187"/>
        </w:trPr>
        <w:tc>
          <w:tcPr>
            <w:tcW w:w="100" w:type="dxa"/>
            <w:vAlign w:val="bottom"/>
          </w:tcPr>
          <w:p>
            <w:pPr>
              <w:spacing w:after="0"/>
              <w:rPr>
                <w:sz w:val="16"/>
                <w:szCs w:val="16"/>
                <w:color w:val="auto"/>
              </w:rPr>
            </w:pPr>
          </w:p>
        </w:tc>
        <w:tc>
          <w:tcPr>
            <w:tcW w:w="1820" w:type="dxa"/>
            <w:vAlign w:val="bottom"/>
            <w:gridSpan w:val="5"/>
          </w:tcPr>
          <w:p>
            <w:pPr>
              <w:jc w:val="center"/>
              <w:ind w:right="460"/>
              <w:spacing w:after="0"/>
              <w:rPr>
                <w:sz w:val="20"/>
                <w:szCs w:val="20"/>
                <w:color w:val="auto"/>
              </w:rPr>
            </w:pPr>
            <w:r>
              <w:rPr>
                <w:rFonts w:ascii="Arial" w:cs="Arial" w:eastAsia="Arial" w:hAnsi="Arial"/>
                <w:sz w:val="12"/>
                <w:szCs w:val="12"/>
                <w:color w:val="auto"/>
              </w:rPr>
              <w:t>101.INS</w:t>
            </w:r>
          </w:p>
        </w:tc>
        <w:tc>
          <w:tcPr>
            <w:tcW w:w="20" w:type="dxa"/>
            <w:vAlign w:val="bottom"/>
          </w:tcPr>
          <w:p>
            <w:pPr>
              <w:spacing w:after="0"/>
              <w:rPr>
                <w:sz w:val="16"/>
                <w:szCs w:val="16"/>
                <w:color w:val="auto"/>
              </w:rPr>
            </w:pPr>
          </w:p>
        </w:tc>
        <w:tc>
          <w:tcPr>
            <w:tcW w:w="9540" w:type="dxa"/>
            <w:vAlign w:val="bottom"/>
            <w:gridSpan w:val="7"/>
          </w:tcPr>
          <w:p>
            <w:pPr>
              <w:spacing w:after="0"/>
              <w:rPr>
                <w:sz w:val="20"/>
                <w:szCs w:val="20"/>
                <w:color w:val="auto"/>
              </w:rPr>
            </w:pPr>
            <w:r>
              <w:rPr>
                <w:rFonts w:ascii="Arial" w:cs="Arial" w:eastAsia="Arial" w:hAnsi="Arial"/>
                <w:sz w:val="12"/>
                <w:szCs w:val="12"/>
                <w:color w:val="auto"/>
              </w:rPr>
              <w:t>XBRL Instance Document. The instance document does not appear in the Interactive Data File because its XBRL tags are embedded within the Inline XBRL document.</w:t>
            </w:r>
          </w:p>
        </w:tc>
      </w:tr>
      <w:tr>
        <w:trPr>
          <w:trHeight w:val="180"/>
        </w:trPr>
        <w:tc>
          <w:tcPr>
            <w:tcW w:w="100" w:type="dxa"/>
            <w:vAlign w:val="bottom"/>
          </w:tcPr>
          <w:p>
            <w:pPr>
              <w:spacing w:after="0"/>
              <w:rPr>
                <w:sz w:val="15"/>
                <w:szCs w:val="15"/>
                <w:color w:val="auto"/>
              </w:rPr>
            </w:pPr>
          </w:p>
        </w:tc>
        <w:tc>
          <w:tcPr>
            <w:tcW w:w="1820" w:type="dxa"/>
            <w:vAlign w:val="bottom"/>
            <w:gridSpan w:val="5"/>
          </w:tcPr>
          <w:p>
            <w:pPr>
              <w:jc w:val="center"/>
              <w:ind w:right="460"/>
              <w:spacing w:after="0"/>
              <w:rPr>
                <w:sz w:val="20"/>
                <w:szCs w:val="20"/>
                <w:color w:val="auto"/>
              </w:rPr>
            </w:pPr>
            <w:r>
              <w:rPr>
                <w:rFonts w:ascii="Arial" w:cs="Arial" w:eastAsia="Arial" w:hAnsi="Arial"/>
                <w:sz w:val="12"/>
                <w:szCs w:val="12"/>
                <w:color w:val="auto"/>
                <w:w w:val="98"/>
              </w:rPr>
              <w:t>101.SCH</w:t>
            </w:r>
          </w:p>
        </w:tc>
        <w:tc>
          <w:tcPr>
            <w:tcW w:w="20" w:type="dxa"/>
            <w:vAlign w:val="bottom"/>
          </w:tcPr>
          <w:p>
            <w:pPr>
              <w:spacing w:after="0"/>
              <w:rPr>
                <w:sz w:val="15"/>
                <w:szCs w:val="15"/>
                <w:color w:val="auto"/>
              </w:rPr>
            </w:pPr>
          </w:p>
        </w:tc>
        <w:tc>
          <w:tcPr>
            <w:tcW w:w="9540" w:type="dxa"/>
            <w:vAlign w:val="bottom"/>
            <w:gridSpan w:val="7"/>
          </w:tcPr>
          <w:p>
            <w:pPr>
              <w:spacing w:after="0"/>
              <w:rPr>
                <w:sz w:val="20"/>
                <w:szCs w:val="20"/>
                <w:color w:val="auto"/>
              </w:rPr>
            </w:pPr>
            <w:r>
              <w:rPr>
                <w:rFonts w:ascii="Arial" w:cs="Arial" w:eastAsia="Arial" w:hAnsi="Arial"/>
                <w:sz w:val="12"/>
                <w:szCs w:val="12"/>
                <w:color w:val="auto"/>
              </w:rPr>
              <w:t>XBRL Taxonomy Extension Schema.</w:t>
            </w:r>
          </w:p>
        </w:tc>
      </w:tr>
      <w:tr>
        <w:trPr>
          <w:trHeight w:val="171"/>
        </w:trPr>
        <w:tc>
          <w:tcPr>
            <w:tcW w:w="100" w:type="dxa"/>
            <w:vAlign w:val="bottom"/>
          </w:tcPr>
          <w:p>
            <w:pPr>
              <w:spacing w:after="0"/>
              <w:rPr>
                <w:sz w:val="14"/>
                <w:szCs w:val="14"/>
                <w:color w:val="auto"/>
              </w:rPr>
            </w:pPr>
          </w:p>
        </w:tc>
        <w:tc>
          <w:tcPr>
            <w:tcW w:w="1820" w:type="dxa"/>
            <w:vAlign w:val="bottom"/>
            <w:gridSpan w:val="5"/>
          </w:tcPr>
          <w:p>
            <w:pPr>
              <w:jc w:val="center"/>
              <w:ind w:right="440"/>
              <w:spacing w:after="0"/>
              <w:rPr>
                <w:sz w:val="20"/>
                <w:szCs w:val="20"/>
                <w:color w:val="auto"/>
              </w:rPr>
            </w:pPr>
            <w:r>
              <w:rPr>
                <w:rFonts w:ascii="Arial" w:cs="Arial" w:eastAsia="Arial" w:hAnsi="Arial"/>
                <w:sz w:val="12"/>
                <w:szCs w:val="12"/>
                <w:color w:val="auto"/>
                <w:w w:val="98"/>
              </w:rPr>
              <w:t>101.CAL</w:t>
            </w:r>
          </w:p>
        </w:tc>
        <w:tc>
          <w:tcPr>
            <w:tcW w:w="20" w:type="dxa"/>
            <w:vAlign w:val="bottom"/>
          </w:tcPr>
          <w:p>
            <w:pPr>
              <w:spacing w:after="0"/>
              <w:rPr>
                <w:sz w:val="14"/>
                <w:szCs w:val="14"/>
                <w:color w:val="auto"/>
              </w:rPr>
            </w:pPr>
          </w:p>
        </w:tc>
        <w:tc>
          <w:tcPr>
            <w:tcW w:w="9540" w:type="dxa"/>
            <w:vAlign w:val="bottom"/>
            <w:gridSpan w:val="7"/>
          </w:tcPr>
          <w:p>
            <w:pPr>
              <w:spacing w:after="0"/>
              <w:rPr>
                <w:sz w:val="20"/>
                <w:szCs w:val="20"/>
                <w:color w:val="auto"/>
              </w:rPr>
            </w:pPr>
            <w:r>
              <w:rPr>
                <w:rFonts w:ascii="Arial" w:cs="Arial" w:eastAsia="Arial" w:hAnsi="Arial"/>
                <w:sz w:val="12"/>
                <w:szCs w:val="12"/>
                <w:color w:val="auto"/>
              </w:rPr>
              <w:t>XBRL Taxonomy Extension Calculation Linkbase.</w:t>
            </w:r>
          </w:p>
        </w:tc>
      </w:tr>
      <w:tr>
        <w:trPr>
          <w:trHeight w:val="171"/>
        </w:trPr>
        <w:tc>
          <w:tcPr>
            <w:tcW w:w="100" w:type="dxa"/>
            <w:vAlign w:val="bottom"/>
          </w:tcPr>
          <w:p>
            <w:pPr>
              <w:spacing w:after="0"/>
              <w:rPr>
                <w:sz w:val="14"/>
                <w:szCs w:val="14"/>
                <w:color w:val="auto"/>
              </w:rPr>
            </w:pPr>
          </w:p>
        </w:tc>
        <w:tc>
          <w:tcPr>
            <w:tcW w:w="1820" w:type="dxa"/>
            <w:vAlign w:val="bottom"/>
            <w:gridSpan w:val="5"/>
          </w:tcPr>
          <w:p>
            <w:pPr>
              <w:jc w:val="center"/>
              <w:ind w:right="460"/>
              <w:spacing w:after="0"/>
              <w:rPr>
                <w:sz w:val="20"/>
                <w:szCs w:val="20"/>
                <w:color w:val="auto"/>
              </w:rPr>
            </w:pPr>
            <w:r>
              <w:rPr>
                <w:rFonts w:ascii="Arial" w:cs="Arial" w:eastAsia="Arial" w:hAnsi="Arial"/>
                <w:sz w:val="12"/>
                <w:szCs w:val="12"/>
                <w:color w:val="auto"/>
              </w:rPr>
              <w:t>101.DEF</w:t>
            </w:r>
          </w:p>
        </w:tc>
        <w:tc>
          <w:tcPr>
            <w:tcW w:w="20" w:type="dxa"/>
            <w:vAlign w:val="bottom"/>
          </w:tcPr>
          <w:p>
            <w:pPr>
              <w:spacing w:after="0"/>
              <w:rPr>
                <w:sz w:val="14"/>
                <w:szCs w:val="14"/>
                <w:color w:val="auto"/>
              </w:rPr>
            </w:pPr>
          </w:p>
        </w:tc>
        <w:tc>
          <w:tcPr>
            <w:tcW w:w="9540" w:type="dxa"/>
            <w:vAlign w:val="bottom"/>
            <w:gridSpan w:val="7"/>
          </w:tcPr>
          <w:p>
            <w:pPr>
              <w:spacing w:after="0"/>
              <w:rPr>
                <w:sz w:val="20"/>
                <w:szCs w:val="20"/>
                <w:color w:val="auto"/>
              </w:rPr>
            </w:pPr>
            <w:r>
              <w:rPr>
                <w:rFonts w:ascii="Arial" w:cs="Arial" w:eastAsia="Arial" w:hAnsi="Arial"/>
                <w:sz w:val="12"/>
                <w:szCs w:val="12"/>
                <w:color w:val="auto"/>
              </w:rPr>
              <w:t>XBRL Taxonomy Extension Definition Linkbase.</w:t>
            </w:r>
          </w:p>
        </w:tc>
      </w:tr>
      <w:tr>
        <w:trPr>
          <w:trHeight w:val="171"/>
        </w:trPr>
        <w:tc>
          <w:tcPr>
            <w:tcW w:w="100" w:type="dxa"/>
            <w:vAlign w:val="bottom"/>
          </w:tcPr>
          <w:p>
            <w:pPr>
              <w:spacing w:after="0"/>
              <w:rPr>
                <w:sz w:val="14"/>
                <w:szCs w:val="14"/>
                <w:color w:val="auto"/>
              </w:rPr>
            </w:pPr>
          </w:p>
        </w:tc>
        <w:tc>
          <w:tcPr>
            <w:tcW w:w="1820" w:type="dxa"/>
            <w:vAlign w:val="bottom"/>
            <w:gridSpan w:val="5"/>
          </w:tcPr>
          <w:p>
            <w:pPr>
              <w:jc w:val="center"/>
              <w:ind w:right="440"/>
              <w:spacing w:after="0"/>
              <w:rPr>
                <w:sz w:val="20"/>
                <w:szCs w:val="20"/>
                <w:color w:val="auto"/>
              </w:rPr>
            </w:pPr>
            <w:r>
              <w:rPr>
                <w:rFonts w:ascii="Arial" w:cs="Arial" w:eastAsia="Arial" w:hAnsi="Arial"/>
                <w:sz w:val="12"/>
                <w:szCs w:val="12"/>
                <w:color w:val="auto"/>
                <w:w w:val="99"/>
              </w:rPr>
              <w:t>101.LAB</w:t>
            </w:r>
          </w:p>
        </w:tc>
        <w:tc>
          <w:tcPr>
            <w:tcW w:w="20" w:type="dxa"/>
            <w:vAlign w:val="bottom"/>
          </w:tcPr>
          <w:p>
            <w:pPr>
              <w:spacing w:after="0"/>
              <w:rPr>
                <w:sz w:val="14"/>
                <w:szCs w:val="14"/>
                <w:color w:val="auto"/>
              </w:rPr>
            </w:pPr>
          </w:p>
        </w:tc>
        <w:tc>
          <w:tcPr>
            <w:tcW w:w="9540" w:type="dxa"/>
            <w:vAlign w:val="bottom"/>
            <w:gridSpan w:val="7"/>
          </w:tcPr>
          <w:p>
            <w:pPr>
              <w:spacing w:after="0"/>
              <w:rPr>
                <w:sz w:val="20"/>
                <w:szCs w:val="20"/>
                <w:color w:val="auto"/>
              </w:rPr>
            </w:pPr>
            <w:r>
              <w:rPr>
                <w:rFonts w:ascii="Arial" w:cs="Arial" w:eastAsia="Arial" w:hAnsi="Arial"/>
                <w:sz w:val="12"/>
                <w:szCs w:val="12"/>
                <w:color w:val="auto"/>
              </w:rPr>
              <w:t>XBRL Taxonomy Extension Label Linkbase.</w:t>
            </w:r>
          </w:p>
        </w:tc>
      </w:tr>
      <w:tr>
        <w:trPr>
          <w:trHeight w:val="176"/>
        </w:trPr>
        <w:tc>
          <w:tcPr>
            <w:tcW w:w="100" w:type="dxa"/>
            <w:vAlign w:val="bottom"/>
          </w:tcPr>
          <w:p>
            <w:pPr>
              <w:spacing w:after="0"/>
              <w:rPr>
                <w:sz w:val="15"/>
                <w:szCs w:val="15"/>
                <w:color w:val="auto"/>
              </w:rPr>
            </w:pPr>
          </w:p>
        </w:tc>
        <w:tc>
          <w:tcPr>
            <w:tcW w:w="182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2"/>
                <w:szCs w:val="12"/>
                <w:color w:val="auto"/>
                <w:w w:val="99"/>
              </w:rPr>
              <w:t>101.PRE</w:t>
            </w:r>
          </w:p>
        </w:tc>
        <w:tc>
          <w:tcPr>
            <w:tcW w:w="20" w:type="dxa"/>
            <w:vAlign w:val="bottom"/>
          </w:tcPr>
          <w:p>
            <w:pPr>
              <w:spacing w:after="0"/>
              <w:rPr>
                <w:sz w:val="15"/>
                <w:szCs w:val="15"/>
                <w:color w:val="auto"/>
              </w:rPr>
            </w:pPr>
          </w:p>
        </w:tc>
        <w:tc>
          <w:tcPr>
            <w:tcW w:w="9540" w:type="dxa"/>
            <w:vAlign w:val="bottom"/>
            <w:gridSpan w:val="7"/>
          </w:tcPr>
          <w:p>
            <w:pPr>
              <w:spacing w:after="0"/>
              <w:rPr>
                <w:sz w:val="20"/>
                <w:szCs w:val="20"/>
                <w:color w:val="auto"/>
              </w:rPr>
            </w:pPr>
            <w:r>
              <w:rPr>
                <w:rFonts w:ascii="Arial" w:cs="Arial" w:eastAsia="Arial" w:hAnsi="Arial"/>
                <w:sz w:val="12"/>
                <w:szCs w:val="12"/>
                <w:color w:val="auto"/>
              </w:rPr>
              <w:t>XBRL Taxonomy Extension Presentation Linkbase.</w:t>
            </w:r>
          </w:p>
        </w:tc>
      </w:tr>
    </w:tbl>
    <w:p>
      <w:pPr>
        <w:spacing w:after="0" w:line="140" w:lineRule="exact"/>
        <w:rPr>
          <w:sz w:val="20"/>
          <w:szCs w:val="20"/>
          <w:color w:val="auto"/>
        </w:rPr>
      </w:pPr>
    </w:p>
    <w:p>
      <w:pPr>
        <w:ind w:left="208" w:hanging="208"/>
        <w:spacing w:after="0"/>
        <w:tabs>
          <w:tab w:leader="none" w:pos="208" w:val="left"/>
        </w:tabs>
        <w:numPr>
          <w:ilvl w:val="0"/>
          <w:numId w:val="14"/>
        </w:numPr>
        <w:rPr>
          <w:rFonts w:ascii="Arial" w:cs="Arial" w:eastAsia="Arial" w:hAnsi="Arial"/>
          <w:sz w:val="10"/>
          <w:szCs w:val="10"/>
          <w:color w:val="auto"/>
        </w:rPr>
      </w:pPr>
      <w:r>
        <w:rPr>
          <w:rFonts w:ascii="Arial" w:cs="Arial" w:eastAsia="Arial" w:hAnsi="Arial"/>
          <w:sz w:val="10"/>
          <w:szCs w:val="10"/>
          <w:color w:val="auto"/>
        </w:rPr>
        <w:t>Filed herewith.</w:t>
      </w:r>
    </w:p>
    <w:p>
      <w:pPr>
        <w:ind w:left="208" w:hanging="208"/>
        <w:spacing w:after="0" w:line="225" w:lineRule="auto"/>
        <w:tabs>
          <w:tab w:leader="none" w:pos="208" w:val="left"/>
        </w:tabs>
        <w:numPr>
          <w:ilvl w:val="0"/>
          <w:numId w:val="14"/>
        </w:numPr>
        <w:rPr>
          <w:rFonts w:ascii="Arial" w:cs="Arial" w:eastAsia="Arial" w:hAnsi="Arial"/>
          <w:sz w:val="10"/>
          <w:szCs w:val="10"/>
          <w:color w:val="auto"/>
        </w:rPr>
      </w:pPr>
      <w:r>
        <w:rPr>
          <w:rFonts w:ascii="Arial" w:cs="Arial" w:eastAsia="Arial" w:hAnsi="Arial"/>
          <w:sz w:val="10"/>
          <w:szCs w:val="10"/>
          <w:color w:val="auto"/>
        </w:rPr>
        <w:t>Furnished herewith</w:t>
      </w:r>
    </w:p>
    <w:p>
      <w:pPr>
        <w:ind w:left="208" w:hanging="208"/>
        <w:spacing w:after="0" w:line="226" w:lineRule="auto"/>
        <w:tabs>
          <w:tab w:leader="none" w:pos="208" w:val="left"/>
        </w:tabs>
        <w:numPr>
          <w:ilvl w:val="0"/>
          <w:numId w:val="15"/>
        </w:numPr>
        <w:rPr>
          <w:rFonts w:ascii="Arial" w:cs="Arial" w:eastAsia="Arial" w:hAnsi="Arial"/>
          <w:sz w:val="10"/>
          <w:szCs w:val="10"/>
          <w:color w:val="auto"/>
        </w:rPr>
      </w:pPr>
      <w:r>
        <w:rPr>
          <w:rFonts w:ascii="Arial" w:cs="Arial" w:eastAsia="Arial" w:hAnsi="Arial"/>
          <w:sz w:val="10"/>
          <w:szCs w:val="10"/>
          <w:color w:val="auto"/>
        </w:rPr>
        <w:t>Incorporated by reference.</w:t>
      </w:r>
    </w:p>
    <w:p>
      <w:pPr>
        <w:ind w:left="208" w:hanging="208"/>
        <w:spacing w:after="0" w:line="225" w:lineRule="auto"/>
        <w:tabs>
          <w:tab w:leader="none" w:pos="208" w:val="left"/>
        </w:tabs>
        <w:numPr>
          <w:ilvl w:val="0"/>
          <w:numId w:val="16"/>
        </w:numPr>
        <w:rPr>
          <w:rFonts w:ascii="Arial" w:cs="Arial" w:eastAsia="Arial" w:hAnsi="Arial"/>
          <w:sz w:val="10"/>
          <w:szCs w:val="10"/>
          <w:color w:val="auto"/>
        </w:rPr>
      </w:pPr>
      <w:r>
        <w:rPr>
          <w:rFonts w:ascii="Arial" w:cs="Arial" w:eastAsia="Arial" w:hAnsi="Arial"/>
          <w:sz w:val="10"/>
          <w:szCs w:val="10"/>
          <w:color w:val="auto"/>
        </w:rPr>
        <w:t>Constitutes a management contract or compensatory plan or arrangement.</w:t>
      </w:r>
    </w:p>
    <w:p>
      <w:pPr>
        <w:ind w:left="208" w:hanging="208"/>
        <w:spacing w:after="0" w:line="232" w:lineRule="auto"/>
        <w:tabs>
          <w:tab w:leader="none" w:pos="139" w:val="left"/>
        </w:tabs>
        <w:numPr>
          <w:ilvl w:val="0"/>
          <w:numId w:val="17"/>
        </w:numPr>
        <w:rPr>
          <w:rFonts w:ascii="Arial" w:cs="Arial" w:eastAsia="Arial" w:hAnsi="Arial"/>
          <w:sz w:val="10"/>
          <w:szCs w:val="10"/>
          <w:color w:val="auto"/>
        </w:rPr>
      </w:pPr>
      <w:r>
        <w:rPr>
          <w:rFonts w:ascii="Arial" w:cs="Arial" w:eastAsia="Arial" w:hAnsi="Arial"/>
          <w:sz w:val="10"/>
          <w:szCs w:val="10"/>
          <w:color w:val="auto"/>
        </w:rPr>
        <w:t>Schedules and exhibits have been omitted pursuant to Item 601(b)(2) of Regulation S-K. We agree to furnish supplementally to the Securities and Exchange Commission a copy of any omitted schedule or exhibit upon request, subject to our right to request confidential treatment of any requested schedule or exhibit.</w:t>
      </w:r>
    </w:p>
    <w:p>
      <w:pPr>
        <w:spacing w:after="0" w:line="15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76</w:t>
      </w:r>
    </w:p>
    <w:p>
      <w:pPr>
        <w:sectPr>
          <w:pgSz w:w="11900" w:h="16838" w:orient="portrait"/>
          <w:cols w:equalWidth="0" w:num="1">
            <w:col w:w="11488"/>
          </w:cols>
          <w:pgMar w:left="212" w:top="140" w:right="199" w:bottom="1440" w:gutter="0" w:footer="0" w:header="0"/>
        </w:sectPr>
      </w:pPr>
    </w:p>
    <w:bookmarkStart w:id="79" w:name="page80"/>
    <w:bookmarkEnd w:id="7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31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860" w:type="dxa"/>
            <w:vAlign w:val="bottom"/>
          </w:tcPr>
          <w:p>
            <w:pPr>
              <w:ind w:left="20"/>
              <w:spacing w:after="0"/>
              <w:rPr>
                <w:sz w:val="20"/>
                <w:szCs w:val="20"/>
                <w:color w:val="auto"/>
              </w:rPr>
            </w:pPr>
            <w:r>
              <w:rPr>
                <w:rFonts w:ascii="Arial" w:cs="Arial" w:eastAsia="Arial" w:hAnsi="Arial"/>
                <w:sz w:val="12"/>
                <w:szCs w:val="12"/>
                <w:b w:val="1"/>
                <w:bCs w:val="1"/>
                <w:color w:val="auto"/>
              </w:rPr>
              <w:t>ECHOSTAR CORPORATION</w:t>
            </w:r>
          </w:p>
        </w:tc>
      </w:tr>
      <w:tr>
        <w:trPr>
          <w:trHeight w:val="518"/>
        </w:trPr>
        <w:tc>
          <w:tcPr>
            <w:tcW w:w="3120" w:type="dxa"/>
            <w:vAlign w:val="bottom"/>
          </w:tcPr>
          <w:p>
            <w:pPr>
              <w:spacing w:after="0"/>
              <w:rPr>
                <w:sz w:val="20"/>
                <w:szCs w:val="20"/>
                <w:color w:val="auto"/>
              </w:rPr>
            </w:pPr>
            <w:r>
              <w:rPr>
                <w:rFonts w:ascii="Arial" w:cs="Arial" w:eastAsia="Arial" w:hAnsi="Arial"/>
                <w:sz w:val="12"/>
                <w:szCs w:val="12"/>
                <w:color w:val="auto"/>
              </w:rPr>
              <w:t>Date: November 7, 2019</w:t>
            </w:r>
          </w:p>
        </w:tc>
        <w:tc>
          <w:tcPr>
            <w:tcW w:w="2480" w:type="dxa"/>
            <w:vAlign w:val="bottom"/>
          </w:tcPr>
          <w:p>
            <w:pPr>
              <w:ind w:left="1820"/>
              <w:spacing w:after="0"/>
              <w:rPr>
                <w:sz w:val="20"/>
                <w:szCs w:val="20"/>
                <w:color w:val="auto"/>
              </w:rPr>
            </w:pPr>
            <w:r>
              <w:rPr>
                <w:rFonts w:ascii="Arial" w:cs="Arial" w:eastAsia="Arial" w:hAnsi="Arial"/>
                <w:sz w:val="12"/>
                <w:szCs w:val="12"/>
                <w:color w:val="auto"/>
              </w:rPr>
              <w:t>By:</w:t>
            </w:r>
          </w:p>
        </w:tc>
        <w:tc>
          <w:tcPr>
            <w:tcW w:w="586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 xml:space="preserve">/s/ </w:t>
            </w:r>
            <w:r>
              <w:rPr>
                <w:rFonts w:ascii="Arial" w:cs="Arial" w:eastAsia="Arial" w:hAnsi="Arial"/>
                <w:sz w:val="12"/>
                <w:szCs w:val="12"/>
                <w:i w:val="1"/>
                <w:iCs w:val="1"/>
                <w:color w:val="auto"/>
              </w:rPr>
              <w:t>Michael T. Dugan</w:t>
            </w:r>
          </w:p>
        </w:tc>
      </w:tr>
      <w:tr>
        <w:trPr>
          <w:trHeight w:val="156"/>
        </w:trPr>
        <w:tc>
          <w:tcPr>
            <w:tcW w:w="31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860" w:type="dxa"/>
            <w:vAlign w:val="bottom"/>
          </w:tcPr>
          <w:p>
            <w:pPr>
              <w:ind w:left="20"/>
              <w:spacing w:after="0"/>
              <w:rPr>
                <w:sz w:val="20"/>
                <w:szCs w:val="20"/>
                <w:color w:val="auto"/>
              </w:rPr>
            </w:pPr>
            <w:r>
              <w:rPr>
                <w:rFonts w:ascii="Arial" w:cs="Arial" w:eastAsia="Arial" w:hAnsi="Arial"/>
                <w:sz w:val="12"/>
                <w:szCs w:val="12"/>
                <w:color w:val="auto"/>
              </w:rPr>
              <w:t>Michael T. Dugan</w:t>
            </w:r>
          </w:p>
        </w:tc>
      </w:tr>
      <w:tr>
        <w:trPr>
          <w:trHeight w:val="171"/>
        </w:trPr>
        <w:tc>
          <w:tcPr>
            <w:tcW w:w="3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860" w:type="dxa"/>
            <w:vAlign w:val="bottom"/>
          </w:tcPr>
          <w:p>
            <w:pPr>
              <w:ind w:left="20"/>
              <w:spacing w:after="0"/>
              <w:rPr>
                <w:sz w:val="20"/>
                <w:szCs w:val="20"/>
                <w:color w:val="auto"/>
              </w:rPr>
            </w:pPr>
            <w:r>
              <w:rPr>
                <w:rFonts w:ascii="Arial" w:cs="Arial" w:eastAsia="Arial" w:hAnsi="Arial"/>
                <w:sz w:val="12"/>
                <w:szCs w:val="12"/>
                <w:color w:val="auto"/>
              </w:rPr>
              <w:t>Chief Executive Officer, President and Director</w:t>
            </w:r>
          </w:p>
        </w:tc>
      </w:tr>
      <w:tr>
        <w:trPr>
          <w:trHeight w:val="171"/>
        </w:trPr>
        <w:tc>
          <w:tcPr>
            <w:tcW w:w="3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860" w:type="dxa"/>
            <w:vAlign w:val="bottom"/>
          </w:tcPr>
          <w:p>
            <w:pPr>
              <w:ind w:left="20"/>
              <w:spacing w:after="0"/>
              <w:rPr>
                <w:sz w:val="20"/>
                <w:szCs w:val="20"/>
                <w:color w:val="auto"/>
              </w:rPr>
            </w:pPr>
            <w:r>
              <w:rPr>
                <w:rFonts w:ascii="Arial" w:cs="Arial" w:eastAsia="Arial" w:hAnsi="Arial"/>
                <w:sz w:val="12"/>
                <w:szCs w:val="12"/>
                <w:i w:val="1"/>
                <w:iCs w:val="1"/>
                <w:color w:val="auto"/>
              </w:rPr>
              <w:t>(Principal Executive Officer)</w:t>
            </w:r>
          </w:p>
        </w:tc>
      </w:tr>
      <w:tr>
        <w:trPr>
          <w:trHeight w:val="518"/>
        </w:trPr>
        <w:tc>
          <w:tcPr>
            <w:tcW w:w="3120" w:type="dxa"/>
            <w:vAlign w:val="bottom"/>
          </w:tcPr>
          <w:p>
            <w:pPr>
              <w:spacing w:after="0"/>
              <w:rPr>
                <w:sz w:val="20"/>
                <w:szCs w:val="20"/>
                <w:color w:val="auto"/>
              </w:rPr>
            </w:pPr>
            <w:r>
              <w:rPr>
                <w:rFonts w:ascii="Arial" w:cs="Arial" w:eastAsia="Arial" w:hAnsi="Arial"/>
                <w:sz w:val="12"/>
                <w:szCs w:val="12"/>
                <w:color w:val="auto"/>
              </w:rPr>
              <w:t>Date: November 7, 2019</w:t>
            </w:r>
          </w:p>
        </w:tc>
        <w:tc>
          <w:tcPr>
            <w:tcW w:w="2480" w:type="dxa"/>
            <w:vAlign w:val="bottom"/>
          </w:tcPr>
          <w:p>
            <w:pPr>
              <w:ind w:left="1820"/>
              <w:spacing w:after="0"/>
              <w:rPr>
                <w:sz w:val="20"/>
                <w:szCs w:val="20"/>
                <w:color w:val="auto"/>
              </w:rPr>
            </w:pPr>
            <w:r>
              <w:rPr>
                <w:rFonts w:ascii="Arial" w:cs="Arial" w:eastAsia="Arial" w:hAnsi="Arial"/>
                <w:sz w:val="12"/>
                <w:szCs w:val="12"/>
                <w:color w:val="auto"/>
              </w:rPr>
              <w:t>By:</w:t>
            </w:r>
          </w:p>
        </w:tc>
        <w:tc>
          <w:tcPr>
            <w:tcW w:w="5860" w:type="dxa"/>
            <w:vAlign w:val="bottom"/>
            <w:tcBorders>
              <w:bottom w:val="single" w:sz="8" w:color="auto"/>
            </w:tcBorders>
          </w:tcPr>
          <w:p>
            <w:pPr>
              <w:ind w:left="140"/>
              <w:spacing w:after="0"/>
              <w:rPr>
                <w:sz w:val="20"/>
                <w:szCs w:val="20"/>
                <w:color w:val="auto"/>
              </w:rPr>
            </w:pPr>
            <w:r>
              <w:rPr>
                <w:rFonts w:ascii="Arial" w:cs="Arial" w:eastAsia="Arial" w:hAnsi="Arial"/>
                <w:sz w:val="12"/>
                <w:szCs w:val="12"/>
                <w:color w:val="auto"/>
              </w:rPr>
              <w:t xml:space="preserve">/s/ </w:t>
            </w:r>
            <w:r>
              <w:rPr>
                <w:rFonts w:ascii="Arial" w:cs="Arial" w:eastAsia="Arial" w:hAnsi="Arial"/>
                <w:sz w:val="12"/>
                <w:szCs w:val="12"/>
                <w:i w:val="1"/>
                <w:iCs w:val="1"/>
                <w:color w:val="auto"/>
              </w:rPr>
              <w:t>David J. Rayner</w:t>
            </w:r>
          </w:p>
        </w:tc>
      </w:tr>
      <w:tr>
        <w:trPr>
          <w:trHeight w:val="156"/>
        </w:trPr>
        <w:tc>
          <w:tcPr>
            <w:tcW w:w="31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5860" w:type="dxa"/>
            <w:vAlign w:val="bottom"/>
          </w:tcPr>
          <w:p>
            <w:pPr>
              <w:ind w:left="20"/>
              <w:spacing w:after="0"/>
              <w:rPr>
                <w:sz w:val="20"/>
                <w:szCs w:val="20"/>
                <w:color w:val="auto"/>
              </w:rPr>
            </w:pPr>
            <w:r>
              <w:rPr>
                <w:rFonts w:ascii="Arial" w:cs="Arial" w:eastAsia="Arial" w:hAnsi="Arial"/>
                <w:sz w:val="12"/>
                <w:szCs w:val="12"/>
                <w:color w:val="auto"/>
              </w:rPr>
              <w:t>David J. Rayner</w:t>
            </w:r>
          </w:p>
        </w:tc>
      </w:tr>
      <w:tr>
        <w:trPr>
          <w:trHeight w:val="171"/>
        </w:trPr>
        <w:tc>
          <w:tcPr>
            <w:tcW w:w="3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860" w:type="dxa"/>
            <w:vAlign w:val="bottom"/>
          </w:tcPr>
          <w:p>
            <w:pPr>
              <w:ind w:left="20"/>
              <w:spacing w:after="0"/>
              <w:rPr>
                <w:sz w:val="20"/>
                <w:szCs w:val="20"/>
                <w:color w:val="auto"/>
              </w:rPr>
            </w:pPr>
            <w:r>
              <w:rPr>
                <w:rFonts w:ascii="Arial" w:cs="Arial" w:eastAsia="Arial" w:hAnsi="Arial"/>
                <w:sz w:val="12"/>
                <w:szCs w:val="12"/>
                <w:color w:val="auto"/>
              </w:rPr>
              <w:t>Executive Vice President, Chief Financial Officer, Chief Operating Officer and Treasurer</w:t>
            </w:r>
          </w:p>
        </w:tc>
      </w:tr>
      <w:tr>
        <w:trPr>
          <w:trHeight w:val="171"/>
        </w:trPr>
        <w:tc>
          <w:tcPr>
            <w:tcW w:w="3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5860" w:type="dxa"/>
            <w:vAlign w:val="bottom"/>
          </w:tcPr>
          <w:p>
            <w:pPr>
              <w:ind w:left="20"/>
              <w:spacing w:after="0"/>
              <w:rPr>
                <w:sz w:val="20"/>
                <w:szCs w:val="20"/>
                <w:color w:val="auto"/>
              </w:rPr>
            </w:pPr>
            <w:r>
              <w:rPr>
                <w:rFonts w:ascii="Arial" w:cs="Arial" w:eastAsia="Arial" w:hAnsi="Arial"/>
                <w:sz w:val="12"/>
                <w:szCs w:val="12"/>
                <w:i w:val="1"/>
                <w:iCs w:val="1"/>
                <w:color w:val="auto"/>
              </w:rPr>
              <w:t>(Principal Financial and Accounting Officer)</w:t>
            </w:r>
          </w:p>
        </w:tc>
      </w:tr>
      <w:tr>
        <w:trPr>
          <w:trHeight w:val="459"/>
        </w:trPr>
        <w:tc>
          <w:tcPr>
            <w:tcW w:w="31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860" w:type="dxa"/>
            <w:vAlign w:val="bottom"/>
          </w:tcPr>
          <w:p>
            <w:pPr>
              <w:ind w:left="40"/>
              <w:spacing w:after="0"/>
              <w:rPr>
                <w:sz w:val="20"/>
                <w:szCs w:val="20"/>
                <w:color w:val="auto"/>
              </w:rPr>
            </w:pPr>
            <w:r>
              <w:rPr>
                <w:rFonts w:ascii="Arial" w:cs="Arial" w:eastAsia="Arial" w:hAnsi="Arial"/>
                <w:sz w:val="12"/>
                <w:szCs w:val="12"/>
                <w:color w:val="auto"/>
              </w:rPr>
              <w:t>77</w:t>
            </w:r>
          </w:p>
        </w:tc>
      </w:tr>
    </w:tbl>
    <w:p>
      <w:pPr>
        <w:sectPr>
          <w:pgSz w:w="11900" w:h="16838" w:orient="portrait"/>
          <w:cols w:equalWidth="0" w:num="1">
            <w:col w:w="11480"/>
          </w:cols>
          <w:pgMar w:left="220" w:top="140" w:right="199" w:bottom="1440" w:gutter="0" w:footer="0" w:header="0"/>
        </w:sectPr>
      </w:pPr>
    </w:p>
    <w:bookmarkStart w:id="80" w:name="page81"/>
    <w:bookmarkEnd w:id="80"/>
    <w:p>
      <w:pPr>
        <w:jc w:val="right"/>
        <w:spacing w:after="0"/>
        <w:rPr>
          <w:sz w:val="20"/>
          <w:szCs w:val="20"/>
          <w:color w:val="auto"/>
        </w:rPr>
      </w:pPr>
      <w:r>
        <w:rPr>
          <w:rFonts w:ascii="Arial" w:cs="Arial" w:eastAsia="Arial" w:hAnsi="Arial"/>
          <w:sz w:val="12"/>
          <w:szCs w:val="12"/>
          <w:b w:val="1"/>
          <w:bCs w:val="1"/>
          <w:color w:val="auto"/>
        </w:rPr>
        <w:t>EXHIBIT 31.1</w:t>
      </w:r>
    </w:p>
    <w:p>
      <w:pPr>
        <w:spacing w:after="0" w:line="15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OF CHIEF EXECUTIVE OFFICER</w:t>
      </w:r>
    </w:p>
    <w:p>
      <w:pPr>
        <w:spacing w:after="0" w:line="20"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302 Certification</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I, Michael T. Dugan, certify that:</w:t>
      </w:r>
    </w:p>
    <w:p>
      <w:pPr>
        <w:spacing w:after="0" w:line="150" w:lineRule="exact"/>
        <w:rPr>
          <w:sz w:val="20"/>
          <w:szCs w:val="20"/>
          <w:color w:val="auto"/>
        </w:rPr>
      </w:pPr>
    </w:p>
    <w:p>
      <w:pPr>
        <w:ind w:left="228" w:hanging="228"/>
        <w:spacing w:after="0"/>
        <w:tabs>
          <w:tab w:leader="none" w:pos="228" w:val="left"/>
        </w:tabs>
        <w:numPr>
          <w:ilvl w:val="0"/>
          <w:numId w:val="18"/>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EchoStar Corporation;</w:t>
      </w:r>
    </w:p>
    <w:p>
      <w:pPr>
        <w:spacing w:after="0" w:line="177" w:lineRule="exact"/>
        <w:rPr>
          <w:rFonts w:ascii="Arial" w:cs="Arial" w:eastAsia="Arial" w:hAnsi="Arial"/>
          <w:sz w:val="12"/>
          <w:szCs w:val="12"/>
          <w:color w:val="auto"/>
        </w:rPr>
      </w:pPr>
    </w:p>
    <w:p>
      <w:pPr>
        <w:ind w:left="208" w:hanging="208"/>
        <w:spacing w:after="0" w:line="309" w:lineRule="auto"/>
        <w:tabs>
          <w:tab w:leader="none" w:pos="222" w:val="left"/>
        </w:tabs>
        <w:numPr>
          <w:ilvl w:val="0"/>
          <w:numId w:val="18"/>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4" w:lineRule="exact"/>
        <w:rPr>
          <w:rFonts w:ascii="Arial" w:cs="Arial" w:eastAsia="Arial" w:hAnsi="Arial"/>
          <w:sz w:val="12"/>
          <w:szCs w:val="12"/>
          <w:color w:val="auto"/>
        </w:rPr>
      </w:pPr>
    </w:p>
    <w:p>
      <w:pPr>
        <w:ind w:left="208" w:right="20" w:hanging="208"/>
        <w:spacing w:after="0" w:line="262" w:lineRule="auto"/>
        <w:tabs>
          <w:tab w:leader="none" w:pos="208" w:val="left"/>
        </w:tabs>
        <w:numPr>
          <w:ilvl w:val="0"/>
          <w:numId w:val="18"/>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2"/>
          <w:szCs w:val="12"/>
          <w:color w:val="auto"/>
        </w:rPr>
      </w:pPr>
    </w:p>
    <w:p>
      <w:pPr>
        <w:ind w:left="208" w:right="20" w:hanging="208"/>
        <w:spacing w:after="0" w:line="309" w:lineRule="auto"/>
        <w:tabs>
          <w:tab w:leader="none" w:pos="221"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4" w:lineRule="exact"/>
        <w:rPr>
          <w:rFonts w:ascii="Arial" w:cs="Arial" w:eastAsia="Arial" w:hAnsi="Arial"/>
          <w:sz w:val="12"/>
          <w:szCs w:val="12"/>
          <w:color w:val="auto"/>
        </w:rPr>
      </w:pPr>
    </w:p>
    <w:p>
      <w:pPr>
        <w:ind w:left="428" w:right="20" w:hanging="212"/>
        <w:spacing w:after="0" w:line="309" w:lineRule="auto"/>
        <w:tabs>
          <w:tab w:leader="none" w:pos="538" w:val="left"/>
        </w:tabs>
        <w:numPr>
          <w:ilvl w:val="1"/>
          <w:numId w:val="1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4" w:lineRule="exact"/>
        <w:rPr>
          <w:rFonts w:ascii="Arial" w:cs="Arial" w:eastAsia="Arial" w:hAnsi="Arial"/>
          <w:sz w:val="12"/>
          <w:szCs w:val="12"/>
          <w:color w:val="auto"/>
        </w:rPr>
      </w:pPr>
    </w:p>
    <w:p>
      <w:pPr>
        <w:ind w:left="428" w:hanging="212"/>
        <w:spacing w:after="0" w:line="309" w:lineRule="auto"/>
        <w:tabs>
          <w:tab w:leader="none" w:pos="448" w:val="left"/>
        </w:tabs>
        <w:numPr>
          <w:ilvl w:val="1"/>
          <w:numId w:val="1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4" w:lineRule="exact"/>
        <w:rPr>
          <w:rFonts w:ascii="Arial" w:cs="Arial" w:eastAsia="Arial" w:hAnsi="Arial"/>
          <w:sz w:val="12"/>
          <w:szCs w:val="12"/>
          <w:color w:val="auto"/>
        </w:rPr>
      </w:pPr>
    </w:p>
    <w:p>
      <w:pPr>
        <w:ind w:left="428" w:hanging="212"/>
        <w:spacing w:after="0" w:line="262" w:lineRule="auto"/>
        <w:tabs>
          <w:tab w:leader="none" w:pos="428" w:val="left"/>
        </w:tabs>
        <w:numPr>
          <w:ilvl w:val="1"/>
          <w:numId w:val="18"/>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2"/>
          <w:szCs w:val="12"/>
          <w:color w:val="auto"/>
        </w:rPr>
      </w:pPr>
    </w:p>
    <w:p>
      <w:pPr>
        <w:ind w:left="428" w:right="20" w:hanging="212"/>
        <w:spacing w:after="0" w:line="309" w:lineRule="auto"/>
        <w:tabs>
          <w:tab w:leader="none" w:pos="439" w:val="left"/>
        </w:tabs>
        <w:numPr>
          <w:ilvl w:val="1"/>
          <w:numId w:val="18"/>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4" w:lineRule="exact"/>
        <w:rPr>
          <w:rFonts w:ascii="Arial" w:cs="Arial" w:eastAsia="Arial" w:hAnsi="Arial"/>
          <w:sz w:val="12"/>
          <w:szCs w:val="12"/>
          <w:color w:val="auto"/>
        </w:rPr>
      </w:pPr>
    </w:p>
    <w:p>
      <w:pPr>
        <w:ind w:left="208" w:hanging="208"/>
        <w:spacing w:after="0" w:line="262" w:lineRule="auto"/>
        <w:tabs>
          <w:tab w:leader="none" w:pos="208"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1" w:lineRule="exact"/>
        <w:rPr>
          <w:rFonts w:ascii="Arial" w:cs="Arial" w:eastAsia="Arial" w:hAnsi="Arial"/>
          <w:sz w:val="12"/>
          <w:szCs w:val="12"/>
          <w:color w:val="auto"/>
        </w:rPr>
      </w:pPr>
    </w:p>
    <w:p>
      <w:pPr>
        <w:ind w:left="428" w:right="20" w:hanging="212"/>
        <w:spacing w:after="0" w:line="309" w:lineRule="auto"/>
        <w:tabs>
          <w:tab w:leader="none" w:pos="448" w:val="left"/>
        </w:tabs>
        <w:numPr>
          <w:ilvl w:val="1"/>
          <w:numId w:val="18"/>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2"/>
          <w:szCs w:val="12"/>
          <w:color w:val="auto"/>
        </w:rPr>
      </w:pPr>
    </w:p>
    <w:p>
      <w:pPr>
        <w:ind w:left="448" w:hanging="232"/>
        <w:spacing w:after="0"/>
        <w:tabs>
          <w:tab w:leader="none" w:pos="448" w:val="left"/>
        </w:tabs>
        <w:numPr>
          <w:ilvl w:val="1"/>
          <w:numId w:val="18"/>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ind w:left="28"/>
        <w:spacing w:after="0"/>
        <w:rPr>
          <w:sz w:val="20"/>
          <w:szCs w:val="20"/>
          <w:color w:val="auto"/>
        </w:rPr>
      </w:pPr>
      <w:r>
        <w:rPr>
          <w:rFonts w:ascii="Arial" w:cs="Arial" w:eastAsia="Arial" w:hAnsi="Arial"/>
          <w:sz w:val="12"/>
          <w:szCs w:val="12"/>
          <w:color w:val="auto"/>
        </w:rPr>
        <w:t>Date: November 7, 2019</w:t>
      </w:r>
    </w:p>
    <w:p>
      <w:pPr>
        <w:spacing w:after="0" w:line="192" w:lineRule="exact"/>
        <w:rPr>
          <w:sz w:val="20"/>
          <w:szCs w:val="20"/>
          <w:color w:val="auto"/>
        </w:rPr>
      </w:pPr>
    </w:p>
    <w:tbl>
      <w:tblPr>
        <w:tblLayout w:type="fixed"/>
        <w:tblInd w:w="28" w:type="dxa"/>
        <w:tblCellMar>
          <w:top w:w="0" w:type="dxa"/>
          <w:left w:w="0" w:type="dxa"/>
          <w:bottom w:w="0" w:type="dxa"/>
          <w:right w:w="0" w:type="dxa"/>
        </w:tblCellMar>
      </w:tblPr>
      <w:tr>
        <w:trPr>
          <w:trHeight w:val="157"/>
        </w:trPr>
        <w:tc>
          <w:tcPr>
            <w:tcW w:w="900" w:type="dxa"/>
            <w:vAlign w:val="bottom"/>
          </w:tcPr>
          <w:p>
            <w:pPr>
              <w:spacing w:after="0"/>
              <w:rPr>
                <w:sz w:val="20"/>
                <w:szCs w:val="20"/>
                <w:color w:val="auto"/>
              </w:rPr>
            </w:pPr>
            <w:r>
              <w:rPr>
                <w:rFonts w:ascii="Arial" w:cs="Arial" w:eastAsia="Arial" w:hAnsi="Arial"/>
                <w:sz w:val="12"/>
                <w:szCs w:val="12"/>
                <w:color w:val="auto"/>
              </w:rPr>
              <w:t>By:</w:t>
            </w:r>
          </w:p>
        </w:tc>
        <w:tc>
          <w:tcPr>
            <w:tcW w:w="5500" w:type="dxa"/>
            <w:vAlign w:val="bottom"/>
            <w:tcBorders>
              <w:bottom w:val="single" w:sz="8" w:color="auto"/>
            </w:tcBorders>
          </w:tcPr>
          <w:p>
            <w:pPr>
              <w:ind w:left="360"/>
              <w:spacing w:after="0"/>
              <w:rPr>
                <w:sz w:val="20"/>
                <w:szCs w:val="20"/>
                <w:color w:val="auto"/>
              </w:rPr>
            </w:pPr>
            <w:r>
              <w:rPr>
                <w:rFonts w:ascii="Arial" w:cs="Arial" w:eastAsia="Arial" w:hAnsi="Arial"/>
                <w:sz w:val="12"/>
                <w:szCs w:val="12"/>
                <w:color w:val="auto"/>
              </w:rPr>
              <w:t xml:space="preserve">/s/ </w:t>
            </w:r>
            <w:r>
              <w:rPr>
                <w:rFonts w:ascii="Arial" w:cs="Arial" w:eastAsia="Arial" w:hAnsi="Arial"/>
                <w:sz w:val="12"/>
                <w:szCs w:val="12"/>
                <w:i w:val="1"/>
                <w:iCs w:val="1"/>
                <w:color w:val="auto"/>
              </w:rPr>
              <w:t>Michael T. Dugan</w:t>
            </w:r>
          </w:p>
        </w:tc>
      </w:tr>
      <w:tr>
        <w:trPr>
          <w:trHeight w:val="160"/>
        </w:trPr>
        <w:tc>
          <w:tcPr>
            <w:tcW w:w="900" w:type="dxa"/>
            <w:vAlign w:val="bottom"/>
          </w:tcPr>
          <w:p>
            <w:pPr>
              <w:spacing w:after="0"/>
              <w:rPr>
                <w:sz w:val="20"/>
                <w:szCs w:val="20"/>
                <w:color w:val="auto"/>
              </w:rPr>
            </w:pPr>
            <w:r>
              <w:rPr>
                <w:rFonts w:ascii="Arial" w:cs="Arial" w:eastAsia="Arial" w:hAnsi="Arial"/>
                <w:sz w:val="12"/>
                <w:szCs w:val="12"/>
                <w:color w:val="auto"/>
              </w:rPr>
              <w:t>Name:</w:t>
            </w:r>
          </w:p>
        </w:tc>
        <w:tc>
          <w:tcPr>
            <w:tcW w:w="5500" w:type="dxa"/>
            <w:vAlign w:val="bottom"/>
          </w:tcPr>
          <w:p>
            <w:pPr>
              <w:spacing w:after="0"/>
              <w:rPr>
                <w:sz w:val="20"/>
                <w:szCs w:val="20"/>
                <w:color w:val="auto"/>
              </w:rPr>
            </w:pPr>
            <w:r>
              <w:rPr>
                <w:rFonts w:ascii="Arial" w:cs="Arial" w:eastAsia="Arial" w:hAnsi="Arial"/>
                <w:sz w:val="12"/>
                <w:szCs w:val="12"/>
                <w:color w:val="auto"/>
              </w:rPr>
              <w:t>Michael T. Dugan</w:t>
            </w:r>
          </w:p>
        </w:tc>
      </w:tr>
      <w:tr>
        <w:trPr>
          <w:trHeight w:val="171"/>
        </w:trPr>
        <w:tc>
          <w:tcPr>
            <w:tcW w:w="900" w:type="dxa"/>
            <w:vAlign w:val="bottom"/>
          </w:tcPr>
          <w:p>
            <w:pPr>
              <w:spacing w:after="0"/>
              <w:rPr>
                <w:sz w:val="20"/>
                <w:szCs w:val="20"/>
                <w:color w:val="auto"/>
              </w:rPr>
            </w:pPr>
            <w:r>
              <w:rPr>
                <w:rFonts w:ascii="Arial" w:cs="Arial" w:eastAsia="Arial" w:hAnsi="Arial"/>
                <w:sz w:val="12"/>
                <w:szCs w:val="12"/>
                <w:color w:val="auto"/>
              </w:rPr>
              <w:t>Title:</w:t>
            </w:r>
          </w:p>
        </w:tc>
        <w:tc>
          <w:tcPr>
            <w:tcW w:w="5500" w:type="dxa"/>
            <w:vAlign w:val="bottom"/>
          </w:tcPr>
          <w:p>
            <w:pPr>
              <w:spacing w:after="0"/>
              <w:rPr>
                <w:sz w:val="20"/>
                <w:szCs w:val="20"/>
                <w:color w:val="auto"/>
              </w:rPr>
            </w:pPr>
            <w:r>
              <w:rPr>
                <w:rFonts w:ascii="Arial" w:cs="Arial" w:eastAsia="Arial" w:hAnsi="Arial"/>
                <w:sz w:val="12"/>
                <w:szCs w:val="12"/>
                <w:color w:val="auto"/>
              </w:rPr>
              <w:t>Chief Executive Officer, President and Director</w:t>
            </w:r>
          </w:p>
        </w:tc>
      </w:tr>
      <w:tr>
        <w:trPr>
          <w:trHeight w:val="171"/>
        </w:trPr>
        <w:tc>
          <w:tcPr>
            <w:tcW w:w="900" w:type="dxa"/>
            <w:vAlign w:val="bottom"/>
          </w:tcPr>
          <w:p>
            <w:pPr>
              <w:spacing w:after="0"/>
              <w:rPr>
                <w:sz w:val="14"/>
                <w:szCs w:val="14"/>
                <w:color w:val="auto"/>
              </w:rPr>
            </w:pPr>
          </w:p>
        </w:tc>
        <w:tc>
          <w:tcPr>
            <w:tcW w:w="5500" w:type="dxa"/>
            <w:vAlign w:val="bottom"/>
          </w:tcPr>
          <w:p>
            <w:pPr>
              <w:spacing w:after="0"/>
              <w:rPr>
                <w:sz w:val="20"/>
                <w:szCs w:val="20"/>
                <w:color w:val="auto"/>
              </w:rPr>
            </w:pPr>
            <w:r>
              <w:rPr>
                <w:rFonts w:ascii="Arial" w:cs="Arial" w:eastAsia="Arial" w:hAnsi="Arial"/>
                <w:sz w:val="12"/>
                <w:szCs w:val="12"/>
                <w:i w:val="1"/>
                <w:iCs w:val="1"/>
                <w:color w:val="auto"/>
              </w:rPr>
              <w:t>(Principal Executive Officer)</w:t>
            </w:r>
          </w:p>
        </w:tc>
      </w:tr>
    </w:tbl>
    <w:p>
      <w:pPr>
        <w:sectPr>
          <w:pgSz w:w="11900" w:h="16838" w:orient="portrait"/>
          <w:cols w:equalWidth="0" w:num="1">
            <w:col w:w="11488"/>
          </w:cols>
          <w:pgMar w:left="212" w:top="431" w:right="199" w:bottom="1440" w:gutter="0" w:footer="0" w:header="0"/>
        </w:sectPr>
      </w:pPr>
    </w:p>
    <w:bookmarkStart w:id="81" w:name="page82"/>
    <w:bookmarkEnd w:id="81"/>
    <w:p>
      <w:pPr>
        <w:jc w:val="right"/>
        <w:spacing w:after="0"/>
        <w:rPr>
          <w:sz w:val="20"/>
          <w:szCs w:val="20"/>
          <w:color w:val="auto"/>
        </w:rPr>
      </w:pPr>
      <w:r>
        <w:rPr>
          <w:rFonts w:ascii="Arial" w:cs="Arial" w:eastAsia="Arial" w:hAnsi="Arial"/>
          <w:sz w:val="12"/>
          <w:szCs w:val="12"/>
          <w:b w:val="1"/>
          <w:bCs w:val="1"/>
          <w:color w:val="auto"/>
        </w:rPr>
        <w:t>EXHIBIT 31.2</w:t>
      </w:r>
    </w:p>
    <w:p>
      <w:pPr>
        <w:spacing w:after="0" w:line="20" w:lineRule="exact"/>
        <w:rPr>
          <w:sz w:val="20"/>
          <w:szCs w:val="20"/>
          <w:color w:val="auto"/>
        </w:rPr>
      </w:pPr>
    </w:p>
    <w:p>
      <w:pPr>
        <w:jc w:val="center"/>
        <w:ind w:right="-27"/>
        <w:spacing w:after="0"/>
        <w:rPr>
          <w:sz w:val="20"/>
          <w:szCs w:val="20"/>
          <w:color w:val="auto"/>
        </w:rPr>
      </w:pPr>
      <w:r>
        <w:rPr>
          <w:rFonts w:ascii="Arial" w:cs="Arial" w:eastAsia="Arial" w:hAnsi="Arial"/>
          <w:sz w:val="12"/>
          <w:szCs w:val="12"/>
          <w:b w:val="1"/>
          <w:bCs w:val="1"/>
          <w:color w:val="auto"/>
        </w:rPr>
        <w:t>CERTIFICATION OF CHIEF FINANCIAL OFFICER</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Section 302 Certification</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I, David J. Rayner, certify that:</w:t>
      </w:r>
    </w:p>
    <w:p>
      <w:pPr>
        <w:spacing w:after="0" w:line="150" w:lineRule="exact"/>
        <w:rPr>
          <w:sz w:val="20"/>
          <w:szCs w:val="20"/>
          <w:color w:val="auto"/>
        </w:rPr>
      </w:pPr>
    </w:p>
    <w:p>
      <w:pPr>
        <w:ind w:left="228" w:hanging="228"/>
        <w:spacing w:after="0"/>
        <w:tabs>
          <w:tab w:leader="none" w:pos="228" w:val="left"/>
        </w:tabs>
        <w:numPr>
          <w:ilvl w:val="0"/>
          <w:numId w:val="19"/>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EchoStar Corporation;</w:t>
      </w:r>
    </w:p>
    <w:p>
      <w:pPr>
        <w:spacing w:after="0" w:line="177" w:lineRule="exact"/>
        <w:rPr>
          <w:rFonts w:ascii="Arial" w:cs="Arial" w:eastAsia="Arial" w:hAnsi="Arial"/>
          <w:sz w:val="12"/>
          <w:szCs w:val="12"/>
          <w:color w:val="auto"/>
        </w:rPr>
      </w:pPr>
    </w:p>
    <w:p>
      <w:pPr>
        <w:ind w:left="208" w:hanging="208"/>
        <w:spacing w:after="0" w:line="309" w:lineRule="auto"/>
        <w:tabs>
          <w:tab w:leader="none" w:pos="222" w:val="left"/>
        </w:tabs>
        <w:numPr>
          <w:ilvl w:val="0"/>
          <w:numId w:val="19"/>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4" w:lineRule="exact"/>
        <w:rPr>
          <w:rFonts w:ascii="Arial" w:cs="Arial" w:eastAsia="Arial" w:hAnsi="Arial"/>
          <w:sz w:val="12"/>
          <w:szCs w:val="12"/>
          <w:color w:val="auto"/>
        </w:rPr>
      </w:pPr>
    </w:p>
    <w:p>
      <w:pPr>
        <w:ind w:left="208" w:hanging="208"/>
        <w:spacing w:after="0" w:line="309" w:lineRule="auto"/>
        <w:tabs>
          <w:tab w:leader="none" w:pos="303" w:val="left"/>
        </w:tabs>
        <w:numPr>
          <w:ilvl w:val="0"/>
          <w:numId w:val="19"/>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2"/>
          <w:szCs w:val="12"/>
          <w:color w:val="auto"/>
        </w:rPr>
      </w:pPr>
    </w:p>
    <w:p>
      <w:pPr>
        <w:ind w:left="208" w:right="20" w:hanging="208"/>
        <w:spacing w:after="0" w:line="309" w:lineRule="auto"/>
        <w:tabs>
          <w:tab w:leader="none" w:pos="231"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4" w:lineRule="exact"/>
        <w:rPr>
          <w:rFonts w:ascii="Arial" w:cs="Arial" w:eastAsia="Arial" w:hAnsi="Arial"/>
          <w:sz w:val="12"/>
          <w:szCs w:val="12"/>
          <w:color w:val="auto"/>
        </w:rPr>
      </w:pPr>
    </w:p>
    <w:p>
      <w:pPr>
        <w:ind w:left="488" w:hanging="272"/>
        <w:spacing w:after="0" w:line="262" w:lineRule="auto"/>
        <w:tabs>
          <w:tab w:leader="none" w:pos="488" w:val="left"/>
        </w:tabs>
        <w:numPr>
          <w:ilvl w:val="1"/>
          <w:numId w:val="1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1" w:lineRule="exact"/>
        <w:rPr>
          <w:rFonts w:ascii="Arial" w:cs="Arial" w:eastAsia="Arial" w:hAnsi="Arial"/>
          <w:sz w:val="12"/>
          <w:szCs w:val="12"/>
          <w:color w:val="auto"/>
        </w:rPr>
      </w:pPr>
    </w:p>
    <w:p>
      <w:pPr>
        <w:ind w:left="488" w:hanging="272"/>
        <w:spacing w:after="0" w:line="262" w:lineRule="auto"/>
        <w:tabs>
          <w:tab w:leader="none" w:pos="488" w:val="left"/>
        </w:tabs>
        <w:numPr>
          <w:ilvl w:val="1"/>
          <w:numId w:val="1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1" w:lineRule="exact"/>
        <w:rPr>
          <w:rFonts w:ascii="Arial" w:cs="Arial" w:eastAsia="Arial" w:hAnsi="Arial"/>
          <w:sz w:val="12"/>
          <w:szCs w:val="12"/>
          <w:color w:val="auto"/>
        </w:rPr>
      </w:pPr>
    </w:p>
    <w:p>
      <w:pPr>
        <w:ind w:left="488" w:hanging="272"/>
        <w:spacing w:after="0" w:line="262" w:lineRule="auto"/>
        <w:tabs>
          <w:tab w:leader="none" w:pos="488" w:val="left"/>
        </w:tabs>
        <w:numPr>
          <w:ilvl w:val="1"/>
          <w:numId w:val="19"/>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2"/>
          <w:szCs w:val="12"/>
          <w:color w:val="auto"/>
        </w:rPr>
      </w:pPr>
    </w:p>
    <w:p>
      <w:pPr>
        <w:ind w:left="488" w:hanging="272"/>
        <w:spacing w:after="0" w:line="262" w:lineRule="auto"/>
        <w:tabs>
          <w:tab w:leader="none" w:pos="488" w:val="left"/>
        </w:tabs>
        <w:numPr>
          <w:ilvl w:val="1"/>
          <w:numId w:val="19"/>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Arial" w:cs="Arial" w:eastAsia="Arial" w:hAnsi="Arial"/>
          <w:sz w:val="12"/>
          <w:szCs w:val="12"/>
          <w:color w:val="auto"/>
        </w:rPr>
      </w:pPr>
    </w:p>
    <w:p>
      <w:pPr>
        <w:ind w:left="208" w:hanging="208"/>
        <w:spacing w:after="0" w:line="309" w:lineRule="auto"/>
        <w:tabs>
          <w:tab w:leader="none" w:pos="231"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4" w:lineRule="exact"/>
        <w:rPr>
          <w:rFonts w:ascii="Arial" w:cs="Arial" w:eastAsia="Arial" w:hAnsi="Arial"/>
          <w:sz w:val="12"/>
          <w:szCs w:val="12"/>
          <w:color w:val="auto"/>
        </w:rPr>
      </w:pPr>
    </w:p>
    <w:p>
      <w:pPr>
        <w:ind w:left="488" w:right="20" w:hanging="272"/>
        <w:spacing w:after="0" w:line="262" w:lineRule="auto"/>
        <w:tabs>
          <w:tab w:leader="none" w:pos="488" w:val="left"/>
        </w:tabs>
        <w:numPr>
          <w:ilvl w:val="1"/>
          <w:numId w:val="19"/>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2"/>
          <w:szCs w:val="12"/>
          <w:color w:val="auto"/>
        </w:rPr>
      </w:pPr>
    </w:p>
    <w:p>
      <w:pPr>
        <w:ind w:left="488" w:hanging="272"/>
        <w:spacing w:after="0"/>
        <w:tabs>
          <w:tab w:leader="none" w:pos="488" w:val="left"/>
        </w:tabs>
        <w:numPr>
          <w:ilvl w:val="1"/>
          <w:numId w:val="19"/>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registrant’s internal control over financial reporting.</w:t>
      </w:r>
    </w:p>
    <w:p>
      <w:pPr>
        <w:spacing w:after="0" w:line="285" w:lineRule="exact"/>
        <w:rPr>
          <w:sz w:val="20"/>
          <w:szCs w:val="20"/>
          <w:color w:val="auto"/>
        </w:rPr>
      </w:pPr>
    </w:p>
    <w:p>
      <w:pPr>
        <w:ind w:left="28"/>
        <w:spacing w:after="0"/>
        <w:rPr>
          <w:sz w:val="20"/>
          <w:szCs w:val="20"/>
          <w:color w:val="auto"/>
        </w:rPr>
      </w:pPr>
      <w:r>
        <w:rPr>
          <w:rFonts w:ascii="Arial" w:cs="Arial" w:eastAsia="Arial" w:hAnsi="Arial"/>
          <w:sz w:val="12"/>
          <w:szCs w:val="12"/>
          <w:color w:val="auto"/>
        </w:rPr>
        <w:t>Date: November 7, 2019</w:t>
      </w:r>
    </w:p>
    <w:p>
      <w:pPr>
        <w:spacing w:after="0" w:line="192" w:lineRule="exact"/>
        <w:rPr>
          <w:sz w:val="20"/>
          <w:szCs w:val="20"/>
          <w:color w:val="auto"/>
        </w:rPr>
      </w:pPr>
    </w:p>
    <w:tbl>
      <w:tblPr>
        <w:tblLayout w:type="fixed"/>
        <w:tblInd w:w="28" w:type="dxa"/>
        <w:tblCellMar>
          <w:top w:w="0" w:type="dxa"/>
          <w:left w:w="0" w:type="dxa"/>
          <w:bottom w:w="0" w:type="dxa"/>
          <w:right w:w="0" w:type="dxa"/>
        </w:tblCellMar>
      </w:tblPr>
      <w:tr>
        <w:trPr>
          <w:trHeight w:val="157"/>
        </w:trPr>
        <w:tc>
          <w:tcPr>
            <w:tcW w:w="900" w:type="dxa"/>
            <w:vAlign w:val="bottom"/>
          </w:tcPr>
          <w:p>
            <w:pPr>
              <w:spacing w:after="0"/>
              <w:rPr>
                <w:sz w:val="20"/>
                <w:szCs w:val="20"/>
                <w:color w:val="auto"/>
              </w:rPr>
            </w:pPr>
            <w:r>
              <w:rPr>
                <w:rFonts w:ascii="Arial" w:cs="Arial" w:eastAsia="Arial" w:hAnsi="Arial"/>
                <w:sz w:val="12"/>
                <w:szCs w:val="12"/>
                <w:color w:val="auto"/>
              </w:rPr>
              <w:t>By:</w:t>
            </w:r>
          </w:p>
        </w:tc>
        <w:tc>
          <w:tcPr>
            <w:tcW w:w="5860" w:type="dxa"/>
            <w:vAlign w:val="bottom"/>
            <w:tcBorders>
              <w:bottom w:val="single" w:sz="8" w:color="auto"/>
            </w:tcBorders>
          </w:tcPr>
          <w:p>
            <w:pPr>
              <w:ind w:left="400"/>
              <w:spacing w:after="0"/>
              <w:rPr>
                <w:sz w:val="20"/>
                <w:szCs w:val="20"/>
                <w:color w:val="auto"/>
              </w:rPr>
            </w:pPr>
            <w:r>
              <w:rPr>
                <w:rFonts w:ascii="Arial" w:cs="Arial" w:eastAsia="Arial" w:hAnsi="Arial"/>
                <w:sz w:val="12"/>
                <w:szCs w:val="12"/>
                <w:i w:val="1"/>
                <w:iCs w:val="1"/>
                <w:color w:val="auto"/>
              </w:rPr>
              <w:t>/s/ David J. Rayner</w:t>
            </w:r>
          </w:p>
        </w:tc>
      </w:tr>
      <w:tr>
        <w:trPr>
          <w:trHeight w:val="160"/>
        </w:trPr>
        <w:tc>
          <w:tcPr>
            <w:tcW w:w="900" w:type="dxa"/>
            <w:vAlign w:val="bottom"/>
          </w:tcPr>
          <w:p>
            <w:pPr>
              <w:spacing w:after="0"/>
              <w:rPr>
                <w:sz w:val="20"/>
                <w:szCs w:val="20"/>
                <w:color w:val="auto"/>
              </w:rPr>
            </w:pPr>
            <w:r>
              <w:rPr>
                <w:rFonts w:ascii="Arial" w:cs="Arial" w:eastAsia="Arial" w:hAnsi="Arial"/>
                <w:sz w:val="12"/>
                <w:szCs w:val="12"/>
                <w:color w:val="auto"/>
              </w:rPr>
              <w:t>Name:</w:t>
            </w:r>
          </w:p>
        </w:tc>
        <w:tc>
          <w:tcPr>
            <w:tcW w:w="5860" w:type="dxa"/>
            <w:vAlign w:val="bottom"/>
          </w:tcPr>
          <w:p>
            <w:pPr>
              <w:ind w:left="20"/>
              <w:spacing w:after="0"/>
              <w:rPr>
                <w:sz w:val="20"/>
                <w:szCs w:val="20"/>
                <w:color w:val="auto"/>
              </w:rPr>
            </w:pPr>
            <w:r>
              <w:rPr>
                <w:rFonts w:ascii="Arial" w:cs="Arial" w:eastAsia="Arial" w:hAnsi="Arial"/>
                <w:sz w:val="12"/>
                <w:szCs w:val="12"/>
                <w:color w:val="auto"/>
              </w:rPr>
              <w:t>David J. Rayner</w:t>
            </w:r>
          </w:p>
        </w:tc>
      </w:tr>
      <w:tr>
        <w:trPr>
          <w:trHeight w:val="171"/>
        </w:trPr>
        <w:tc>
          <w:tcPr>
            <w:tcW w:w="900" w:type="dxa"/>
            <w:vAlign w:val="bottom"/>
          </w:tcPr>
          <w:p>
            <w:pPr>
              <w:spacing w:after="0"/>
              <w:rPr>
                <w:sz w:val="20"/>
                <w:szCs w:val="20"/>
                <w:color w:val="auto"/>
              </w:rPr>
            </w:pPr>
            <w:r>
              <w:rPr>
                <w:rFonts w:ascii="Arial" w:cs="Arial" w:eastAsia="Arial" w:hAnsi="Arial"/>
                <w:sz w:val="12"/>
                <w:szCs w:val="12"/>
                <w:color w:val="auto"/>
              </w:rPr>
              <w:t>Title:</w:t>
            </w:r>
          </w:p>
        </w:tc>
        <w:tc>
          <w:tcPr>
            <w:tcW w:w="5860" w:type="dxa"/>
            <w:vAlign w:val="bottom"/>
          </w:tcPr>
          <w:p>
            <w:pPr>
              <w:ind w:left="20"/>
              <w:spacing w:after="0"/>
              <w:rPr>
                <w:sz w:val="20"/>
                <w:szCs w:val="20"/>
                <w:color w:val="auto"/>
              </w:rPr>
            </w:pPr>
            <w:r>
              <w:rPr>
                <w:rFonts w:ascii="Arial" w:cs="Arial" w:eastAsia="Arial" w:hAnsi="Arial"/>
                <w:sz w:val="12"/>
                <w:szCs w:val="12"/>
                <w:color w:val="auto"/>
              </w:rPr>
              <w:t>Executive Vice President, Chief Financial Officer, Chief Operating Officer and Treasurer</w:t>
            </w:r>
          </w:p>
        </w:tc>
      </w:tr>
      <w:tr>
        <w:trPr>
          <w:trHeight w:val="171"/>
        </w:trPr>
        <w:tc>
          <w:tcPr>
            <w:tcW w:w="900" w:type="dxa"/>
            <w:vAlign w:val="bottom"/>
          </w:tcPr>
          <w:p>
            <w:pPr>
              <w:spacing w:after="0"/>
              <w:rPr>
                <w:sz w:val="14"/>
                <w:szCs w:val="14"/>
                <w:color w:val="auto"/>
              </w:rPr>
            </w:pPr>
          </w:p>
        </w:tc>
        <w:tc>
          <w:tcPr>
            <w:tcW w:w="5860" w:type="dxa"/>
            <w:vAlign w:val="bottom"/>
          </w:tcPr>
          <w:p>
            <w:pPr>
              <w:ind w:left="20"/>
              <w:spacing w:after="0"/>
              <w:rPr>
                <w:sz w:val="20"/>
                <w:szCs w:val="20"/>
                <w:color w:val="auto"/>
              </w:rPr>
            </w:pPr>
            <w:r>
              <w:rPr>
                <w:rFonts w:ascii="Arial" w:cs="Arial" w:eastAsia="Arial" w:hAnsi="Arial"/>
                <w:sz w:val="12"/>
                <w:szCs w:val="12"/>
                <w:i w:val="1"/>
                <w:iCs w:val="1"/>
                <w:color w:val="auto"/>
              </w:rPr>
              <w:t>(Principal Financial and Accounting Officer)</w:t>
            </w:r>
          </w:p>
        </w:tc>
      </w:tr>
    </w:tbl>
    <w:p>
      <w:pPr>
        <w:sectPr>
          <w:pgSz w:w="11900" w:h="16838" w:orient="portrait"/>
          <w:cols w:equalWidth="0" w:num="1">
            <w:col w:w="11488"/>
          </w:cols>
          <w:pgMar w:left="212" w:top="431" w:right="199" w:bottom="1440" w:gutter="0" w:footer="0" w:header="0"/>
        </w:sectPr>
      </w:pPr>
    </w:p>
    <w:bookmarkStart w:id="82" w:name="page83"/>
    <w:bookmarkEnd w:id="82"/>
    <w:p>
      <w:pPr>
        <w:jc w:val="right"/>
        <w:spacing w:after="0"/>
        <w:rPr>
          <w:sz w:val="20"/>
          <w:szCs w:val="20"/>
          <w:color w:val="auto"/>
        </w:rPr>
      </w:pPr>
      <w:r>
        <w:rPr>
          <w:rFonts w:ascii="Arial" w:cs="Arial" w:eastAsia="Arial" w:hAnsi="Arial"/>
          <w:sz w:val="12"/>
          <w:szCs w:val="12"/>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CERTIFICATIONS OF CHIEF EXECUTIVE OFFICER AND CHIEF FINANCIAL OFFICER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Section 906 Certifications</w:t>
      </w:r>
    </w:p>
    <w:p>
      <w:pPr>
        <w:spacing w:after="0" w:line="159"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In connection with the quarterly report for the quarter ended September 30, 2019 on Form 10-Q (the “Quarterly Report”) of EchoStar Corporation (the “Company”) as filed with the Securities and Exchange Commission on the date hereof, we, Michael T. Dugan and David J. Rayner, Chief Executive Officer and Chief Financial Officer, respectively, of the Company, certify, pursuant to 18 U.S.C. Section 1350, as adopted pursuant to Section 906 of the Sarbanes-Oxley Act of 2002, that to the best of our knowledge:</w:t>
      </w:r>
    </w:p>
    <w:p>
      <w:pPr>
        <w:spacing w:after="0" w:line="125" w:lineRule="exact"/>
        <w:rPr>
          <w:sz w:val="20"/>
          <w:szCs w:val="20"/>
          <w:color w:val="auto"/>
        </w:rPr>
      </w:pPr>
    </w:p>
    <w:p>
      <w:pPr>
        <w:ind w:left="700" w:hanging="276"/>
        <w:spacing w:after="0"/>
        <w:tabs>
          <w:tab w:leader="none" w:pos="7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Quarterly Report fully complies with the requirements of Section 13(a) or Section 15(d), as applicable, of the Securities Exchange Act of 1934; and</w:t>
      </w:r>
    </w:p>
    <w:p>
      <w:pPr>
        <w:spacing w:after="0" w:line="177" w:lineRule="exact"/>
        <w:rPr>
          <w:rFonts w:ascii="Arial" w:cs="Arial" w:eastAsia="Arial" w:hAnsi="Arial"/>
          <w:sz w:val="12"/>
          <w:szCs w:val="12"/>
          <w:color w:val="auto"/>
        </w:rPr>
      </w:pPr>
    </w:p>
    <w:p>
      <w:pPr>
        <w:ind w:left="700" w:hanging="276"/>
        <w:spacing w:after="0"/>
        <w:tabs>
          <w:tab w:leader="none" w:pos="70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2"/>
          <w:szCs w:val="12"/>
          <w:color w:val="auto"/>
        </w:rPr>
        <w:t>Date: November 7, 2019</w:t>
      </w: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900" w:type="dxa"/>
            <w:vAlign w:val="bottom"/>
          </w:tcPr>
          <w:p>
            <w:pPr>
              <w:spacing w:after="0"/>
              <w:rPr>
                <w:sz w:val="20"/>
                <w:szCs w:val="20"/>
                <w:color w:val="auto"/>
              </w:rPr>
            </w:pPr>
            <w:r>
              <w:rPr>
                <w:rFonts w:ascii="Arial" w:cs="Arial" w:eastAsia="Arial" w:hAnsi="Arial"/>
                <w:sz w:val="12"/>
                <w:szCs w:val="12"/>
                <w:color w:val="auto"/>
              </w:rPr>
              <w:t>By:</w:t>
            </w:r>
          </w:p>
        </w:tc>
        <w:tc>
          <w:tcPr>
            <w:tcW w:w="5860" w:type="dxa"/>
            <w:vAlign w:val="bottom"/>
            <w:tcBorders>
              <w:bottom w:val="single" w:sz="8" w:color="auto"/>
            </w:tcBorders>
          </w:tcPr>
          <w:p>
            <w:pPr>
              <w:ind w:left="400"/>
              <w:spacing w:after="0"/>
              <w:rPr>
                <w:sz w:val="20"/>
                <w:szCs w:val="20"/>
                <w:color w:val="auto"/>
              </w:rPr>
            </w:pPr>
            <w:r>
              <w:rPr>
                <w:rFonts w:ascii="Arial" w:cs="Arial" w:eastAsia="Arial" w:hAnsi="Arial"/>
                <w:sz w:val="12"/>
                <w:szCs w:val="12"/>
                <w:i w:val="1"/>
                <w:iCs w:val="1"/>
                <w:color w:val="auto"/>
              </w:rPr>
              <w:t>/s/ Michael T. Dugan</w:t>
            </w:r>
          </w:p>
        </w:tc>
      </w:tr>
      <w:tr>
        <w:trPr>
          <w:trHeight w:val="160"/>
        </w:trPr>
        <w:tc>
          <w:tcPr>
            <w:tcW w:w="900" w:type="dxa"/>
            <w:vAlign w:val="bottom"/>
          </w:tcPr>
          <w:p>
            <w:pPr>
              <w:spacing w:after="0"/>
              <w:rPr>
                <w:sz w:val="20"/>
                <w:szCs w:val="20"/>
                <w:color w:val="auto"/>
              </w:rPr>
            </w:pPr>
            <w:r>
              <w:rPr>
                <w:rFonts w:ascii="Arial" w:cs="Arial" w:eastAsia="Arial" w:hAnsi="Arial"/>
                <w:sz w:val="12"/>
                <w:szCs w:val="12"/>
                <w:color w:val="auto"/>
              </w:rPr>
              <w:t>Name:</w:t>
            </w:r>
          </w:p>
        </w:tc>
        <w:tc>
          <w:tcPr>
            <w:tcW w:w="5860" w:type="dxa"/>
            <w:vAlign w:val="bottom"/>
          </w:tcPr>
          <w:p>
            <w:pPr>
              <w:ind w:left="20"/>
              <w:spacing w:after="0"/>
              <w:rPr>
                <w:sz w:val="20"/>
                <w:szCs w:val="20"/>
                <w:color w:val="auto"/>
              </w:rPr>
            </w:pPr>
            <w:r>
              <w:rPr>
                <w:rFonts w:ascii="Arial" w:cs="Arial" w:eastAsia="Arial" w:hAnsi="Arial"/>
                <w:sz w:val="12"/>
                <w:szCs w:val="12"/>
                <w:color w:val="auto"/>
              </w:rPr>
              <w:t>Michael T. Dugan</w:t>
            </w:r>
          </w:p>
        </w:tc>
      </w:tr>
      <w:tr>
        <w:trPr>
          <w:trHeight w:val="171"/>
        </w:trPr>
        <w:tc>
          <w:tcPr>
            <w:tcW w:w="900" w:type="dxa"/>
            <w:vAlign w:val="bottom"/>
          </w:tcPr>
          <w:p>
            <w:pPr>
              <w:spacing w:after="0"/>
              <w:rPr>
                <w:sz w:val="20"/>
                <w:szCs w:val="20"/>
                <w:color w:val="auto"/>
              </w:rPr>
            </w:pPr>
            <w:r>
              <w:rPr>
                <w:rFonts w:ascii="Arial" w:cs="Arial" w:eastAsia="Arial" w:hAnsi="Arial"/>
                <w:sz w:val="12"/>
                <w:szCs w:val="12"/>
                <w:color w:val="auto"/>
              </w:rPr>
              <w:t>Title:</w:t>
            </w:r>
          </w:p>
        </w:tc>
        <w:tc>
          <w:tcPr>
            <w:tcW w:w="5860" w:type="dxa"/>
            <w:vAlign w:val="bottom"/>
          </w:tcPr>
          <w:p>
            <w:pPr>
              <w:ind w:left="20"/>
              <w:spacing w:after="0"/>
              <w:rPr>
                <w:sz w:val="20"/>
                <w:szCs w:val="20"/>
                <w:color w:val="auto"/>
              </w:rPr>
            </w:pPr>
            <w:r>
              <w:rPr>
                <w:rFonts w:ascii="Arial" w:cs="Arial" w:eastAsia="Arial" w:hAnsi="Arial"/>
                <w:sz w:val="12"/>
                <w:szCs w:val="12"/>
                <w:color w:val="auto"/>
              </w:rPr>
              <w:t>Chief Executive Officer, President and Director</w:t>
            </w:r>
          </w:p>
        </w:tc>
      </w:tr>
      <w:tr>
        <w:trPr>
          <w:trHeight w:val="171"/>
        </w:trPr>
        <w:tc>
          <w:tcPr>
            <w:tcW w:w="900" w:type="dxa"/>
            <w:vAlign w:val="bottom"/>
          </w:tcPr>
          <w:p>
            <w:pPr>
              <w:spacing w:after="0"/>
              <w:rPr>
                <w:sz w:val="14"/>
                <w:szCs w:val="14"/>
                <w:color w:val="auto"/>
              </w:rPr>
            </w:pPr>
          </w:p>
        </w:tc>
        <w:tc>
          <w:tcPr>
            <w:tcW w:w="5860" w:type="dxa"/>
            <w:vAlign w:val="bottom"/>
          </w:tcPr>
          <w:p>
            <w:pPr>
              <w:ind w:left="20"/>
              <w:spacing w:after="0"/>
              <w:rPr>
                <w:sz w:val="20"/>
                <w:szCs w:val="20"/>
                <w:color w:val="auto"/>
              </w:rPr>
            </w:pPr>
            <w:r>
              <w:rPr>
                <w:rFonts w:ascii="Arial" w:cs="Arial" w:eastAsia="Arial" w:hAnsi="Arial"/>
                <w:sz w:val="12"/>
                <w:szCs w:val="12"/>
                <w:i w:val="1"/>
                <w:iCs w:val="1"/>
                <w:color w:val="auto"/>
              </w:rPr>
              <w:t>(Principal Executive Officer)</w:t>
            </w:r>
          </w:p>
        </w:tc>
      </w:tr>
      <w:tr>
        <w:trPr>
          <w:trHeight w:val="513"/>
        </w:trPr>
        <w:tc>
          <w:tcPr>
            <w:tcW w:w="900" w:type="dxa"/>
            <w:vAlign w:val="bottom"/>
          </w:tcPr>
          <w:p>
            <w:pPr>
              <w:spacing w:after="0"/>
              <w:rPr>
                <w:sz w:val="20"/>
                <w:szCs w:val="20"/>
                <w:color w:val="auto"/>
              </w:rPr>
            </w:pPr>
            <w:r>
              <w:rPr>
                <w:rFonts w:ascii="Arial" w:cs="Arial" w:eastAsia="Arial" w:hAnsi="Arial"/>
                <w:sz w:val="12"/>
                <w:szCs w:val="12"/>
                <w:color w:val="auto"/>
              </w:rPr>
              <w:t>By:</w:t>
            </w:r>
          </w:p>
        </w:tc>
        <w:tc>
          <w:tcPr>
            <w:tcW w:w="5860" w:type="dxa"/>
            <w:vAlign w:val="bottom"/>
            <w:tcBorders>
              <w:bottom w:val="single" w:sz="8" w:color="auto"/>
            </w:tcBorders>
          </w:tcPr>
          <w:p>
            <w:pPr>
              <w:ind w:left="400"/>
              <w:spacing w:after="0"/>
              <w:rPr>
                <w:sz w:val="20"/>
                <w:szCs w:val="20"/>
                <w:color w:val="auto"/>
              </w:rPr>
            </w:pPr>
            <w:r>
              <w:rPr>
                <w:rFonts w:ascii="Arial" w:cs="Arial" w:eastAsia="Arial" w:hAnsi="Arial"/>
                <w:sz w:val="12"/>
                <w:szCs w:val="12"/>
                <w:i w:val="1"/>
                <w:iCs w:val="1"/>
                <w:color w:val="auto"/>
              </w:rPr>
              <w:t>/s/ David J. Rayner</w:t>
            </w:r>
          </w:p>
        </w:tc>
      </w:tr>
      <w:tr>
        <w:trPr>
          <w:trHeight w:val="160"/>
        </w:trPr>
        <w:tc>
          <w:tcPr>
            <w:tcW w:w="900" w:type="dxa"/>
            <w:vAlign w:val="bottom"/>
          </w:tcPr>
          <w:p>
            <w:pPr>
              <w:spacing w:after="0"/>
              <w:rPr>
                <w:sz w:val="20"/>
                <w:szCs w:val="20"/>
                <w:color w:val="auto"/>
              </w:rPr>
            </w:pPr>
            <w:r>
              <w:rPr>
                <w:rFonts w:ascii="Arial" w:cs="Arial" w:eastAsia="Arial" w:hAnsi="Arial"/>
                <w:sz w:val="12"/>
                <w:szCs w:val="12"/>
                <w:color w:val="auto"/>
              </w:rPr>
              <w:t>Name:</w:t>
            </w:r>
          </w:p>
        </w:tc>
        <w:tc>
          <w:tcPr>
            <w:tcW w:w="5860" w:type="dxa"/>
            <w:vAlign w:val="bottom"/>
          </w:tcPr>
          <w:p>
            <w:pPr>
              <w:ind w:left="20"/>
              <w:spacing w:after="0"/>
              <w:rPr>
                <w:sz w:val="20"/>
                <w:szCs w:val="20"/>
                <w:color w:val="auto"/>
              </w:rPr>
            </w:pPr>
            <w:r>
              <w:rPr>
                <w:rFonts w:ascii="Arial" w:cs="Arial" w:eastAsia="Arial" w:hAnsi="Arial"/>
                <w:sz w:val="12"/>
                <w:szCs w:val="12"/>
                <w:color w:val="auto"/>
              </w:rPr>
              <w:t>David J. Rayner</w:t>
            </w:r>
          </w:p>
        </w:tc>
      </w:tr>
      <w:tr>
        <w:trPr>
          <w:trHeight w:val="171"/>
        </w:trPr>
        <w:tc>
          <w:tcPr>
            <w:tcW w:w="900" w:type="dxa"/>
            <w:vAlign w:val="bottom"/>
          </w:tcPr>
          <w:p>
            <w:pPr>
              <w:spacing w:after="0"/>
              <w:rPr>
                <w:sz w:val="20"/>
                <w:szCs w:val="20"/>
                <w:color w:val="auto"/>
              </w:rPr>
            </w:pPr>
            <w:r>
              <w:rPr>
                <w:rFonts w:ascii="Arial" w:cs="Arial" w:eastAsia="Arial" w:hAnsi="Arial"/>
                <w:sz w:val="12"/>
                <w:szCs w:val="12"/>
                <w:color w:val="auto"/>
              </w:rPr>
              <w:t>Title:</w:t>
            </w:r>
          </w:p>
        </w:tc>
        <w:tc>
          <w:tcPr>
            <w:tcW w:w="5860" w:type="dxa"/>
            <w:vAlign w:val="bottom"/>
          </w:tcPr>
          <w:p>
            <w:pPr>
              <w:ind w:left="20"/>
              <w:spacing w:after="0"/>
              <w:rPr>
                <w:sz w:val="20"/>
                <w:szCs w:val="20"/>
                <w:color w:val="auto"/>
              </w:rPr>
            </w:pPr>
            <w:r>
              <w:rPr>
                <w:rFonts w:ascii="Arial" w:cs="Arial" w:eastAsia="Arial" w:hAnsi="Arial"/>
                <w:sz w:val="12"/>
                <w:szCs w:val="12"/>
                <w:color w:val="auto"/>
              </w:rPr>
              <w:t>Executive Vice President, Chief Financial Officer, Chief Operating Officer and Treasurer</w:t>
            </w:r>
          </w:p>
        </w:tc>
      </w:tr>
      <w:tr>
        <w:trPr>
          <w:trHeight w:val="171"/>
        </w:trPr>
        <w:tc>
          <w:tcPr>
            <w:tcW w:w="900" w:type="dxa"/>
            <w:vAlign w:val="bottom"/>
          </w:tcPr>
          <w:p>
            <w:pPr>
              <w:spacing w:after="0"/>
              <w:rPr>
                <w:sz w:val="14"/>
                <w:szCs w:val="14"/>
                <w:color w:val="auto"/>
              </w:rPr>
            </w:pPr>
          </w:p>
        </w:tc>
        <w:tc>
          <w:tcPr>
            <w:tcW w:w="5860" w:type="dxa"/>
            <w:vAlign w:val="bottom"/>
          </w:tcPr>
          <w:p>
            <w:pPr>
              <w:ind w:left="20"/>
              <w:spacing w:after="0"/>
              <w:rPr>
                <w:sz w:val="20"/>
                <w:szCs w:val="20"/>
                <w:color w:val="auto"/>
              </w:rPr>
            </w:pPr>
            <w:r>
              <w:rPr>
                <w:rFonts w:ascii="Arial" w:cs="Arial" w:eastAsia="Arial" w:hAnsi="Arial"/>
                <w:sz w:val="12"/>
                <w:szCs w:val="12"/>
                <w:i w:val="1"/>
                <w:iCs w:val="1"/>
                <w:color w:val="auto"/>
              </w:rPr>
              <w:t>(Principal Financial and Accounting Officer)</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The foregoing certification is being furnished solely pursuant to 18 U.S.C. Section 1350 and is not being filed as part of the Report or as a separate disclosure document.</w:t>
      </w:r>
    </w:p>
    <w:p>
      <w:pPr>
        <w:spacing w:after="0" w:line="150"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80"/>
          </w:cols>
          <w:pgMar w:left="220" w:top="431" w:right="199" w:bottom="1440" w:gutter="0" w:footer="0" w:header="0"/>
        </w:sectPr>
      </w:pPr>
    </w:p>
    <w:bookmarkStart w:id="83" w:name="page84"/>
    <w:bookmarkEnd w:id="83"/>
    <w:p>
      <w:pPr>
        <w:jc w:val="right"/>
        <w:spacing w:after="0"/>
        <w:rPr>
          <w:sz w:val="20"/>
          <w:szCs w:val="20"/>
          <w:color w:val="auto"/>
        </w:rPr>
      </w:pPr>
      <w:r>
        <w:rPr>
          <w:rFonts w:ascii="Arial" w:cs="Arial" w:eastAsia="Arial" w:hAnsi="Arial"/>
          <w:sz w:val="12"/>
          <w:szCs w:val="12"/>
          <w:b w:val="1"/>
          <w:bCs w:val="1"/>
          <w:color w:val="auto"/>
        </w:rPr>
        <w:t>Exhibit 99.1</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EchoStar Announces Financial Results for Three and Nine Months Ended September 30, 2019</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Englewood, CO, November 7, 2019—</w:t>
      </w:r>
      <w:r>
        <w:rPr>
          <w:rFonts w:ascii="Arial" w:cs="Arial" w:eastAsia="Arial" w:hAnsi="Arial"/>
          <w:sz w:val="12"/>
          <w:szCs w:val="12"/>
          <w:color w:val="auto"/>
        </w:rPr>
        <w:t>EchoStar Corporation (NASDAQ: SATS) today announced its financial results for the three and nine months ended September 30, 2019.</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Three Months Ended September 30, 2019 Financial Highlights:</w:t>
      </w:r>
    </w:p>
    <w:p>
      <w:pPr>
        <w:spacing w:after="0" w:line="164" w:lineRule="exact"/>
        <w:rPr>
          <w:sz w:val="20"/>
          <w:szCs w:val="20"/>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Consolidated revenues of $472.3 million.</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Consolidated net loss of $21.1 million, consolidated net loss attributable to EchoStar common stock of $18.3 million, and diluted loss per share of $0.19.</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Consolidated Adjusted EBITDA of $148.3 million (see discussion and the reconciliation of GAAP to this non-GAAP measure below).</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Nine Months Ended September 30, 2019 Financial Highlights:</w:t>
      </w:r>
    </w:p>
    <w:p>
      <w:pPr>
        <w:spacing w:after="0" w:line="164" w:lineRule="exact"/>
        <w:rPr>
          <w:sz w:val="20"/>
          <w:szCs w:val="20"/>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Consolidated revenues of $1.4 billion.</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Consolidated net loss of $11.2 million, consolidated net loss attributable to EchoStar common stock of $9.8 million, and diluted loss per share of $0.10.</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Consolidated Adjusted EBITDA of $422.7 million (see discussion and the reconciliation of GAAP to this non-GAAP measure below).</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“I am pleased with our performance in the third quarter of 2019” commented Michael Dugan, CEO and President of EchoStar. “On September 10th, we completed the spin-off to DISH of the BSS business and ancillary assets and liabilities in exchange for DISH shares that were distributed to EchoStar shareholders. As a result, the BSS business has been presented as discontinued operations in our current financial results. We can now focus on the growing broadband market, additional satellite opportunities, and strategic investments. We grew our consumer subscriber base by approximately 22,000 driven by our international markets and launched a consumer service in Mexico on October 1st. Our North American capacity is relatively full with the EchoStar 24/J3 satellite scheduled for launch in 2021. We continue to work to complete our previously announced JV’s with Yahsat in Brazil and Bharti Airtel in India and also announced the acquisition of Helios Wire Corporation on October 25th. The Helios acquisition lays the foundation for the creation of world-wide S-band capabilities.”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Three Months Ended September 30, 2019 - Additional Information:</w:t>
      </w:r>
    </w:p>
    <w:p>
      <w:pPr>
        <w:spacing w:after="0" w:line="164" w:lineRule="exact"/>
        <w:rPr>
          <w:sz w:val="20"/>
          <w:szCs w:val="20"/>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Consolidated revenue increased 4% or $16.0 million year over year.</w:t>
      </w:r>
    </w:p>
    <w:p>
      <w:pPr>
        <w:spacing w:after="0" w:line="87" w:lineRule="exact"/>
        <w:rPr>
          <w:rFonts w:ascii="Arial" w:cs="Arial" w:eastAsia="Arial" w:hAnsi="Arial"/>
          <w:sz w:val="12"/>
          <w:szCs w:val="12"/>
          <w:color w:val="auto"/>
        </w:rPr>
      </w:pPr>
    </w:p>
    <w:p>
      <w:pPr>
        <w:jc w:val="both"/>
        <w:ind w:left="420" w:hanging="212"/>
        <w:spacing w:after="0" w:line="256" w:lineRule="auto"/>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An accrual of $20.7 million was booked during the quarter related to a license fee dispute with the Government of India. This impacted SG&amp;A expenses by $7.1 million and Interest expense, net of amounts capitalized, by $13.6 million. Net income (loss) attributable to noncontrolling interests had a corresponding offset of $3.2 million. This fee dispute dates back over a decade and has affected the entire Indian Telecom industry.</w:t>
      </w:r>
    </w:p>
    <w:p>
      <w:pPr>
        <w:spacing w:after="0" w:line="71"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Adjusted EBITDA decreased 4% or $6.0 million year over year.</w:t>
      </w:r>
    </w:p>
    <w:p>
      <w:pPr>
        <w:spacing w:after="0" w:line="87" w:lineRule="exact"/>
        <w:rPr>
          <w:rFonts w:ascii="Arial" w:cs="Arial" w:eastAsia="Arial" w:hAnsi="Arial"/>
          <w:sz w:val="12"/>
          <w:szCs w:val="12"/>
          <w:color w:val="auto"/>
        </w:rPr>
      </w:pPr>
    </w:p>
    <w:p>
      <w:pPr>
        <w:ind w:left="860" w:hanging="219"/>
        <w:spacing w:after="0"/>
        <w:tabs>
          <w:tab w:leader="none" w:pos="860" w:val="left"/>
        </w:tabs>
        <w:numPr>
          <w:ilvl w:val="1"/>
          <w:numId w:val="23"/>
        </w:numPr>
        <w:rPr>
          <w:rFonts w:ascii="Arial" w:cs="Arial" w:eastAsia="Arial" w:hAnsi="Arial"/>
          <w:sz w:val="12"/>
          <w:szCs w:val="12"/>
          <w:color w:val="auto"/>
        </w:rPr>
      </w:pPr>
      <w:r>
        <w:rPr>
          <w:rFonts w:ascii="Arial" w:cs="Arial" w:eastAsia="Arial" w:hAnsi="Arial"/>
          <w:sz w:val="12"/>
          <w:szCs w:val="12"/>
          <w:color w:val="auto"/>
        </w:rPr>
        <w:t>Hughes segment Adjusted EBITDA increased by $1.9 million which includes the impact of the industry wide fee dispute with the Government of India.</w:t>
      </w:r>
    </w:p>
    <w:p>
      <w:pPr>
        <w:spacing w:after="0" w:line="87" w:lineRule="exact"/>
        <w:rPr>
          <w:rFonts w:ascii="Arial" w:cs="Arial" w:eastAsia="Arial" w:hAnsi="Arial"/>
          <w:sz w:val="12"/>
          <w:szCs w:val="12"/>
          <w:color w:val="auto"/>
        </w:rPr>
      </w:pPr>
    </w:p>
    <w:p>
      <w:pPr>
        <w:ind w:left="860" w:hanging="219"/>
        <w:spacing w:after="0"/>
        <w:tabs>
          <w:tab w:leader="none" w:pos="860" w:val="left"/>
        </w:tabs>
        <w:numPr>
          <w:ilvl w:val="1"/>
          <w:numId w:val="23"/>
        </w:numPr>
        <w:rPr>
          <w:rFonts w:ascii="Arial" w:cs="Arial" w:eastAsia="Arial" w:hAnsi="Arial"/>
          <w:sz w:val="12"/>
          <w:szCs w:val="12"/>
          <w:color w:val="auto"/>
        </w:rPr>
      </w:pPr>
      <w:r>
        <w:rPr>
          <w:rFonts w:ascii="Arial" w:cs="Arial" w:eastAsia="Arial" w:hAnsi="Arial"/>
          <w:sz w:val="12"/>
          <w:szCs w:val="12"/>
          <w:color w:val="auto"/>
        </w:rPr>
        <w:t>ESS segment Adjusted EBITDA decreased by $2.9 million primarily due to lower revenue.</w:t>
      </w:r>
    </w:p>
    <w:p>
      <w:pPr>
        <w:spacing w:after="0" w:line="87" w:lineRule="exact"/>
        <w:rPr>
          <w:rFonts w:ascii="Arial" w:cs="Arial" w:eastAsia="Arial" w:hAnsi="Arial"/>
          <w:sz w:val="12"/>
          <w:szCs w:val="12"/>
          <w:color w:val="auto"/>
        </w:rPr>
      </w:pPr>
    </w:p>
    <w:p>
      <w:pPr>
        <w:ind w:left="860" w:hanging="219"/>
        <w:spacing w:after="0"/>
        <w:tabs>
          <w:tab w:leader="none" w:pos="860" w:val="left"/>
        </w:tabs>
        <w:numPr>
          <w:ilvl w:val="1"/>
          <w:numId w:val="23"/>
        </w:numPr>
        <w:rPr>
          <w:rFonts w:ascii="Arial" w:cs="Arial" w:eastAsia="Arial" w:hAnsi="Arial"/>
          <w:sz w:val="12"/>
          <w:szCs w:val="12"/>
          <w:color w:val="auto"/>
        </w:rPr>
      </w:pPr>
      <w:r>
        <w:rPr>
          <w:rFonts w:ascii="Arial" w:cs="Arial" w:eastAsia="Arial" w:hAnsi="Arial"/>
          <w:sz w:val="12"/>
          <w:szCs w:val="12"/>
          <w:color w:val="auto"/>
        </w:rPr>
        <w:t>Corporate and Other segment Adjusted EBITDA decreased by $5.0 million driven primarily by transaction related legal costs and increased losses on equity in earnings of unconsolidated affiliates.</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Net loss from continuing operations was $23.2 million, the loss increasing by $20.0 million from last year. The decline was primarily due to higher unrealized losses on foreign currency of $11.0 million,</w:t>
      </w:r>
    </w:p>
    <w:p>
      <w:pPr>
        <w:spacing w:after="0" w:line="259" w:lineRule="exact"/>
        <w:rPr>
          <w:sz w:val="20"/>
          <w:szCs w:val="20"/>
          <w:color w:val="auto"/>
        </w:rPr>
      </w:pPr>
    </w:p>
    <w:p>
      <w:pPr>
        <w:ind w:left="5180"/>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143" w:right="199" w:bottom="1440" w:gutter="0" w:footer="0" w:header="0"/>
        </w:sectPr>
      </w:pPr>
    </w:p>
    <w:bookmarkStart w:id="84" w:name="page85"/>
    <w:bookmarkEnd w:id="84"/>
    <w:p>
      <w:pPr>
        <w:ind w:left="420"/>
        <w:spacing w:after="0"/>
        <w:rPr>
          <w:sz w:val="20"/>
          <w:szCs w:val="20"/>
          <w:color w:val="auto"/>
        </w:rPr>
      </w:pPr>
      <w:r>
        <w:rPr>
          <w:rFonts w:ascii="Arial" w:cs="Arial" w:eastAsia="Arial" w:hAnsi="Arial"/>
          <w:sz w:val="12"/>
          <w:szCs w:val="12"/>
          <w:color w:val="auto"/>
        </w:rPr>
        <w:t>higher depreciation and amortization expense of $7.0 million, increased equity losses of unconsolidated affiliates of $3.6 million, partially offset by higher gains of investments of $5.4 million.</w:t>
      </w:r>
    </w:p>
    <w:p>
      <w:pPr>
        <w:spacing w:after="0" w:line="96" w:lineRule="exact"/>
        <w:rPr>
          <w:sz w:val="20"/>
          <w:szCs w:val="20"/>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Hughes broadband subscribers are approximately 1,437,000 as of September 30, 2019 including approximately 192,000 subscribers in Central and South America.</w:t>
      </w:r>
    </w:p>
    <w:p>
      <w:pPr>
        <w:spacing w:after="0" w:line="87" w:lineRule="exact"/>
        <w:rPr>
          <w:rFonts w:ascii="Arial" w:cs="Arial" w:eastAsia="Arial" w:hAnsi="Arial"/>
          <w:sz w:val="12"/>
          <w:szCs w:val="12"/>
          <w:color w:val="auto"/>
        </w:rPr>
      </w:pPr>
    </w:p>
    <w:p>
      <w:pPr>
        <w:ind w:left="420" w:hanging="212"/>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Cash, cash equivalents and current marketable investment securities of $2.5 billion as of September 30, 2019.</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Set forth below is a table highlighting certain of EchoStar’s segment results for the three and nine months ended September 30, 2019 and 2018 (amounts in thousands):</w:t>
      </w: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4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For the three months</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4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For the nine months</w:t>
            </w:r>
          </w:p>
        </w:tc>
        <w:tc>
          <w:tcPr>
            <w:tcW w:w="980" w:type="dxa"/>
            <w:vAlign w:val="bottom"/>
          </w:tcPr>
          <w:p>
            <w:pPr>
              <w:spacing w:after="0"/>
              <w:rPr>
                <w:sz w:val="12"/>
                <w:szCs w:val="12"/>
                <w:color w:val="auto"/>
              </w:rPr>
            </w:pPr>
          </w:p>
        </w:tc>
      </w:tr>
      <w:tr>
        <w:trPr>
          <w:trHeight w:val="163"/>
        </w:trPr>
        <w:tc>
          <w:tcPr>
            <w:tcW w:w="47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ended September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ended September 30,</w:t>
            </w:r>
          </w:p>
        </w:tc>
        <w:tc>
          <w:tcPr>
            <w:tcW w:w="980" w:type="dxa"/>
            <w:vAlign w:val="bottom"/>
            <w:tcBorders>
              <w:bottom w:val="single" w:sz="8" w:color="auto"/>
            </w:tcBorders>
          </w:tcPr>
          <w:p>
            <w:pPr>
              <w:spacing w:after="0"/>
              <w:rPr>
                <w:sz w:val="14"/>
                <w:szCs w:val="14"/>
                <w:color w:val="auto"/>
              </w:rPr>
            </w:pPr>
          </w:p>
        </w:tc>
      </w:tr>
      <w:tr>
        <w:trPr>
          <w:trHeight w:val="165"/>
        </w:trPr>
        <w:tc>
          <w:tcPr>
            <w:tcW w:w="47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2019</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2018</w:t>
            </w:r>
          </w:p>
        </w:tc>
      </w:tr>
      <w:tr>
        <w:trPr>
          <w:trHeight w:val="376"/>
        </w:trPr>
        <w:tc>
          <w:tcPr>
            <w:tcW w:w="4700" w:type="dxa"/>
            <w:vAlign w:val="bottom"/>
          </w:tcPr>
          <w:p>
            <w:pPr>
              <w:spacing w:after="0"/>
              <w:rPr>
                <w:sz w:val="20"/>
                <w:szCs w:val="20"/>
                <w:color w:val="auto"/>
              </w:rPr>
            </w:pPr>
            <w:r>
              <w:rPr>
                <w:rFonts w:ascii="Arial" w:cs="Arial" w:eastAsia="Arial" w:hAnsi="Arial"/>
                <w:sz w:val="12"/>
                <w:szCs w:val="12"/>
                <w:b w:val="1"/>
                <w:bCs w:val="1"/>
                <w:color w:val="auto"/>
              </w:rPr>
              <w:t>Revenue</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9"/>
        </w:trPr>
        <w:tc>
          <w:tcPr>
            <w:tcW w:w="4700" w:type="dxa"/>
            <w:vAlign w:val="bottom"/>
          </w:tcPr>
          <w:p>
            <w:pPr>
              <w:ind w:left="160"/>
              <w:spacing w:after="0"/>
              <w:rPr>
                <w:sz w:val="20"/>
                <w:szCs w:val="20"/>
                <w:color w:val="auto"/>
              </w:rPr>
            </w:pPr>
            <w:r>
              <w:rPr>
                <w:rFonts w:ascii="Arial" w:cs="Arial" w:eastAsia="Arial" w:hAnsi="Arial"/>
                <w:sz w:val="12"/>
                <w:szCs w:val="12"/>
                <w:color w:val="auto"/>
              </w:rPr>
              <w:t>Hughes</w:t>
            </w:r>
          </w:p>
        </w:tc>
        <w:tc>
          <w:tcPr>
            <w:tcW w:w="1000" w:type="dxa"/>
            <w:vAlign w:val="bottom"/>
          </w:tcPr>
          <w:p>
            <w:pPr>
              <w:jc w:val="right"/>
              <w:ind w:right="860"/>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463,735</w:t>
            </w:r>
          </w:p>
        </w:tc>
        <w:tc>
          <w:tcPr>
            <w:tcW w:w="120" w:type="dxa"/>
            <w:vAlign w:val="bottom"/>
          </w:tcPr>
          <w:p>
            <w:pPr>
              <w:spacing w:after="0"/>
              <w:rPr>
                <w:sz w:val="16"/>
                <w:szCs w:val="16"/>
                <w:color w:val="auto"/>
              </w:rPr>
            </w:pPr>
          </w:p>
        </w:tc>
        <w:tc>
          <w:tcPr>
            <w:tcW w:w="600" w:type="dxa"/>
            <w:vAlign w:val="bottom"/>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444,762</w:t>
            </w:r>
          </w:p>
        </w:tc>
        <w:tc>
          <w:tcPr>
            <w:tcW w:w="100" w:type="dxa"/>
            <w:vAlign w:val="bottom"/>
          </w:tcPr>
          <w:p>
            <w:pPr>
              <w:spacing w:after="0"/>
              <w:rPr>
                <w:sz w:val="16"/>
                <w:szCs w:val="16"/>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1,360,919</w:t>
            </w:r>
          </w:p>
        </w:tc>
        <w:tc>
          <w:tcPr>
            <w:tcW w:w="100" w:type="dxa"/>
            <w:vAlign w:val="bottom"/>
          </w:tcPr>
          <w:p>
            <w:pPr>
              <w:spacing w:after="0"/>
              <w:rPr>
                <w:sz w:val="16"/>
                <w:szCs w:val="16"/>
                <w:color w:val="auto"/>
              </w:rPr>
            </w:pPr>
          </w:p>
        </w:tc>
        <w:tc>
          <w:tcPr>
            <w:tcW w:w="620" w:type="dxa"/>
            <w:vAlign w:val="bottom"/>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1,271,886</w:t>
            </w:r>
          </w:p>
        </w:tc>
      </w:tr>
      <w:tr>
        <w:trPr>
          <w:trHeight w:val="189"/>
        </w:trPr>
        <w:tc>
          <w:tcPr>
            <w:tcW w:w="4700" w:type="dxa"/>
            <w:vAlign w:val="bottom"/>
          </w:tcPr>
          <w:p>
            <w:pPr>
              <w:ind w:left="160"/>
              <w:spacing w:after="0"/>
              <w:rPr>
                <w:sz w:val="20"/>
                <w:szCs w:val="20"/>
                <w:color w:val="auto"/>
              </w:rPr>
            </w:pPr>
            <w:r>
              <w:rPr>
                <w:rFonts w:ascii="Arial" w:cs="Arial" w:eastAsia="Arial" w:hAnsi="Arial"/>
                <w:sz w:val="12"/>
                <w:szCs w:val="12"/>
                <w:color w:val="auto"/>
              </w:rPr>
              <w:t>EchoStar Satellite Services</w:t>
            </w:r>
          </w:p>
        </w:tc>
        <w:tc>
          <w:tcPr>
            <w:tcW w:w="1000" w:type="dxa"/>
            <w:vAlign w:val="bottom"/>
          </w:tcPr>
          <w:p>
            <w:pPr>
              <w:spacing w:after="0"/>
              <w:rPr>
                <w:sz w:val="16"/>
                <w:szCs w:val="16"/>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4,098</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6,802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11,873</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22,562</w:t>
            </w:r>
          </w:p>
        </w:tc>
      </w:tr>
      <w:tr>
        <w:trPr>
          <w:trHeight w:val="189"/>
        </w:trPr>
        <w:tc>
          <w:tcPr>
            <w:tcW w:w="4700" w:type="dxa"/>
            <w:vAlign w:val="bottom"/>
          </w:tcPr>
          <w:p>
            <w:pPr>
              <w:ind w:left="160"/>
              <w:spacing w:after="0"/>
              <w:rPr>
                <w:sz w:val="20"/>
                <w:szCs w:val="20"/>
                <w:color w:val="auto"/>
              </w:rPr>
            </w:pPr>
            <w:r>
              <w:rPr>
                <w:rFonts w:ascii="Arial" w:cs="Arial" w:eastAsia="Arial" w:hAnsi="Arial"/>
                <w:sz w:val="12"/>
                <w:szCs w:val="12"/>
                <w:color w:val="auto"/>
              </w:rPr>
              <w:t>Corporate and Other</w:t>
            </w:r>
          </w:p>
        </w:tc>
        <w:tc>
          <w:tcPr>
            <w:tcW w:w="1000" w:type="dxa"/>
            <w:vAlign w:val="bottom"/>
          </w:tcPr>
          <w:p>
            <w:pPr>
              <w:spacing w:after="0"/>
              <w:rPr>
                <w:sz w:val="16"/>
                <w:szCs w:val="16"/>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4,429</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4,710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14,283</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14,207</w:t>
            </w:r>
          </w:p>
        </w:tc>
      </w:tr>
      <w:tr>
        <w:trPr>
          <w:trHeight w:val="27"/>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4700" w:type="dxa"/>
            <w:vAlign w:val="bottom"/>
          </w:tcPr>
          <w:p>
            <w:pPr>
              <w:ind w:left="580"/>
              <w:spacing w:after="0"/>
              <w:rPr>
                <w:sz w:val="20"/>
                <w:szCs w:val="20"/>
                <w:color w:val="auto"/>
              </w:rPr>
            </w:pPr>
            <w:r>
              <w:rPr>
                <w:rFonts w:ascii="Arial" w:cs="Arial" w:eastAsia="Arial" w:hAnsi="Arial"/>
                <w:sz w:val="12"/>
                <w:szCs w:val="12"/>
                <w:color w:val="auto"/>
              </w:rPr>
              <w:t>Total revenue</w:t>
            </w:r>
          </w:p>
        </w:tc>
        <w:tc>
          <w:tcPr>
            <w:tcW w:w="1000" w:type="dxa"/>
            <w:vAlign w:val="bottom"/>
            <w:tcBorders>
              <w:bottom w:val="single" w:sz="8" w:color="auto"/>
            </w:tcBorders>
          </w:tcPr>
          <w:p>
            <w:pPr>
              <w:jc w:val="right"/>
              <w:ind w:right="860"/>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472,262</w:t>
            </w:r>
          </w:p>
        </w:tc>
        <w:tc>
          <w:tcPr>
            <w:tcW w:w="120" w:type="dxa"/>
            <w:vAlign w:val="bottom"/>
          </w:tcPr>
          <w:p>
            <w:pPr>
              <w:spacing w:after="0"/>
              <w:rPr>
                <w:sz w:val="16"/>
                <w:szCs w:val="16"/>
                <w:color w:val="auto"/>
              </w:rPr>
            </w:pPr>
          </w:p>
        </w:tc>
        <w:tc>
          <w:tcPr>
            <w:tcW w:w="6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456,274</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1,387,075</w:t>
            </w:r>
          </w:p>
        </w:tc>
        <w:tc>
          <w:tcPr>
            <w:tcW w:w="100" w:type="dxa"/>
            <w:vAlign w:val="bottom"/>
          </w:tcPr>
          <w:p>
            <w:pPr>
              <w:spacing w:after="0"/>
              <w:rPr>
                <w:sz w:val="16"/>
                <w:szCs w:val="16"/>
                <w:color w:val="auto"/>
              </w:rPr>
            </w:pPr>
          </w:p>
        </w:tc>
        <w:tc>
          <w:tcPr>
            <w:tcW w:w="6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1,308,655</w:t>
            </w:r>
          </w:p>
        </w:tc>
      </w:tr>
      <w:tr>
        <w:trPr>
          <w:trHeight w:val="342"/>
        </w:trPr>
        <w:tc>
          <w:tcPr>
            <w:tcW w:w="4700" w:type="dxa"/>
            <w:vAlign w:val="bottom"/>
          </w:tcPr>
          <w:p>
            <w:pPr>
              <w:spacing w:after="0"/>
              <w:rPr>
                <w:sz w:val="20"/>
                <w:szCs w:val="20"/>
                <w:color w:val="auto"/>
              </w:rPr>
            </w:pPr>
            <w:r>
              <w:rPr>
                <w:rFonts w:ascii="Arial" w:cs="Arial" w:eastAsia="Arial" w:hAnsi="Arial"/>
                <w:sz w:val="12"/>
                <w:szCs w:val="12"/>
                <w:b w:val="1"/>
                <w:bCs w:val="1"/>
                <w:color w:val="auto"/>
              </w:rPr>
              <w:t>Adjusted EBITDA</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89"/>
        </w:trPr>
        <w:tc>
          <w:tcPr>
            <w:tcW w:w="4700" w:type="dxa"/>
            <w:vAlign w:val="bottom"/>
          </w:tcPr>
          <w:p>
            <w:pPr>
              <w:ind w:left="160"/>
              <w:spacing w:after="0"/>
              <w:rPr>
                <w:sz w:val="20"/>
                <w:szCs w:val="20"/>
                <w:color w:val="auto"/>
              </w:rPr>
            </w:pPr>
            <w:r>
              <w:rPr>
                <w:rFonts w:ascii="Arial" w:cs="Arial" w:eastAsia="Arial" w:hAnsi="Arial"/>
                <w:sz w:val="12"/>
                <w:szCs w:val="12"/>
                <w:color w:val="auto"/>
              </w:rPr>
              <w:t>Hughes</w:t>
            </w:r>
          </w:p>
        </w:tc>
        <w:tc>
          <w:tcPr>
            <w:tcW w:w="1000" w:type="dxa"/>
            <w:vAlign w:val="bottom"/>
          </w:tcPr>
          <w:p>
            <w:pPr>
              <w:jc w:val="right"/>
              <w:ind w:right="860"/>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169,358</w:t>
            </w:r>
          </w:p>
        </w:tc>
        <w:tc>
          <w:tcPr>
            <w:tcW w:w="120" w:type="dxa"/>
            <w:vAlign w:val="bottom"/>
          </w:tcPr>
          <w:p>
            <w:pPr>
              <w:spacing w:after="0"/>
              <w:rPr>
                <w:sz w:val="16"/>
                <w:szCs w:val="16"/>
                <w:color w:val="auto"/>
              </w:rPr>
            </w:pPr>
          </w:p>
        </w:tc>
        <w:tc>
          <w:tcPr>
            <w:tcW w:w="600" w:type="dxa"/>
            <w:vAlign w:val="bottom"/>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167,492</w:t>
            </w:r>
          </w:p>
        </w:tc>
        <w:tc>
          <w:tcPr>
            <w:tcW w:w="100" w:type="dxa"/>
            <w:vAlign w:val="bottom"/>
          </w:tcPr>
          <w:p>
            <w:pPr>
              <w:spacing w:after="0"/>
              <w:rPr>
                <w:sz w:val="16"/>
                <w:szCs w:val="16"/>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486,212</w:t>
            </w:r>
          </w:p>
        </w:tc>
        <w:tc>
          <w:tcPr>
            <w:tcW w:w="100" w:type="dxa"/>
            <w:vAlign w:val="bottom"/>
          </w:tcPr>
          <w:p>
            <w:pPr>
              <w:spacing w:after="0"/>
              <w:rPr>
                <w:sz w:val="16"/>
                <w:szCs w:val="16"/>
                <w:color w:val="auto"/>
              </w:rPr>
            </w:pPr>
          </w:p>
        </w:tc>
        <w:tc>
          <w:tcPr>
            <w:tcW w:w="620" w:type="dxa"/>
            <w:vAlign w:val="bottom"/>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465,724</w:t>
            </w:r>
          </w:p>
        </w:tc>
      </w:tr>
      <w:tr>
        <w:trPr>
          <w:trHeight w:val="207"/>
        </w:trPr>
        <w:tc>
          <w:tcPr>
            <w:tcW w:w="4700" w:type="dxa"/>
            <w:vAlign w:val="bottom"/>
          </w:tcPr>
          <w:p>
            <w:pPr>
              <w:ind w:left="160"/>
              <w:spacing w:after="0"/>
              <w:rPr>
                <w:sz w:val="20"/>
                <w:szCs w:val="20"/>
                <w:color w:val="auto"/>
              </w:rPr>
            </w:pPr>
            <w:r>
              <w:rPr>
                <w:rFonts w:ascii="Arial" w:cs="Arial" w:eastAsia="Arial" w:hAnsi="Arial"/>
                <w:sz w:val="12"/>
                <w:szCs w:val="12"/>
                <w:color w:val="auto"/>
              </w:rPr>
              <w:t>EchoStar Satellite Services</w:t>
            </w:r>
          </w:p>
        </w:tc>
        <w:tc>
          <w:tcPr>
            <w:tcW w:w="1000" w:type="dxa"/>
            <w:vAlign w:val="bottom"/>
          </w:tcPr>
          <w:p>
            <w:pPr>
              <w:spacing w:after="0"/>
              <w:rPr>
                <w:sz w:val="18"/>
                <w:szCs w:val="18"/>
                <w:color w:val="auto"/>
              </w:rPr>
            </w:pPr>
          </w:p>
        </w:tc>
        <w:tc>
          <w:tcPr>
            <w:tcW w:w="620" w:type="dxa"/>
            <w:vAlign w:val="bottom"/>
          </w:tcPr>
          <w:p>
            <w:pPr>
              <w:jc w:val="right"/>
              <w:ind w:right="60"/>
              <w:spacing w:after="0"/>
              <w:rPr>
                <w:sz w:val="20"/>
                <w:szCs w:val="20"/>
                <w:color w:val="auto"/>
              </w:rPr>
            </w:pPr>
            <w:r>
              <w:rPr>
                <w:rFonts w:ascii="Arial" w:cs="Arial" w:eastAsia="Arial" w:hAnsi="Arial"/>
                <w:sz w:val="12"/>
                <w:szCs w:val="12"/>
                <w:color w:val="auto"/>
              </w:rPr>
              <w:t>1,791</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4,687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5,006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15,478</w:t>
            </w:r>
          </w:p>
        </w:tc>
      </w:tr>
      <w:tr>
        <w:trPr>
          <w:trHeight w:val="171"/>
        </w:trPr>
        <w:tc>
          <w:tcPr>
            <w:tcW w:w="4700" w:type="dxa"/>
            <w:vAlign w:val="bottom"/>
          </w:tcPr>
          <w:p>
            <w:pPr>
              <w:ind w:left="160"/>
              <w:spacing w:after="0"/>
              <w:rPr>
                <w:sz w:val="20"/>
                <w:szCs w:val="20"/>
                <w:color w:val="auto"/>
              </w:rPr>
            </w:pPr>
            <w:r>
              <w:rPr>
                <w:rFonts w:ascii="Arial" w:cs="Arial" w:eastAsia="Arial" w:hAnsi="Arial"/>
                <w:sz w:val="12"/>
                <w:szCs w:val="12"/>
                <w:color w:val="auto"/>
              </w:rPr>
              <w:t>Corporate &amp; Other:</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7"/>
        </w:trPr>
        <w:tc>
          <w:tcPr>
            <w:tcW w:w="4700" w:type="dxa"/>
            <w:vAlign w:val="bottom"/>
          </w:tcPr>
          <w:p>
            <w:pPr>
              <w:ind w:left="300"/>
              <w:spacing w:after="0"/>
              <w:rPr>
                <w:sz w:val="20"/>
                <w:szCs w:val="20"/>
                <w:color w:val="auto"/>
              </w:rPr>
            </w:pPr>
            <w:r>
              <w:rPr>
                <w:rFonts w:ascii="Arial" w:cs="Arial" w:eastAsia="Arial" w:hAnsi="Arial"/>
                <w:sz w:val="12"/>
                <w:szCs w:val="12"/>
                <w:color w:val="auto"/>
              </w:rPr>
              <w:t>Corporate overhead, operating and other</w:t>
            </w:r>
          </w:p>
        </w:tc>
        <w:tc>
          <w:tcPr>
            <w:tcW w:w="1000" w:type="dxa"/>
            <w:vAlign w:val="bottom"/>
          </w:tcPr>
          <w:p>
            <w:pPr>
              <w:spacing w:after="0"/>
              <w:rPr>
                <w:sz w:val="18"/>
                <w:szCs w:val="18"/>
                <w:color w:val="auto"/>
              </w:rPr>
            </w:pPr>
          </w:p>
        </w:tc>
        <w:tc>
          <w:tcPr>
            <w:tcW w:w="620" w:type="dxa"/>
            <w:vAlign w:val="bottom"/>
          </w:tcPr>
          <w:p>
            <w:pPr>
              <w:jc w:val="right"/>
              <w:ind w:right="20"/>
              <w:spacing w:after="0"/>
              <w:rPr>
                <w:sz w:val="20"/>
                <w:szCs w:val="20"/>
                <w:color w:val="auto"/>
              </w:rPr>
            </w:pPr>
            <w:r>
              <w:rPr>
                <w:rFonts w:ascii="Arial" w:cs="Arial" w:eastAsia="Arial" w:hAnsi="Arial"/>
                <w:sz w:val="12"/>
                <w:szCs w:val="12"/>
                <w:color w:val="auto"/>
              </w:rPr>
              <w:t>(21,028)</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ind w:right="20"/>
              <w:spacing w:after="0"/>
              <w:rPr>
                <w:sz w:val="20"/>
                <w:szCs w:val="20"/>
                <w:color w:val="auto"/>
              </w:rPr>
            </w:pPr>
            <w:r>
              <w:rPr>
                <w:rFonts w:ascii="Arial" w:cs="Arial" w:eastAsia="Arial" w:hAnsi="Arial"/>
                <w:sz w:val="12"/>
                <w:szCs w:val="12"/>
                <w:color w:val="auto"/>
              </w:rPr>
              <w:t>(18,231)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Arial" w:cs="Arial" w:eastAsia="Arial" w:hAnsi="Arial"/>
                <w:sz w:val="12"/>
                <w:szCs w:val="12"/>
                <w:color w:val="auto"/>
              </w:rPr>
              <w:t>(58,968)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(54,489)</w:t>
            </w:r>
          </w:p>
        </w:tc>
      </w:tr>
      <w:tr>
        <w:trPr>
          <w:trHeight w:val="194"/>
        </w:trPr>
        <w:tc>
          <w:tcPr>
            <w:tcW w:w="4700" w:type="dxa"/>
            <w:vAlign w:val="bottom"/>
          </w:tcPr>
          <w:p>
            <w:pPr>
              <w:ind w:left="300"/>
              <w:spacing w:after="0"/>
              <w:rPr>
                <w:sz w:val="20"/>
                <w:szCs w:val="20"/>
                <w:color w:val="auto"/>
              </w:rPr>
            </w:pPr>
            <w:r>
              <w:rPr>
                <w:rFonts w:ascii="Arial" w:cs="Arial" w:eastAsia="Arial" w:hAnsi="Arial"/>
                <w:sz w:val="12"/>
                <w:szCs w:val="12"/>
                <w:color w:val="auto"/>
              </w:rPr>
              <w:t>Equity in earnings (losses) of unconsolidated affiliates, net</w:t>
            </w: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(1,782)</w:t>
            </w: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416</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(9,507)</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(2,651)</w:t>
            </w:r>
          </w:p>
        </w:tc>
      </w:tr>
      <w:tr>
        <w:trPr>
          <w:trHeight w:val="156"/>
        </w:trPr>
        <w:tc>
          <w:tcPr>
            <w:tcW w:w="4700" w:type="dxa"/>
            <w:vAlign w:val="bottom"/>
          </w:tcPr>
          <w:p>
            <w:pPr>
              <w:ind w:left="440"/>
              <w:spacing w:after="0"/>
              <w:rPr>
                <w:sz w:val="20"/>
                <w:szCs w:val="20"/>
                <w:color w:val="auto"/>
              </w:rPr>
            </w:pPr>
            <w:r>
              <w:rPr>
                <w:rFonts w:ascii="Arial" w:cs="Arial" w:eastAsia="Arial" w:hAnsi="Arial"/>
                <w:sz w:val="12"/>
                <w:szCs w:val="12"/>
                <w:color w:val="auto"/>
              </w:rPr>
              <w:t>Total Corporate &amp; Other</w:t>
            </w:r>
          </w:p>
        </w:tc>
        <w:tc>
          <w:tcPr>
            <w:tcW w:w="1000" w:type="dxa"/>
            <w:vAlign w:val="bottom"/>
          </w:tcPr>
          <w:p>
            <w:pPr>
              <w:spacing w:after="0"/>
              <w:rPr>
                <w:sz w:val="13"/>
                <w:szCs w:val="13"/>
                <w:color w:val="auto"/>
              </w:rPr>
            </w:pPr>
          </w:p>
        </w:tc>
        <w:tc>
          <w:tcPr>
            <w:tcW w:w="620" w:type="dxa"/>
            <w:vAlign w:val="bottom"/>
          </w:tcPr>
          <w:p>
            <w:pPr>
              <w:jc w:val="right"/>
              <w:ind w:right="20"/>
              <w:spacing w:after="0"/>
              <w:rPr>
                <w:sz w:val="20"/>
                <w:szCs w:val="20"/>
                <w:color w:val="auto"/>
              </w:rPr>
            </w:pPr>
            <w:r>
              <w:rPr>
                <w:rFonts w:ascii="Arial" w:cs="Arial" w:eastAsia="Arial" w:hAnsi="Arial"/>
                <w:sz w:val="12"/>
                <w:szCs w:val="12"/>
                <w:color w:val="auto"/>
              </w:rPr>
              <w:t>(22,810)</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jc w:val="right"/>
              <w:ind w:right="20"/>
              <w:spacing w:after="0"/>
              <w:rPr>
                <w:sz w:val="20"/>
                <w:szCs w:val="20"/>
                <w:color w:val="auto"/>
              </w:rPr>
            </w:pPr>
            <w:r>
              <w:rPr>
                <w:rFonts w:ascii="Arial" w:cs="Arial" w:eastAsia="Arial" w:hAnsi="Arial"/>
                <w:sz w:val="12"/>
                <w:szCs w:val="12"/>
                <w:color w:val="auto"/>
              </w:rPr>
              <w:t>(17,815)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ind w:right="20"/>
              <w:spacing w:after="0"/>
              <w:rPr>
                <w:sz w:val="20"/>
                <w:szCs w:val="20"/>
                <w:color w:val="auto"/>
              </w:rPr>
            </w:pPr>
            <w:r>
              <w:rPr>
                <w:rFonts w:ascii="Arial" w:cs="Arial" w:eastAsia="Arial" w:hAnsi="Arial"/>
                <w:sz w:val="12"/>
                <w:szCs w:val="12"/>
                <w:color w:val="auto"/>
              </w:rPr>
              <w:t>(68,476)</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(57,141)</w:t>
            </w:r>
          </w:p>
        </w:tc>
      </w:tr>
      <w:tr>
        <w:trPr>
          <w:trHeight w:val="27"/>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4700" w:type="dxa"/>
            <w:vAlign w:val="bottom"/>
          </w:tcPr>
          <w:p>
            <w:pPr>
              <w:ind w:left="580"/>
              <w:spacing w:after="0"/>
              <w:rPr>
                <w:sz w:val="20"/>
                <w:szCs w:val="20"/>
                <w:color w:val="auto"/>
              </w:rPr>
            </w:pPr>
            <w:r>
              <w:rPr>
                <w:rFonts w:ascii="Arial" w:cs="Arial" w:eastAsia="Arial" w:hAnsi="Arial"/>
                <w:sz w:val="12"/>
                <w:szCs w:val="12"/>
                <w:color w:val="auto"/>
              </w:rPr>
              <w:t>Total Adjusted EBITDA</w:t>
            </w:r>
          </w:p>
        </w:tc>
        <w:tc>
          <w:tcPr>
            <w:tcW w:w="1000" w:type="dxa"/>
            <w:vAlign w:val="bottom"/>
            <w:tcBorders>
              <w:bottom w:val="single" w:sz="8" w:color="auto"/>
            </w:tcBorders>
          </w:tcPr>
          <w:p>
            <w:pPr>
              <w:jc w:val="right"/>
              <w:ind w:right="860"/>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148,339</w:t>
            </w:r>
          </w:p>
        </w:tc>
        <w:tc>
          <w:tcPr>
            <w:tcW w:w="120" w:type="dxa"/>
            <w:vAlign w:val="bottom"/>
          </w:tcPr>
          <w:p>
            <w:pPr>
              <w:spacing w:after="0"/>
              <w:rPr>
                <w:sz w:val="16"/>
                <w:szCs w:val="16"/>
                <w:color w:val="auto"/>
              </w:rPr>
            </w:pPr>
          </w:p>
        </w:tc>
        <w:tc>
          <w:tcPr>
            <w:tcW w:w="6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154,364</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422,742</w:t>
            </w: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424,061</w:t>
            </w:r>
          </w:p>
        </w:tc>
      </w:tr>
      <w:tr>
        <w:trPr>
          <w:trHeight w:val="412"/>
        </w:trPr>
        <w:tc>
          <w:tcPr>
            <w:tcW w:w="4700" w:type="dxa"/>
            <w:vAlign w:val="bottom"/>
          </w:tcPr>
          <w:p>
            <w:pPr>
              <w:spacing w:after="0"/>
              <w:rPr>
                <w:sz w:val="20"/>
                <w:szCs w:val="20"/>
                <w:color w:val="auto"/>
              </w:rPr>
            </w:pPr>
            <w:r>
              <w:rPr>
                <w:rFonts w:ascii="Arial" w:cs="Arial" w:eastAsia="Arial" w:hAnsi="Arial"/>
                <w:sz w:val="12"/>
                <w:szCs w:val="12"/>
                <w:b w:val="1"/>
                <w:bCs w:val="1"/>
                <w:color w:val="auto"/>
              </w:rPr>
              <w:t>Net income (loss) from continuing operations</w:t>
            </w:r>
          </w:p>
        </w:tc>
        <w:tc>
          <w:tcPr>
            <w:tcW w:w="1000" w:type="dxa"/>
            <w:vAlign w:val="bottom"/>
            <w:tcBorders>
              <w:bottom w:val="single" w:sz="8" w:color="auto"/>
            </w:tcBorders>
          </w:tcPr>
          <w:p>
            <w:pPr>
              <w:jc w:val="right"/>
              <w:ind w:right="860"/>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(23,161)</w:t>
            </w:r>
          </w:p>
        </w:tc>
        <w:tc>
          <w:tcPr>
            <w:tcW w:w="120" w:type="dxa"/>
            <w:vAlign w:val="bottom"/>
          </w:tcPr>
          <w:p>
            <w:pPr>
              <w:spacing w:after="0"/>
              <w:rPr>
                <w:sz w:val="24"/>
                <w:szCs w:val="24"/>
                <w:color w:val="auto"/>
              </w:rPr>
            </w:pPr>
          </w:p>
        </w:tc>
        <w:tc>
          <w:tcPr>
            <w:tcW w:w="6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(3,195)</w:t>
            </w:r>
          </w:p>
        </w:tc>
        <w:tc>
          <w:tcPr>
            <w:tcW w:w="100" w:type="dxa"/>
            <w:vAlign w:val="bottom"/>
          </w:tcPr>
          <w:p>
            <w:pPr>
              <w:spacing w:after="0"/>
              <w:rPr>
                <w:sz w:val="24"/>
                <w:szCs w:val="24"/>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(57,581)</w:t>
            </w:r>
          </w:p>
        </w:tc>
        <w:tc>
          <w:tcPr>
            <w:tcW w:w="100" w:type="dxa"/>
            <w:vAlign w:val="bottom"/>
          </w:tcPr>
          <w:p>
            <w:pPr>
              <w:spacing w:after="0"/>
              <w:rPr>
                <w:sz w:val="24"/>
                <w:szCs w:val="24"/>
                <w:color w:val="auto"/>
              </w:rPr>
            </w:pPr>
          </w:p>
        </w:tc>
        <w:tc>
          <w:tcPr>
            <w:tcW w:w="6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(3,828)</w:t>
            </w:r>
          </w:p>
        </w:tc>
      </w:tr>
      <w:tr>
        <w:trPr>
          <w:trHeight w:val="178"/>
        </w:trPr>
        <w:tc>
          <w:tcPr>
            <w:tcW w:w="4700" w:type="dxa"/>
            <w:vAlign w:val="bottom"/>
          </w:tcPr>
          <w:p>
            <w:pPr>
              <w:spacing w:after="0"/>
              <w:rPr>
                <w:sz w:val="20"/>
                <w:szCs w:val="20"/>
                <w:color w:val="auto"/>
              </w:rPr>
            </w:pPr>
            <w:r>
              <w:rPr>
                <w:rFonts w:ascii="Arial" w:cs="Arial" w:eastAsia="Arial" w:hAnsi="Arial"/>
                <w:sz w:val="12"/>
                <w:szCs w:val="12"/>
                <w:b w:val="1"/>
                <w:bCs w:val="1"/>
                <w:color w:val="auto"/>
              </w:rPr>
              <w:t>Expenditures for property and equipment</w:t>
            </w:r>
          </w:p>
        </w:tc>
        <w:tc>
          <w:tcPr>
            <w:tcW w:w="1000" w:type="dxa"/>
            <w:vAlign w:val="bottom"/>
            <w:tcBorders>
              <w:bottom w:val="single" w:sz="8" w:color="auto"/>
            </w:tcBorders>
          </w:tcPr>
          <w:p>
            <w:pPr>
              <w:jc w:val="right"/>
              <w:ind w:right="860"/>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95,155</w:t>
            </w:r>
          </w:p>
        </w:tc>
        <w:tc>
          <w:tcPr>
            <w:tcW w:w="120" w:type="dxa"/>
            <w:vAlign w:val="bottom"/>
          </w:tcPr>
          <w:p>
            <w:pPr>
              <w:spacing w:after="0"/>
              <w:rPr>
                <w:sz w:val="15"/>
                <w:szCs w:val="15"/>
                <w:color w:val="auto"/>
              </w:rPr>
            </w:pPr>
          </w:p>
        </w:tc>
        <w:tc>
          <w:tcPr>
            <w:tcW w:w="6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167,144</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314,351</w:t>
            </w:r>
          </w:p>
        </w:tc>
        <w:tc>
          <w:tcPr>
            <w:tcW w:w="100" w:type="dxa"/>
            <w:vAlign w:val="bottom"/>
          </w:tcPr>
          <w:p>
            <w:pPr>
              <w:spacing w:after="0"/>
              <w:rPr>
                <w:sz w:val="15"/>
                <w:szCs w:val="15"/>
                <w:color w:val="auto"/>
              </w:rPr>
            </w:pPr>
          </w:p>
        </w:tc>
        <w:tc>
          <w:tcPr>
            <w:tcW w:w="6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337,625</w:t>
            </w:r>
          </w:p>
        </w:tc>
      </w:tr>
      <w:tr>
        <w:trPr>
          <w:trHeight w:val="468"/>
        </w:trPr>
        <w:tc>
          <w:tcPr>
            <w:tcW w:w="4700" w:type="dxa"/>
            <w:vAlign w:val="bottom"/>
          </w:tcPr>
          <w:p>
            <w:pPr>
              <w:spacing w:after="0"/>
              <w:rPr>
                <w:sz w:val="24"/>
                <w:szCs w:val="24"/>
                <w:color w:val="auto"/>
              </w:rPr>
            </w:pPr>
          </w:p>
        </w:tc>
        <w:tc>
          <w:tcPr>
            <w:tcW w:w="1000" w:type="dxa"/>
            <w:vAlign w:val="bottom"/>
          </w:tcPr>
          <w:p>
            <w:pPr>
              <w:jc w:val="right"/>
              <w:ind w:right="420"/>
              <w:spacing w:after="0"/>
              <w:rPr>
                <w:sz w:val="20"/>
                <w:szCs w:val="20"/>
                <w:color w:val="auto"/>
              </w:rPr>
            </w:pPr>
            <w:r>
              <w:rPr>
                <w:rFonts w:ascii="Arial" w:cs="Arial" w:eastAsia="Arial" w:hAnsi="Arial"/>
                <w:sz w:val="12"/>
                <w:szCs w:val="12"/>
                <w:color w:val="auto"/>
              </w:rPr>
              <w:t>2</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80"/>
          </w:cols>
          <w:pgMar w:left="220" w:top="319" w:right="19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4720" w:type="dxa"/>
            <w:vAlign w:val="bottom"/>
          </w:tcPr>
          <w:p>
            <w:pPr>
              <w:spacing w:after="0"/>
              <w:rPr>
                <w:sz w:val="20"/>
                <w:szCs w:val="20"/>
                <w:color w:val="auto"/>
              </w:rPr>
            </w:pPr>
            <w:r>
              <w:rPr>
                <w:rFonts w:ascii="Arial" w:cs="Arial" w:eastAsia="Arial" w:hAnsi="Arial"/>
                <w:sz w:val="12"/>
                <w:szCs w:val="12"/>
                <w:color w:val="auto"/>
              </w:rPr>
              <w:t>Reconciliation of GAAP to Non-GAAP Measurement (amounts in thousands):</w:t>
            </w: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29"/>
        </w:trPr>
        <w:tc>
          <w:tcPr>
            <w:tcW w:w="4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For the three months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For the nine months</w:t>
            </w:r>
          </w:p>
        </w:tc>
        <w:tc>
          <w:tcPr>
            <w:tcW w:w="980" w:type="dxa"/>
            <w:vAlign w:val="bottom"/>
          </w:tcPr>
          <w:p>
            <w:pPr>
              <w:spacing w:after="0"/>
              <w:rPr>
                <w:sz w:val="19"/>
                <w:szCs w:val="19"/>
                <w:color w:val="auto"/>
              </w:rPr>
            </w:pPr>
          </w:p>
        </w:tc>
      </w:tr>
      <w:tr>
        <w:trPr>
          <w:trHeight w:val="163"/>
        </w:trPr>
        <w:tc>
          <w:tcPr>
            <w:tcW w:w="4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ended September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ended September 30,</w:t>
            </w:r>
          </w:p>
        </w:tc>
        <w:tc>
          <w:tcPr>
            <w:tcW w:w="980" w:type="dxa"/>
            <w:vAlign w:val="bottom"/>
            <w:tcBorders>
              <w:bottom w:val="single" w:sz="8" w:color="auto"/>
            </w:tcBorders>
          </w:tcPr>
          <w:p>
            <w:pPr>
              <w:spacing w:after="0"/>
              <w:rPr>
                <w:sz w:val="14"/>
                <w:szCs w:val="14"/>
                <w:color w:val="auto"/>
              </w:rPr>
            </w:pPr>
          </w:p>
        </w:tc>
      </w:tr>
      <w:tr>
        <w:trPr>
          <w:trHeight w:val="169"/>
        </w:trPr>
        <w:tc>
          <w:tcPr>
            <w:tcW w:w="47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2019</w:t>
            </w: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2018</w:t>
            </w:r>
          </w:p>
        </w:tc>
      </w:tr>
      <w:tr>
        <w:trPr>
          <w:trHeight w:val="372"/>
        </w:trPr>
        <w:tc>
          <w:tcPr>
            <w:tcW w:w="472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Pr>
          <w:p>
            <w:pPr>
              <w:jc w:val="right"/>
              <w:ind w:right="20"/>
              <w:spacing w:after="0"/>
              <w:rPr>
                <w:sz w:val="20"/>
                <w:szCs w:val="20"/>
                <w:color w:val="auto"/>
              </w:rPr>
            </w:pPr>
            <w:r>
              <w:rPr>
                <w:rFonts w:ascii="Arial" w:cs="Arial" w:eastAsia="Arial" w:hAnsi="Arial"/>
                <w:sz w:val="12"/>
                <w:szCs w:val="12"/>
                <w:color w:val="auto"/>
              </w:rPr>
              <w:t>(21,106)</w:t>
            </w:r>
          </w:p>
        </w:tc>
        <w:tc>
          <w:tcPr>
            <w:tcW w:w="120" w:type="dxa"/>
            <w:vAlign w:val="bottom"/>
          </w:tcPr>
          <w:p>
            <w:pPr>
              <w:spacing w:after="0"/>
              <w:rPr>
                <w:sz w:val="24"/>
                <w:szCs w:val="24"/>
                <w:color w:val="auto"/>
              </w:rPr>
            </w:pPr>
          </w:p>
        </w:tc>
        <w:tc>
          <w:tcPr>
            <w:tcW w:w="600" w:type="dxa"/>
            <w:vAlign w:val="bottom"/>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16,502</w:t>
            </w:r>
          </w:p>
        </w:tc>
        <w:tc>
          <w:tcPr>
            <w:tcW w:w="100" w:type="dxa"/>
            <w:vAlign w:val="bottom"/>
          </w:tcPr>
          <w:p>
            <w:pPr>
              <w:spacing w:after="0"/>
              <w:rPr>
                <w:sz w:val="24"/>
                <w:szCs w:val="24"/>
                <w:color w:val="auto"/>
              </w:rPr>
            </w:pPr>
          </w:p>
        </w:tc>
        <w:tc>
          <w:tcPr>
            <w:tcW w:w="380" w:type="dxa"/>
            <w:vAlign w:val="bottom"/>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20"/>
              <w:spacing w:after="0"/>
              <w:rPr>
                <w:sz w:val="20"/>
                <w:szCs w:val="20"/>
                <w:color w:val="auto"/>
              </w:rPr>
            </w:pPr>
            <w:r>
              <w:rPr>
                <w:rFonts w:ascii="Arial" w:cs="Arial" w:eastAsia="Arial" w:hAnsi="Arial"/>
                <w:sz w:val="12"/>
                <w:szCs w:val="12"/>
                <w:color w:val="auto"/>
              </w:rPr>
              <w:t>(11,158)</w:t>
            </w:r>
          </w:p>
        </w:tc>
        <w:tc>
          <w:tcPr>
            <w:tcW w:w="100" w:type="dxa"/>
            <w:vAlign w:val="bottom"/>
          </w:tcPr>
          <w:p>
            <w:pPr>
              <w:spacing w:after="0"/>
              <w:rPr>
                <w:sz w:val="24"/>
                <w:szCs w:val="24"/>
                <w:color w:val="auto"/>
              </w:rPr>
            </w:pPr>
          </w:p>
        </w:tc>
        <w:tc>
          <w:tcPr>
            <w:tcW w:w="620" w:type="dxa"/>
            <w:vAlign w:val="bottom"/>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73,015</w:t>
            </w:r>
          </w:p>
        </w:tc>
      </w:tr>
      <w:tr>
        <w:trPr>
          <w:trHeight w:val="207"/>
        </w:trPr>
        <w:tc>
          <w:tcPr>
            <w:tcW w:w="4720" w:type="dxa"/>
            <w:vAlign w:val="bottom"/>
          </w:tcPr>
          <w:p>
            <w:pPr>
              <w:ind w:left="180"/>
              <w:spacing w:after="0"/>
              <w:rPr>
                <w:sz w:val="20"/>
                <w:szCs w:val="20"/>
                <w:color w:val="auto"/>
              </w:rPr>
            </w:pPr>
            <w:r>
              <w:rPr>
                <w:rFonts w:ascii="Arial" w:cs="Arial" w:eastAsia="Arial" w:hAnsi="Arial"/>
                <w:sz w:val="12"/>
                <w:szCs w:val="12"/>
                <w:color w:val="auto"/>
              </w:rPr>
              <w:t>Interest income and expense, net</w:t>
            </w:r>
          </w:p>
        </w:tc>
        <w:tc>
          <w:tcPr>
            <w:tcW w:w="380" w:type="dxa"/>
            <w:vAlign w:val="bottom"/>
          </w:tcPr>
          <w:p>
            <w:pPr>
              <w:spacing w:after="0"/>
              <w:rPr>
                <w:sz w:val="18"/>
                <w:szCs w:val="18"/>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32,690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33,529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91,996</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107,801</w:t>
            </w:r>
          </w:p>
        </w:tc>
      </w:tr>
      <w:tr>
        <w:trPr>
          <w:trHeight w:val="189"/>
        </w:trPr>
        <w:tc>
          <w:tcPr>
            <w:tcW w:w="4720" w:type="dxa"/>
            <w:vAlign w:val="bottom"/>
          </w:tcPr>
          <w:p>
            <w:pPr>
              <w:ind w:left="180"/>
              <w:spacing w:after="0"/>
              <w:rPr>
                <w:sz w:val="20"/>
                <w:szCs w:val="20"/>
                <w:color w:val="auto"/>
              </w:rPr>
            </w:pPr>
            <w:r>
              <w:rPr>
                <w:rFonts w:ascii="Arial" w:cs="Arial" w:eastAsia="Arial" w:hAnsi="Arial"/>
                <w:sz w:val="12"/>
                <w:szCs w:val="12"/>
                <w:color w:val="auto"/>
              </w:rPr>
              <w:t>Income tax provision, net</w:t>
            </w:r>
          </w:p>
        </w:tc>
        <w:tc>
          <w:tcPr>
            <w:tcW w:w="380" w:type="dxa"/>
            <w:vAlign w:val="bottom"/>
          </w:tcPr>
          <w:p>
            <w:pPr>
              <w:spacing w:after="0"/>
              <w:rPr>
                <w:sz w:val="16"/>
                <w:szCs w:val="16"/>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5,016</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7,963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12,607</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8,275</w:t>
            </w:r>
          </w:p>
        </w:tc>
      </w:tr>
      <w:tr>
        <w:trPr>
          <w:trHeight w:val="189"/>
        </w:trPr>
        <w:tc>
          <w:tcPr>
            <w:tcW w:w="4720" w:type="dxa"/>
            <w:vAlign w:val="bottom"/>
          </w:tcPr>
          <w:p>
            <w:pPr>
              <w:ind w:left="180"/>
              <w:spacing w:after="0"/>
              <w:rPr>
                <w:sz w:val="20"/>
                <w:szCs w:val="20"/>
                <w:color w:val="auto"/>
              </w:rPr>
            </w:pPr>
            <w:r>
              <w:rPr>
                <w:rFonts w:ascii="Arial" w:cs="Arial" w:eastAsia="Arial" w:hAnsi="Arial"/>
                <w:sz w:val="12"/>
                <w:szCs w:val="12"/>
                <w:color w:val="auto"/>
              </w:rPr>
              <w:t>Depreciation and amortization</w:t>
            </w:r>
          </w:p>
        </w:tc>
        <w:tc>
          <w:tcPr>
            <w:tcW w:w="380" w:type="dxa"/>
            <w:vAlign w:val="bottom"/>
          </w:tcPr>
          <w:p>
            <w:pPr>
              <w:spacing w:after="0"/>
              <w:rPr>
                <w:sz w:val="16"/>
                <w:szCs w:val="16"/>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122,374</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115,325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361,619</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338,737</w:t>
            </w:r>
          </w:p>
        </w:tc>
      </w:tr>
      <w:tr>
        <w:trPr>
          <w:trHeight w:val="189"/>
        </w:trPr>
        <w:tc>
          <w:tcPr>
            <w:tcW w:w="4720" w:type="dxa"/>
            <w:vAlign w:val="bottom"/>
          </w:tcPr>
          <w:p>
            <w:pPr>
              <w:ind w:left="180"/>
              <w:spacing w:after="0"/>
              <w:rPr>
                <w:sz w:val="20"/>
                <w:szCs w:val="20"/>
                <w:color w:val="auto"/>
              </w:rPr>
            </w:pPr>
            <w:r>
              <w:rPr>
                <w:rFonts w:ascii="Arial" w:cs="Arial" w:eastAsia="Arial" w:hAnsi="Arial"/>
                <w:sz w:val="12"/>
                <w:szCs w:val="12"/>
                <w:color w:val="auto"/>
              </w:rPr>
              <w:t>Net (income) loss from discontinued operations</w:t>
            </w:r>
          </w:p>
        </w:tc>
        <w:tc>
          <w:tcPr>
            <w:tcW w:w="380" w:type="dxa"/>
            <w:vAlign w:val="bottom"/>
          </w:tcPr>
          <w:p>
            <w:pPr>
              <w:spacing w:after="0"/>
              <w:rPr>
                <w:sz w:val="16"/>
                <w:szCs w:val="16"/>
                <w:color w:val="auto"/>
              </w:rPr>
            </w:pPr>
          </w:p>
        </w:tc>
        <w:tc>
          <w:tcPr>
            <w:tcW w:w="1240" w:type="dxa"/>
            <w:vAlign w:val="bottom"/>
          </w:tcPr>
          <w:p>
            <w:pPr>
              <w:jc w:val="right"/>
              <w:ind w:right="20"/>
              <w:spacing w:after="0"/>
              <w:rPr>
                <w:sz w:val="20"/>
                <w:szCs w:val="20"/>
                <w:color w:val="auto"/>
              </w:rPr>
            </w:pPr>
            <w:r>
              <w:rPr>
                <w:rFonts w:ascii="Arial" w:cs="Arial" w:eastAsia="Arial" w:hAnsi="Arial"/>
                <w:sz w:val="12"/>
                <w:szCs w:val="12"/>
                <w:color w:val="auto"/>
              </w:rPr>
              <w:t>(2,055)</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jc w:val="right"/>
              <w:ind w:right="20"/>
              <w:spacing w:after="0"/>
              <w:rPr>
                <w:sz w:val="20"/>
                <w:szCs w:val="20"/>
                <w:color w:val="auto"/>
              </w:rPr>
            </w:pPr>
            <w:r>
              <w:rPr>
                <w:rFonts w:ascii="Arial" w:cs="Arial" w:eastAsia="Arial" w:hAnsi="Arial"/>
                <w:sz w:val="12"/>
                <w:szCs w:val="12"/>
                <w:color w:val="auto"/>
              </w:rPr>
              <w:t>(19,697)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20"/>
              <w:spacing w:after="0"/>
              <w:rPr>
                <w:sz w:val="20"/>
                <w:szCs w:val="20"/>
                <w:color w:val="auto"/>
              </w:rPr>
            </w:pPr>
            <w:r>
              <w:rPr>
                <w:rFonts w:ascii="Arial" w:cs="Arial" w:eastAsia="Arial" w:hAnsi="Arial"/>
                <w:sz w:val="12"/>
                <w:szCs w:val="12"/>
                <w:color w:val="auto"/>
              </w:rPr>
              <w:t>(46,423)</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(76,843)</w:t>
            </w:r>
          </w:p>
        </w:tc>
      </w:tr>
      <w:tr>
        <w:trPr>
          <w:trHeight w:val="189"/>
        </w:trPr>
        <w:tc>
          <w:tcPr>
            <w:tcW w:w="4720" w:type="dxa"/>
            <w:vAlign w:val="bottom"/>
          </w:tcPr>
          <w:p>
            <w:pPr>
              <w:ind w:left="180"/>
              <w:spacing w:after="0"/>
              <w:rPr>
                <w:sz w:val="20"/>
                <w:szCs w:val="20"/>
                <w:color w:val="auto"/>
              </w:rPr>
            </w:pPr>
            <w:r>
              <w:rPr>
                <w:rFonts w:ascii="Arial" w:cs="Arial" w:eastAsia="Arial" w:hAnsi="Arial"/>
                <w:sz w:val="12"/>
                <w:szCs w:val="12"/>
                <w:color w:val="auto"/>
              </w:rPr>
              <w:t>Net (income) loss attributable to noncontrolling interests</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2,797</w:t>
            </w:r>
          </w:p>
        </w:tc>
        <w:tc>
          <w:tcPr>
            <w:tcW w:w="1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(450)</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1,359</w:t>
            </w:r>
          </w:p>
        </w:tc>
        <w:tc>
          <w:tcPr>
            <w:tcW w:w="10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(1,292)</w:t>
            </w:r>
          </w:p>
        </w:tc>
      </w:tr>
      <w:tr>
        <w:trPr>
          <w:trHeight w:val="169"/>
        </w:trPr>
        <w:tc>
          <w:tcPr>
            <w:tcW w:w="4720" w:type="dxa"/>
            <w:vAlign w:val="bottom"/>
          </w:tcPr>
          <w:p>
            <w:pPr>
              <w:ind w:left="320"/>
              <w:spacing w:after="0"/>
              <w:rPr>
                <w:sz w:val="20"/>
                <w:szCs w:val="20"/>
                <w:color w:val="auto"/>
              </w:rPr>
            </w:pPr>
            <w:r>
              <w:rPr>
                <w:rFonts w:ascii="Arial" w:cs="Arial" w:eastAsia="Arial" w:hAnsi="Arial"/>
                <w:sz w:val="12"/>
                <w:szCs w:val="12"/>
                <w:color w:val="auto"/>
              </w:rPr>
              <w:t>EBITDA</w:t>
            </w:r>
          </w:p>
        </w:tc>
        <w:tc>
          <w:tcPr>
            <w:tcW w:w="380" w:type="dxa"/>
            <w:vAlign w:val="bottom"/>
          </w:tcPr>
          <w:p>
            <w:pPr>
              <w:spacing w:after="0"/>
              <w:rPr>
                <w:sz w:val="14"/>
                <w:szCs w:val="14"/>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139,716</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153,172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410,000</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449,693</w:t>
            </w:r>
          </w:p>
        </w:tc>
      </w:tr>
      <w:tr>
        <w:trPr>
          <w:trHeight w:val="189"/>
        </w:trPr>
        <w:tc>
          <w:tcPr>
            <w:tcW w:w="4720" w:type="dxa"/>
            <w:vAlign w:val="bottom"/>
          </w:tcPr>
          <w:p>
            <w:pPr>
              <w:ind w:left="320"/>
              <w:spacing w:after="0"/>
              <w:rPr>
                <w:sz w:val="20"/>
                <w:szCs w:val="20"/>
                <w:color w:val="auto"/>
              </w:rPr>
            </w:pPr>
            <w:r>
              <w:rPr>
                <w:rFonts w:ascii="Arial" w:cs="Arial" w:eastAsia="Arial" w:hAnsi="Arial"/>
                <w:sz w:val="12"/>
                <w:szCs w:val="12"/>
                <w:color w:val="auto"/>
              </w:rPr>
              <w:t>(Gains) losses on investments, net</w:t>
            </w:r>
          </w:p>
        </w:tc>
        <w:tc>
          <w:tcPr>
            <w:tcW w:w="380" w:type="dxa"/>
            <w:vAlign w:val="bottom"/>
          </w:tcPr>
          <w:p>
            <w:pPr>
              <w:spacing w:after="0"/>
              <w:rPr>
                <w:sz w:val="16"/>
                <w:szCs w:val="16"/>
                <w:color w:val="auto"/>
              </w:rPr>
            </w:pPr>
          </w:p>
        </w:tc>
        <w:tc>
          <w:tcPr>
            <w:tcW w:w="1240" w:type="dxa"/>
            <w:vAlign w:val="bottom"/>
          </w:tcPr>
          <w:p>
            <w:pPr>
              <w:jc w:val="right"/>
              <w:ind w:right="20"/>
              <w:spacing w:after="0"/>
              <w:rPr>
                <w:sz w:val="20"/>
                <w:szCs w:val="20"/>
                <w:color w:val="auto"/>
              </w:rPr>
            </w:pPr>
            <w:r>
              <w:rPr>
                <w:rFonts w:ascii="Arial" w:cs="Arial" w:eastAsia="Arial" w:hAnsi="Arial"/>
                <w:sz w:val="12"/>
                <w:szCs w:val="12"/>
                <w:color w:val="auto"/>
              </w:rPr>
              <w:t>(8,295)</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Pr>
          <w:p>
            <w:pPr>
              <w:jc w:val="right"/>
              <w:ind w:right="20"/>
              <w:spacing w:after="0"/>
              <w:rPr>
                <w:sz w:val="20"/>
                <w:szCs w:val="20"/>
                <w:color w:val="auto"/>
              </w:rPr>
            </w:pPr>
            <w:r>
              <w:rPr>
                <w:rFonts w:ascii="Arial" w:cs="Arial" w:eastAsia="Arial" w:hAnsi="Arial"/>
                <w:sz w:val="12"/>
                <w:szCs w:val="12"/>
                <w:color w:val="auto"/>
              </w:rPr>
              <w:t>(2,873)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20"/>
              <w:spacing w:after="0"/>
              <w:rPr>
                <w:sz w:val="20"/>
                <w:szCs w:val="20"/>
                <w:color w:val="auto"/>
              </w:rPr>
            </w:pPr>
            <w:r>
              <w:rPr>
                <w:rFonts w:ascii="Arial" w:cs="Arial" w:eastAsia="Arial" w:hAnsi="Arial"/>
                <w:sz w:val="12"/>
                <w:szCs w:val="12"/>
                <w:color w:val="auto"/>
              </w:rPr>
              <w:t>(28,087)</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(31,606)</w:t>
            </w:r>
          </w:p>
        </w:tc>
      </w:tr>
      <w:tr>
        <w:trPr>
          <w:trHeight w:val="189"/>
        </w:trPr>
        <w:tc>
          <w:tcPr>
            <w:tcW w:w="4720" w:type="dxa"/>
            <w:vAlign w:val="bottom"/>
          </w:tcPr>
          <w:p>
            <w:pPr>
              <w:ind w:left="320"/>
              <w:spacing w:after="0"/>
              <w:rPr>
                <w:sz w:val="20"/>
                <w:szCs w:val="20"/>
                <w:color w:val="auto"/>
              </w:rPr>
            </w:pPr>
            <w:r>
              <w:rPr>
                <w:rFonts w:ascii="Arial" w:cs="Arial" w:eastAsia="Arial" w:hAnsi="Arial"/>
                <w:sz w:val="12"/>
                <w:szCs w:val="12"/>
                <w:color w:val="auto"/>
              </w:rPr>
              <w:t>Litigation expense (1)</w:t>
            </w:r>
          </w:p>
        </w:tc>
        <w:tc>
          <w:tcPr>
            <w:tcW w:w="380" w:type="dxa"/>
            <w:vAlign w:val="bottom"/>
          </w:tcPr>
          <w:p>
            <w:pPr>
              <w:spacing w:after="0"/>
              <w:rPr>
                <w:sz w:val="16"/>
                <w:szCs w:val="16"/>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1,824</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6"/>
                <w:szCs w:val="16"/>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26,328</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w:t>
            </w:r>
          </w:p>
        </w:tc>
      </w:tr>
      <w:tr>
        <w:trPr>
          <w:trHeight w:val="189"/>
        </w:trPr>
        <w:tc>
          <w:tcPr>
            <w:tcW w:w="4720" w:type="dxa"/>
            <w:vAlign w:val="bottom"/>
          </w:tcPr>
          <w:p>
            <w:pPr>
              <w:ind w:left="320"/>
              <w:spacing w:after="0"/>
              <w:rPr>
                <w:sz w:val="20"/>
                <w:szCs w:val="20"/>
                <w:color w:val="auto"/>
              </w:rPr>
            </w:pPr>
            <w:r>
              <w:rPr>
                <w:rFonts w:ascii="Arial" w:cs="Arial" w:eastAsia="Arial" w:hAnsi="Arial"/>
                <w:sz w:val="12"/>
                <w:szCs w:val="12"/>
                <w:color w:val="auto"/>
              </w:rPr>
              <w:t>Vendor settlement</w:t>
            </w:r>
          </w:p>
        </w:tc>
        <w:tc>
          <w:tcPr>
            <w:tcW w:w="380" w:type="dxa"/>
            <w:vAlign w:val="bottom"/>
          </w:tcPr>
          <w:p>
            <w:pPr>
              <w:spacing w:after="0"/>
              <w:rPr>
                <w:sz w:val="16"/>
                <w:szCs w:val="16"/>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2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Arial" w:cs="Arial" w:eastAsia="Arial" w:hAnsi="Arial"/>
                <w:sz w:val="12"/>
                <w:szCs w:val="12"/>
                <w:color w:val="auto"/>
              </w:rPr>
              <w:t>(9,571)</w:t>
            </w:r>
          </w:p>
        </w:tc>
      </w:tr>
      <w:tr>
        <w:trPr>
          <w:trHeight w:val="171"/>
        </w:trPr>
        <w:tc>
          <w:tcPr>
            <w:tcW w:w="4720" w:type="dxa"/>
            <w:vAlign w:val="bottom"/>
          </w:tcPr>
          <w:p>
            <w:pPr>
              <w:ind w:left="320"/>
              <w:spacing w:after="0"/>
              <w:rPr>
                <w:sz w:val="20"/>
                <w:szCs w:val="20"/>
                <w:color w:val="auto"/>
              </w:rPr>
            </w:pPr>
            <w:r>
              <w:rPr>
                <w:rFonts w:ascii="Arial" w:cs="Arial" w:eastAsia="Arial" w:hAnsi="Arial"/>
                <w:sz w:val="12"/>
                <w:szCs w:val="12"/>
                <w:color w:val="auto"/>
              </w:rPr>
              <w:t>Unrealized (gains) losses on foreign currency</w:t>
            </w:r>
          </w:p>
        </w:tc>
        <w:tc>
          <w:tcPr>
            <w:tcW w:w="380" w:type="dxa"/>
            <w:vAlign w:val="bottom"/>
          </w:tcPr>
          <w:p>
            <w:pPr>
              <w:spacing w:after="0"/>
              <w:rPr>
                <w:sz w:val="14"/>
                <w:szCs w:val="14"/>
                <w:color w:val="auto"/>
              </w:rPr>
            </w:pPr>
          </w:p>
        </w:tc>
        <w:tc>
          <w:tcPr>
            <w:tcW w:w="1240" w:type="dxa"/>
            <w:vAlign w:val="bottom"/>
          </w:tcPr>
          <w:p>
            <w:pPr>
              <w:jc w:val="right"/>
              <w:ind w:right="60"/>
              <w:spacing w:after="0"/>
              <w:rPr>
                <w:sz w:val="20"/>
                <w:szCs w:val="20"/>
                <w:color w:val="auto"/>
              </w:rPr>
            </w:pPr>
            <w:r>
              <w:rPr>
                <w:rFonts w:ascii="Arial" w:cs="Arial" w:eastAsia="Arial" w:hAnsi="Arial"/>
                <w:sz w:val="12"/>
                <w:szCs w:val="12"/>
                <w:color w:val="auto"/>
              </w:rPr>
              <w:t>15,094</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jc w:val="right"/>
              <w:ind w:right="60"/>
              <w:spacing w:after="0"/>
              <w:rPr>
                <w:sz w:val="20"/>
                <w:szCs w:val="20"/>
                <w:color w:val="auto"/>
              </w:rPr>
            </w:pPr>
            <w:r>
              <w:rPr>
                <w:rFonts w:ascii="Arial" w:cs="Arial" w:eastAsia="Arial" w:hAnsi="Arial"/>
                <w:sz w:val="12"/>
                <w:szCs w:val="12"/>
                <w:color w:val="auto"/>
              </w:rPr>
              <w:t>4,065</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60"/>
              <w:spacing w:after="0"/>
              <w:rPr>
                <w:sz w:val="20"/>
                <w:szCs w:val="20"/>
                <w:color w:val="auto"/>
              </w:rPr>
            </w:pPr>
            <w:r>
              <w:rPr>
                <w:rFonts w:ascii="Arial" w:cs="Arial" w:eastAsia="Arial" w:hAnsi="Arial"/>
                <w:sz w:val="12"/>
                <w:szCs w:val="12"/>
                <w:color w:val="auto"/>
              </w:rPr>
              <w:t>14,501</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60"/>
              <w:spacing w:after="0"/>
              <w:rPr>
                <w:sz w:val="20"/>
                <w:szCs w:val="20"/>
                <w:color w:val="auto"/>
              </w:rPr>
            </w:pPr>
            <w:r>
              <w:rPr>
                <w:rFonts w:ascii="Arial" w:cs="Arial" w:eastAsia="Arial" w:hAnsi="Arial"/>
                <w:sz w:val="12"/>
                <w:szCs w:val="12"/>
                <w:color w:val="auto"/>
              </w:rPr>
              <w:t>15,545</w:t>
            </w:r>
          </w:p>
        </w:tc>
      </w:tr>
      <w:tr>
        <w:trPr>
          <w:trHeight w:val="27"/>
        </w:trPr>
        <w:tc>
          <w:tcPr>
            <w:tcW w:w="47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5"/>
        </w:trPr>
        <w:tc>
          <w:tcPr>
            <w:tcW w:w="4720" w:type="dxa"/>
            <w:vAlign w:val="bottom"/>
          </w:tcPr>
          <w:p>
            <w:pPr>
              <w:ind w:left="460"/>
              <w:spacing w:after="0"/>
              <w:rPr>
                <w:sz w:val="20"/>
                <w:szCs w:val="20"/>
                <w:color w:val="auto"/>
              </w:rPr>
            </w:pPr>
            <w:r>
              <w:rPr>
                <w:rFonts w:ascii="Arial" w:cs="Arial" w:eastAsia="Arial" w:hAnsi="Arial"/>
                <w:sz w:val="12"/>
                <w:szCs w:val="12"/>
                <w:color w:val="auto"/>
              </w:rPr>
              <w:t>Adjusted EBITDA</w:t>
            </w: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148,339</w:t>
            </w:r>
          </w:p>
        </w:tc>
        <w:tc>
          <w:tcPr>
            <w:tcW w:w="120" w:type="dxa"/>
            <w:vAlign w:val="bottom"/>
          </w:tcPr>
          <w:p>
            <w:pPr>
              <w:spacing w:after="0"/>
              <w:rPr>
                <w:sz w:val="16"/>
                <w:szCs w:val="16"/>
                <w:color w:val="auto"/>
              </w:rPr>
            </w:pPr>
          </w:p>
        </w:tc>
        <w:tc>
          <w:tcPr>
            <w:tcW w:w="60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154,364</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422,742</w:t>
            </w:r>
          </w:p>
        </w:tc>
        <w:tc>
          <w:tcPr>
            <w:tcW w:w="100" w:type="dxa"/>
            <w:vAlign w:val="bottom"/>
          </w:tcPr>
          <w:p>
            <w:pPr>
              <w:spacing w:after="0"/>
              <w:rPr>
                <w:sz w:val="16"/>
                <w:szCs w:val="16"/>
                <w:color w:val="auto"/>
              </w:rPr>
            </w:pPr>
          </w:p>
        </w:tc>
        <w:tc>
          <w:tcPr>
            <w:tcW w:w="62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424,061</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0"/>
          <w:szCs w:val="10"/>
          <w:color w:val="auto"/>
        </w:rPr>
        <w:t>(1) Does not include license fee dispute with the Government of India.</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Note on Use of Non-GAAP Financial Measures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EBITDA is defined as “Net income (loss)” excluding “Interest income and expense, net,” “Income tax provision (benefit), net,” “Depreciation and amortization,” “Net income (loss) from discontinued operations,” and “Net income (loss) attributable to noncontrolling interests.”</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Adjusted EBITDA is defined as EBITDA excluding “Gains and losses on investments, net,” unrealized gains (losses) on foreign currency, and other non-recurring or non-operational items. EBITDA and Adjusted EBITDA are not measures determined in accordance with US GAAP. EBITDA and Adjusted EBITDA are reconciled to “Net income (loss)” in the table above and should not be considered in isolation or as a substitute for operating income, net income or any other measure determined in accordance with US GAAP. Our management uses EBITDA and Adjusted EBITDA as measures of our operating efficiency and overall financial performance for benchmarking against our peers and competitors. Management believes that these non-GAAP measures provide meaningful supplemental information regarding the underlying operating performance of our business and are appropriate to enhance an overall understanding of our financial performance. Management also believes that EBITDA and Adjusted EBITDA are useful to investors because they are frequently used by securities analysts, investors, and other interested parties to evaluate the performance of companies in our industry.</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The consolidated financial statements of EchoStar for the periods ended September 30, 2019 and 2018 are attached to this press release. Detailed financial data and other information are available in EchoStar’s Quarterly Report on Form 10-Q for the period ended September 30, 2019 filed today with the Securities and Exchange Commission.</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EchoStar will host its earnings conference call on Thursday, November 7, 2019 at 11:00 a.m. Eastern Time. The call-in numbers are (877) 815-1625 (toll-free) and (716) 247-5178 (international), Conference ID 3877704.</w:t>
      </w:r>
    </w:p>
    <w:p>
      <w:pPr>
        <w:spacing w:after="0" w:line="303" w:lineRule="exact"/>
        <w:rPr>
          <w:sz w:val="20"/>
          <w:szCs w:val="20"/>
          <w:color w:val="auto"/>
        </w:rPr>
      </w:pPr>
    </w:p>
    <w:p>
      <w:pPr>
        <w:ind w:left="518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11480"/>
          </w:cols>
          <w:pgMar w:left="220" w:top="301" w:right="199" w:bottom="1440" w:gutter="0" w:footer="0" w:header="0"/>
        </w:sectPr>
      </w:pPr>
    </w:p>
    <w:bookmarkStart w:id="86" w:name="page87"/>
    <w:bookmarkEnd w:id="86"/>
    <w:p>
      <w:pPr>
        <w:spacing w:after="0"/>
        <w:rPr>
          <w:sz w:val="20"/>
          <w:szCs w:val="20"/>
          <w:color w:val="auto"/>
        </w:rPr>
      </w:pPr>
      <w:r>
        <w:rPr>
          <w:rFonts w:ascii="Arial" w:cs="Arial" w:eastAsia="Arial" w:hAnsi="Arial"/>
          <w:sz w:val="12"/>
          <w:szCs w:val="12"/>
          <w:b w:val="1"/>
          <w:bCs w:val="1"/>
          <w:color w:val="auto"/>
        </w:rPr>
        <w:t>About EchoStar Corporation</w:t>
      </w:r>
    </w:p>
    <w:p>
      <w:pPr>
        <w:spacing w:after="0" w:line="164" w:lineRule="exact"/>
        <w:rPr>
          <w:sz w:val="20"/>
          <w:szCs w:val="20"/>
          <w:color w:val="auto"/>
        </w:rPr>
      </w:pPr>
    </w:p>
    <w:p>
      <w:pPr>
        <w:jc w:val="both"/>
        <w:ind w:right="20"/>
        <w:spacing w:after="0" w:line="262" w:lineRule="auto"/>
        <w:rPr>
          <w:sz w:val="20"/>
          <w:szCs w:val="20"/>
          <w:color w:val="auto"/>
        </w:rPr>
      </w:pPr>
      <w:r>
        <w:rPr>
          <w:rFonts w:ascii="Arial" w:cs="Arial" w:eastAsia="Arial" w:hAnsi="Arial"/>
          <w:sz w:val="12"/>
          <w:szCs w:val="12"/>
          <w:color w:val="auto"/>
        </w:rPr>
        <w:t>EchoStar Corporation (NASDAQ: SATS) is a premier global provider of satellite communications solutions. Headquartered in Englewood, Colo., and conducting business around the globe, EchoStar is a pioneer in secure communications technologies through its Hughes Network Systems and EchoStar Satellite Services business segments.</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Safe Harbor Statement under the US Private Securities Litigation Reform Act of 1995</w:t>
      </w:r>
    </w:p>
    <w:p>
      <w:pPr>
        <w:spacing w:after="0" w:line="164" w:lineRule="exact"/>
        <w:rPr>
          <w:sz w:val="20"/>
          <w:szCs w:val="20"/>
          <w:color w:val="auto"/>
        </w:rPr>
      </w:pPr>
    </w:p>
    <w:p>
      <w:pPr>
        <w:jc w:val="both"/>
        <w:spacing w:after="0" w:line="144" w:lineRule="exact"/>
        <w:rPr>
          <w:sz w:val="20"/>
          <w:szCs w:val="20"/>
          <w:color w:val="auto"/>
        </w:rPr>
      </w:pPr>
      <w:r>
        <w:rPr>
          <w:rFonts w:ascii="Arial" w:cs="Arial" w:eastAsia="Arial" w:hAnsi="Arial"/>
          <w:sz w:val="12"/>
          <w:szCs w:val="12"/>
          <w:color w:val="auto"/>
        </w:rPr>
        <w:t>This press release may contain statements that are forward looking, as that term is defined by the Private Securities Litigation Reform Act of 1995. These forward-looking statements are based on management’s beliefs, as well as assumptions made by, and information currently available to, management. When used in this release, the words “believe,” “anticipate,” “estimate,” “expect,” “intend,” “project,” “plans,” and similar expressions and the use of future dates are intended to identify forward</w:t>
      </w:r>
      <w:r>
        <w:rPr>
          <w:rFonts w:ascii="MS PGothic" w:cs="MS PGothic" w:eastAsia="MS PGothic" w:hAnsi="MS PGothic"/>
          <w:sz w:val="12"/>
          <w:szCs w:val="12"/>
          <w:color w:val="auto"/>
        </w:rPr>
        <w:t>‑</w:t>
      </w:r>
      <w:r>
        <w:rPr>
          <w:rFonts w:ascii="Arial" w:cs="Arial" w:eastAsia="Arial" w:hAnsi="Arial"/>
          <w:sz w:val="12"/>
          <w:szCs w:val="12"/>
          <w:color w:val="auto"/>
        </w:rPr>
        <w:t>looking statements. Although management believes that the expectations reflected in these forward</w:t>
      </w:r>
      <w:r>
        <w:rPr>
          <w:rFonts w:ascii="MS PGothic" w:cs="MS PGothic" w:eastAsia="MS PGothic" w:hAnsi="MS PGothic"/>
          <w:sz w:val="12"/>
          <w:szCs w:val="12"/>
          <w:color w:val="auto"/>
        </w:rPr>
        <w:t>‑</w:t>
      </w:r>
      <w:r>
        <w:rPr>
          <w:rFonts w:ascii="Arial" w:cs="Arial" w:eastAsia="Arial" w:hAnsi="Arial"/>
          <w:sz w:val="12"/>
          <w:szCs w:val="12"/>
          <w:color w:val="auto"/>
        </w:rPr>
        <w:t>looking statements are reasonable, it can give no assurance that these expectations will prove to have been correct. You are cautioned not to place undue reliance on any forward-looking statements, which speak only as of the date made. We assume no responsibility for the accuracy of forward-looking statements or information or for updating forward-looking information or statements. These statements are subject to certain risks, uncertainties, and assumptions. See “Risk Factors” in EchoStar’s Annual Report on Form 10-K for the period ended December 31, 2018 and Quarterly Report on Form 10-Q for the period ended September 30, 2019, as filed with the Securities and Exchange Commission and in the other documents EchoStar files with the Securities and Exchange Commission from time to time.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 Information</w:t>
      </w:r>
    </w:p>
    <w:p>
      <w:pPr>
        <w:sectPr>
          <w:pgSz w:w="11900" w:h="16838" w:orient="portrait"/>
          <w:cols w:equalWidth="0" w:num="1">
            <w:col w:w="11480"/>
          </w:cols>
          <w:pgMar w:left="220" w:top="287" w:right="199" w:bottom="1440" w:gutter="0" w:footer="0" w:header="0"/>
        </w:sect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EchoStar Investor Relations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center"/>
        <w:ind w:right="4220"/>
        <w:spacing w:after="0"/>
        <w:rPr>
          <w:sz w:val="20"/>
          <w:szCs w:val="20"/>
          <w:color w:val="auto"/>
        </w:rPr>
      </w:pPr>
      <w:r>
        <w:rPr>
          <w:rFonts w:ascii="Arial" w:cs="Arial" w:eastAsia="Arial" w:hAnsi="Arial"/>
          <w:sz w:val="11"/>
          <w:szCs w:val="11"/>
          <w:b w:val="1"/>
          <w:bCs w:val="1"/>
          <w:color w:val="auto"/>
        </w:rPr>
        <w:t>EchoStar Media Relations</w:t>
      </w:r>
    </w:p>
    <w:p>
      <w:pPr>
        <w:spacing w:after="0" w:line="92" w:lineRule="exact"/>
        <w:rPr>
          <w:sz w:val="20"/>
          <w:szCs w:val="20"/>
          <w:color w:val="auto"/>
        </w:rPr>
      </w:pPr>
    </w:p>
    <w:p>
      <w:pPr>
        <w:sectPr>
          <w:pgSz w:w="11900" w:h="16838" w:orient="portrait"/>
          <w:cols w:equalWidth="0" w:num="2">
            <w:col w:w="5080" w:space="720"/>
            <w:col w:w="5680"/>
          </w:cols>
          <w:pgMar w:left="220" w:top="287" w:right="19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Terry Brown</w:t>
      </w:r>
    </w:p>
    <w:p>
      <w:pPr>
        <w:ind w:left="40"/>
        <w:spacing w:after="0" w:line="234" w:lineRule="auto"/>
        <w:rPr>
          <w:sz w:val="20"/>
          <w:szCs w:val="20"/>
          <w:color w:val="auto"/>
        </w:rPr>
      </w:pPr>
      <w:r>
        <w:rPr>
          <w:rFonts w:ascii="Arial" w:cs="Arial" w:eastAsia="Arial" w:hAnsi="Arial"/>
          <w:sz w:val="12"/>
          <w:szCs w:val="12"/>
          <w:color w:val="auto"/>
        </w:rPr>
        <w:t>Phone: +1 303-728-5179</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1"/>
          <w:szCs w:val="11"/>
          <w:color w:val="auto"/>
        </w:rPr>
        <w:t>Email: terry.brown@echostar.com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Sharyn Nerenberg</w:t>
      </w:r>
    </w:p>
    <w:p>
      <w:pPr>
        <w:spacing w:after="0" w:line="234" w:lineRule="auto"/>
        <w:rPr>
          <w:sz w:val="20"/>
          <w:szCs w:val="20"/>
          <w:color w:val="auto"/>
        </w:rPr>
      </w:pPr>
      <w:r>
        <w:rPr>
          <w:rFonts w:ascii="Arial" w:cs="Arial" w:eastAsia="Arial" w:hAnsi="Arial"/>
          <w:sz w:val="12"/>
          <w:szCs w:val="12"/>
          <w:color w:val="auto"/>
        </w:rPr>
        <w:t>Phone: +1 301-428-7124</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Email: sharyn.nerenberg@echostar.com</w:t>
      </w:r>
    </w:p>
    <w:p>
      <w:pPr>
        <w:spacing w:after="0" w:line="200" w:lineRule="exact"/>
        <w:rPr>
          <w:sz w:val="20"/>
          <w:szCs w:val="20"/>
          <w:color w:val="auto"/>
        </w:rPr>
      </w:pPr>
    </w:p>
    <w:p>
      <w:pPr>
        <w:sectPr>
          <w:pgSz w:w="11900" w:h="16838" w:orient="portrait"/>
          <w:cols w:equalWidth="0" w:num="2">
            <w:col w:w="5080" w:space="720"/>
            <w:col w:w="5680"/>
          </w:cols>
          <w:pgMar w:left="220" w:top="287" w:right="199" w:bottom="1440" w:gutter="0" w:footer="0" w:header="0"/>
          <w:type w:val="continuous"/>
        </w:sectPr>
      </w:pPr>
    </w:p>
    <w:p>
      <w:pPr>
        <w:spacing w:after="0" w:line="16" w:lineRule="exact"/>
        <w:rPr>
          <w:sz w:val="20"/>
          <w:szCs w:val="20"/>
          <w:color w:val="auto"/>
        </w:rPr>
      </w:pPr>
    </w:p>
    <w:p>
      <w:pPr>
        <w:ind w:left="5180"/>
        <w:spacing w:after="0"/>
        <w:rPr>
          <w:sz w:val="20"/>
          <w:szCs w:val="20"/>
          <w:color w:val="auto"/>
        </w:rPr>
      </w:pPr>
      <w:r>
        <w:rPr>
          <w:rFonts w:ascii="Arial" w:cs="Arial" w:eastAsia="Arial" w:hAnsi="Arial"/>
          <w:sz w:val="10"/>
          <w:szCs w:val="10"/>
          <w:color w:val="auto"/>
        </w:rPr>
        <w:t>4</w:t>
      </w:r>
    </w:p>
    <w:p>
      <w:pPr>
        <w:sectPr>
          <w:pgSz w:w="11900" w:h="16838" w:orient="portrait"/>
          <w:cols w:equalWidth="0" w:num="1">
            <w:col w:w="11480"/>
          </w:cols>
          <w:pgMar w:left="220" w:top="287" w:right="199" w:bottom="1440" w:gutter="0" w:footer="0" w:header="0"/>
          <w:type w:val="continuous"/>
        </w:sectPr>
      </w:pPr>
    </w:p>
    <w:bookmarkStart w:id="87" w:name="page88"/>
    <w:bookmarkEnd w:id="87"/>
    <w:p>
      <w:pPr>
        <w:jc w:val="center"/>
        <w:ind w:left="3280"/>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jc w:val="center"/>
        <w:ind w:left="3280"/>
        <w:spacing w:after="0"/>
        <w:rPr>
          <w:sz w:val="20"/>
          <w:szCs w:val="20"/>
          <w:color w:val="auto"/>
        </w:rPr>
      </w:pPr>
      <w:r>
        <w:rPr>
          <w:rFonts w:ascii="Arial" w:cs="Arial" w:eastAsia="Arial" w:hAnsi="Arial"/>
          <w:sz w:val="12"/>
          <w:szCs w:val="12"/>
          <w:b w:val="1"/>
          <w:bCs w:val="1"/>
          <w:color w:val="auto"/>
        </w:rPr>
        <w:t>Condensed Consolidated Balance Sheets</w:t>
      </w:r>
    </w:p>
    <w:p>
      <w:pPr>
        <w:spacing w:after="0" w:line="6" w:lineRule="exact"/>
        <w:rPr>
          <w:sz w:val="20"/>
          <w:szCs w:val="20"/>
          <w:color w:val="auto"/>
        </w:rPr>
      </w:pPr>
    </w:p>
    <w:p>
      <w:pPr>
        <w:jc w:val="center"/>
        <w:ind w:left="3280"/>
        <w:spacing w:after="0"/>
        <w:rPr>
          <w:sz w:val="20"/>
          <w:szCs w:val="20"/>
          <w:color w:val="auto"/>
        </w:rPr>
      </w:pPr>
      <w:r>
        <w:rPr>
          <w:rFonts w:ascii="Arial" w:cs="Arial" w:eastAsia="Arial" w:hAnsi="Arial"/>
          <w:sz w:val="12"/>
          <w:szCs w:val="12"/>
          <w:b w:val="1"/>
          <w:bCs w:val="1"/>
          <w:color w:val="auto"/>
        </w:rPr>
        <w:t>(Amounts in thousands, except per share amounts)</w:t>
      </w:r>
    </w:p>
    <w:p>
      <w:pPr>
        <w:spacing w:after="0" w:line="200" w:lineRule="exact"/>
        <w:rPr>
          <w:sz w:val="20"/>
          <w:szCs w:val="20"/>
          <w:color w:val="auto"/>
        </w:rPr>
      </w:pPr>
    </w:p>
    <w:p>
      <w:pPr>
        <w:spacing w:after="0" w:line="274" w:lineRule="exact"/>
        <w:rPr>
          <w:sz w:val="20"/>
          <w:szCs w:val="20"/>
          <w:color w:val="auto"/>
        </w:rPr>
      </w:pPr>
    </w:p>
    <w:p>
      <w:pPr>
        <w:jc w:val="center"/>
        <w:ind w:left="80"/>
        <w:spacing w:after="0"/>
        <w:rPr>
          <w:sz w:val="20"/>
          <w:szCs w:val="20"/>
          <w:color w:val="auto"/>
        </w:rPr>
      </w:pPr>
      <w:r>
        <w:rPr>
          <w:rFonts w:ascii="Arial" w:cs="Arial" w:eastAsia="Arial" w:hAnsi="Arial"/>
          <w:sz w:val="7"/>
          <w:szCs w:val="7"/>
          <w:b w:val="1"/>
          <w:bCs w:val="1"/>
          <w:color w:val="auto"/>
        </w:rPr>
        <w:t>Assets</w:t>
      </w:r>
    </w:p>
    <w:p>
      <w:pPr>
        <w:spacing w:after="0" w:line="109" w:lineRule="exact"/>
        <w:rPr>
          <w:sz w:val="20"/>
          <w:szCs w:val="20"/>
          <w:color w:val="auto"/>
        </w:rPr>
      </w:pPr>
    </w:p>
    <w:p>
      <w:pPr>
        <w:spacing w:after="0"/>
        <w:rPr>
          <w:sz w:val="20"/>
          <w:szCs w:val="20"/>
          <w:color w:val="auto"/>
        </w:rPr>
      </w:pPr>
      <w:r>
        <w:rPr>
          <w:rFonts w:ascii="Arial" w:cs="Arial" w:eastAsia="Arial" w:hAnsi="Arial"/>
          <w:sz w:val="7"/>
          <w:szCs w:val="7"/>
          <w:b w:val="1"/>
          <w:bCs w:val="1"/>
          <w:color w:val="auto"/>
        </w:rPr>
        <w:t>Current assets:</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7"/>
          <w:szCs w:val="7"/>
          <w:color w:val="auto"/>
        </w:rPr>
        <w:t>Cash and cash equivalents</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Marketable investment securities, at fair value</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Trade accounts receivable and contract assets, net (Note 3)</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Trade accounts receivable - DISH Network</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Inventory</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Prepaids and deposits</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Other current assets</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Current assets of discontinued operations</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7"/>
          <w:szCs w:val="7"/>
          <w:color w:val="auto"/>
        </w:rPr>
        <w:t>Total current assets</w:t>
      </w:r>
    </w:p>
    <w:p>
      <w:pPr>
        <w:spacing w:after="0" w:line="92" w:lineRule="exact"/>
        <w:rPr>
          <w:sz w:val="20"/>
          <w:szCs w:val="20"/>
          <w:color w:val="auto"/>
        </w:rPr>
      </w:pPr>
    </w:p>
    <w:p>
      <w:pPr>
        <w:spacing w:after="0"/>
        <w:rPr>
          <w:sz w:val="20"/>
          <w:szCs w:val="20"/>
          <w:color w:val="auto"/>
        </w:rPr>
      </w:pPr>
      <w:r>
        <w:rPr>
          <w:rFonts w:ascii="Arial" w:cs="Arial" w:eastAsia="Arial" w:hAnsi="Arial"/>
          <w:sz w:val="7"/>
          <w:szCs w:val="7"/>
          <w:b w:val="1"/>
          <w:bCs w:val="1"/>
          <w:color w:val="auto"/>
        </w:rPr>
        <w:t>Noncurrent assets:</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7"/>
          <w:szCs w:val="7"/>
          <w:color w:val="auto"/>
        </w:rPr>
        <w:t>Property and equipment, net</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Operating lease right-of-use assets</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Goodwill</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Regulatory authorizations, net</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Other intangible assets, net</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Investments in unconsolidated entities</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Other receivables - DISH Network</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Other noncurrent assets, net</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Noncurrent assets of discontinued operations</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7"/>
          <w:szCs w:val="7"/>
          <w:color w:val="auto"/>
        </w:rPr>
        <w:t>Total noncurrent assets</w:t>
      </w:r>
    </w:p>
    <w:p>
      <w:pPr>
        <w:spacing w:after="0" w:line="100" w:lineRule="exact"/>
        <w:rPr>
          <w:sz w:val="20"/>
          <w:szCs w:val="20"/>
          <w:color w:val="auto"/>
        </w:rPr>
      </w:pPr>
    </w:p>
    <w:p>
      <w:pPr>
        <w:ind w:left="580"/>
        <w:spacing w:after="0"/>
        <w:rPr>
          <w:sz w:val="20"/>
          <w:szCs w:val="20"/>
          <w:color w:val="auto"/>
        </w:rPr>
      </w:pPr>
      <w:r>
        <w:rPr>
          <w:rFonts w:ascii="Arial" w:cs="Arial" w:eastAsia="Arial" w:hAnsi="Arial"/>
          <w:sz w:val="7"/>
          <w:szCs w:val="7"/>
          <w:color w:val="auto"/>
        </w:rPr>
        <w:t>Total assets</w:t>
      </w:r>
    </w:p>
    <w:p>
      <w:pPr>
        <w:spacing w:after="0" w:line="92" w:lineRule="exact"/>
        <w:rPr>
          <w:sz w:val="20"/>
          <w:szCs w:val="20"/>
          <w:color w:val="auto"/>
        </w:rPr>
      </w:pPr>
    </w:p>
    <w:p>
      <w:pPr>
        <w:jc w:val="center"/>
        <w:ind w:left="80"/>
        <w:spacing w:after="0"/>
        <w:rPr>
          <w:sz w:val="20"/>
          <w:szCs w:val="20"/>
          <w:color w:val="auto"/>
        </w:rPr>
      </w:pPr>
      <w:r>
        <w:rPr>
          <w:rFonts w:ascii="Arial" w:cs="Arial" w:eastAsia="Arial" w:hAnsi="Arial"/>
          <w:sz w:val="7"/>
          <w:szCs w:val="7"/>
          <w:b w:val="1"/>
          <w:bCs w:val="1"/>
          <w:color w:val="auto"/>
        </w:rPr>
        <w:t>Liabilities and Stockholders’ Equity</w:t>
      </w:r>
    </w:p>
    <w:p>
      <w:pPr>
        <w:spacing w:after="0" w:line="100" w:lineRule="exact"/>
        <w:rPr>
          <w:sz w:val="20"/>
          <w:szCs w:val="20"/>
          <w:color w:val="auto"/>
        </w:rPr>
      </w:pPr>
    </w:p>
    <w:p>
      <w:pPr>
        <w:spacing w:after="0"/>
        <w:rPr>
          <w:sz w:val="20"/>
          <w:szCs w:val="20"/>
          <w:color w:val="auto"/>
        </w:rPr>
      </w:pPr>
      <w:r>
        <w:rPr>
          <w:rFonts w:ascii="Arial" w:cs="Arial" w:eastAsia="Arial" w:hAnsi="Arial"/>
          <w:sz w:val="7"/>
          <w:szCs w:val="7"/>
          <w:b w:val="1"/>
          <w:bCs w:val="1"/>
          <w:color w:val="auto"/>
        </w:rPr>
        <w:t>Current liabilities:</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7"/>
          <w:szCs w:val="7"/>
          <w:color w:val="auto"/>
        </w:rPr>
        <w:t>Trade accounts payable</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Trade accounts payable - DISH Network</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Current portion of long-term debt and finance lease obligations</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Contract liabilities</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Accrued interest</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Accrued compensation</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Accrued taxes</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Accrued expenses and other</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Current liabilities of discontinued operations</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7"/>
          <w:szCs w:val="7"/>
          <w:color w:val="auto"/>
        </w:rPr>
        <w:t>Total current liabilities</w:t>
      </w:r>
    </w:p>
    <w:p>
      <w:pPr>
        <w:spacing w:after="0" w:line="92" w:lineRule="exact"/>
        <w:rPr>
          <w:sz w:val="20"/>
          <w:szCs w:val="20"/>
          <w:color w:val="auto"/>
        </w:rPr>
      </w:pPr>
    </w:p>
    <w:p>
      <w:pPr>
        <w:spacing w:after="0"/>
        <w:rPr>
          <w:sz w:val="20"/>
          <w:szCs w:val="20"/>
          <w:color w:val="auto"/>
        </w:rPr>
      </w:pPr>
      <w:r>
        <w:rPr>
          <w:rFonts w:ascii="Arial" w:cs="Arial" w:eastAsia="Arial" w:hAnsi="Arial"/>
          <w:sz w:val="7"/>
          <w:szCs w:val="7"/>
          <w:b w:val="1"/>
          <w:bCs w:val="1"/>
          <w:color w:val="auto"/>
        </w:rPr>
        <w:t>Noncurrent liabilities:</w:t>
      </w:r>
    </w:p>
    <w:p>
      <w:pPr>
        <w:spacing w:after="0" w:line="108" w:lineRule="exact"/>
        <w:rPr>
          <w:sz w:val="20"/>
          <w:szCs w:val="20"/>
          <w:color w:val="auto"/>
        </w:rPr>
      </w:pPr>
    </w:p>
    <w:p>
      <w:pPr>
        <w:ind w:left="160"/>
        <w:spacing w:after="0"/>
        <w:rPr>
          <w:sz w:val="20"/>
          <w:szCs w:val="20"/>
          <w:color w:val="auto"/>
        </w:rPr>
      </w:pPr>
      <w:r>
        <w:rPr>
          <w:rFonts w:ascii="Arial" w:cs="Arial" w:eastAsia="Arial" w:hAnsi="Arial"/>
          <w:sz w:val="7"/>
          <w:szCs w:val="7"/>
          <w:color w:val="auto"/>
        </w:rPr>
        <w:t>Long-term debt and finance lease obligations, net</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Deferred tax liabilities, net</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Operating lease liabilities</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Other noncurrent liabilities</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Noncurrent liabilities of discontinued operations</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7"/>
          <w:szCs w:val="7"/>
          <w:color w:val="auto"/>
        </w:rPr>
        <w:t>Total noncurrent liabilities</w:t>
      </w:r>
    </w:p>
    <w:p>
      <w:pPr>
        <w:spacing w:after="0" w:line="100" w:lineRule="exact"/>
        <w:rPr>
          <w:sz w:val="20"/>
          <w:szCs w:val="20"/>
          <w:color w:val="auto"/>
        </w:rPr>
      </w:pPr>
    </w:p>
    <w:p>
      <w:pPr>
        <w:jc w:val="center"/>
        <w:ind w:right="6820"/>
        <w:spacing w:after="0"/>
        <w:rPr>
          <w:sz w:val="20"/>
          <w:szCs w:val="20"/>
          <w:color w:val="auto"/>
        </w:rPr>
      </w:pPr>
      <w:r>
        <w:rPr>
          <w:rFonts w:ascii="Arial" w:cs="Arial" w:eastAsia="Arial" w:hAnsi="Arial"/>
          <w:sz w:val="7"/>
          <w:szCs w:val="7"/>
          <w:color w:val="auto"/>
        </w:rPr>
        <w:t>Total liabilities</w:t>
      </w:r>
    </w:p>
    <w:p>
      <w:pPr>
        <w:spacing w:after="0" w:line="100" w:lineRule="exact"/>
        <w:rPr>
          <w:sz w:val="20"/>
          <w:szCs w:val="20"/>
          <w:color w:val="auto"/>
        </w:rPr>
      </w:pPr>
    </w:p>
    <w:p>
      <w:pPr>
        <w:spacing w:after="0"/>
        <w:rPr>
          <w:sz w:val="20"/>
          <w:szCs w:val="20"/>
          <w:color w:val="auto"/>
        </w:rPr>
      </w:pPr>
      <w:r>
        <w:rPr>
          <w:rFonts w:ascii="Arial" w:cs="Arial" w:eastAsia="Arial" w:hAnsi="Arial"/>
          <w:sz w:val="7"/>
          <w:szCs w:val="7"/>
          <w:color w:val="auto"/>
        </w:rPr>
        <w:t>Commitments and contingencies (Note 16)</w:t>
      </w:r>
    </w:p>
    <w:p>
      <w:pPr>
        <w:spacing w:after="0" w:line="164" w:lineRule="exact"/>
        <w:rPr>
          <w:sz w:val="20"/>
          <w:szCs w:val="20"/>
          <w:color w:val="auto"/>
        </w:rPr>
      </w:pPr>
    </w:p>
    <w:p>
      <w:pPr>
        <w:spacing w:after="0"/>
        <w:rPr>
          <w:sz w:val="20"/>
          <w:szCs w:val="20"/>
          <w:color w:val="auto"/>
        </w:rPr>
      </w:pPr>
      <w:r>
        <w:rPr>
          <w:rFonts w:ascii="Arial" w:cs="Arial" w:eastAsia="Arial" w:hAnsi="Arial"/>
          <w:sz w:val="7"/>
          <w:szCs w:val="7"/>
          <w:b w:val="1"/>
          <w:bCs w:val="1"/>
          <w:color w:val="auto"/>
        </w:rPr>
        <w:t>Stockholders’ equity:</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7"/>
          <w:szCs w:val="7"/>
          <w:color w:val="auto"/>
        </w:rPr>
        <w:t>Preferred stock, $0.001 par value, 20,000,000 shares authorized, none issued and outstanding at both September 30, 2019 and December 31, 2018</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Common stock, $0.001 par value, 4,000,000,000 shares authorized:</w:t>
      </w:r>
    </w:p>
    <w:p>
      <w:pPr>
        <w:spacing w:after="0" w:line="100" w:lineRule="exact"/>
        <w:rPr>
          <w:sz w:val="20"/>
          <w:szCs w:val="20"/>
          <w:color w:val="auto"/>
        </w:rPr>
      </w:pPr>
    </w:p>
    <w:p>
      <w:pPr>
        <w:ind w:left="300"/>
        <w:spacing w:after="0" w:line="247" w:lineRule="auto"/>
        <w:rPr>
          <w:sz w:val="20"/>
          <w:szCs w:val="20"/>
          <w:color w:val="auto"/>
        </w:rPr>
      </w:pPr>
      <w:r>
        <w:rPr>
          <w:rFonts w:ascii="Arial" w:cs="Arial" w:eastAsia="Arial" w:hAnsi="Arial"/>
          <w:sz w:val="7"/>
          <w:szCs w:val="7"/>
          <w:color w:val="auto"/>
        </w:rPr>
        <w:t>Class A common stock, $0.001 par value, 1,600,000,000 shares authorized, 56,383,893 shares issued and 49,898,972 shares outstanding at September 30, 2019 and 54,142,566 shares issued and 47,657,645 shares outstanding at December 31, 2018</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7"/>
          <w:szCs w:val="7"/>
          <w:color w:val="auto"/>
        </w:rPr>
        <w:t>Class B convertible common stock, $0.001 par value, 800,000,000 shares authorized, 47,687,039 shares issued and outstanding at both September 30, 2019 and December 31, 2018</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7"/>
          <w:szCs w:val="7"/>
          <w:color w:val="auto"/>
        </w:rPr>
        <w:t>Class C convertible common stock, $0.001 par value, 800,000,000 shares authorized, none issued and outstanding at both of September 30, 2019 and December 31, 2018</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7"/>
          <w:szCs w:val="7"/>
          <w:color w:val="auto"/>
        </w:rPr>
        <w:t>Class D common stock, $0.001 par value, 800,000,000 shares authorized, none issued and outstanding at both September 30, 2019 and December 31, 2018</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Additional paid-in capital</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Accumulated other comprehensive loss</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Accumulated earnings</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7"/>
          <w:szCs w:val="7"/>
          <w:color w:val="auto"/>
        </w:rPr>
        <w:t>Treasury stock, at cost</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7"/>
          <w:szCs w:val="7"/>
          <w:color w:val="auto"/>
        </w:rPr>
        <w:t>Total EchoStar Corporation stockholders’ equity</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7"/>
          <w:szCs w:val="7"/>
          <w:color w:val="auto"/>
        </w:rPr>
        <w:t>Noncontrolling interests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7"/>
          <w:szCs w:val="7"/>
          <w:color w:val="auto"/>
        </w:rPr>
        <w:t>Total stockholders’ equity</w:t>
      </w:r>
    </w:p>
    <w:p>
      <w:pPr>
        <w:spacing w:after="0" w:line="100" w:lineRule="exact"/>
        <w:rPr>
          <w:sz w:val="20"/>
          <w:szCs w:val="20"/>
          <w:color w:val="auto"/>
        </w:rPr>
      </w:pPr>
    </w:p>
    <w:p>
      <w:pPr>
        <w:ind w:left="580"/>
        <w:spacing w:after="0"/>
        <w:rPr>
          <w:sz w:val="20"/>
          <w:szCs w:val="20"/>
          <w:color w:val="auto"/>
        </w:rPr>
      </w:pPr>
      <w:r>
        <w:rPr>
          <w:rFonts w:ascii="Arial" w:cs="Arial" w:eastAsia="Arial" w:hAnsi="Arial"/>
          <w:sz w:val="7"/>
          <w:szCs w:val="7"/>
          <w:color w:val="auto"/>
        </w:rPr>
        <w:t>Total liabilities and stockholders’ equity</w:t>
      </w:r>
    </w:p>
    <w:p>
      <w:pPr>
        <w:spacing w:after="0" w:line="200" w:lineRule="exact"/>
        <w:rPr>
          <w:sz w:val="20"/>
          <w:szCs w:val="20"/>
          <w:color w:val="auto"/>
        </w:rPr>
      </w:pPr>
    </w:p>
    <w:p>
      <w:pPr>
        <w:spacing w:after="0" w:line="217" w:lineRule="exact"/>
        <w:rPr>
          <w:sz w:val="20"/>
          <w:szCs w:val="20"/>
          <w:color w:val="auto"/>
        </w:rPr>
      </w:pPr>
    </w:p>
    <w:p>
      <w:pPr>
        <w:ind w:left="5160"/>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1"/>
        </w:trPr>
        <w:tc>
          <w:tcPr>
            <w:tcW w:w="24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3"/>
          </w:tcPr>
          <w:p>
            <w:pPr>
              <w:jc w:val="right"/>
              <w:ind w:right="164"/>
              <w:spacing w:after="0"/>
              <w:rPr>
                <w:sz w:val="20"/>
                <w:szCs w:val="20"/>
                <w:color w:val="auto"/>
              </w:rPr>
            </w:pPr>
            <w:r>
              <w:rPr>
                <w:rFonts w:ascii="Arial" w:cs="Arial" w:eastAsia="Arial" w:hAnsi="Arial"/>
                <w:sz w:val="7"/>
                <w:szCs w:val="7"/>
                <w:b w:val="1"/>
                <w:bCs w:val="1"/>
                <w:color w:val="auto"/>
              </w:rPr>
              <w:t>As of</w:t>
            </w:r>
          </w:p>
        </w:tc>
        <w:tc>
          <w:tcPr>
            <w:tcW w:w="1240" w:type="dxa"/>
            <w:vAlign w:val="bottom"/>
            <w:tcBorders>
              <w:bottom w:val="single" w:sz="8" w:color="auto"/>
            </w:tcBorders>
          </w:tcPr>
          <w:p>
            <w:pPr>
              <w:spacing w:after="0"/>
              <w:rPr>
                <w:sz w:val="8"/>
                <w:szCs w:val="8"/>
                <w:color w:val="auto"/>
              </w:rPr>
            </w:pPr>
          </w:p>
        </w:tc>
      </w:tr>
      <w:tr>
        <w:trPr>
          <w:trHeight w:val="169"/>
        </w:trPr>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04"/>
              <w:spacing w:after="0"/>
              <w:rPr>
                <w:sz w:val="20"/>
                <w:szCs w:val="20"/>
                <w:color w:val="auto"/>
              </w:rPr>
            </w:pPr>
            <w:r>
              <w:rPr>
                <w:rFonts w:ascii="Arial" w:cs="Arial" w:eastAsia="Arial" w:hAnsi="Arial"/>
                <w:sz w:val="7"/>
                <w:szCs w:val="7"/>
                <w:b w:val="1"/>
                <w:bCs w:val="1"/>
                <w:color w:val="auto"/>
              </w:rPr>
              <w:t>September 30, 2019</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84"/>
              <w:spacing w:after="0"/>
              <w:rPr>
                <w:sz w:val="20"/>
                <w:szCs w:val="20"/>
                <w:color w:val="auto"/>
              </w:rPr>
            </w:pPr>
            <w:r>
              <w:rPr>
                <w:rFonts w:ascii="Arial" w:cs="Arial" w:eastAsia="Arial" w:hAnsi="Arial"/>
                <w:sz w:val="7"/>
                <w:szCs w:val="7"/>
                <w:b w:val="1"/>
                <w:bCs w:val="1"/>
                <w:color w:val="auto"/>
              </w:rPr>
              <w:t>December 31, 2018</w:t>
            </w:r>
          </w:p>
        </w:tc>
      </w:tr>
      <w:tr>
        <w:trPr>
          <w:trHeight w:val="521"/>
        </w:trPr>
        <w:tc>
          <w:tcPr>
            <w:tcW w:w="240" w:type="dxa"/>
            <w:vAlign w:val="bottom"/>
          </w:tcPr>
          <w:p>
            <w:pPr>
              <w:jc w:val="right"/>
              <w:ind w:right="144"/>
              <w:spacing w:after="0"/>
              <w:rPr>
                <w:sz w:val="20"/>
                <w:szCs w:val="20"/>
                <w:color w:val="auto"/>
              </w:rPr>
            </w:pPr>
            <w:r>
              <w:rPr>
                <w:rFonts w:ascii="Arial" w:cs="Arial" w:eastAsia="Arial" w:hAnsi="Arial"/>
                <w:sz w:val="7"/>
                <w:szCs w:val="7"/>
                <w:color w:val="auto"/>
              </w:rPr>
              <w:t>$</w:t>
            </w: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1,547,162</w:t>
            </w:r>
          </w:p>
        </w:tc>
        <w:tc>
          <w:tcPr>
            <w:tcW w:w="420" w:type="dxa"/>
            <w:vAlign w:val="bottom"/>
            <w:gridSpan w:val="3"/>
          </w:tcPr>
          <w:p>
            <w:pPr>
              <w:jc w:val="right"/>
              <w:ind w:right="144"/>
              <w:spacing w:after="0"/>
              <w:rPr>
                <w:sz w:val="20"/>
                <w:szCs w:val="20"/>
                <w:color w:val="auto"/>
              </w:rPr>
            </w:pPr>
            <w:r>
              <w:rPr>
                <w:rFonts w:ascii="Arial" w:cs="Arial" w:eastAsia="Arial" w:hAnsi="Arial"/>
                <w:sz w:val="7"/>
                <w:szCs w:val="7"/>
                <w:color w:val="auto"/>
              </w:rPr>
              <w:t>$</w:t>
            </w: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928,306</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1,000,165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2,282,152</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200,779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201,096</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16,125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14,200</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83,397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75,379</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63,210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57,691</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17,382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18,539</w:t>
            </w:r>
          </w:p>
        </w:tc>
      </w:tr>
      <w:tr>
        <w:trPr>
          <w:trHeight w:val="188"/>
        </w:trPr>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5,866</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3,486</w:t>
            </w:r>
          </w:p>
        </w:tc>
      </w:tr>
      <w:tr>
        <w:trPr>
          <w:trHeight w:val="160"/>
        </w:trPr>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2,934,086</w:t>
            </w: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3,580,849</w:t>
            </w:r>
          </w:p>
        </w:tc>
      </w:tr>
      <w:tr>
        <w:trPr>
          <w:trHeight w:val="332"/>
        </w:trPr>
        <w:tc>
          <w:tcPr>
            <w:tcW w:w="240" w:type="dxa"/>
            <w:vAlign w:val="bottom"/>
          </w:tcPr>
          <w:p>
            <w:pPr>
              <w:spacing w:after="0"/>
              <w:rPr>
                <w:sz w:val="24"/>
                <w:szCs w:val="24"/>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2,444,157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2,534,666</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112,263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504,173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504,173</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426,189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430,039</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33,188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44,231</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225,908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262,473</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93,321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95,114</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264,465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247,316</w:t>
            </w:r>
          </w:p>
        </w:tc>
      </w:tr>
      <w:tr>
        <w:trPr>
          <w:trHeight w:val="188"/>
        </w:trPr>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962,433</w:t>
            </w:r>
          </w:p>
        </w:tc>
      </w:tr>
      <w:tr>
        <w:trPr>
          <w:trHeight w:val="160"/>
        </w:trPr>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4,103,664</w:t>
            </w: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5,080,445</w:t>
            </w:r>
          </w:p>
        </w:tc>
      </w:tr>
      <w:tr>
        <w:trPr>
          <w:trHeight w:val="166"/>
        </w:trPr>
        <w:tc>
          <w:tcPr>
            <w:tcW w:w="240" w:type="dxa"/>
            <w:vAlign w:val="bottom"/>
            <w:tcBorders>
              <w:bottom w:val="single" w:sz="8" w:color="auto"/>
            </w:tcBorders>
          </w:tcPr>
          <w:p>
            <w:pPr>
              <w:jc w:val="right"/>
              <w:ind w:right="144"/>
              <w:spacing w:after="0"/>
              <w:rPr>
                <w:sz w:val="20"/>
                <w:szCs w:val="20"/>
                <w:color w:val="auto"/>
              </w:rPr>
            </w:pPr>
            <w:r>
              <w:rPr>
                <w:rFonts w:ascii="Arial" w:cs="Arial" w:eastAsia="Arial" w:hAnsi="Arial"/>
                <w:sz w:val="7"/>
                <w:szCs w:val="7"/>
                <w:color w:val="auto"/>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7,037,750</w:t>
            </w:r>
          </w:p>
        </w:tc>
        <w:tc>
          <w:tcPr>
            <w:tcW w:w="42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7"/>
                <w:szCs w:val="7"/>
                <w:color w:val="auto"/>
              </w:rPr>
              <w:t>$</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8,661,294</w:t>
            </w:r>
          </w:p>
        </w:tc>
      </w:tr>
      <w:tr>
        <w:trPr>
          <w:trHeight w:val="506"/>
        </w:trPr>
        <w:tc>
          <w:tcPr>
            <w:tcW w:w="240" w:type="dxa"/>
            <w:vAlign w:val="bottom"/>
          </w:tcPr>
          <w:p>
            <w:pPr>
              <w:jc w:val="right"/>
              <w:ind w:right="144"/>
              <w:spacing w:after="0"/>
              <w:rPr>
                <w:sz w:val="20"/>
                <w:szCs w:val="20"/>
                <w:color w:val="auto"/>
              </w:rPr>
            </w:pPr>
            <w:r>
              <w:rPr>
                <w:rFonts w:ascii="Arial" w:cs="Arial" w:eastAsia="Arial" w:hAnsi="Arial"/>
                <w:sz w:val="7"/>
                <w:szCs w:val="7"/>
                <w:color w:val="auto"/>
              </w:rPr>
              <w:t>$</w:t>
            </w: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122,319</w:t>
            </w:r>
          </w:p>
        </w:tc>
        <w:tc>
          <w:tcPr>
            <w:tcW w:w="420" w:type="dxa"/>
            <w:vAlign w:val="bottom"/>
            <w:gridSpan w:val="3"/>
          </w:tcPr>
          <w:p>
            <w:pPr>
              <w:jc w:val="right"/>
              <w:ind w:right="144"/>
              <w:spacing w:after="0"/>
              <w:rPr>
                <w:sz w:val="20"/>
                <w:szCs w:val="20"/>
                <w:color w:val="auto"/>
              </w:rPr>
            </w:pPr>
            <w:r>
              <w:rPr>
                <w:rFonts w:ascii="Arial" w:cs="Arial" w:eastAsia="Arial" w:hAnsi="Arial"/>
                <w:sz w:val="7"/>
                <w:szCs w:val="7"/>
                <w:color w:val="auto"/>
              </w:rPr>
              <w:t>$</w:t>
            </w: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121,437</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714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1,698</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407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919,582</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109,557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72,284</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37,039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45,350</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42,810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54,242</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17,465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16,013</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126,865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64,395</w:t>
            </w:r>
          </w:p>
        </w:tc>
      </w:tr>
      <w:tr>
        <w:trPr>
          <w:trHeight w:val="188"/>
        </w:trPr>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4,565</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50,136</w:t>
            </w:r>
          </w:p>
        </w:tc>
      </w:tr>
      <w:tr>
        <w:trPr>
          <w:trHeight w:val="160"/>
        </w:trPr>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461,741</w:t>
            </w: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1,345,137</w:t>
            </w:r>
          </w:p>
        </w:tc>
      </w:tr>
      <w:tr>
        <w:trPr>
          <w:trHeight w:val="332"/>
        </w:trPr>
        <w:tc>
          <w:tcPr>
            <w:tcW w:w="240" w:type="dxa"/>
            <w:vAlign w:val="bottom"/>
          </w:tcPr>
          <w:p>
            <w:pPr>
              <w:spacing w:after="0"/>
              <w:rPr>
                <w:sz w:val="24"/>
                <w:szCs w:val="24"/>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2,388,931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2,386,202</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331,498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287,420</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94,332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77,333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80,304</w:t>
            </w:r>
          </w:p>
        </w:tc>
      </w:tr>
      <w:tr>
        <w:trPr>
          <w:trHeight w:val="188"/>
        </w:trPr>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406,757</w:t>
            </w:r>
          </w:p>
        </w:tc>
      </w:tr>
      <w:tr>
        <w:trPr>
          <w:trHeight w:val="160"/>
        </w:trPr>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2,892,094</w:t>
            </w: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3,160,683</w:t>
            </w:r>
          </w:p>
        </w:tc>
      </w:tr>
      <w:tr>
        <w:trPr>
          <w:trHeight w:val="160"/>
        </w:trPr>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3,353,835</w:t>
            </w: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4,505,820</w:t>
            </w:r>
          </w:p>
        </w:tc>
      </w:tr>
      <w:tr>
        <w:trPr>
          <w:trHeight w:val="521"/>
        </w:trPr>
        <w:tc>
          <w:tcPr>
            <w:tcW w:w="240" w:type="dxa"/>
            <w:vAlign w:val="bottom"/>
          </w:tcPr>
          <w:p>
            <w:pPr>
              <w:spacing w:after="0"/>
              <w:rPr>
                <w:sz w:val="24"/>
                <w:szCs w:val="24"/>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w:t>
            </w:r>
          </w:p>
        </w:tc>
      </w:tr>
      <w:tr>
        <w:trPr>
          <w:trHeight w:val="378"/>
        </w:trPr>
        <w:tc>
          <w:tcPr>
            <w:tcW w:w="240" w:type="dxa"/>
            <w:vAlign w:val="bottom"/>
          </w:tcPr>
          <w:p>
            <w:pPr>
              <w:spacing w:after="0"/>
              <w:rPr>
                <w:sz w:val="24"/>
                <w:szCs w:val="24"/>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56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54</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48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48</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3,251,808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3,702,522</w:t>
            </w:r>
          </w:p>
        </w:tc>
      </w:tr>
      <w:tr>
        <w:trPr>
          <w:trHeight w:val="180"/>
        </w:trPr>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7"/>
                <w:szCs w:val="7"/>
                <w:color w:val="auto"/>
              </w:rPr>
              <w:t>(131,664)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44"/>
              <w:spacing w:after="0"/>
              <w:rPr>
                <w:sz w:val="20"/>
                <w:szCs w:val="20"/>
                <w:color w:val="auto"/>
              </w:rPr>
            </w:pPr>
            <w:r>
              <w:rPr>
                <w:rFonts w:ascii="Arial" w:cs="Arial" w:eastAsia="Arial" w:hAnsi="Arial"/>
                <w:sz w:val="7"/>
                <w:szCs w:val="7"/>
                <w:color w:val="auto"/>
              </w:rPr>
              <w:t>(125,100)</w:t>
            </w:r>
          </w:p>
        </w:tc>
      </w:tr>
      <w:tr>
        <w:trPr>
          <w:trHeight w:val="180"/>
        </w:trPr>
        <w:tc>
          <w:tcPr>
            <w:tcW w:w="240" w:type="dxa"/>
            <w:vAlign w:val="bottom"/>
          </w:tcPr>
          <w:p>
            <w:pPr>
              <w:spacing w:after="0"/>
              <w:rPr>
                <w:sz w:val="15"/>
                <w:szCs w:val="15"/>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685,927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694,129</w:t>
            </w:r>
          </w:p>
        </w:tc>
      </w:tr>
      <w:tr>
        <w:trPr>
          <w:trHeight w:val="188"/>
        </w:trPr>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(131,454)</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(131,454)</w:t>
            </w:r>
          </w:p>
        </w:tc>
      </w:tr>
      <w:tr>
        <w:trPr>
          <w:trHeight w:val="152"/>
        </w:trPr>
        <w:tc>
          <w:tcPr>
            <w:tcW w:w="24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7"/>
                <w:szCs w:val="7"/>
                <w:color w:val="auto"/>
              </w:rPr>
              <w:t>3,674,721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right"/>
              <w:ind w:right="84"/>
              <w:spacing w:after="0"/>
              <w:rPr>
                <w:sz w:val="20"/>
                <w:szCs w:val="20"/>
                <w:color w:val="auto"/>
              </w:rPr>
            </w:pPr>
            <w:r>
              <w:rPr>
                <w:rFonts w:ascii="Arial" w:cs="Arial" w:eastAsia="Arial" w:hAnsi="Arial"/>
                <w:sz w:val="7"/>
                <w:szCs w:val="7"/>
                <w:color w:val="auto"/>
              </w:rPr>
              <w:t>4,140,199</w:t>
            </w:r>
          </w:p>
        </w:tc>
      </w:tr>
      <w:tr>
        <w:trPr>
          <w:trHeight w:val="188"/>
        </w:trPr>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9,194</w:t>
            </w: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15,275</w:t>
            </w:r>
          </w:p>
        </w:tc>
      </w:tr>
      <w:tr>
        <w:trPr>
          <w:trHeight w:val="160"/>
        </w:trPr>
        <w:tc>
          <w:tcPr>
            <w:tcW w:w="2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3,683,915</w:t>
            </w: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4,155,474</w:t>
            </w:r>
          </w:p>
        </w:tc>
      </w:tr>
      <w:tr>
        <w:trPr>
          <w:trHeight w:val="166"/>
        </w:trPr>
        <w:tc>
          <w:tcPr>
            <w:tcW w:w="240" w:type="dxa"/>
            <w:vAlign w:val="bottom"/>
            <w:tcBorders>
              <w:bottom w:val="single" w:sz="8" w:color="auto"/>
            </w:tcBorders>
          </w:tcPr>
          <w:p>
            <w:pPr>
              <w:jc w:val="right"/>
              <w:ind w:right="144"/>
              <w:spacing w:after="0"/>
              <w:rPr>
                <w:sz w:val="20"/>
                <w:szCs w:val="20"/>
                <w:color w:val="auto"/>
              </w:rPr>
            </w:pPr>
            <w:r>
              <w:rPr>
                <w:rFonts w:ascii="Arial" w:cs="Arial" w:eastAsia="Arial" w:hAnsi="Arial"/>
                <w:sz w:val="7"/>
                <w:szCs w:val="7"/>
                <w:color w:val="auto"/>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7,037,750</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144"/>
              <w:spacing w:after="0"/>
              <w:rPr>
                <w:sz w:val="20"/>
                <w:szCs w:val="20"/>
                <w:color w:val="auto"/>
              </w:rPr>
            </w:pPr>
            <w:r>
              <w:rPr>
                <w:rFonts w:ascii="Arial" w:cs="Arial" w:eastAsia="Arial" w:hAnsi="Arial"/>
                <w:sz w:val="7"/>
                <w:szCs w:val="7"/>
                <w:color w:val="auto"/>
              </w:rPr>
              <w:t>$</w:t>
            </w:r>
          </w:p>
        </w:tc>
        <w:tc>
          <w:tcPr>
            <w:tcW w:w="12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8,661,294</w:t>
            </w:r>
          </w:p>
        </w:tc>
      </w:tr>
    </w:tbl>
    <w:p>
      <w:pPr>
        <w:sectPr>
          <w:pgSz w:w="11900" w:h="16838" w:orient="portrait"/>
          <w:cols w:equalWidth="0" w:num="2">
            <w:col w:w="8160" w:space="200"/>
            <w:col w:w="3100"/>
          </w:cols>
          <w:pgMar w:left="240" w:top="287" w:right="199" w:bottom="1440" w:gutter="0" w:footer="0" w:header="0"/>
        </w:sectPr>
      </w:pPr>
    </w:p>
    <w:bookmarkStart w:id="88" w:name="page89"/>
    <w:bookmarkEnd w:id="88"/>
    <w:p>
      <w:pPr>
        <w:jc w:val="center"/>
        <w:ind w:right="40"/>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ind w:left="4240"/>
        <w:spacing w:after="0"/>
        <w:rPr>
          <w:sz w:val="20"/>
          <w:szCs w:val="20"/>
          <w:color w:val="auto"/>
        </w:rPr>
      </w:pPr>
      <w:r>
        <w:rPr>
          <w:rFonts w:ascii="Arial" w:cs="Arial" w:eastAsia="Arial" w:hAnsi="Arial"/>
          <w:sz w:val="12"/>
          <w:szCs w:val="12"/>
          <w:b w:val="1"/>
          <w:bCs w:val="1"/>
          <w:color w:val="auto"/>
        </w:rPr>
        <w:t>Condensed Consolidated Statements of Operations</w:t>
      </w:r>
    </w:p>
    <w:p>
      <w:pPr>
        <w:spacing w:after="0" w:line="6" w:lineRule="exact"/>
        <w:rPr>
          <w:sz w:val="20"/>
          <w:szCs w:val="20"/>
          <w:color w:val="auto"/>
        </w:rPr>
      </w:pPr>
    </w:p>
    <w:p>
      <w:pPr>
        <w:ind w:left="4240"/>
        <w:spacing w:after="0"/>
        <w:rPr>
          <w:sz w:val="20"/>
          <w:szCs w:val="20"/>
          <w:color w:val="auto"/>
        </w:rPr>
      </w:pPr>
      <w:r>
        <w:rPr>
          <w:rFonts w:ascii="Arial" w:cs="Arial" w:eastAsia="Arial" w:hAnsi="Arial"/>
          <w:sz w:val="12"/>
          <w:szCs w:val="12"/>
          <w:b w:val="1"/>
          <w:bCs w:val="1"/>
          <w:color w:val="auto"/>
        </w:rPr>
        <w:t>(Amounts in thousands, except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80" w:type="dxa"/>
            <w:vAlign w:val="bottom"/>
            <w:gridSpan w:val="3"/>
          </w:tcPr>
          <w:p>
            <w:pPr>
              <w:jc w:val="right"/>
              <w:ind w:right="186"/>
              <w:spacing w:after="0"/>
              <w:rPr>
                <w:sz w:val="20"/>
                <w:szCs w:val="20"/>
                <w:color w:val="auto"/>
              </w:rPr>
            </w:pPr>
            <w:r>
              <w:rPr>
                <w:rFonts w:ascii="Arial" w:cs="Arial" w:eastAsia="Arial" w:hAnsi="Arial"/>
                <w:sz w:val="11"/>
                <w:szCs w:val="11"/>
                <w:b w:val="1"/>
                <w:bCs w:val="1"/>
                <w:color w:val="auto"/>
              </w:rPr>
              <w:t>For the three months</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40" w:type="dxa"/>
            <w:vAlign w:val="bottom"/>
            <w:gridSpan w:val="4"/>
          </w:tcPr>
          <w:p>
            <w:pPr>
              <w:jc w:val="right"/>
              <w:ind w:right="686"/>
              <w:spacing w:after="0"/>
              <w:rPr>
                <w:sz w:val="20"/>
                <w:szCs w:val="20"/>
                <w:color w:val="auto"/>
              </w:rPr>
            </w:pPr>
            <w:r>
              <w:rPr>
                <w:rFonts w:ascii="Arial" w:cs="Arial" w:eastAsia="Arial" w:hAnsi="Arial"/>
                <w:sz w:val="11"/>
                <w:szCs w:val="11"/>
                <w:b w:val="1"/>
                <w:bCs w:val="1"/>
                <w:color w:val="auto"/>
              </w:rPr>
              <w:t>For the nine months</w:t>
            </w:r>
          </w:p>
        </w:tc>
      </w:tr>
      <w:tr>
        <w:trPr>
          <w:trHeight w:val="148"/>
        </w:trPr>
        <w:tc>
          <w:tcPr>
            <w:tcW w:w="63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ind w:right="166"/>
              <w:spacing w:after="0"/>
              <w:rPr>
                <w:sz w:val="20"/>
                <w:szCs w:val="20"/>
                <w:color w:val="auto"/>
              </w:rPr>
            </w:pPr>
            <w:r>
              <w:rPr>
                <w:rFonts w:ascii="Arial" w:cs="Arial" w:eastAsia="Arial" w:hAnsi="Arial"/>
                <w:sz w:val="11"/>
                <w:szCs w:val="11"/>
                <w:b w:val="1"/>
                <w:bCs w:val="1"/>
                <w:color w:val="auto"/>
              </w:rPr>
              <w:t>ended September 30,</w:t>
            </w: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4"/>
          </w:tcPr>
          <w:p>
            <w:pPr>
              <w:jc w:val="right"/>
              <w:ind w:right="646"/>
              <w:spacing w:after="0"/>
              <w:rPr>
                <w:sz w:val="20"/>
                <w:szCs w:val="20"/>
                <w:color w:val="auto"/>
              </w:rPr>
            </w:pPr>
            <w:r>
              <w:rPr>
                <w:rFonts w:ascii="Arial" w:cs="Arial" w:eastAsia="Arial" w:hAnsi="Arial"/>
                <w:sz w:val="11"/>
                <w:szCs w:val="11"/>
                <w:b w:val="1"/>
                <w:bCs w:val="1"/>
                <w:color w:val="auto"/>
              </w:rPr>
              <w:t>ended September 30,</w:t>
            </w:r>
          </w:p>
        </w:tc>
      </w:tr>
      <w:tr>
        <w:trPr>
          <w:trHeight w:val="165"/>
        </w:trPr>
        <w:tc>
          <w:tcPr>
            <w:tcW w:w="6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2018</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46"/>
              <w:spacing w:after="0"/>
              <w:rPr>
                <w:sz w:val="20"/>
                <w:szCs w:val="20"/>
                <w:color w:val="auto"/>
              </w:rPr>
            </w:pPr>
            <w:r>
              <w:rPr>
                <w:rFonts w:ascii="Arial" w:cs="Arial" w:eastAsia="Arial" w:hAnsi="Arial"/>
                <w:sz w:val="11"/>
                <w:szCs w:val="11"/>
                <w:b w:val="1"/>
                <w:bCs w:val="1"/>
                <w:color w:val="auto"/>
              </w:rPr>
              <w:t>2018</w:t>
            </w:r>
          </w:p>
        </w:tc>
      </w:tr>
      <w:tr>
        <w:trPr>
          <w:trHeight w:val="347"/>
        </w:trPr>
        <w:tc>
          <w:tcPr>
            <w:tcW w:w="6300" w:type="dxa"/>
            <w:vAlign w:val="bottom"/>
          </w:tcPr>
          <w:p>
            <w:pPr>
              <w:spacing w:after="0"/>
              <w:rPr>
                <w:sz w:val="20"/>
                <w:szCs w:val="20"/>
                <w:color w:val="auto"/>
              </w:rPr>
            </w:pPr>
            <w:r>
              <w:rPr>
                <w:rFonts w:ascii="Arial" w:cs="Arial" w:eastAsia="Arial" w:hAnsi="Arial"/>
                <w:sz w:val="11"/>
                <w:szCs w:val="11"/>
                <w:b w:val="1"/>
                <w:bCs w:val="1"/>
                <w:color w:val="auto"/>
              </w:rPr>
              <w:t>Revenue:</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8"/>
        </w:trPr>
        <w:tc>
          <w:tcPr>
            <w:tcW w:w="6300" w:type="dxa"/>
            <w:vAlign w:val="bottom"/>
          </w:tcPr>
          <w:p>
            <w:pPr>
              <w:ind w:left="160"/>
              <w:spacing w:after="0"/>
              <w:rPr>
                <w:sz w:val="20"/>
                <w:szCs w:val="20"/>
                <w:color w:val="auto"/>
              </w:rPr>
            </w:pPr>
            <w:r>
              <w:rPr>
                <w:rFonts w:ascii="Arial" w:cs="Arial" w:eastAsia="Arial" w:hAnsi="Arial"/>
                <w:sz w:val="11"/>
                <w:szCs w:val="11"/>
                <w:color w:val="auto"/>
              </w:rPr>
              <w:t>Services and other revenue - DISH Network</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13,232</w:t>
            </w:r>
          </w:p>
        </w:tc>
        <w:tc>
          <w:tcPr>
            <w:tcW w:w="120" w:type="dxa"/>
            <w:vAlign w:val="bottom"/>
          </w:tcPr>
          <w:p>
            <w:pPr>
              <w:spacing w:after="0"/>
              <w:rPr>
                <w:sz w:val="17"/>
                <w:szCs w:val="17"/>
                <w:color w:val="auto"/>
              </w:rPr>
            </w:pPr>
          </w:p>
        </w:tc>
        <w:tc>
          <w:tcPr>
            <w:tcW w:w="760" w:type="dxa"/>
            <w:vAlign w:val="bottom"/>
          </w:tcPr>
          <w:p>
            <w:pPr>
              <w:jc w:val="right"/>
              <w:ind w:right="626"/>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17,054</w:t>
            </w:r>
          </w:p>
        </w:tc>
        <w:tc>
          <w:tcPr>
            <w:tcW w:w="120" w:type="dxa"/>
            <w:vAlign w:val="bottom"/>
          </w:tcPr>
          <w:p>
            <w:pPr>
              <w:spacing w:after="0"/>
              <w:rPr>
                <w:sz w:val="17"/>
                <w:szCs w:val="17"/>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42,532</w:t>
            </w:r>
          </w:p>
        </w:tc>
        <w:tc>
          <w:tcPr>
            <w:tcW w:w="120" w:type="dxa"/>
            <w:vAlign w:val="bottom"/>
          </w:tcPr>
          <w:p>
            <w:pPr>
              <w:spacing w:after="0"/>
              <w:rPr>
                <w:sz w:val="17"/>
                <w:szCs w:val="17"/>
                <w:color w:val="auto"/>
              </w:rPr>
            </w:pP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57,410</w:t>
            </w:r>
          </w:p>
        </w:tc>
      </w:tr>
      <w:tr>
        <w:trPr>
          <w:trHeight w:val="180"/>
        </w:trPr>
        <w:tc>
          <w:tcPr>
            <w:tcW w:w="6300" w:type="dxa"/>
            <w:vAlign w:val="bottom"/>
          </w:tcPr>
          <w:p>
            <w:pPr>
              <w:ind w:left="160"/>
              <w:spacing w:after="0"/>
              <w:rPr>
                <w:sz w:val="20"/>
                <w:szCs w:val="20"/>
                <w:color w:val="auto"/>
              </w:rPr>
            </w:pPr>
            <w:r>
              <w:rPr>
                <w:rFonts w:ascii="Arial" w:cs="Arial" w:eastAsia="Arial" w:hAnsi="Arial"/>
                <w:sz w:val="11"/>
                <w:szCs w:val="11"/>
                <w:color w:val="auto"/>
              </w:rPr>
              <w:t>Services and other revenue - other</w:t>
            </w:r>
          </w:p>
        </w:tc>
        <w:tc>
          <w:tcPr>
            <w:tcW w:w="260" w:type="dxa"/>
            <w:vAlign w:val="bottom"/>
          </w:tcPr>
          <w:p>
            <w:pPr>
              <w:spacing w:after="0"/>
              <w:rPr>
                <w:sz w:val="15"/>
                <w:szCs w:val="15"/>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393,305</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w w:val="90"/>
              </w:rPr>
              <w:t>382,374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1,169,459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1,101,111</w:t>
            </w:r>
          </w:p>
        </w:tc>
      </w:tr>
      <w:tr>
        <w:trPr>
          <w:trHeight w:val="182"/>
        </w:trPr>
        <w:tc>
          <w:tcPr>
            <w:tcW w:w="6300" w:type="dxa"/>
            <w:vAlign w:val="bottom"/>
          </w:tcPr>
          <w:p>
            <w:pPr>
              <w:ind w:left="160"/>
              <w:spacing w:after="0"/>
              <w:rPr>
                <w:sz w:val="20"/>
                <w:szCs w:val="20"/>
                <w:color w:val="auto"/>
              </w:rPr>
            </w:pPr>
            <w:r>
              <w:rPr>
                <w:rFonts w:ascii="Arial" w:cs="Arial" w:eastAsia="Arial" w:hAnsi="Arial"/>
                <w:sz w:val="11"/>
                <w:szCs w:val="11"/>
                <w:color w:val="auto"/>
              </w:rPr>
              <w:t>Equipment revenue</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65,725</w:t>
            </w:r>
          </w:p>
        </w:tc>
        <w:tc>
          <w:tcPr>
            <w:tcW w:w="1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56,846</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175,084</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150,134</w:t>
            </w:r>
          </w:p>
        </w:tc>
      </w:tr>
      <w:tr>
        <w:trPr>
          <w:trHeight w:val="160"/>
        </w:trPr>
        <w:tc>
          <w:tcPr>
            <w:tcW w:w="6300" w:type="dxa"/>
            <w:vAlign w:val="bottom"/>
          </w:tcPr>
          <w:p>
            <w:pPr>
              <w:ind w:left="300"/>
              <w:spacing w:after="0"/>
              <w:rPr>
                <w:sz w:val="20"/>
                <w:szCs w:val="20"/>
                <w:color w:val="auto"/>
              </w:rPr>
            </w:pPr>
            <w:r>
              <w:rPr>
                <w:rFonts w:ascii="Arial" w:cs="Arial" w:eastAsia="Arial" w:hAnsi="Arial"/>
                <w:sz w:val="11"/>
                <w:szCs w:val="11"/>
                <w:color w:val="auto"/>
              </w:rPr>
              <w:t>Total revenue</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472,262</w:t>
            </w:r>
          </w:p>
        </w:tc>
        <w:tc>
          <w:tcPr>
            <w:tcW w:w="1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0"/>
              </w:rPr>
              <w:t>456,274</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1,387,075</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1,308,655</w:t>
            </w:r>
          </w:p>
        </w:tc>
      </w:tr>
      <w:tr>
        <w:trPr>
          <w:trHeight w:val="347"/>
        </w:trPr>
        <w:tc>
          <w:tcPr>
            <w:tcW w:w="6300" w:type="dxa"/>
            <w:vAlign w:val="bottom"/>
          </w:tcPr>
          <w:p>
            <w:pPr>
              <w:spacing w:after="0"/>
              <w:rPr>
                <w:sz w:val="20"/>
                <w:szCs w:val="20"/>
                <w:color w:val="auto"/>
              </w:rPr>
            </w:pPr>
            <w:r>
              <w:rPr>
                <w:rFonts w:ascii="Arial" w:cs="Arial" w:eastAsia="Arial" w:hAnsi="Arial"/>
                <w:sz w:val="11"/>
                <w:szCs w:val="11"/>
                <w:b w:val="1"/>
                <w:bCs w:val="1"/>
                <w:color w:val="auto"/>
              </w:rPr>
              <w:t>Costs and 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8"/>
        </w:trPr>
        <w:tc>
          <w:tcPr>
            <w:tcW w:w="6300" w:type="dxa"/>
            <w:vAlign w:val="bottom"/>
          </w:tcPr>
          <w:p>
            <w:pPr>
              <w:ind w:left="160"/>
              <w:spacing w:after="0"/>
              <w:rPr>
                <w:sz w:val="20"/>
                <w:szCs w:val="20"/>
                <w:color w:val="auto"/>
              </w:rPr>
            </w:pPr>
            <w:r>
              <w:rPr>
                <w:rFonts w:ascii="Arial" w:cs="Arial" w:eastAsia="Arial" w:hAnsi="Arial"/>
                <w:sz w:val="11"/>
                <w:szCs w:val="11"/>
                <w:color w:val="auto"/>
              </w:rPr>
              <w:t>Cost of sales - services and other (exclusive of depreciation and amortization)</w:t>
            </w:r>
          </w:p>
        </w:tc>
        <w:tc>
          <w:tcPr>
            <w:tcW w:w="260" w:type="dxa"/>
            <w:vAlign w:val="bottom"/>
          </w:tcPr>
          <w:p>
            <w:pPr>
              <w:spacing w:after="0"/>
              <w:rPr>
                <w:sz w:val="17"/>
                <w:szCs w:val="17"/>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143,842</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w w:val="90"/>
              </w:rPr>
              <w:t>142,290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429,869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421,622</w:t>
            </w:r>
          </w:p>
        </w:tc>
      </w:tr>
      <w:tr>
        <w:trPr>
          <w:trHeight w:val="180"/>
        </w:trPr>
        <w:tc>
          <w:tcPr>
            <w:tcW w:w="6300" w:type="dxa"/>
            <w:vAlign w:val="bottom"/>
          </w:tcPr>
          <w:p>
            <w:pPr>
              <w:ind w:left="160"/>
              <w:spacing w:after="0"/>
              <w:rPr>
                <w:sz w:val="20"/>
                <w:szCs w:val="20"/>
                <w:color w:val="auto"/>
              </w:rPr>
            </w:pPr>
            <w:r>
              <w:rPr>
                <w:rFonts w:ascii="Arial" w:cs="Arial" w:eastAsia="Arial" w:hAnsi="Arial"/>
                <w:sz w:val="11"/>
                <w:szCs w:val="11"/>
                <w:color w:val="auto"/>
              </w:rPr>
              <w:t>Cost of sales - equipment (exclusive of depreciation and amortization)</w:t>
            </w:r>
          </w:p>
        </w:tc>
        <w:tc>
          <w:tcPr>
            <w:tcW w:w="260" w:type="dxa"/>
            <w:vAlign w:val="bottom"/>
          </w:tcPr>
          <w:p>
            <w:pPr>
              <w:spacing w:after="0"/>
              <w:rPr>
                <w:sz w:val="15"/>
                <w:szCs w:val="15"/>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51,188</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46,318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142,744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127,254</w:t>
            </w:r>
          </w:p>
        </w:tc>
      </w:tr>
      <w:tr>
        <w:trPr>
          <w:trHeight w:val="180"/>
        </w:trPr>
        <w:tc>
          <w:tcPr>
            <w:tcW w:w="6300" w:type="dxa"/>
            <w:vAlign w:val="bottom"/>
          </w:tcPr>
          <w:p>
            <w:pPr>
              <w:ind w:left="160"/>
              <w:spacing w:after="0"/>
              <w:rPr>
                <w:sz w:val="20"/>
                <w:szCs w:val="20"/>
                <w:color w:val="auto"/>
              </w:rPr>
            </w:pPr>
            <w:r>
              <w:rPr>
                <w:rFonts w:ascii="Arial" w:cs="Arial" w:eastAsia="Arial" w:hAnsi="Arial"/>
                <w:sz w:val="11"/>
                <w:szCs w:val="11"/>
                <w:color w:val="auto"/>
              </w:rPr>
              <w:t>Selling, general and administrative expenses</w:t>
            </w:r>
          </w:p>
        </w:tc>
        <w:tc>
          <w:tcPr>
            <w:tcW w:w="260" w:type="dxa"/>
            <w:vAlign w:val="bottom"/>
          </w:tcPr>
          <w:p>
            <w:pPr>
              <w:spacing w:after="0"/>
              <w:rPr>
                <w:sz w:val="15"/>
                <w:szCs w:val="15"/>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122,676</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w w:val="90"/>
              </w:rPr>
              <w:t>107,540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384,152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314,040</w:t>
            </w:r>
          </w:p>
        </w:tc>
      </w:tr>
      <w:tr>
        <w:trPr>
          <w:trHeight w:val="180"/>
        </w:trPr>
        <w:tc>
          <w:tcPr>
            <w:tcW w:w="6300" w:type="dxa"/>
            <w:vAlign w:val="bottom"/>
          </w:tcPr>
          <w:p>
            <w:pPr>
              <w:ind w:left="160"/>
              <w:spacing w:after="0"/>
              <w:rPr>
                <w:sz w:val="20"/>
                <w:szCs w:val="20"/>
                <w:color w:val="auto"/>
              </w:rPr>
            </w:pPr>
            <w:r>
              <w:rPr>
                <w:rFonts w:ascii="Arial" w:cs="Arial" w:eastAsia="Arial" w:hAnsi="Arial"/>
                <w:sz w:val="11"/>
                <w:szCs w:val="11"/>
                <w:color w:val="auto"/>
              </w:rPr>
              <w:t>Research and development expenses</w:t>
            </w:r>
          </w:p>
        </w:tc>
        <w:tc>
          <w:tcPr>
            <w:tcW w:w="260" w:type="dxa"/>
            <w:vAlign w:val="bottom"/>
          </w:tcPr>
          <w:p>
            <w:pPr>
              <w:spacing w:after="0"/>
              <w:rPr>
                <w:sz w:val="15"/>
                <w:szCs w:val="15"/>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6,136</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6,544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19,411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20,328</w:t>
            </w:r>
          </w:p>
        </w:tc>
      </w:tr>
      <w:tr>
        <w:trPr>
          <w:trHeight w:val="182"/>
        </w:trPr>
        <w:tc>
          <w:tcPr>
            <w:tcW w:w="6300" w:type="dxa"/>
            <w:vAlign w:val="bottom"/>
          </w:tcPr>
          <w:p>
            <w:pPr>
              <w:ind w:left="160"/>
              <w:spacing w:after="0"/>
              <w:rPr>
                <w:sz w:val="20"/>
                <w:szCs w:val="20"/>
                <w:color w:val="auto"/>
              </w:rPr>
            </w:pPr>
            <w:r>
              <w:rPr>
                <w:rFonts w:ascii="Arial" w:cs="Arial" w:eastAsia="Arial" w:hAnsi="Arial"/>
                <w:sz w:val="11"/>
                <w:szCs w:val="11"/>
                <w:color w:val="auto"/>
              </w:rPr>
              <w:t>Depreciation and amortization</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122,374</w:t>
            </w:r>
          </w:p>
        </w:tc>
        <w:tc>
          <w:tcPr>
            <w:tcW w:w="1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0"/>
              </w:rPr>
              <w:t>115,325</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361,619</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338,737</w:t>
            </w:r>
          </w:p>
        </w:tc>
      </w:tr>
      <w:tr>
        <w:trPr>
          <w:trHeight w:val="160"/>
        </w:trPr>
        <w:tc>
          <w:tcPr>
            <w:tcW w:w="6300" w:type="dxa"/>
            <w:vAlign w:val="bottom"/>
          </w:tcPr>
          <w:p>
            <w:pPr>
              <w:ind w:left="300"/>
              <w:spacing w:after="0"/>
              <w:rPr>
                <w:sz w:val="20"/>
                <w:szCs w:val="20"/>
                <w:color w:val="auto"/>
              </w:rPr>
            </w:pPr>
            <w:r>
              <w:rPr>
                <w:rFonts w:ascii="Arial" w:cs="Arial" w:eastAsia="Arial" w:hAnsi="Arial"/>
                <w:sz w:val="11"/>
                <w:szCs w:val="11"/>
                <w:color w:val="auto"/>
              </w:rPr>
              <w:t>Total costs and expenses</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446,216</w:t>
            </w:r>
          </w:p>
        </w:tc>
        <w:tc>
          <w:tcPr>
            <w:tcW w:w="1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w w:val="90"/>
              </w:rPr>
              <w:t>418,017</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1,337,795</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1,221,981</w:t>
            </w:r>
          </w:p>
        </w:tc>
      </w:tr>
      <w:tr>
        <w:trPr>
          <w:trHeight w:val="160"/>
        </w:trPr>
        <w:tc>
          <w:tcPr>
            <w:tcW w:w="6300" w:type="dxa"/>
            <w:vAlign w:val="bottom"/>
          </w:tcPr>
          <w:p>
            <w:pPr>
              <w:ind w:left="440"/>
              <w:spacing w:after="0"/>
              <w:rPr>
                <w:sz w:val="20"/>
                <w:szCs w:val="20"/>
                <w:color w:val="auto"/>
              </w:rPr>
            </w:pPr>
            <w:r>
              <w:rPr>
                <w:rFonts w:ascii="Arial" w:cs="Arial" w:eastAsia="Arial" w:hAnsi="Arial"/>
                <w:sz w:val="11"/>
                <w:szCs w:val="11"/>
                <w:color w:val="auto"/>
              </w:rPr>
              <w:t>Operating income</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26,046</w:t>
            </w:r>
          </w:p>
        </w:tc>
        <w:tc>
          <w:tcPr>
            <w:tcW w:w="1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38,257</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49,280</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86,674</w:t>
            </w:r>
          </w:p>
        </w:tc>
      </w:tr>
      <w:tr>
        <w:trPr>
          <w:trHeight w:val="347"/>
        </w:trPr>
        <w:tc>
          <w:tcPr>
            <w:tcW w:w="6300" w:type="dxa"/>
            <w:vAlign w:val="bottom"/>
          </w:tcPr>
          <w:p>
            <w:pPr>
              <w:spacing w:after="0"/>
              <w:rPr>
                <w:sz w:val="20"/>
                <w:szCs w:val="20"/>
                <w:color w:val="auto"/>
              </w:rPr>
            </w:pPr>
            <w:r>
              <w:rPr>
                <w:rFonts w:ascii="Arial" w:cs="Arial" w:eastAsia="Arial" w:hAnsi="Arial"/>
                <w:sz w:val="11"/>
                <w:szCs w:val="11"/>
                <w:b w:val="1"/>
                <w:bCs w:val="1"/>
                <w:color w:val="auto"/>
              </w:rPr>
              <w:t>Other income (expense):</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8"/>
        </w:trPr>
        <w:tc>
          <w:tcPr>
            <w:tcW w:w="6300" w:type="dxa"/>
            <w:vAlign w:val="bottom"/>
          </w:tcPr>
          <w:p>
            <w:pPr>
              <w:ind w:left="160"/>
              <w:spacing w:after="0"/>
              <w:rPr>
                <w:sz w:val="20"/>
                <w:szCs w:val="20"/>
                <w:color w:val="auto"/>
              </w:rPr>
            </w:pPr>
            <w:r>
              <w:rPr>
                <w:rFonts w:ascii="Arial" w:cs="Arial" w:eastAsia="Arial" w:hAnsi="Arial"/>
                <w:sz w:val="11"/>
                <w:szCs w:val="11"/>
                <w:color w:val="auto"/>
              </w:rPr>
              <w:t>Interest income</w:t>
            </w:r>
          </w:p>
        </w:tc>
        <w:tc>
          <w:tcPr>
            <w:tcW w:w="260" w:type="dxa"/>
            <w:vAlign w:val="bottom"/>
          </w:tcPr>
          <w:p>
            <w:pPr>
              <w:spacing w:after="0"/>
              <w:rPr>
                <w:sz w:val="17"/>
                <w:szCs w:val="17"/>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17,175</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21,349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64,817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56,237</w:t>
            </w:r>
          </w:p>
        </w:tc>
      </w:tr>
      <w:tr>
        <w:trPr>
          <w:trHeight w:val="180"/>
        </w:trPr>
        <w:tc>
          <w:tcPr>
            <w:tcW w:w="6300" w:type="dxa"/>
            <w:vAlign w:val="bottom"/>
          </w:tcPr>
          <w:p>
            <w:pPr>
              <w:ind w:left="160"/>
              <w:spacing w:after="0"/>
              <w:rPr>
                <w:sz w:val="20"/>
                <w:szCs w:val="20"/>
                <w:color w:val="auto"/>
              </w:rPr>
            </w:pPr>
            <w:r>
              <w:rPr>
                <w:rFonts w:ascii="Arial" w:cs="Arial" w:eastAsia="Arial" w:hAnsi="Arial"/>
                <w:sz w:val="11"/>
                <w:szCs w:val="11"/>
                <w:color w:val="auto"/>
              </w:rPr>
              <w:t>Interest expense, net of amounts capitalized</w:t>
            </w:r>
          </w:p>
        </w:tc>
        <w:tc>
          <w:tcPr>
            <w:tcW w:w="260" w:type="dxa"/>
            <w:vAlign w:val="bottom"/>
          </w:tcPr>
          <w:p>
            <w:pPr>
              <w:spacing w:after="0"/>
              <w:rPr>
                <w:sz w:val="15"/>
                <w:szCs w:val="15"/>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(49,865)</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w w:val="97"/>
              </w:rPr>
              <w:t>(54,878)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(156,813)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(164,038)</w:t>
            </w:r>
          </w:p>
        </w:tc>
      </w:tr>
      <w:tr>
        <w:trPr>
          <w:trHeight w:val="180"/>
        </w:trPr>
        <w:tc>
          <w:tcPr>
            <w:tcW w:w="6300" w:type="dxa"/>
            <w:vAlign w:val="bottom"/>
          </w:tcPr>
          <w:p>
            <w:pPr>
              <w:ind w:left="160"/>
              <w:spacing w:after="0"/>
              <w:rPr>
                <w:sz w:val="20"/>
                <w:szCs w:val="20"/>
                <w:color w:val="auto"/>
              </w:rPr>
            </w:pPr>
            <w:r>
              <w:rPr>
                <w:rFonts w:ascii="Arial" w:cs="Arial" w:eastAsia="Arial" w:hAnsi="Arial"/>
                <w:sz w:val="11"/>
                <w:szCs w:val="11"/>
                <w:color w:val="auto"/>
              </w:rPr>
              <w:t>Gains (losses) on investments, net</w:t>
            </w:r>
          </w:p>
        </w:tc>
        <w:tc>
          <w:tcPr>
            <w:tcW w:w="260" w:type="dxa"/>
            <w:vAlign w:val="bottom"/>
          </w:tcPr>
          <w:p>
            <w:pPr>
              <w:spacing w:after="0"/>
              <w:rPr>
                <w:sz w:val="15"/>
                <w:szCs w:val="15"/>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8,295</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2,873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46"/>
              <w:spacing w:after="0"/>
              <w:rPr>
                <w:sz w:val="20"/>
                <w:szCs w:val="20"/>
                <w:color w:val="auto"/>
              </w:rPr>
            </w:pPr>
            <w:r>
              <w:rPr>
                <w:rFonts w:ascii="Arial" w:cs="Arial" w:eastAsia="Arial" w:hAnsi="Arial"/>
                <w:sz w:val="11"/>
                <w:szCs w:val="11"/>
                <w:color w:val="auto"/>
              </w:rPr>
              <w:t>28,087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31,606</w:t>
            </w:r>
          </w:p>
        </w:tc>
      </w:tr>
      <w:tr>
        <w:trPr>
          <w:trHeight w:val="180"/>
        </w:trPr>
        <w:tc>
          <w:tcPr>
            <w:tcW w:w="6300" w:type="dxa"/>
            <w:vAlign w:val="bottom"/>
          </w:tcPr>
          <w:p>
            <w:pPr>
              <w:ind w:left="160"/>
              <w:spacing w:after="0"/>
              <w:rPr>
                <w:sz w:val="20"/>
                <w:szCs w:val="20"/>
                <w:color w:val="auto"/>
              </w:rPr>
            </w:pPr>
            <w:r>
              <w:rPr>
                <w:rFonts w:ascii="Arial" w:cs="Arial" w:eastAsia="Arial" w:hAnsi="Arial"/>
                <w:sz w:val="11"/>
                <w:szCs w:val="11"/>
                <w:color w:val="auto"/>
              </w:rPr>
              <w:t>Equity in earnings (losses) of unconsolidated affiliates, net</w:t>
            </w:r>
          </w:p>
        </w:tc>
        <w:tc>
          <w:tcPr>
            <w:tcW w:w="260" w:type="dxa"/>
            <w:vAlign w:val="bottom"/>
          </w:tcPr>
          <w:p>
            <w:pPr>
              <w:spacing w:after="0"/>
              <w:rPr>
                <w:sz w:val="15"/>
                <w:szCs w:val="15"/>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(3,209)</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416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(14,317)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(2,651)</w:t>
            </w:r>
          </w:p>
        </w:tc>
      </w:tr>
      <w:tr>
        <w:trPr>
          <w:trHeight w:val="182"/>
        </w:trPr>
        <w:tc>
          <w:tcPr>
            <w:tcW w:w="6300" w:type="dxa"/>
            <w:vAlign w:val="bottom"/>
          </w:tcPr>
          <w:p>
            <w:pPr>
              <w:ind w:left="160"/>
              <w:spacing w:after="0"/>
              <w:rPr>
                <w:sz w:val="20"/>
                <w:szCs w:val="20"/>
                <w:color w:val="auto"/>
              </w:rPr>
            </w:pPr>
            <w:r>
              <w:rPr>
                <w:rFonts w:ascii="Arial" w:cs="Arial" w:eastAsia="Arial" w:hAnsi="Arial"/>
                <w:sz w:val="11"/>
                <w:szCs w:val="11"/>
                <w:color w:val="auto"/>
              </w:rPr>
              <w:t>Other, net</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(16,587)</w:t>
            </w:r>
          </w:p>
        </w:tc>
        <w:tc>
          <w:tcPr>
            <w:tcW w:w="1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(3,249)</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(16,028)</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(3,381)</w:t>
            </w:r>
          </w:p>
        </w:tc>
      </w:tr>
      <w:tr>
        <w:trPr>
          <w:trHeight w:val="160"/>
        </w:trPr>
        <w:tc>
          <w:tcPr>
            <w:tcW w:w="6300" w:type="dxa"/>
            <w:vAlign w:val="bottom"/>
          </w:tcPr>
          <w:p>
            <w:pPr>
              <w:ind w:left="440"/>
              <w:spacing w:after="0"/>
              <w:rPr>
                <w:sz w:val="20"/>
                <w:szCs w:val="20"/>
                <w:color w:val="auto"/>
              </w:rPr>
            </w:pPr>
            <w:r>
              <w:rPr>
                <w:rFonts w:ascii="Arial" w:cs="Arial" w:eastAsia="Arial" w:hAnsi="Arial"/>
                <w:sz w:val="11"/>
                <w:szCs w:val="11"/>
                <w:color w:val="auto"/>
              </w:rPr>
              <w:t>Total other income (expense), net</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(44,191)</w:t>
            </w:r>
          </w:p>
        </w:tc>
        <w:tc>
          <w:tcPr>
            <w:tcW w:w="1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(33,489)</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(94,254)</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(82,227)</w:t>
            </w:r>
          </w:p>
        </w:tc>
      </w:tr>
      <w:tr>
        <w:trPr>
          <w:trHeight w:val="158"/>
        </w:trPr>
        <w:tc>
          <w:tcPr>
            <w:tcW w:w="6300" w:type="dxa"/>
            <w:vAlign w:val="bottom"/>
          </w:tcPr>
          <w:p>
            <w:pPr>
              <w:ind w:left="580"/>
              <w:spacing w:after="0"/>
              <w:rPr>
                <w:sz w:val="20"/>
                <w:szCs w:val="20"/>
                <w:color w:val="auto"/>
              </w:rPr>
            </w:pPr>
            <w:r>
              <w:rPr>
                <w:rFonts w:ascii="Arial" w:cs="Arial" w:eastAsia="Arial" w:hAnsi="Arial"/>
                <w:sz w:val="11"/>
                <w:szCs w:val="11"/>
                <w:color w:val="auto"/>
              </w:rPr>
              <w:t>Income (loss) from continuing operations before income taxes</w:t>
            </w:r>
          </w:p>
        </w:tc>
        <w:tc>
          <w:tcPr>
            <w:tcW w:w="260" w:type="dxa"/>
            <w:vAlign w:val="bottom"/>
          </w:tcPr>
          <w:p>
            <w:pPr>
              <w:spacing w:after="0"/>
              <w:rPr>
                <w:sz w:val="13"/>
                <w:szCs w:val="1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(18,145)</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4,768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(44,974)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4,447</w:t>
            </w:r>
          </w:p>
        </w:tc>
      </w:tr>
      <w:tr>
        <w:trPr>
          <w:trHeight w:val="182"/>
        </w:trPr>
        <w:tc>
          <w:tcPr>
            <w:tcW w:w="6300" w:type="dxa"/>
            <w:vAlign w:val="bottom"/>
          </w:tcPr>
          <w:p>
            <w:pPr>
              <w:ind w:left="580"/>
              <w:spacing w:after="0"/>
              <w:rPr>
                <w:sz w:val="20"/>
                <w:szCs w:val="20"/>
                <w:color w:val="auto"/>
              </w:rPr>
            </w:pPr>
            <w:r>
              <w:rPr>
                <w:rFonts w:ascii="Arial" w:cs="Arial" w:eastAsia="Arial" w:hAnsi="Arial"/>
                <w:sz w:val="11"/>
                <w:szCs w:val="11"/>
                <w:color w:val="auto"/>
              </w:rPr>
              <w:t>Income tax benefit (provision), net</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(5,016)</w:t>
            </w:r>
          </w:p>
        </w:tc>
        <w:tc>
          <w:tcPr>
            <w:tcW w:w="1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(7,963)</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(12,607)</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(8,275)</w:t>
            </w:r>
          </w:p>
        </w:tc>
      </w:tr>
      <w:tr>
        <w:trPr>
          <w:trHeight w:val="158"/>
        </w:trPr>
        <w:tc>
          <w:tcPr>
            <w:tcW w:w="6300" w:type="dxa"/>
            <w:vAlign w:val="bottom"/>
          </w:tcPr>
          <w:p>
            <w:pPr>
              <w:ind w:left="720"/>
              <w:spacing w:after="0"/>
              <w:rPr>
                <w:sz w:val="20"/>
                <w:szCs w:val="20"/>
                <w:color w:val="auto"/>
              </w:rPr>
            </w:pPr>
            <w:r>
              <w:rPr>
                <w:rFonts w:ascii="Arial" w:cs="Arial" w:eastAsia="Arial" w:hAnsi="Arial"/>
                <w:sz w:val="11"/>
                <w:szCs w:val="11"/>
                <w:color w:val="auto"/>
              </w:rPr>
              <w:t>Net loss from continuing operations</w:t>
            </w:r>
          </w:p>
        </w:tc>
        <w:tc>
          <w:tcPr>
            <w:tcW w:w="260" w:type="dxa"/>
            <w:vAlign w:val="bottom"/>
          </w:tcPr>
          <w:p>
            <w:pPr>
              <w:spacing w:after="0"/>
              <w:rPr>
                <w:sz w:val="13"/>
                <w:szCs w:val="1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(23,161)</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(3,195)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(57,581)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(3,828)</w:t>
            </w:r>
          </w:p>
        </w:tc>
      </w:tr>
      <w:tr>
        <w:trPr>
          <w:trHeight w:val="182"/>
        </w:trPr>
        <w:tc>
          <w:tcPr>
            <w:tcW w:w="6300" w:type="dxa"/>
            <w:vAlign w:val="bottom"/>
          </w:tcPr>
          <w:p>
            <w:pPr>
              <w:ind w:left="720"/>
              <w:spacing w:after="0"/>
              <w:rPr>
                <w:sz w:val="20"/>
                <w:szCs w:val="20"/>
                <w:color w:val="auto"/>
              </w:rPr>
            </w:pPr>
            <w:r>
              <w:rPr>
                <w:rFonts w:ascii="Arial" w:cs="Arial" w:eastAsia="Arial" w:hAnsi="Arial"/>
                <w:sz w:val="11"/>
                <w:szCs w:val="11"/>
                <w:color w:val="auto"/>
              </w:rPr>
              <w:t>Net income from discontinued operations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2,055</w:t>
            </w:r>
          </w:p>
        </w:tc>
        <w:tc>
          <w:tcPr>
            <w:tcW w:w="1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19,697</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46,423</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76,843</w:t>
            </w:r>
          </w:p>
        </w:tc>
      </w:tr>
      <w:tr>
        <w:trPr>
          <w:trHeight w:val="158"/>
        </w:trPr>
        <w:tc>
          <w:tcPr>
            <w:tcW w:w="6300" w:type="dxa"/>
            <w:vAlign w:val="bottom"/>
          </w:tcPr>
          <w:p>
            <w:pPr>
              <w:ind w:left="880"/>
              <w:spacing w:after="0"/>
              <w:rPr>
                <w:sz w:val="20"/>
                <w:szCs w:val="20"/>
                <w:color w:val="auto"/>
              </w:rPr>
            </w:pPr>
            <w:r>
              <w:rPr>
                <w:rFonts w:ascii="Arial" w:cs="Arial" w:eastAsia="Arial" w:hAnsi="Arial"/>
                <w:sz w:val="11"/>
                <w:szCs w:val="11"/>
                <w:color w:val="auto"/>
              </w:rPr>
              <w:t>Net income (loss)</w:t>
            </w:r>
          </w:p>
        </w:tc>
        <w:tc>
          <w:tcPr>
            <w:tcW w:w="260" w:type="dxa"/>
            <w:vAlign w:val="bottom"/>
          </w:tcPr>
          <w:p>
            <w:pPr>
              <w:spacing w:after="0"/>
              <w:rPr>
                <w:sz w:val="13"/>
                <w:szCs w:val="13"/>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(21,106)</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16,502</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(11,158)</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73,015</w:t>
            </w:r>
          </w:p>
        </w:tc>
      </w:tr>
      <w:tr>
        <w:trPr>
          <w:trHeight w:val="182"/>
        </w:trPr>
        <w:tc>
          <w:tcPr>
            <w:tcW w:w="6300" w:type="dxa"/>
            <w:vAlign w:val="bottom"/>
          </w:tcPr>
          <w:p>
            <w:pPr>
              <w:ind w:left="880"/>
              <w:spacing w:after="0"/>
              <w:rPr>
                <w:sz w:val="20"/>
                <w:szCs w:val="20"/>
                <w:color w:val="auto"/>
              </w:rPr>
            </w:pPr>
            <w:r>
              <w:rPr>
                <w:rFonts w:ascii="Arial" w:cs="Arial" w:eastAsia="Arial" w:hAnsi="Arial"/>
                <w:sz w:val="11"/>
                <w:szCs w:val="11"/>
                <w:color w:val="auto"/>
              </w:rPr>
              <w:t>Less: Net income (loss) attributable to noncontrolling interests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(2,797)</w:t>
            </w:r>
          </w:p>
        </w:tc>
        <w:tc>
          <w:tcPr>
            <w:tcW w:w="1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450</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(1,359)</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1,292</w:t>
            </w:r>
          </w:p>
        </w:tc>
      </w:tr>
      <w:tr>
        <w:trPr>
          <w:trHeight w:val="169"/>
        </w:trPr>
        <w:tc>
          <w:tcPr>
            <w:tcW w:w="6300" w:type="dxa"/>
            <w:vAlign w:val="bottom"/>
          </w:tcPr>
          <w:p>
            <w:pPr>
              <w:ind w:left="1020"/>
              <w:spacing w:after="0"/>
              <w:rPr>
                <w:sz w:val="20"/>
                <w:szCs w:val="20"/>
                <w:color w:val="auto"/>
              </w:rPr>
            </w:pPr>
            <w:r>
              <w:rPr>
                <w:rFonts w:ascii="Arial" w:cs="Arial" w:eastAsia="Arial" w:hAnsi="Arial"/>
                <w:sz w:val="11"/>
                <w:szCs w:val="11"/>
                <w:color w:val="auto"/>
              </w:rPr>
              <w:t>Net income (loss) attributable to EchoStar Corporation common stock</w:t>
            </w: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(18,309)</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ind w:right="62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16,052</w:t>
            </w:r>
          </w:p>
        </w:tc>
        <w:tc>
          <w:tcPr>
            <w:tcW w:w="120" w:type="dxa"/>
            <w:vAlign w:val="bottom"/>
          </w:tcPr>
          <w:p>
            <w:pPr>
              <w:spacing w:after="0"/>
              <w:rPr>
                <w:sz w:val="14"/>
                <w:szCs w:val="14"/>
                <w:color w:val="auto"/>
              </w:rPr>
            </w:pPr>
          </w:p>
        </w:tc>
        <w:tc>
          <w:tcPr>
            <w:tcW w:w="2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(9,799)</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71,723</w:t>
            </w:r>
          </w:p>
        </w:tc>
      </w:tr>
      <w:tr>
        <w:trPr>
          <w:trHeight w:val="365"/>
        </w:trPr>
        <w:tc>
          <w:tcPr>
            <w:tcW w:w="6300" w:type="dxa"/>
            <w:vAlign w:val="bottom"/>
          </w:tcPr>
          <w:p>
            <w:pPr>
              <w:spacing w:after="0"/>
              <w:rPr>
                <w:sz w:val="20"/>
                <w:szCs w:val="20"/>
                <w:color w:val="auto"/>
              </w:rPr>
            </w:pPr>
            <w:r>
              <w:rPr>
                <w:rFonts w:ascii="Arial" w:cs="Arial" w:eastAsia="Arial" w:hAnsi="Arial"/>
                <w:sz w:val="11"/>
                <w:szCs w:val="11"/>
                <w:b w:val="1"/>
                <w:bCs w:val="1"/>
                <w:color w:val="auto"/>
              </w:rPr>
              <w:t>Earnings per share - Class A and B common stock:</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0"/>
        </w:trPr>
        <w:tc>
          <w:tcPr>
            <w:tcW w:w="6300" w:type="dxa"/>
            <w:vAlign w:val="bottom"/>
          </w:tcPr>
          <w:p>
            <w:pPr>
              <w:ind w:left="160"/>
              <w:spacing w:after="0"/>
              <w:rPr>
                <w:sz w:val="20"/>
                <w:szCs w:val="20"/>
                <w:color w:val="auto"/>
              </w:rPr>
            </w:pPr>
            <w:r>
              <w:rPr>
                <w:rFonts w:ascii="Arial" w:cs="Arial" w:eastAsia="Arial" w:hAnsi="Arial"/>
                <w:sz w:val="11"/>
                <w:szCs w:val="11"/>
                <w:color w:val="auto"/>
              </w:rPr>
              <w:t>Basic loss from continuing operations per share</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(0.21)</w:t>
            </w:r>
          </w:p>
        </w:tc>
        <w:tc>
          <w:tcPr>
            <w:tcW w:w="120" w:type="dxa"/>
            <w:vAlign w:val="bottom"/>
          </w:tcPr>
          <w:p>
            <w:pPr>
              <w:spacing w:after="0"/>
              <w:rPr>
                <w:sz w:val="15"/>
                <w:szCs w:val="15"/>
                <w:color w:val="auto"/>
              </w:rPr>
            </w:pPr>
          </w:p>
        </w:tc>
        <w:tc>
          <w:tcPr>
            <w:tcW w:w="760" w:type="dxa"/>
            <w:vAlign w:val="bottom"/>
          </w:tcPr>
          <w:p>
            <w:pPr>
              <w:jc w:val="right"/>
              <w:ind w:right="626"/>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(0.04)</w:t>
            </w:r>
          </w:p>
        </w:tc>
        <w:tc>
          <w:tcPr>
            <w:tcW w:w="120" w:type="dxa"/>
            <w:vAlign w:val="bottom"/>
          </w:tcPr>
          <w:p>
            <w:pPr>
              <w:spacing w:after="0"/>
              <w:rPr>
                <w:sz w:val="15"/>
                <w:szCs w:val="15"/>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(0.58)</w:t>
            </w:r>
          </w:p>
        </w:tc>
        <w:tc>
          <w:tcPr>
            <w:tcW w:w="120" w:type="dxa"/>
            <w:vAlign w:val="bottom"/>
          </w:tcPr>
          <w:p>
            <w:pPr>
              <w:spacing w:after="0"/>
              <w:rPr>
                <w:sz w:val="15"/>
                <w:szCs w:val="15"/>
                <w:color w:val="auto"/>
              </w:rPr>
            </w:pP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(0.05)</w:t>
            </w:r>
          </w:p>
        </w:tc>
      </w:tr>
      <w:tr>
        <w:trPr>
          <w:trHeight w:val="180"/>
        </w:trPr>
        <w:tc>
          <w:tcPr>
            <w:tcW w:w="6300" w:type="dxa"/>
            <w:vAlign w:val="bottom"/>
          </w:tcPr>
          <w:p>
            <w:pPr>
              <w:ind w:left="160"/>
              <w:spacing w:after="0"/>
              <w:rPr>
                <w:sz w:val="20"/>
                <w:szCs w:val="20"/>
                <w:color w:val="auto"/>
              </w:rPr>
            </w:pPr>
            <w:r>
              <w:rPr>
                <w:rFonts w:ascii="Arial" w:cs="Arial" w:eastAsia="Arial" w:hAnsi="Arial"/>
                <w:sz w:val="11"/>
                <w:szCs w:val="11"/>
                <w:color w:val="auto"/>
              </w:rPr>
              <w:t>Total basic earnings (loss) per share</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(0.19)</w:t>
            </w:r>
          </w:p>
        </w:tc>
        <w:tc>
          <w:tcPr>
            <w:tcW w:w="120" w:type="dxa"/>
            <w:vAlign w:val="bottom"/>
          </w:tcPr>
          <w:p>
            <w:pPr>
              <w:spacing w:after="0"/>
              <w:rPr>
                <w:sz w:val="15"/>
                <w:szCs w:val="15"/>
                <w:color w:val="auto"/>
              </w:rPr>
            </w:pPr>
          </w:p>
        </w:tc>
        <w:tc>
          <w:tcPr>
            <w:tcW w:w="760" w:type="dxa"/>
            <w:vAlign w:val="bottom"/>
          </w:tcPr>
          <w:p>
            <w:pPr>
              <w:jc w:val="right"/>
              <w:ind w:right="626"/>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0.17</w:t>
            </w:r>
          </w:p>
        </w:tc>
        <w:tc>
          <w:tcPr>
            <w:tcW w:w="120" w:type="dxa"/>
            <w:vAlign w:val="bottom"/>
          </w:tcPr>
          <w:p>
            <w:pPr>
              <w:spacing w:after="0"/>
              <w:rPr>
                <w:sz w:val="15"/>
                <w:szCs w:val="15"/>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(0.10)</w:t>
            </w:r>
          </w:p>
        </w:tc>
        <w:tc>
          <w:tcPr>
            <w:tcW w:w="120" w:type="dxa"/>
            <w:vAlign w:val="bottom"/>
          </w:tcPr>
          <w:p>
            <w:pPr>
              <w:spacing w:after="0"/>
              <w:rPr>
                <w:sz w:val="15"/>
                <w:szCs w:val="15"/>
                <w:color w:val="auto"/>
              </w:rPr>
            </w:pP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0.75</w:t>
            </w:r>
          </w:p>
        </w:tc>
      </w:tr>
      <w:tr>
        <w:trPr>
          <w:trHeight w:val="180"/>
        </w:trPr>
        <w:tc>
          <w:tcPr>
            <w:tcW w:w="6300" w:type="dxa"/>
            <w:vAlign w:val="bottom"/>
          </w:tcPr>
          <w:p>
            <w:pPr>
              <w:ind w:left="160"/>
              <w:spacing w:after="0"/>
              <w:rPr>
                <w:sz w:val="20"/>
                <w:szCs w:val="20"/>
                <w:color w:val="auto"/>
              </w:rPr>
            </w:pPr>
            <w:r>
              <w:rPr>
                <w:rFonts w:ascii="Arial" w:cs="Arial" w:eastAsia="Arial" w:hAnsi="Arial"/>
                <w:sz w:val="11"/>
                <w:szCs w:val="11"/>
                <w:color w:val="auto"/>
              </w:rPr>
              <w:t>Diluted loss from continuing operations per share</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(0.21)</w:t>
            </w:r>
          </w:p>
        </w:tc>
        <w:tc>
          <w:tcPr>
            <w:tcW w:w="120" w:type="dxa"/>
            <w:vAlign w:val="bottom"/>
          </w:tcPr>
          <w:p>
            <w:pPr>
              <w:spacing w:after="0"/>
              <w:rPr>
                <w:sz w:val="15"/>
                <w:szCs w:val="15"/>
                <w:color w:val="auto"/>
              </w:rPr>
            </w:pPr>
          </w:p>
        </w:tc>
        <w:tc>
          <w:tcPr>
            <w:tcW w:w="760" w:type="dxa"/>
            <w:vAlign w:val="bottom"/>
          </w:tcPr>
          <w:p>
            <w:pPr>
              <w:jc w:val="right"/>
              <w:ind w:right="626"/>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26"/>
              <w:spacing w:after="0"/>
              <w:rPr>
                <w:sz w:val="20"/>
                <w:szCs w:val="20"/>
                <w:color w:val="auto"/>
              </w:rPr>
            </w:pPr>
            <w:r>
              <w:rPr>
                <w:rFonts w:ascii="Arial" w:cs="Arial" w:eastAsia="Arial" w:hAnsi="Arial"/>
                <w:sz w:val="11"/>
                <w:szCs w:val="11"/>
                <w:color w:val="auto"/>
              </w:rPr>
              <w:t>(0.04)</w:t>
            </w:r>
          </w:p>
        </w:tc>
        <w:tc>
          <w:tcPr>
            <w:tcW w:w="120" w:type="dxa"/>
            <w:vAlign w:val="bottom"/>
          </w:tcPr>
          <w:p>
            <w:pPr>
              <w:spacing w:after="0"/>
              <w:rPr>
                <w:sz w:val="15"/>
                <w:szCs w:val="15"/>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(0.58)</w:t>
            </w:r>
          </w:p>
        </w:tc>
        <w:tc>
          <w:tcPr>
            <w:tcW w:w="120" w:type="dxa"/>
            <w:vAlign w:val="bottom"/>
          </w:tcPr>
          <w:p>
            <w:pPr>
              <w:spacing w:after="0"/>
              <w:rPr>
                <w:sz w:val="15"/>
                <w:szCs w:val="15"/>
                <w:color w:val="auto"/>
              </w:rPr>
            </w:pP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(0.05)</w:t>
            </w:r>
          </w:p>
        </w:tc>
      </w:tr>
      <w:tr>
        <w:trPr>
          <w:trHeight w:val="180"/>
        </w:trPr>
        <w:tc>
          <w:tcPr>
            <w:tcW w:w="6300" w:type="dxa"/>
            <w:vAlign w:val="bottom"/>
          </w:tcPr>
          <w:p>
            <w:pPr>
              <w:ind w:left="160"/>
              <w:spacing w:after="0"/>
              <w:rPr>
                <w:sz w:val="20"/>
                <w:szCs w:val="20"/>
                <w:color w:val="auto"/>
              </w:rPr>
            </w:pPr>
            <w:r>
              <w:rPr>
                <w:rFonts w:ascii="Arial" w:cs="Arial" w:eastAsia="Arial" w:hAnsi="Arial"/>
                <w:sz w:val="11"/>
                <w:szCs w:val="11"/>
                <w:color w:val="auto"/>
              </w:rPr>
              <w:t>Total diluted earnings (loss) per share</w:t>
            </w: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(0.19)</w:t>
            </w:r>
          </w:p>
        </w:tc>
        <w:tc>
          <w:tcPr>
            <w:tcW w:w="120" w:type="dxa"/>
            <w:vAlign w:val="bottom"/>
          </w:tcPr>
          <w:p>
            <w:pPr>
              <w:spacing w:after="0"/>
              <w:rPr>
                <w:sz w:val="15"/>
                <w:szCs w:val="15"/>
                <w:color w:val="auto"/>
              </w:rPr>
            </w:pPr>
          </w:p>
        </w:tc>
        <w:tc>
          <w:tcPr>
            <w:tcW w:w="760" w:type="dxa"/>
            <w:vAlign w:val="bottom"/>
          </w:tcPr>
          <w:p>
            <w:pPr>
              <w:jc w:val="right"/>
              <w:ind w:right="626"/>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6"/>
              <w:spacing w:after="0"/>
              <w:rPr>
                <w:sz w:val="20"/>
                <w:szCs w:val="20"/>
                <w:color w:val="auto"/>
              </w:rPr>
            </w:pPr>
            <w:r>
              <w:rPr>
                <w:rFonts w:ascii="Arial" w:cs="Arial" w:eastAsia="Arial" w:hAnsi="Arial"/>
                <w:sz w:val="11"/>
                <w:szCs w:val="11"/>
                <w:color w:val="auto"/>
              </w:rPr>
              <w:t>0.17</w:t>
            </w:r>
          </w:p>
        </w:tc>
        <w:tc>
          <w:tcPr>
            <w:tcW w:w="120" w:type="dxa"/>
            <w:vAlign w:val="bottom"/>
          </w:tcPr>
          <w:p>
            <w:pPr>
              <w:spacing w:after="0"/>
              <w:rPr>
                <w:sz w:val="15"/>
                <w:szCs w:val="15"/>
                <w:color w:val="auto"/>
              </w:rPr>
            </w:pPr>
          </w:p>
        </w:tc>
        <w:tc>
          <w:tcPr>
            <w:tcW w:w="260" w:type="dxa"/>
            <w:vAlign w:val="bottom"/>
          </w:tcPr>
          <w:p>
            <w:pPr>
              <w:jc w:val="right"/>
              <w:ind w:right="126"/>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(0.10)</w:t>
            </w:r>
          </w:p>
        </w:tc>
        <w:tc>
          <w:tcPr>
            <w:tcW w:w="120" w:type="dxa"/>
            <w:vAlign w:val="bottom"/>
          </w:tcPr>
          <w:p>
            <w:pPr>
              <w:spacing w:after="0"/>
              <w:rPr>
                <w:sz w:val="15"/>
                <w:szCs w:val="15"/>
                <w:color w:val="auto"/>
              </w:rPr>
            </w:pPr>
          </w:p>
        </w:tc>
        <w:tc>
          <w:tcPr>
            <w:tcW w:w="280" w:type="dxa"/>
            <w:vAlign w:val="bottom"/>
          </w:tcPr>
          <w:p>
            <w:pPr>
              <w:jc w:val="right"/>
              <w:ind w:right="14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0.75</w:t>
            </w:r>
          </w:p>
        </w:tc>
      </w:tr>
    </w:tbl>
    <w:p>
      <w:pPr>
        <w:spacing w:after="0" w:line="328" w:lineRule="exact"/>
        <w:rPr>
          <w:sz w:val="20"/>
          <w:szCs w:val="20"/>
          <w:color w:val="auto"/>
        </w:rPr>
      </w:pPr>
    </w:p>
    <w:p>
      <w:pPr>
        <w:ind w:left="5160"/>
        <w:spacing w:after="0"/>
        <w:rPr>
          <w:sz w:val="20"/>
          <w:szCs w:val="20"/>
          <w:color w:val="auto"/>
        </w:rPr>
      </w:pPr>
      <w:r>
        <w:rPr>
          <w:rFonts w:ascii="Arial" w:cs="Arial" w:eastAsia="Arial" w:hAnsi="Arial"/>
          <w:sz w:val="12"/>
          <w:szCs w:val="12"/>
          <w:color w:val="auto"/>
        </w:rPr>
        <w:t>6</w:t>
      </w:r>
    </w:p>
    <w:p>
      <w:pPr>
        <w:sectPr>
          <w:pgSz w:w="11900" w:h="16838" w:orient="portrait"/>
          <w:cols w:equalWidth="0" w:num="1">
            <w:col w:w="11460"/>
          </w:cols>
          <w:pgMar w:left="240" w:top="287" w:right="199" w:bottom="1440" w:gutter="0" w:footer="0" w:header="0"/>
        </w:sectPr>
      </w:pPr>
    </w:p>
    <w:bookmarkStart w:id="89" w:name="page90"/>
    <w:bookmarkEnd w:id="89"/>
    <w:p>
      <w:pPr>
        <w:jc w:val="center"/>
        <w:ind w:right="40"/>
        <w:spacing w:after="0"/>
        <w:rPr>
          <w:sz w:val="20"/>
          <w:szCs w:val="20"/>
          <w:color w:val="auto"/>
        </w:rPr>
      </w:pPr>
      <w:r>
        <w:rPr>
          <w:rFonts w:ascii="Arial" w:cs="Arial" w:eastAsia="Arial" w:hAnsi="Arial"/>
          <w:sz w:val="12"/>
          <w:szCs w:val="12"/>
          <w:b w:val="1"/>
          <w:bCs w:val="1"/>
          <w:color w:val="auto"/>
        </w:rPr>
        <w:t>ECHOSTAR CORPORATION</w:t>
      </w:r>
    </w:p>
    <w:p>
      <w:pPr>
        <w:spacing w:after="0" w:line="20" w:lineRule="exact"/>
        <w:rPr>
          <w:sz w:val="20"/>
          <w:szCs w:val="20"/>
          <w:color w:val="auto"/>
        </w:rPr>
      </w:pPr>
    </w:p>
    <w:p>
      <w:pPr>
        <w:ind w:left="4220"/>
        <w:spacing w:after="0"/>
        <w:rPr>
          <w:sz w:val="20"/>
          <w:szCs w:val="20"/>
          <w:color w:val="auto"/>
        </w:rPr>
      </w:pPr>
      <w:r>
        <w:rPr>
          <w:rFonts w:ascii="Arial" w:cs="Arial" w:eastAsia="Arial" w:hAnsi="Arial"/>
          <w:sz w:val="12"/>
          <w:szCs w:val="12"/>
          <w:b w:val="1"/>
          <w:bCs w:val="1"/>
          <w:color w:val="auto"/>
        </w:rPr>
        <w:t>Condensed Consolidated Statements of Cash Flows</w:t>
      </w:r>
    </w:p>
    <w:p>
      <w:pPr>
        <w:spacing w:after="0" w:line="6" w:lineRule="exact"/>
        <w:rPr>
          <w:sz w:val="20"/>
          <w:szCs w:val="20"/>
          <w:color w:val="auto"/>
        </w:rPr>
      </w:pPr>
    </w:p>
    <w:p>
      <w:pPr>
        <w:ind w:left="4240"/>
        <w:spacing w:after="0"/>
        <w:rPr>
          <w:sz w:val="20"/>
          <w:szCs w:val="20"/>
          <w:color w:val="auto"/>
        </w:rPr>
      </w:pPr>
      <w:r>
        <w:rPr>
          <w:rFonts w:ascii="Arial" w:cs="Arial" w:eastAsia="Arial" w:hAnsi="Arial"/>
          <w:sz w:val="12"/>
          <w:szCs w:val="12"/>
          <w:b w:val="1"/>
          <w:bCs w:val="1"/>
          <w:color w:val="auto"/>
        </w:rPr>
        <w:t>(Amounts in thousands, except per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768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For the nine months ended September 30,</w:t>
            </w:r>
          </w:p>
        </w:tc>
        <w:tc>
          <w:tcPr>
            <w:tcW w:w="1020" w:type="dxa"/>
            <w:vAlign w:val="bottom"/>
            <w:tcBorders>
              <w:bottom w:val="single" w:sz="8" w:color="auto"/>
            </w:tcBorders>
          </w:tcPr>
          <w:p>
            <w:pPr>
              <w:spacing w:after="0"/>
              <w:rPr>
                <w:sz w:val="10"/>
                <w:szCs w:val="10"/>
                <w:color w:val="auto"/>
              </w:rPr>
            </w:pPr>
          </w:p>
        </w:tc>
      </w:tr>
      <w:tr>
        <w:trPr>
          <w:trHeight w:val="164"/>
        </w:trPr>
        <w:tc>
          <w:tcPr>
            <w:tcW w:w="768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8"/>
                <w:szCs w:val="8"/>
                <w:b w:val="1"/>
                <w:bCs w:val="1"/>
                <w:color w:val="auto"/>
              </w:rPr>
              <w:t>2019</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78"/>
              <w:spacing w:after="0"/>
              <w:rPr>
                <w:sz w:val="20"/>
                <w:szCs w:val="20"/>
                <w:color w:val="auto"/>
              </w:rPr>
            </w:pPr>
            <w:r>
              <w:rPr>
                <w:rFonts w:ascii="Arial" w:cs="Arial" w:eastAsia="Arial" w:hAnsi="Arial"/>
                <w:sz w:val="8"/>
                <w:szCs w:val="8"/>
                <w:b w:val="1"/>
                <w:bCs w:val="1"/>
                <w:color w:val="auto"/>
              </w:rPr>
              <w:t>2018</w:t>
            </w:r>
          </w:p>
        </w:tc>
      </w:tr>
      <w:tr>
        <w:trPr>
          <w:trHeight w:val="348"/>
        </w:trPr>
        <w:tc>
          <w:tcPr>
            <w:tcW w:w="7680" w:type="dxa"/>
            <w:vAlign w:val="bottom"/>
          </w:tcPr>
          <w:p>
            <w:pPr>
              <w:spacing w:after="0"/>
              <w:rPr>
                <w:sz w:val="20"/>
                <w:szCs w:val="20"/>
                <w:color w:val="auto"/>
              </w:rPr>
            </w:pPr>
            <w:r>
              <w:rPr>
                <w:rFonts w:ascii="Arial" w:cs="Arial" w:eastAsia="Arial" w:hAnsi="Arial"/>
                <w:sz w:val="8"/>
                <w:szCs w:val="8"/>
                <w:b w:val="1"/>
                <w:bCs w:val="1"/>
                <w:color w:val="auto"/>
              </w:rPr>
              <w:t>Cash flows from operating activities:</w:t>
            </w: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0"/>
        </w:trPr>
        <w:tc>
          <w:tcPr>
            <w:tcW w:w="7680" w:type="dxa"/>
            <w:vAlign w:val="bottom"/>
          </w:tcPr>
          <w:p>
            <w:pPr>
              <w:ind w:left="160"/>
              <w:spacing w:after="0"/>
              <w:rPr>
                <w:sz w:val="20"/>
                <w:szCs w:val="20"/>
                <w:color w:val="auto"/>
              </w:rPr>
            </w:pPr>
            <w:r>
              <w:rPr>
                <w:rFonts w:ascii="Arial" w:cs="Arial" w:eastAsia="Arial" w:hAnsi="Arial"/>
                <w:sz w:val="8"/>
                <w:szCs w:val="8"/>
                <w:color w:val="auto"/>
              </w:rPr>
              <w:t>Net income (loss)</w:t>
            </w:r>
          </w:p>
        </w:tc>
        <w:tc>
          <w:tcPr>
            <w:tcW w:w="1040" w:type="dxa"/>
            <w:vAlign w:val="bottom"/>
          </w:tcPr>
          <w:p>
            <w:pPr>
              <w:jc w:val="right"/>
              <w:ind w:right="938"/>
              <w:spacing w:after="0"/>
              <w:rPr>
                <w:sz w:val="20"/>
                <w:szCs w:val="20"/>
                <w:color w:val="auto"/>
              </w:rPr>
            </w:pPr>
            <w:r>
              <w:rPr>
                <w:rFonts w:ascii="Arial" w:cs="Arial" w:eastAsia="Arial" w:hAnsi="Arial"/>
                <w:sz w:val="8"/>
                <w:szCs w:val="8"/>
                <w:color w:val="auto"/>
                <w:w w:val="88"/>
              </w:rPr>
              <w:t>$</w:t>
            </w:r>
          </w:p>
        </w:tc>
        <w:tc>
          <w:tcPr>
            <w:tcW w:w="800" w:type="dxa"/>
            <w:vAlign w:val="bottom"/>
          </w:tcPr>
          <w:p>
            <w:pPr>
              <w:jc w:val="right"/>
              <w:ind w:right="38"/>
              <w:spacing w:after="0"/>
              <w:rPr>
                <w:sz w:val="20"/>
                <w:szCs w:val="20"/>
                <w:color w:val="auto"/>
              </w:rPr>
            </w:pPr>
            <w:r>
              <w:rPr>
                <w:rFonts w:ascii="Arial" w:cs="Arial" w:eastAsia="Arial" w:hAnsi="Arial"/>
                <w:sz w:val="8"/>
                <w:szCs w:val="8"/>
                <w:color w:val="auto"/>
              </w:rPr>
              <w:t>(11,158)</w:t>
            </w:r>
          </w:p>
        </w:tc>
        <w:tc>
          <w:tcPr>
            <w:tcW w:w="120" w:type="dxa"/>
            <w:vAlign w:val="bottom"/>
          </w:tcPr>
          <w:p>
            <w:pPr>
              <w:spacing w:after="0"/>
              <w:rPr>
                <w:sz w:val="15"/>
                <w:szCs w:val="15"/>
                <w:color w:val="auto"/>
              </w:rPr>
            </w:pPr>
          </w:p>
        </w:tc>
        <w:tc>
          <w:tcPr>
            <w:tcW w:w="800" w:type="dxa"/>
            <w:vAlign w:val="bottom"/>
          </w:tcPr>
          <w:p>
            <w:pPr>
              <w:jc w:val="right"/>
              <w:ind w:right="698"/>
              <w:spacing w:after="0"/>
              <w:rPr>
                <w:sz w:val="20"/>
                <w:szCs w:val="20"/>
                <w:color w:val="auto"/>
              </w:rPr>
            </w:pPr>
            <w:r>
              <w:rPr>
                <w:rFonts w:ascii="Arial" w:cs="Arial" w:eastAsia="Arial" w:hAnsi="Arial"/>
                <w:sz w:val="8"/>
                <w:szCs w:val="8"/>
                <w:color w:val="auto"/>
                <w:w w:val="88"/>
              </w:rPr>
              <w:t>$</w:t>
            </w:r>
          </w:p>
        </w:tc>
        <w:tc>
          <w:tcPr>
            <w:tcW w:w="1020" w:type="dxa"/>
            <w:vAlign w:val="bottom"/>
          </w:tcPr>
          <w:p>
            <w:pPr>
              <w:jc w:val="right"/>
              <w:ind w:right="78"/>
              <w:spacing w:after="0"/>
              <w:rPr>
                <w:sz w:val="20"/>
                <w:szCs w:val="20"/>
                <w:color w:val="auto"/>
              </w:rPr>
            </w:pPr>
            <w:r>
              <w:rPr>
                <w:rFonts w:ascii="Arial" w:cs="Arial" w:eastAsia="Arial" w:hAnsi="Arial"/>
                <w:sz w:val="8"/>
                <w:szCs w:val="8"/>
                <w:color w:val="auto"/>
              </w:rPr>
              <w:t>73,015</w:t>
            </w:r>
          </w:p>
        </w:tc>
      </w:tr>
      <w:tr>
        <w:trPr>
          <w:trHeight w:val="180"/>
        </w:trPr>
        <w:tc>
          <w:tcPr>
            <w:tcW w:w="7680" w:type="dxa"/>
            <w:vAlign w:val="bottom"/>
          </w:tcPr>
          <w:p>
            <w:pPr>
              <w:ind w:left="160"/>
              <w:spacing w:after="0"/>
              <w:rPr>
                <w:sz w:val="20"/>
                <w:szCs w:val="20"/>
                <w:color w:val="auto"/>
              </w:rPr>
            </w:pPr>
            <w:r>
              <w:rPr>
                <w:rFonts w:ascii="Arial" w:cs="Arial" w:eastAsia="Arial" w:hAnsi="Arial"/>
                <w:sz w:val="8"/>
                <w:szCs w:val="8"/>
                <w:color w:val="auto"/>
              </w:rPr>
              <w:t>Adjustments to reconcile net income (loss) to net cash flows from operating activities:</w:t>
            </w: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7680" w:type="dxa"/>
            <w:vAlign w:val="bottom"/>
          </w:tcPr>
          <w:p>
            <w:pPr>
              <w:ind w:left="300"/>
              <w:spacing w:after="0"/>
              <w:rPr>
                <w:sz w:val="20"/>
                <w:szCs w:val="20"/>
                <w:color w:val="auto"/>
              </w:rPr>
            </w:pPr>
            <w:r>
              <w:rPr>
                <w:rFonts w:ascii="Arial" w:cs="Arial" w:eastAsia="Arial" w:hAnsi="Arial"/>
                <w:sz w:val="8"/>
                <w:szCs w:val="8"/>
                <w:color w:val="auto"/>
              </w:rPr>
              <w:t>Depreciation and amortization</w:t>
            </w:r>
          </w:p>
        </w:tc>
        <w:tc>
          <w:tcPr>
            <w:tcW w:w="1040" w:type="dxa"/>
            <w:vAlign w:val="bottom"/>
          </w:tcPr>
          <w:p>
            <w:pPr>
              <w:spacing w:after="0"/>
              <w:rPr>
                <w:sz w:val="15"/>
                <w:szCs w:val="15"/>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459,054</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78"/>
              <w:spacing w:after="0"/>
              <w:rPr>
                <w:sz w:val="20"/>
                <w:szCs w:val="20"/>
                <w:color w:val="auto"/>
              </w:rPr>
            </w:pPr>
            <w:r>
              <w:rPr>
                <w:rFonts w:ascii="Arial" w:cs="Arial" w:eastAsia="Arial" w:hAnsi="Arial"/>
                <w:sz w:val="8"/>
                <w:szCs w:val="8"/>
                <w:color w:val="auto"/>
              </w:rPr>
              <w:t>444,558</w:t>
            </w:r>
          </w:p>
        </w:tc>
      </w:tr>
      <w:tr>
        <w:trPr>
          <w:trHeight w:val="180"/>
        </w:trPr>
        <w:tc>
          <w:tcPr>
            <w:tcW w:w="7680" w:type="dxa"/>
            <w:vAlign w:val="bottom"/>
          </w:tcPr>
          <w:p>
            <w:pPr>
              <w:ind w:left="300"/>
              <w:spacing w:after="0"/>
              <w:rPr>
                <w:sz w:val="20"/>
                <w:szCs w:val="20"/>
                <w:color w:val="auto"/>
              </w:rPr>
            </w:pPr>
            <w:r>
              <w:rPr>
                <w:rFonts w:ascii="Arial" w:cs="Arial" w:eastAsia="Arial" w:hAnsi="Arial"/>
                <w:sz w:val="8"/>
                <w:szCs w:val="8"/>
                <w:color w:val="auto"/>
              </w:rPr>
              <w:t>Equity in losses of unconsolidated affiliates, net</w:t>
            </w:r>
          </w:p>
        </w:tc>
        <w:tc>
          <w:tcPr>
            <w:tcW w:w="1040" w:type="dxa"/>
            <w:vAlign w:val="bottom"/>
          </w:tcPr>
          <w:p>
            <w:pPr>
              <w:spacing w:after="0"/>
              <w:rPr>
                <w:sz w:val="15"/>
                <w:szCs w:val="15"/>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14,317</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78"/>
              <w:spacing w:after="0"/>
              <w:rPr>
                <w:sz w:val="20"/>
                <w:szCs w:val="20"/>
                <w:color w:val="auto"/>
              </w:rPr>
            </w:pPr>
            <w:r>
              <w:rPr>
                <w:rFonts w:ascii="Arial" w:cs="Arial" w:eastAsia="Arial" w:hAnsi="Arial"/>
                <w:sz w:val="8"/>
                <w:szCs w:val="8"/>
                <w:color w:val="auto"/>
              </w:rPr>
              <w:t>2,651</w:t>
            </w:r>
          </w:p>
        </w:tc>
      </w:tr>
      <w:tr>
        <w:trPr>
          <w:trHeight w:val="180"/>
        </w:trPr>
        <w:tc>
          <w:tcPr>
            <w:tcW w:w="7680" w:type="dxa"/>
            <w:vAlign w:val="bottom"/>
          </w:tcPr>
          <w:p>
            <w:pPr>
              <w:ind w:left="300"/>
              <w:spacing w:after="0"/>
              <w:rPr>
                <w:sz w:val="20"/>
                <w:szCs w:val="20"/>
                <w:color w:val="auto"/>
              </w:rPr>
            </w:pPr>
            <w:r>
              <w:rPr>
                <w:rFonts w:ascii="Arial" w:cs="Arial" w:eastAsia="Arial" w:hAnsi="Arial"/>
                <w:sz w:val="8"/>
                <w:szCs w:val="8"/>
                <w:color w:val="auto"/>
              </w:rPr>
              <w:t>Amortization of debt issuance costs</w:t>
            </w:r>
          </w:p>
        </w:tc>
        <w:tc>
          <w:tcPr>
            <w:tcW w:w="1040" w:type="dxa"/>
            <w:vAlign w:val="bottom"/>
          </w:tcPr>
          <w:p>
            <w:pPr>
              <w:spacing w:after="0"/>
              <w:rPr>
                <w:sz w:val="15"/>
                <w:szCs w:val="15"/>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4,882</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78"/>
              <w:spacing w:after="0"/>
              <w:rPr>
                <w:sz w:val="20"/>
                <w:szCs w:val="20"/>
                <w:color w:val="auto"/>
              </w:rPr>
            </w:pPr>
            <w:r>
              <w:rPr>
                <w:rFonts w:ascii="Arial" w:cs="Arial" w:eastAsia="Arial" w:hAnsi="Arial"/>
                <w:sz w:val="8"/>
                <w:szCs w:val="8"/>
                <w:color w:val="auto"/>
              </w:rPr>
              <w:t>5,910</w:t>
            </w:r>
          </w:p>
        </w:tc>
      </w:tr>
      <w:tr>
        <w:trPr>
          <w:trHeight w:val="180"/>
        </w:trPr>
        <w:tc>
          <w:tcPr>
            <w:tcW w:w="7680" w:type="dxa"/>
            <w:vAlign w:val="bottom"/>
          </w:tcPr>
          <w:p>
            <w:pPr>
              <w:ind w:left="300"/>
              <w:spacing w:after="0"/>
              <w:rPr>
                <w:sz w:val="20"/>
                <w:szCs w:val="20"/>
                <w:color w:val="auto"/>
              </w:rPr>
            </w:pPr>
            <w:r>
              <w:rPr>
                <w:rFonts w:ascii="Arial" w:cs="Arial" w:eastAsia="Arial" w:hAnsi="Arial"/>
                <w:sz w:val="8"/>
                <w:szCs w:val="8"/>
                <w:color w:val="auto"/>
              </w:rPr>
              <w:t>(Gains) losses on investments, net</w:t>
            </w:r>
          </w:p>
        </w:tc>
        <w:tc>
          <w:tcPr>
            <w:tcW w:w="1040" w:type="dxa"/>
            <w:vAlign w:val="bottom"/>
          </w:tcPr>
          <w:p>
            <w:pPr>
              <w:spacing w:after="0"/>
              <w:rPr>
                <w:sz w:val="15"/>
                <w:szCs w:val="15"/>
                <w:color w:val="auto"/>
              </w:rPr>
            </w:pPr>
          </w:p>
        </w:tc>
        <w:tc>
          <w:tcPr>
            <w:tcW w:w="800" w:type="dxa"/>
            <w:vAlign w:val="bottom"/>
          </w:tcPr>
          <w:p>
            <w:pPr>
              <w:jc w:val="right"/>
              <w:ind w:right="38"/>
              <w:spacing w:after="0"/>
              <w:rPr>
                <w:sz w:val="20"/>
                <w:szCs w:val="20"/>
                <w:color w:val="auto"/>
              </w:rPr>
            </w:pPr>
            <w:r>
              <w:rPr>
                <w:rFonts w:ascii="Arial" w:cs="Arial" w:eastAsia="Arial" w:hAnsi="Arial"/>
                <w:sz w:val="8"/>
                <w:szCs w:val="8"/>
                <w:color w:val="auto"/>
              </w:rPr>
              <w:t>(28,087)</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38"/>
              <w:spacing w:after="0"/>
              <w:rPr>
                <w:sz w:val="20"/>
                <w:szCs w:val="20"/>
                <w:color w:val="auto"/>
              </w:rPr>
            </w:pPr>
            <w:r>
              <w:rPr>
                <w:rFonts w:ascii="Arial" w:cs="Arial" w:eastAsia="Arial" w:hAnsi="Arial"/>
                <w:sz w:val="8"/>
                <w:szCs w:val="8"/>
                <w:color w:val="auto"/>
              </w:rPr>
              <w:t>(33,524)</w:t>
            </w:r>
          </w:p>
        </w:tc>
      </w:tr>
      <w:tr>
        <w:trPr>
          <w:trHeight w:val="180"/>
        </w:trPr>
        <w:tc>
          <w:tcPr>
            <w:tcW w:w="7680" w:type="dxa"/>
            <w:vAlign w:val="bottom"/>
          </w:tcPr>
          <w:p>
            <w:pPr>
              <w:ind w:left="300"/>
              <w:spacing w:after="0"/>
              <w:rPr>
                <w:sz w:val="20"/>
                <w:szCs w:val="20"/>
                <w:color w:val="auto"/>
              </w:rPr>
            </w:pPr>
            <w:r>
              <w:rPr>
                <w:rFonts w:ascii="Arial" w:cs="Arial" w:eastAsia="Arial" w:hAnsi="Arial"/>
                <w:sz w:val="8"/>
                <w:szCs w:val="8"/>
                <w:color w:val="auto"/>
              </w:rPr>
              <w:t>Stock-based compensation</w:t>
            </w:r>
          </w:p>
        </w:tc>
        <w:tc>
          <w:tcPr>
            <w:tcW w:w="1040" w:type="dxa"/>
            <w:vAlign w:val="bottom"/>
          </w:tcPr>
          <w:p>
            <w:pPr>
              <w:spacing w:after="0"/>
              <w:rPr>
                <w:sz w:val="15"/>
                <w:szCs w:val="15"/>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7,120</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78"/>
              <w:spacing w:after="0"/>
              <w:rPr>
                <w:sz w:val="20"/>
                <w:szCs w:val="20"/>
                <w:color w:val="auto"/>
              </w:rPr>
            </w:pPr>
            <w:r>
              <w:rPr>
                <w:rFonts w:ascii="Arial" w:cs="Arial" w:eastAsia="Arial" w:hAnsi="Arial"/>
                <w:sz w:val="8"/>
                <w:szCs w:val="8"/>
                <w:color w:val="auto"/>
              </w:rPr>
              <w:t>7,771</w:t>
            </w:r>
          </w:p>
        </w:tc>
      </w:tr>
      <w:tr>
        <w:trPr>
          <w:trHeight w:val="180"/>
        </w:trPr>
        <w:tc>
          <w:tcPr>
            <w:tcW w:w="7680" w:type="dxa"/>
            <w:vAlign w:val="bottom"/>
          </w:tcPr>
          <w:p>
            <w:pPr>
              <w:ind w:left="300"/>
              <w:spacing w:after="0"/>
              <w:rPr>
                <w:sz w:val="20"/>
                <w:szCs w:val="20"/>
                <w:color w:val="auto"/>
              </w:rPr>
            </w:pPr>
            <w:r>
              <w:rPr>
                <w:rFonts w:ascii="Arial" w:cs="Arial" w:eastAsia="Arial" w:hAnsi="Arial"/>
                <w:sz w:val="8"/>
                <w:szCs w:val="8"/>
                <w:color w:val="auto"/>
              </w:rPr>
              <w:t>Deferred tax provision</w:t>
            </w:r>
          </w:p>
        </w:tc>
        <w:tc>
          <w:tcPr>
            <w:tcW w:w="1040" w:type="dxa"/>
            <w:vAlign w:val="bottom"/>
          </w:tcPr>
          <w:p>
            <w:pPr>
              <w:spacing w:after="0"/>
              <w:rPr>
                <w:sz w:val="15"/>
                <w:szCs w:val="15"/>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22,949</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78"/>
              <w:spacing w:after="0"/>
              <w:rPr>
                <w:sz w:val="20"/>
                <w:szCs w:val="20"/>
                <w:color w:val="auto"/>
              </w:rPr>
            </w:pPr>
            <w:r>
              <w:rPr>
                <w:rFonts w:ascii="Arial" w:cs="Arial" w:eastAsia="Arial" w:hAnsi="Arial"/>
                <w:sz w:val="8"/>
                <w:szCs w:val="8"/>
                <w:color w:val="auto"/>
              </w:rPr>
              <w:t>22,357</w:t>
            </w:r>
          </w:p>
        </w:tc>
      </w:tr>
      <w:tr>
        <w:trPr>
          <w:trHeight w:val="180"/>
        </w:trPr>
        <w:tc>
          <w:tcPr>
            <w:tcW w:w="7680" w:type="dxa"/>
            <w:vAlign w:val="bottom"/>
          </w:tcPr>
          <w:p>
            <w:pPr>
              <w:ind w:left="300"/>
              <w:spacing w:after="0"/>
              <w:rPr>
                <w:sz w:val="20"/>
                <w:szCs w:val="20"/>
                <w:color w:val="auto"/>
              </w:rPr>
            </w:pPr>
            <w:r>
              <w:rPr>
                <w:rFonts w:ascii="Arial" w:cs="Arial" w:eastAsia="Arial" w:hAnsi="Arial"/>
                <w:sz w:val="8"/>
                <w:szCs w:val="8"/>
                <w:color w:val="auto"/>
              </w:rPr>
              <w:t>Dividend received from unconsolidated entity</w:t>
            </w:r>
          </w:p>
        </w:tc>
        <w:tc>
          <w:tcPr>
            <w:tcW w:w="1040" w:type="dxa"/>
            <w:vAlign w:val="bottom"/>
          </w:tcPr>
          <w:p>
            <w:pPr>
              <w:spacing w:after="0"/>
              <w:rPr>
                <w:sz w:val="15"/>
                <w:szCs w:val="15"/>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2,716</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78"/>
              <w:spacing w:after="0"/>
              <w:rPr>
                <w:sz w:val="20"/>
                <w:szCs w:val="20"/>
                <w:color w:val="auto"/>
              </w:rPr>
            </w:pPr>
            <w:r>
              <w:rPr>
                <w:rFonts w:ascii="Arial" w:cs="Arial" w:eastAsia="Arial" w:hAnsi="Arial"/>
                <w:sz w:val="8"/>
                <w:szCs w:val="8"/>
                <w:color w:val="auto"/>
              </w:rPr>
              <w:t>5,000</w:t>
            </w:r>
          </w:p>
        </w:tc>
      </w:tr>
      <w:tr>
        <w:trPr>
          <w:trHeight w:val="180"/>
        </w:trPr>
        <w:tc>
          <w:tcPr>
            <w:tcW w:w="7680" w:type="dxa"/>
            <w:vAlign w:val="bottom"/>
          </w:tcPr>
          <w:p>
            <w:pPr>
              <w:ind w:left="300"/>
              <w:spacing w:after="0"/>
              <w:rPr>
                <w:sz w:val="20"/>
                <w:szCs w:val="20"/>
                <w:color w:val="auto"/>
              </w:rPr>
            </w:pPr>
            <w:r>
              <w:rPr>
                <w:rFonts w:ascii="Arial" w:cs="Arial" w:eastAsia="Arial" w:hAnsi="Arial"/>
                <w:sz w:val="8"/>
                <w:szCs w:val="8"/>
                <w:color w:val="auto"/>
              </w:rPr>
              <w:t>Changes in current assets and current liabilities, net:</w:t>
            </w:r>
          </w:p>
        </w:tc>
        <w:tc>
          <w:tcPr>
            <w:tcW w:w="10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7680" w:type="dxa"/>
            <w:vAlign w:val="bottom"/>
          </w:tcPr>
          <w:p>
            <w:pPr>
              <w:ind w:left="440"/>
              <w:spacing w:after="0"/>
              <w:rPr>
                <w:sz w:val="20"/>
                <w:szCs w:val="20"/>
                <w:color w:val="auto"/>
              </w:rPr>
            </w:pPr>
            <w:r>
              <w:rPr>
                <w:rFonts w:ascii="Arial" w:cs="Arial" w:eastAsia="Arial" w:hAnsi="Arial"/>
                <w:sz w:val="8"/>
                <w:szCs w:val="8"/>
                <w:color w:val="auto"/>
              </w:rPr>
              <w:t>Trade accounts receivable, net</w:t>
            </w:r>
          </w:p>
        </w:tc>
        <w:tc>
          <w:tcPr>
            <w:tcW w:w="1040" w:type="dxa"/>
            <w:vAlign w:val="bottom"/>
          </w:tcPr>
          <w:p>
            <w:pPr>
              <w:spacing w:after="0"/>
              <w:rPr>
                <w:sz w:val="15"/>
                <w:szCs w:val="15"/>
                <w:color w:val="auto"/>
              </w:rPr>
            </w:pPr>
          </w:p>
        </w:tc>
        <w:tc>
          <w:tcPr>
            <w:tcW w:w="800" w:type="dxa"/>
            <w:vAlign w:val="bottom"/>
          </w:tcPr>
          <w:p>
            <w:pPr>
              <w:jc w:val="right"/>
              <w:ind w:right="38"/>
              <w:spacing w:after="0"/>
              <w:rPr>
                <w:sz w:val="20"/>
                <w:szCs w:val="20"/>
                <w:color w:val="auto"/>
              </w:rPr>
            </w:pPr>
            <w:r>
              <w:rPr>
                <w:rFonts w:ascii="Arial" w:cs="Arial" w:eastAsia="Arial" w:hAnsi="Arial"/>
                <w:sz w:val="8"/>
                <w:szCs w:val="8"/>
                <w:color w:val="auto"/>
              </w:rPr>
              <w:t>(5,439)</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38"/>
              <w:spacing w:after="0"/>
              <w:rPr>
                <w:sz w:val="20"/>
                <w:szCs w:val="20"/>
                <w:color w:val="auto"/>
              </w:rPr>
            </w:pPr>
            <w:r>
              <w:rPr>
                <w:rFonts w:ascii="Arial" w:cs="Arial" w:eastAsia="Arial" w:hAnsi="Arial"/>
                <w:sz w:val="8"/>
                <w:szCs w:val="8"/>
                <w:color w:val="auto"/>
              </w:rPr>
              <w:t>(35,811)</w:t>
            </w:r>
          </w:p>
        </w:tc>
      </w:tr>
      <w:tr>
        <w:trPr>
          <w:trHeight w:val="180"/>
        </w:trPr>
        <w:tc>
          <w:tcPr>
            <w:tcW w:w="7680" w:type="dxa"/>
            <w:vAlign w:val="bottom"/>
          </w:tcPr>
          <w:p>
            <w:pPr>
              <w:ind w:left="440"/>
              <w:spacing w:after="0"/>
              <w:rPr>
                <w:sz w:val="20"/>
                <w:szCs w:val="20"/>
                <w:color w:val="auto"/>
              </w:rPr>
            </w:pPr>
            <w:r>
              <w:rPr>
                <w:rFonts w:ascii="Arial" w:cs="Arial" w:eastAsia="Arial" w:hAnsi="Arial"/>
                <w:sz w:val="8"/>
                <w:szCs w:val="8"/>
                <w:color w:val="auto"/>
              </w:rPr>
              <w:t>Trade accounts receivable - DISH Network</w:t>
            </w:r>
          </w:p>
        </w:tc>
        <w:tc>
          <w:tcPr>
            <w:tcW w:w="1040" w:type="dxa"/>
            <w:vAlign w:val="bottom"/>
          </w:tcPr>
          <w:p>
            <w:pPr>
              <w:spacing w:after="0"/>
              <w:rPr>
                <w:sz w:val="15"/>
                <w:szCs w:val="15"/>
                <w:color w:val="auto"/>
              </w:rPr>
            </w:pPr>
          </w:p>
        </w:tc>
        <w:tc>
          <w:tcPr>
            <w:tcW w:w="800" w:type="dxa"/>
            <w:vAlign w:val="bottom"/>
          </w:tcPr>
          <w:p>
            <w:pPr>
              <w:jc w:val="right"/>
              <w:ind w:right="38"/>
              <w:spacing w:after="0"/>
              <w:rPr>
                <w:sz w:val="20"/>
                <w:szCs w:val="20"/>
                <w:color w:val="auto"/>
              </w:rPr>
            </w:pPr>
            <w:r>
              <w:rPr>
                <w:rFonts w:ascii="Arial" w:cs="Arial" w:eastAsia="Arial" w:hAnsi="Arial"/>
                <w:sz w:val="8"/>
                <w:szCs w:val="8"/>
                <w:color w:val="auto"/>
              </w:rPr>
              <w:t>(28,779)</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78"/>
              <w:spacing w:after="0"/>
              <w:rPr>
                <w:sz w:val="20"/>
                <w:szCs w:val="20"/>
                <w:color w:val="auto"/>
              </w:rPr>
            </w:pPr>
            <w:r>
              <w:rPr>
                <w:rFonts w:ascii="Arial" w:cs="Arial" w:eastAsia="Arial" w:hAnsi="Arial"/>
                <w:sz w:val="8"/>
                <w:szCs w:val="8"/>
                <w:color w:val="auto"/>
              </w:rPr>
              <w:t>32,323</w:t>
            </w:r>
          </w:p>
        </w:tc>
      </w:tr>
      <w:tr>
        <w:trPr>
          <w:trHeight w:val="180"/>
        </w:trPr>
        <w:tc>
          <w:tcPr>
            <w:tcW w:w="7680" w:type="dxa"/>
            <w:vAlign w:val="bottom"/>
          </w:tcPr>
          <w:p>
            <w:pPr>
              <w:ind w:left="440"/>
              <w:spacing w:after="0"/>
              <w:rPr>
                <w:sz w:val="20"/>
                <w:szCs w:val="20"/>
                <w:color w:val="auto"/>
              </w:rPr>
            </w:pPr>
            <w:r>
              <w:rPr>
                <w:rFonts w:ascii="Arial" w:cs="Arial" w:eastAsia="Arial" w:hAnsi="Arial"/>
                <w:sz w:val="8"/>
                <w:szCs w:val="8"/>
                <w:color w:val="auto"/>
              </w:rPr>
              <w:t>Inventory</w:t>
            </w:r>
          </w:p>
        </w:tc>
        <w:tc>
          <w:tcPr>
            <w:tcW w:w="1040" w:type="dxa"/>
            <w:vAlign w:val="bottom"/>
          </w:tcPr>
          <w:p>
            <w:pPr>
              <w:spacing w:after="0"/>
              <w:rPr>
                <w:sz w:val="15"/>
                <w:szCs w:val="15"/>
                <w:color w:val="auto"/>
              </w:rPr>
            </w:pPr>
          </w:p>
        </w:tc>
        <w:tc>
          <w:tcPr>
            <w:tcW w:w="800" w:type="dxa"/>
            <w:vAlign w:val="bottom"/>
          </w:tcPr>
          <w:p>
            <w:pPr>
              <w:jc w:val="right"/>
              <w:ind w:right="38"/>
              <w:spacing w:after="0"/>
              <w:rPr>
                <w:sz w:val="20"/>
                <w:szCs w:val="20"/>
                <w:color w:val="auto"/>
              </w:rPr>
            </w:pPr>
            <w:r>
              <w:rPr>
                <w:rFonts w:ascii="Arial" w:cs="Arial" w:eastAsia="Arial" w:hAnsi="Arial"/>
                <w:sz w:val="8"/>
                <w:szCs w:val="8"/>
                <w:color w:val="auto"/>
              </w:rPr>
              <w:t>(8,661)</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78"/>
              <w:spacing w:after="0"/>
              <w:rPr>
                <w:sz w:val="20"/>
                <w:szCs w:val="20"/>
                <w:color w:val="auto"/>
              </w:rPr>
            </w:pPr>
            <w:r>
              <w:rPr>
                <w:rFonts w:ascii="Arial" w:cs="Arial" w:eastAsia="Arial" w:hAnsi="Arial"/>
                <w:sz w:val="8"/>
                <w:szCs w:val="8"/>
                <w:color w:val="auto"/>
              </w:rPr>
              <w:t>10,667</w:t>
            </w:r>
          </w:p>
        </w:tc>
      </w:tr>
      <w:tr>
        <w:trPr>
          <w:trHeight w:val="180"/>
        </w:trPr>
        <w:tc>
          <w:tcPr>
            <w:tcW w:w="7680" w:type="dxa"/>
            <w:vAlign w:val="bottom"/>
          </w:tcPr>
          <w:p>
            <w:pPr>
              <w:ind w:left="440"/>
              <w:spacing w:after="0"/>
              <w:rPr>
                <w:sz w:val="20"/>
                <w:szCs w:val="20"/>
                <w:color w:val="auto"/>
              </w:rPr>
            </w:pPr>
            <w:r>
              <w:rPr>
                <w:rFonts w:ascii="Arial" w:cs="Arial" w:eastAsia="Arial" w:hAnsi="Arial"/>
                <w:sz w:val="8"/>
                <w:szCs w:val="8"/>
                <w:color w:val="auto"/>
              </w:rPr>
              <w:t>Other current assets</w:t>
            </w:r>
          </w:p>
        </w:tc>
        <w:tc>
          <w:tcPr>
            <w:tcW w:w="1040" w:type="dxa"/>
            <w:vAlign w:val="bottom"/>
          </w:tcPr>
          <w:p>
            <w:pPr>
              <w:spacing w:after="0"/>
              <w:rPr>
                <w:sz w:val="15"/>
                <w:szCs w:val="15"/>
                <w:color w:val="auto"/>
              </w:rPr>
            </w:pPr>
          </w:p>
        </w:tc>
        <w:tc>
          <w:tcPr>
            <w:tcW w:w="800" w:type="dxa"/>
            <w:vAlign w:val="bottom"/>
          </w:tcPr>
          <w:p>
            <w:pPr>
              <w:jc w:val="right"/>
              <w:ind w:right="38"/>
              <w:spacing w:after="0"/>
              <w:rPr>
                <w:sz w:val="20"/>
                <w:szCs w:val="20"/>
                <w:color w:val="auto"/>
              </w:rPr>
            </w:pPr>
            <w:r>
              <w:rPr>
                <w:rFonts w:ascii="Arial" w:cs="Arial" w:eastAsia="Arial" w:hAnsi="Arial"/>
                <w:sz w:val="8"/>
                <w:szCs w:val="8"/>
                <w:color w:val="auto"/>
              </w:rPr>
              <w:t>(3,716)</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38"/>
              <w:spacing w:after="0"/>
              <w:rPr>
                <w:sz w:val="20"/>
                <w:szCs w:val="20"/>
                <w:color w:val="auto"/>
              </w:rPr>
            </w:pPr>
            <w:r>
              <w:rPr>
                <w:rFonts w:ascii="Arial" w:cs="Arial" w:eastAsia="Arial" w:hAnsi="Arial"/>
                <w:sz w:val="8"/>
                <w:szCs w:val="8"/>
                <w:color w:val="auto"/>
              </w:rPr>
              <w:t>(5,569)</w:t>
            </w:r>
          </w:p>
        </w:tc>
      </w:tr>
      <w:tr>
        <w:trPr>
          <w:trHeight w:val="180"/>
        </w:trPr>
        <w:tc>
          <w:tcPr>
            <w:tcW w:w="7680" w:type="dxa"/>
            <w:vAlign w:val="bottom"/>
          </w:tcPr>
          <w:p>
            <w:pPr>
              <w:ind w:left="440"/>
              <w:spacing w:after="0"/>
              <w:rPr>
                <w:sz w:val="20"/>
                <w:szCs w:val="20"/>
                <w:color w:val="auto"/>
              </w:rPr>
            </w:pPr>
            <w:r>
              <w:rPr>
                <w:rFonts w:ascii="Arial" w:cs="Arial" w:eastAsia="Arial" w:hAnsi="Arial"/>
                <w:sz w:val="8"/>
                <w:szCs w:val="8"/>
                <w:color w:val="auto"/>
              </w:rPr>
              <w:t>Trade accounts payable</w:t>
            </w:r>
          </w:p>
        </w:tc>
        <w:tc>
          <w:tcPr>
            <w:tcW w:w="1040" w:type="dxa"/>
            <w:vAlign w:val="bottom"/>
          </w:tcPr>
          <w:p>
            <w:pPr>
              <w:spacing w:after="0"/>
              <w:rPr>
                <w:sz w:val="15"/>
                <w:szCs w:val="15"/>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18,180</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78"/>
              <w:spacing w:after="0"/>
              <w:rPr>
                <w:sz w:val="20"/>
                <w:szCs w:val="20"/>
                <w:color w:val="auto"/>
              </w:rPr>
            </w:pPr>
            <w:r>
              <w:rPr>
                <w:rFonts w:ascii="Arial" w:cs="Arial" w:eastAsia="Arial" w:hAnsi="Arial"/>
                <w:sz w:val="8"/>
                <w:szCs w:val="8"/>
                <w:color w:val="auto"/>
              </w:rPr>
              <w:t>2,536</w:t>
            </w:r>
          </w:p>
        </w:tc>
      </w:tr>
      <w:tr>
        <w:trPr>
          <w:trHeight w:val="180"/>
        </w:trPr>
        <w:tc>
          <w:tcPr>
            <w:tcW w:w="7680" w:type="dxa"/>
            <w:vAlign w:val="bottom"/>
          </w:tcPr>
          <w:p>
            <w:pPr>
              <w:ind w:left="440"/>
              <w:spacing w:after="0"/>
              <w:rPr>
                <w:sz w:val="20"/>
                <w:szCs w:val="20"/>
                <w:color w:val="auto"/>
              </w:rPr>
            </w:pPr>
            <w:r>
              <w:rPr>
                <w:rFonts w:ascii="Arial" w:cs="Arial" w:eastAsia="Arial" w:hAnsi="Arial"/>
                <w:sz w:val="8"/>
                <w:szCs w:val="8"/>
                <w:color w:val="auto"/>
              </w:rPr>
              <w:t>Trade accounts payable - DISH Network</w:t>
            </w:r>
          </w:p>
        </w:tc>
        <w:tc>
          <w:tcPr>
            <w:tcW w:w="1040" w:type="dxa"/>
            <w:vAlign w:val="bottom"/>
          </w:tcPr>
          <w:p>
            <w:pPr>
              <w:spacing w:after="0"/>
              <w:rPr>
                <w:sz w:val="15"/>
                <w:szCs w:val="15"/>
                <w:color w:val="auto"/>
              </w:rPr>
            </w:pPr>
          </w:p>
        </w:tc>
        <w:tc>
          <w:tcPr>
            <w:tcW w:w="800" w:type="dxa"/>
            <w:vAlign w:val="bottom"/>
          </w:tcPr>
          <w:p>
            <w:pPr>
              <w:jc w:val="right"/>
              <w:ind w:right="38"/>
              <w:spacing w:after="0"/>
              <w:rPr>
                <w:sz w:val="20"/>
                <w:szCs w:val="20"/>
                <w:color w:val="auto"/>
              </w:rPr>
            </w:pPr>
            <w:r>
              <w:rPr>
                <w:rFonts w:ascii="Arial" w:cs="Arial" w:eastAsia="Arial" w:hAnsi="Arial"/>
                <w:sz w:val="8"/>
                <w:szCs w:val="8"/>
                <w:color w:val="auto"/>
              </w:rPr>
              <w:t>(984)</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38"/>
              <w:spacing w:after="0"/>
              <w:rPr>
                <w:sz w:val="20"/>
                <w:szCs w:val="20"/>
                <w:color w:val="auto"/>
              </w:rPr>
            </w:pPr>
            <w:r>
              <w:rPr>
                <w:rFonts w:ascii="Arial" w:cs="Arial" w:eastAsia="Arial" w:hAnsi="Arial"/>
                <w:sz w:val="8"/>
                <w:szCs w:val="8"/>
                <w:color w:val="auto"/>
              </w:rPr>
              <w:t>(3,342)</w:t>
            </w:r>
          </w:p>
        </w:tc>
      </w:tr>
      <w:tr>
        <w:trPr>
          <w:trHeight w:val="180"/>
        </w:trPr>
        <w:tc>
          <w:tcPr>
            <w:tcW w:w="7680" w:type="dxa"/>
            <w:vAlign w:val="bottom"/>
          </w:tcPr>
          <w:p>
            <w:pPr>
              <w:ind w:left="440"/>
              <w:spacing w:after="0"/>
              <w:rPr>
                <w:sz w:val="20"/>
                <w:szCs w:val="20"/>
                <w:color w:val="auto"/>
              </w:rPr>
            </w:pPr>
            <w:r>
              <w:rPr>
                <w:rFonts w:ascii="Arial" w:cs="Arial" w:eastAsia="Arial" w:hAnsi="Arial"/>
                <w:sz w:val="8"/>
                <w:szCs w:val="8"/>
                <w:color w:val="auto"/>
              </w:rPr>
              <w:t>Accrued expenses and other</w:t>
            </w:r>
          </w:p>
        </w:tc>
        <w:tc>
          <w:tcPr>
            <w:tcW w:w="1040" w:type="dxa"/>
            <w:vAlign w:val="bottom"/>
          </w:tcPr>
          <w:p>
            <w:pPr>
              <w:spacing w:after="0"/>
              <w:rPr>
                <w:sz w:val="15"/>
                <w:szCs w:val="15"/>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65,245</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78"/>
              <w:spacing w:after="0"/>
              <w:rPr>
                <w:sz w:val="20"/>
                <w:szCs w:val="20"/>
                <w:color w:val="auto"/>
              </w:rPr>
            </w:pPr>
            <w:r>
              <w:rPr>
                <w:rFonts w:ascii="Arial" w:cs="Arial" w:eastAsia="Arial" w:hAnsi="Arial"/>
                <w:sz w:val="8"/>
                <w:szCs w:val="8"/>
                <w:color w:val="auto"/>
              </w:rPr>
              <w:t>19,450</w:t>
            </w:r>
          </w:p>
        </w:tc>
      </w:tr>
      <w:tr>
        <w:trPr>
          <w:trHeight w:val="180"/>
        </w:trPr>
        <w:tc>
          <w:tcPr>
            <w:tcW w:w="7680" w:type="dxa"/>
            <w:vAlign w:val="bottom"/>
          </w:tcPr>
          <w:p>
            <w:pPr>
              <w:ind w:left="300"/>
              <w:spacing w:after="0"/>
              <w:rPr>
                <w:sz w:val="20"/>
                <w:szCs w:val="20"/>
                <w:color w:val="auto"/>
              </w:rPr>
            </w:pPr>
            <w:r>
              <w:rPr>
                <w:rFonts w:ascii="Arial" w:cs="Arial" w:eastAsia="Arial" w:hAnsi="Arial"/>
                <w:sz w:val="8"/>
                <w:szCs w:val="8"/>
                <w:color w:val="auto"/>
              </w:rPr>
              <w:t>Changes in noncurrent assets and noncurrent liabilities, net</w:t>
            </w:r>
          </w:p>
        </w:tc>
        <w:tc>
          <w:tcPr>
            <w:tcW w:w="1040" w:type="dxa"/>
            <w:vAlign w:val="bottom"/>
          </w:tcPr>
          <w:p>
            <w:pPr>
              <w:spacing w:after="0"/>
              <w:rPr>
                <w:sz w:val="15"/>
                <w:szCs w:val="15"/>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1,303</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38"/>
              <w:spacing w:after="0"/>
              <w:rPr>
                <w:sz w:val="20"/>
                <w:szCs w:val="20"/>
                <w:color w:val="auto"/>
              </w:rPr>
            </w:pPr>
            <w:r>
              <w:rPr>
                <w:rFonts w:ascii="Arial" w:cs="Arial" w:eastAsia="Arial" w:hAnsi="Arial"/>
                <w:sz w:val="8"/>
                <w:szCs w:val="8"/>
                <w:color w:val="auto"/>
              </w:rPr>
              <w:t>(16,123)</w:t>
            </w:r>
          </w:p>
        </w:tc>
      </w:tr>
      <w:tr>
        <w:trPr>
          <w:trHeight w:val="186"/>
        </w:trPr>
        <w:tc>
          <w:tcPr>
            <w:tcW w:w="7680" w:type="dxa"/>
            <w:vAlign w:val="bottom"/>
          </w:tcPr>
          <w:p>
            <w:pPr>
              <w:ind w:left="300"/>
              <w:spacing w:after="0"/>
              <w:rPr>
                <w:sz w:val="20"/>
                <w:szCs w:val="20"/>
                <w:color w:val="auto"/>
              </w:rPr>
            </w:pPr>
            <w:r>
              <w:rPr>
                <w:rFonts w:ascii="Arial" w:cs="Arial" w:eastAsia="Arial" w:hAnsi="Arial"/>
                <w:sz w:val="8"/>
                <w:szCs w:val="8"/>
                <w:color w:val="auto"/>
              </w:rPr>
              <w:t>Other, net</w:t>
            </w:r>
          </w:p>
        </w:tc>
        <w:tc>
          <w:tcPr>
            <w:tcW w:w="10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24,118</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12,043</w:t>
            </w:r>
          </w:p>
        </w:tc>
      </w:tr>
      <w:tr>
        <w:trPr>
          <w:trHeight w:val="155"/>
        </w:trPr>
        <w:tc>
          <w:tcPr>
            <w:tcW w:w="7680" w:type="dxa"/>
            <w:vAlign w:val="bottom"/>
          </w:tcPr>
          <w:p>
            <w:pPr>
              <w:ind w:left="440"/>
              <w:spacing w:after="0"/>
              <w:rPr>
                <w:sz w:val="20"/>
                <w:szCs w:val="20"/>
                <w:color w:val="auto"/>
              </w:rPr>
            </w:pPr>
            <w:r>
              <w:rPr>
                <w:rFonts w:ascii="Arial" w:cs="Arial" w:eastAsia="Arial" w:hAnsi="Arial"/>
                <w:sz w:val="8"/>
                <w:szCs w:val="8"/>
                <w:color w:val="auto"/>
              </w:rPr>
              <w:t>Net cash flows from operating activities</w:t>
            </w:r>
          </w:p>
        </w:tc>
        <w:tc>
          <w:tcPr>
            <w:tcW w:w="10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533,060</w:t>
            </w:r>
          </w:p>
        </w:tc>
        <w:tc>
          <w:tcPr>
            <w:tcW w:w="1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543,912</w:t>
            </w:r>
          </w:p>
        </w:tc>
      </w:tr>
      <w:tr>
        <w:trPr>
          <w:trHeight w:val="159"/>
        </w:trPr>
        <w:tc>
          <w:tcPr>
            <w:tcW w:w="7680" w:type="dxa"/>
            <w:vAlign w:val="bottom"/>
          </w:tcPr>
          <w:p>
            <w:pPr>
              <w:spacing w:after="0"/>
              <w:rPr>
                <w:sz w:val="20"/>
                <w:szCs w:val="20"/>
                <w:color w:val="auto"/>
              </w:rPr>
            </w:pPr>
            <w:r>
              <w:rPr>
                <w:rFonts w:ascii="Arial" w:cs="Arial" w:eastAsia="Arial" w:hAnsi="Arial"/>
                <w:sz w:val="8"/>
                <w:szCs w:val="8"/>
                <w:b w:val="1"/>
                <w:bCs w:val="1"/>
                <w:color w:val="auto"/>
              </w:rPr>
              <w:t>Cash flows from investing activities:</w:t>
            </w: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0"/>
        </w:trPr>
        <w:tc>
          <w:tcPr>
            <w:tcW w:w="7680" w:type="dxa"/>
            <w:vAlign w:val="bottom"/>
          </w:tcPr>
          <w:p>
            <w:pPr>
              <w:ind w:left="160"/>
              <w:spacing w:after="0"/>
              <w:rPr>
                <w:sz w:val="20"/>
                <w:szCs w:val="20"/>
                <w:color w:val="auto"/>
              </w:rPr>
            </w:pPr>
            <w:r>
              <w:rPr>
                <w:rFonts w:ascii="Arial" w:cs="Arial" w:eastAsia="Arial" w:hAnsi="Arial"/>
                <w:sz w:val="8"/>
                <w:szCs w:val="8"/>
                <w:color w:val="auto"/>
              </w:rPr>
              <w:t>Purchases of marketable investment securities</w:t>
            </w:r>
          </w:p>
        </w:tc>
        <w:tc>
          <w:tcPr>
            <w:tcW w:w="1040" w:type="dxa"/>
            <w:vAlign w:val="bottom"/>
          </w:tcPr>
          <w:p>
            <w:pPr>
              <w:spacing w:after="0"/>
              <w:rPr>
                <w:sz w:val="15"/>
                <w:szCs w:val="15"/>
                <w:color w:val="auto"/>
              </w:rPr>
            </w:pPr>
          </w:p>
        </w:tc>
        <w:tc>
          <w:tcPr>
            <w:tcW w:w="800" w:type="dxa"/>
            <w:vAlign w:val="bottom"/>
          </w:tcPr>
          <w:p>
            <w:pPr>
              <w:jc w:val="right"/>
              <w:ind w:right="38"/>
              <w:spacing w:after="0"/>
              <w:rPr>
                <w:sz w:val="20"/>
                <w:szCs w:val="20"/>
                <w:color w:val="auto"/>
              </w:rPr>
            </w:pPr>
            <w:r>
              <w:rPr>
                <w:rFonts w:ascii="Arial" w:cs="Arial" w:eastAsia="Arial" w:hAnsi="Arial"/>
                <w:sz w:val="8"/>
                <w:szCs w:val="8"/>
                <w:color w:val="auto"/>
              </w:rPr>
              <w:t>(655,265)</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38"/>
              <w:spacing w:after="0"/>
              <w:rPr>
                <w:sz w:val="20"/>
                <w:szCs w:val="20"/>
                <w:color w:val="auto"/>
              </w:rPr>
            </w:pPr>
            <w:r>
              <w:rPr>
                <w:rFonts w:ascii="Arial" w:cs="Arial" w:eastAsia="Arial" w:hAnsi="Arial"/>
                <w:sz w:val="8"/>
                <w:szCs w:val="8"/>
                <w:color w:val="auto"/>
              </w:rPr>
              <w:t>(2,323,090)</w:t>
            </w:r>
          </w:p>
        </w:tc>
      </w:tr>
      <w:tr>
        <w:trPr>
          <w:trHeight w:val="180"/>
        </w:trPr>
        <w:tc>
          <w:tcPr>
            <w:tcW w:w="7680" w:type="dxa"/>
            <w:vAlign w:val="bottom"/>
          </w:tcPr>
          <w:p>
            <w:pPr>
              <w:ind w:left="160"/>
              <w:spacing w:after="0"/>
              <w:rPr>
                <w:sz w:val="20"/>
                <w:szCs w:val="20"/>
                <w:color w:val="auto"/>
              </w:rPr>
            </w:pPr>
            <w:r>
              <w:rPr>
                <w:rFonts w:ascii="Arial" w:cs="Arial" w:eastAsia="Arial" w:hAnsi="Arial"/>
                <w:sz w:val="8"/>
                <w:szCs w:val="8"/>
                <w:color w:val="auto"/>
              </w:rPr>
              <w:t>Sales and maturities of marketable investment securities</w:t>
            </w:r>
          </w:p>
        </w:tc>
        <w:tc>
          <w:tcPr>
            <w:tcW w:w="1040" w:type="dxa"/>
            <w:vAlign w:val="bottom"/>
          </w:tcPr>
          <w:p>
            <w:pPr>
              <w:spacing w:after="0"/>
              <w:rPr>
                <w:sz w:val="15"/>
                <w:szCs w:val="15"/>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1,988,078</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78"/>
              <w:spacing w:after="0"/>
              <w:rPr>
                <w:sz w:val="20"/>
                <w:szCs w:val="20"/>
                <w:color w:val="auto"/>
              </w:rPr>
            </w:pPr>
            <w:r>
              <w:rPr>
                <w:rFonts w:ascii="Arial" w:cs="Arial" w:eastAsia="Arial" w:hAnsi="Arial"/>
                <w:sz w:val="8"/>
                <w:szCs w:val="8"/>
                <w:color w:val="auto"/>
              </w:rPr>
              <w:t>1,331,225</w:t>
            </w:r>
          </w:p>
        </w:tc>
      </w:tr>
      <w:tr>
        <w:trPr>
          <w:trHeight w:val="180"/>
        </w:trPr>
        <w:tc>
          <w:tcPr>
            <w:tcW w:w="7680" w:type="dxa"/>
            <w:vAlign w:val="bottom"/>
          </w:tcPr>
          <w:p>
            <w:pPr>
              <w:ind w:left="160"/>
              <w:spacing w:after="0"/>
              <w:rPr>
                <w:sz w:val="20"/>
                <w:szCs w:val="20"/>
                <w:color w:val="auto"/>
              </w:rPr>
            </w:pPr>
            <w:r>
              <w:rPr>
                <w:rFonts w:ascii="Arial" w:cs="Arial" w:eastAsia="Arial" w:hAnsi="Arial"/>
                <w:sz w:val="8"/>
                <w:szCs w:val="8"/>
                <w:color w:val="auto"/>
              </w:rPr>
              <w:t>Expenditures for property and equipment</w:t>
            </w:r>
          </w:p>
        </w:tc>
        <w:tc>
          <w:tcPr>
            <w:tcW w:w="1040" w:type="dxa"/>
            <w:vAlign w:val="bottom"/>
          </w:tcPr>
          <w:p>
            <w:pPr>
              <w:spacing w:after="0"/>
              <w:rPr>
                <w:sz w:val="15"/>
                <w:szCs w:val="15"/>
                <w:color w:val="auto"/>
              </w:rPr>
            </w:pPr>
          </w:p>
        </w:tc>
        <w:tc>
          <w:tcPr>
            <w:tcW w:w="800" w:type="dxa"/>
            <w:vAlign w:val="bottom"/>
          </w:tcPr>
          <w:p>
            <w:pPr>
              <w:jc w:val="right"/>
              <w:ind w:right="38"/>
              <w:spacing w:after="0"/>
              <w:rPr>
                <w:sz w:val="20"/>
                <w:szCs w:val="20"/>
                <w:color w:val="auto"/>
              </w:rPr>
            </w:pPr>
            <w:r>
              <w:rPr>
                <w:rFonts w:ascii="Arial" w:cs="Arial" w:eastAsia="Arial" w:hAnsi="Arial"/>
                <w:sz w:val="8"/>
                <w:szCs w:val="8"/>
                <w:color w:val="auto"/>
              </w:rPr>
              <w:t>(314,861)</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38"/>
              <w:spacing w:after="0"/>
              <w:rPr>
                <w:sz w:val="20"/>
                <w:szCs w:val="20"/>
                <w:color w:val="auto"/>
              </w:rPr>
            </w:pPr>
            <w:r>
              <w:rPr>
                <w:rFonts w:ascii="Arial" w:cs="Arial" w:eastAsia="Arial" w:hAnsi="Arial"/>
                <w:sz w:val="8"/>
                <w:szCs w:val="8"/>
                <w:color w:val="auto"/>
              </w:rPr>
              <w:t>(415,253)</w:t>
            </w:r>
          </w:p>
        </w:tc>
      </w:tr>
      <w:tr>
        <w:trPr>
          <w:trHeight w:val="180"/>
        </w:trPr>
        <w:tc>
          <w:tcPr>
            <w:tcW w:w="7680" w:type="dxa"/>
            <w:vAlign w:val="bottom"/>
          </w:tcPr>
          <w:p>
            <w:pPr>
              <w:ind w:left="160"/>
              <w:spacing w:after="0"/>
              <w:rPr>
                <w:sz w:val="20"/>
                <w:szCs w:val="20"/>
                <w:color w:val="auto"/>
              </w:rPr>
            </w:pPr>
            <w:r>
              <w:rPr>
                <w:rFonts w:ascii="Arial" w:cs="Arial" w:eastAsia="Arial" w:hAnsi="Arial"/>
                <w:sz w:val="8"/>
                <w:szCs w:val="8"/>
                <w:color w:val="auto"/>
              </w:rPr>
              <w:t>Refunds and other receipts related to property and equipment</w:t>
            </w:r>
          </w:p>
        </w:tc>
        <w:tc>
          <w:tcPr>
            <w:tcW w:w="10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800" w:type="dxa"/>
            <w:vAlign w:val="bottom"/>
          </w:tcPr>
          <w:p>
            <w:pPr>
              <w:spacing w:after="0"/>
              <w:rPr>
                <w:sz w:val="15"/>
                <w:szCs w:val="15"/>
                <w:color w:val="auto"/>
              </w:rPr>
            </w:pPr>
          </w:p>
        </w:tc>
        <w:tc>
          <w:tcPr>
            <w:tcW w:w="1020" w:type="dxa"/>
            <w:vAlign w:val="bottom"/>
          </w:tcPr>
          <w:p>
            <w:pPr>
              <w:jc w:val="right"/>
              <w:ind w:right="78"/>
              <w:spacing w:after="0"/>
              <w:rPr>
                <w:sz w:val="20"/>
                <w:szCs w:val="20"/>
                <w:color w:val="auto"/>
              </w:rPr>
            </w:pPr>
            <w:r>
              <w:rPr>
                <w:rFonts w:ascii="Arial" w:cs="Arial" w:eastAsia="Arial" w:hAnsi="Arial"/>
                <w:sz w:val="8"/>
                <w:szCs w:val="8"/>
                <w:color w:val="auto"/>
              </w:rPr>
              <w:t>77,524</w:t>
            </w:r>
          </w:p>
        </w:tc>
      </w:tr>
      <w:tr>
        <w:trPr>
          <w:trHeight w:val="180"/>
        </w:trPr>
        <w:tc>
          <w:tcPr>
            <w:tcW w:w="7680" w:type="dxa"/>
            <w:vAlign w:val="bottom"/>
          </w:tcPr>
          <w:p>
            <w:pPr>
              <w:ind w:left="160"/>
              <w:spacing w:after="0"/>
              <w:rPr>
                <w:sz w:val="20"/>
                <w:szCs w:val="20"/>
                <w:color w:val="auto"/>
              </w:rPr>
            </w:pPr>
            <w:r>
              <w:rPr>
                <w:rFonts w:ascii="Arial" w:cs="Arial" w:eastAsia="Arial" w:hAnsi="Arial"/>
                <w:sz w:val="8"/>
                <w:szCs w:val="8"/>
                <w:color w:val="auto"/>
              </w:rPr>
              <w:t>Expenditures for externally marketed software</w:t>
            </w:r>
          </w:p>
        </w:tc>
        <w:tc>
          <w:tcPr>
            <w:tcW w:w="1040" w:type="dxa"/>
            <w:vAlign w:val="bottom"/>
          </w:tcPr>
          <w:p>
            <w:pPr>
              <w:spacing w:after="0"/>
              <w:rPr>
                <w:sz w:val="15"/>
                <w:szCs w:val="15"/>
                <w:color w:val="auto"/>
              </w:rPr>
            </w:pPr>
          </w:p>
        </w:tc>
        <w:tc>
          <w:tcPr>
            <w:tcW w:w="800" w:type="dxa"/>
            <w:vAlign w:val="bottom"/>
          </w:tcPr>
          <w:p>
            <w:pPr>
              <w:jc w:val="right"/>
              <w:ind w:right="38"/>
              <w:spacing w:after="0"/>
              <w:rPr>
                <w:sz w:val="20"/>
                <w:szCs w:val="20"/>
                <w:color w:val="auto"/>
              </w:rPr>
            </w:pPr>
            <w:r>
              <w:rPr>
                <w:rFonts w:ascii="Arial" w:cs="Arial" w:eastAsia="Arial" w:hAnsi="Arial"/>
                <w:sz w:val="8"/>
                <w:szCs w:val="8"/>
                <w:color w:val="auto"/>
              </w:rPr>
              <w:t>(21,364)</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38"/>
              <w:spacing w:after="0"/>
              <w:rPr>
                <w:sz w:val="20"/>
                <w:szCs w:val="20"/>
                <w:color w:val="auto"/>
              </w:rPr>
            </w:pPr>
            <w:r>
              <w:rPr>
                <w:rFonts w:ascii="Arial" w:cs="Arial" w:eastAsia="Arial" w:hAnsi="Arial"/>
                <w:sz w:val="8"/>
                <w:szCs w:val="8"/>
                <w:color w:val="auto"/>
              </w:rPr>
              <w:t>(24,568)</w:t>
            </w:r>
          </w:p>
        </w:tc>
      </w:tr>
      <w:tr>
        <w:trPr>
          <w:trHeight w:val="180"/>
        </w:trPr>
        <w:tc>
          <w:tcPr>
            <w:tcW w:w="7680" w:type="dxa"/>
            <w:vAlign w:val="bottom"/>
          </w:tcPr>
          <w:p>
            <w:pPr>
              <w:ind w:left="160"/>
              <w:spacing w:after="0"/>
              <w:rPr>
                <w:sz w:val="20"/>
                <w:szCs w:val="20"/>
                <w:color w:val="auto"/>
              </w:rPr>
            </w:pPr>
            <w:r>
              <w:rPr>
                <w:rFonts w:ascii="Arial" w:cs="Arial" w:eastAsia="Arial" w:hAnsi="Arial"/>
                <w:sz w:val="8"/>
                <w:szCs w:val="8"/>
                <w:color w:val="auto"/>
              </w:rPr>
              <w:t>Investment in unconsolidated entities</w:t>
            </w:r>
          </w:p>
        </w:tc>
        <w:tc>
          <w:tcPr>
            <w:tcW w:w="1040" w:type="dxa"/>
            <w:vAlign w:val="bottom"/>
          </w:tcPr>
          <w:p>
            <w:pPr>
              <w:spacing w:after="0"/>
              <w:rPr>
                <w:sz w:val="15"/>
                <w:szCs w:val="15"/>
                <w:color w:val="auto"/>
              </w:rPr>
            </w:pPr>
          </w:p>
        </w:tc>
        <w:tc>
          <w:tcPr>
            <w:tcW w:w="800" w:type="dxa"/>
            <w:vAlign w:val="bottom"/>
          </w:tcPr>
          <w:p>
            <w:pPr>
              <w:jc w:val="right"/>
              <w:ind w:right="38"/>
              <w:spacing w:after="0"/>
              <w:rPr>
                <w:sz w:val="20"/>
                <w:szCs w:val="20"/>
                <w:color w:val="auto"/>
              </w:rPr>
            </w:pPr>
            <w:r>
              <w:rPr>
                <w:rFonts w:ascii="Arial" w:cs="Arial" w:eastAsia="Arial" w:hAnsi="Arial"/>
                <w:sz w:val="8"/>
                <w:szCs w:val="8"/>
                <w:color w:val="auto"/>
              </w:rPr>
              <w:t>(7,503)</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38"/>
              <w:spacing w:after="0"/>
              <w:rPr>
                <w:sz w:val="20"/>
                <w:szCs w:val="20"/>
                <w:color w:val="auto"/>
              </w:rPr>
            </w:pPr>
            <w:r>
              <w:rPr>
                <w:rFonts w:ascii="Arial" w:cs="Arial" w:eastAsia="Arial" w:hAnsi="Arial"/>
                <w:sz w:val="8"/>
                <w:szCs w:val="8"/>
                <w:color w:val="auto"/>
              </w:rPr>
              <w:t>(991)</w:t>
            </w:r>
          </w:p>
        </w:tc>
      </w:tr>
      <w:tr>
        <w:trPr>
          <w:trHeight w:val="180"/>
        </w:trPr>
        <w:tc>
          <w:tcPr>
            <w:tcW w:w="7680" w:type="dxa"/>
            <w:vAlign w:val="bottom"/>
          </w:tcPr>
          <w:p>
            <w:pPr>
              <w:ind w:left="160"/>
              <w:spacing w:after="0"/>
              <w:rPr>
                <w:sz w:val="20"/>
                <w:szCs w:val="20"/>
                <w:color w:val="auto"/>
              </w:rPr>
            </w:pPr>
            <w:r>
              <w:rPr>
                <w:rFonts w:ascii="Arial" w:cs="Arial" w:eastAsia="Arial" w:hAnsi="Arial"/>
                <w:sz w:val="8"/>
                <w:szCs w:val="8"/>
                <w:color w:val="auto"/>
              </w:rPr>
              <w:t>Dividend received from unconsolidated entity</w:t>
            </w:r>
          </w:p>
        </w:tc>
        <w:tc>
          <w:tcPr>
            <w:tcW w:w="1040" w:type="dxa"/>
            <w:vAlign w:val="bottom"/>
          </w:tcPr>
          <w:p>
            <w:pPr>
              <w:spacing w:after="0"/>
              <w:rPr>
                <w:sz w:val="15"/>
                <w:szCs w:val="15"/>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2,284</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86"/>
        </w:trPr>
        <w:tc>
          <w:tcPr>
            <w:tcW w:w="7680" w:type="dxa"/>
            <w:vAlign w:val="bottom"/>
          </w:tcPr>
          <w:p>
            <w:pPr>
              <w:ind w:left="160"/>
              <w:spacing w:after="0"/>
              <w:rPr>
                <w:sz w:val="20"/>
                <w:szCs w:val="20"/>
                <w:color w:val="auto"/>
              </w:rPr>
            </w:pPr>
            <w:r>
              <w:rPr>
                <w:rFonts w:ascii="Arial" w:cs="Arial" w:eastAsia="Arial" w:hAnsi="Arial"/>
                <w:sz w:val="8"/>
                <w:szCs w:val="8"/>
                <w:color w:val="auto"/>
              </w:rPr>
              <w:t>Sale of investment in unconsolidated entity</w:t>
            </w:r>
          </w:p>
        </w:tc>
        <w:tc>
          <w:tcPr>
            <w:tcW w:w="104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8"/>
                <w:szCs w:val="8"/>
                <w:color w:val="auto"/>
              </w:rPr>
              <w:t>—</w:t>
            </w:r>
          </w:p>
        </w:tc>
        <w:tc>
          <w:tcPr>
            <w:tcW w:w="800" w:type="dxa"/>
            <w:vAlign w:val="bottom"/>
          </w:tcPr>
          <w:p>
            <w:pPr>
              <w:spacing w:after="0"/>
              <w:rPr>
                <w:sz w:val="16"/>
                <w:szCs w:val="16"/>
                <w:color w:val="auto"/>
              </w:rPr>
            </w:pPr>
          </w:p>
        </w:tc>
        <w:tc>
          <w:tcPr>
            <w:tcW w:w="1020" w:type="dxa"/>
            <w:vAlign w:val="bottom"/>
          </w:tcPr>
          <w:p>
            <w:pPr>
              <w:jc w:val="right"/>
              <w:ind w:right="78"/>
              <w:spacing w:after="0"/>
              <w:rPr>
                <w:sz w:val="20"/>
                <w:szCs w:val="20"/>
                <w:color w:val="auto"/>
              </w:rPr>
            </w:pPr>
            <w:r>
              <w:rPr>
                <w:rFonts w:ascii="Arial" w:cs="Arial" w:eastAsia="Arial" w:hAnsi="Arial"/>
                <w:sz w:val="8"/>
                <w:szCs w:val="8"/>
                <w:color w:val="auto"/>
              </w:rPr>
              <w:t>1,558</w:t>
            </w:r>
          </w:p>
        </w:tc>
      </w:tr>
      <w:tr>
        <w:trPr>
          <w:trHeight w:val="155"/>
        </w:trPr>
        <w:tc>
          <w:tcPr>
            <w:tcW w:w="7680" w:type="dxa"/>
            <w:vAlign w:val="bottom"/>
          </w:tcPr>
          <w:p>
            <w:pPr>
              <w:ind w:left="440"/>
              <w:spacing w:after="0"/>
              <w:rPr>
                <w:sz w:val="20"/>
                <w:szCs w:val="20"/>
                <w:color w:val="auto"/>
              </w:rPr>
            </w:pPr>
            <w:r>
              <w:rPr>
                <w:rFonts w:ascii="Arial" w:cs="Arial" w:eastAsia="Arial" w:hAnsi="Arial"/>
                <w:sz w:val="8"/>
                <w:szCs w:val="8"/>
                <w:color w:val="auto"/>
              </w:rPr>
              <w:t>Net cash flows from investing activities</w:t>
            </w:r>
          </w:p>
        </w:tc>
        <w:tc>
          <w:tcPr>
            <w:tcW w:w="10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8"/>
                <w:szCs w:val="8"/>
                <w:color w:val="auto"/>
              </w:rPr>
              <w:t>991,369</w:t>
            </w:r>
          </w:p>
        </w:tc>
        <w:tc>
          <w:tcPr>
            <w:tcW w:w="120" w:type="dxa"/>
            <w:vAlign w:val="bottom"/>
          </w:tcPr>
          <w:p>
            <w:pPr>
              <w:spacing w:after="0"/>
              <w:rPr>
                <w:sz w:val="13"/>
                <w:szCs w:val="13"/>
                <w:color w:val="auto"/>
              </w:rPr>
            </w:pPr>
          </w:p>
        </w:tc>
        <w:tc>
          <w:tcPr>
            <w:tcW w:w="8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8"/>
                <w:szCs w:val="8"/>
                <w:color w:val="auto"/>
              </w:rPr>
              <w:t>(1,353,595)</w:t>
            </w:r>
          </w:p>
        </w:tc>
      </w:tr>
      <w:tr>
        <w:trPr>
          <w:trHeight w:val="159"/>
        </w:trPr>
        <w:tc>
          <w:tcPr>
            <w:tcW w:w="7680" w:type="dxa"/>
            <w:vAlign w:val="bottom"/>
          </w:tcPr>
          <w:p>
            <w:pPr>
              <w:spacing w:after="0"/>
              <w:rPr>
                <w:sz w:val="20"/>
                <w:szCs w:val="20"/>
                <w:color w:val="auto"/>
              </w:rPr>
            </w:pPr>
            <w:r>
              <w:rPr>
                <w:rFonts w:ascii="Arial" w:cs="Arial" w:eastAsia="Arial" w:hAnsi="Arial"/>
                <w:sz w:val="8"/>
                <w:szCs w:val="8"/>
                <w:b w:val="1"/>
                <w:bCs w:val="1"/>
                <w:color w:val="auto"/>
              </w:rPr>
              <w:t>Cash flows from financing activities:</w:t>
            </w: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0"/>
        </w:trPr>
        <w:tc>
          <w:tcPr>
            <w:tcW w:w="7680" w:type="dxa"/>
            <w:vAlign w:val="bottom"/>
          </w:tcPr>
          <w:p>
            <w:pPr>
              <w:ind w:left="160"/>
              <w:spacing w:after="0"/>
              <w:rPr>
                <w:sz w:val="20"/>
                <w:szCs w:val="20"/>
                <w:color w:val="auto"/>
              </w:rPr>
            </w:pPr>
            <w:r>
              <w:rPr>
                <w:rFonts w:ascii="Arial" w:cs="Arial" w:eastAsia="Arial" w:hAnsi="Arial"/>
                <w:sz w:val="8"/>
                <w:szCs w:val="8"/>
                <w:color w:val="auto"/>
              </w:rPr>
              <w:t>Repayment of debt and finance lease obligations</w:t>
            </w:r>
          </w:p>
        </w:tc>
        <w:tc>
          <w:tcPr>
            <w:tcW w:w="1040" w:type="dxa"/>
            <w:vAlign w:val="bottom"/>
          </w:tcPr>
          <w:p>
            <w:pPr>
              <w:spacing w:after="0"/>
              <w:rPr>
                <w:sz w:val="15"/>
                <w:szCs w:val="15"/>
                <w:color w:val="auto"/>
              </w:rPr>
            </w:pPr>
          </w:p>
        </w:tc>
        <w:tc>
          <w:tcPr>
            <w:tcW w:w="800" w:type="dxa"/>
            <w:vAlign w:val="bottom"/>
          </w:tcPr>
          <w:p>
            <w:pPr>
              <w:jc w:val="right"/>
              <w:ind w:right="38"/>
              <w:spacing w:after="0"/>
              <w:rPr>
                <w:sz w:val="20"/>
                <w:szCs w:val="20"/>
                <w:color w:val="auto"/>
              </w:rPr>
            </w:pPr>
            <w:r>
              <w:rPr>
                <w:rFonts w:ascii="Arial" w:cs="Arial" w:eastAsia="Arial" w:hAnsi="Arial"/>
                <w:sz w:val="8"/>
                <w:szCs w:val="8"/>
                <w:color w:val="auto"/>
              </w:rPr>
              <w:t>(29,135)</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38"/>
              <w:spacing w:after="0"/>
              <w:rPr>
                <w:sz w:val="20"/>
                <w:szCs w:val="20"/>
                <w:color w:val="auto"/>
              </w:rPr>
            </w:pPr>
            <w:r>
              <w:rPr>
                <w:rFonts w:ascii="Arial" w:cs="Arial" w:eastAsia="Arial" w:hAnsi="Arial"/>
                <w:sz w:val="8"/>
                <w:szCs w:val="8"/>
                <w:color w:val="auto"/>
              </w:rPr>
              <w:t>(27,764)</w:t>
            </w:r>
          </w:p>
        </w:tc>
      </w:tr>
      <w:tr>
        <w:trPr>
          <w:trHeight w:val="180"/>
        </w:trPr>
        <w:tc>
          <w:tcPr>
            <w:tcW w:w="7680" w:type="dxa"/>
            <w:vAlign w:val="bottom"/>
          </w:tcPr>
          <w:p>
            <w:pPr>
              <w:ind w:left="160"/>
              <w:spacing w:after="0"/>
              <w:rPr>
                <w:sz w:val="20"/>
                <w:szCs w:val="20"/>
                <w:color w:val="auto"/>
              </w:rPr>
            </w:pPr>
            <w:r>
              <w:rPr>
                <w:rFonts w:ascii="Arial" w:cs="Arial" w:eastAsia="Arial" w:hAnsi="Arial"/>
                <w:sz w:val="8"/>
                <w:szCs w:val="8"/>
                <w:color w:val="auto"/>
              </w:rPr>
              <w:t>Repurchase and maturity of debt</w:t>
            </w:r>
          </w:p>
        </w:tc>
        <w:tc>
          <w:tcPr>
            <w:tcW w:w="1040" w:type="dxa"/>
            <w:vAlign w:val="bottom"/>
          </w:tcPr>
          <w:p>
            <w:pPr>
              <w:spacing w:after="0"/>
              <w:rPr>
                <w:sz w:val="15"/>
                <w:szCs w:val="15"/>
                <w:color w:val="auto"/>
              </w:rPr>
            </w:pPr>
          </w:p>
        </w:tc>
        <w:tc>
          <w:tcPr>
            <w:tcW w:w="800" w:type="dxa"/>
            <w:vAlign w:val="bottom"/>
          </w:tcPr>
          <w:p>
            <w:pPr>
              <w:jc w:val="right"/>
              <w:ind w:right="38"/>
              <w:spacing w:after="0"/>
              <w:rPr>
                <w:sz w:val="20"/>
                <w:szCs w:val="20"/>
                <w:color w:val="auto"/>
              </w:rPr>
            </w:pPr>
            <w:r>
              <w:rPr>
                <w:rFonts w:ascii="Arial" w:cs="Arial" w:eastAsia="Arial" w:hAnsi="Arial"/>
                <w:sz w:val="8"/>
                <w:szCs w:val="8"/>
                <w:color w:val="auto"/>
              </w:rPr>
              <w:t>(920,923)</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80"/>
        </w:trPr>
        <w:tc>
          <w:tcPr>
            <w:tcW w:w="7680" w:type="dxa"/>
            <w:vAlign w:val="bottom"/>
          </w:tcPr>
          <w:p>
            <w:pPr>
              <w:ind w:left="160"/>
              <w:spacing w:after="0"/>
              <w:rPr>
                <w:sz w:val="20"/>
                <w:szCs w:val="20"/>
                <w:color w:val="auto"/>
              </w:rPr>
            </w:pPr>
            <w:r>
              <w:rPr>
                <w:rFonts w:ascii="Arial" w:cs="Arial" w:eastAsia="Arial" w:hAnsi="Arial"/>
                <w:sz w:val="8"/>
                <w:szCs w:val="8"/>
                <w:color w:val="auto"/>
              </w:rPr>
              <w:t>Purchase of noncontrolling interest</w:t>
            </w:r>
          </w:p>
        </w:tc>
        <w:tc>
          <w:tcPr>
            <w:tcW w:w="1040" w:type="dxa"/>
            <w:vAlign w:val="bottom"/>
          </w:tcPr>
          <w:p>
            <w:pPr>
              <w:spacing w:after="0"/>
              <w:rPr>
                <w:sz w:val="15"/>
                <w:szCs w:val="15"/>
                <w:color w:val="auto"/>
              </w:rPr>
            </w:pPr>
          </w:p>
        </w:tc>
        <w:tc>
          <w:tcPr>
            <w:tcW w:w="800" w:type="dxa"/>
            <w:vAlign w:val="bottom"/>
          </w:tcPr>
          <w:p>
            <w:pPr>
              <w:jc w:val="right"/>
              <w:ind w:right="38"/>
              <w:spacing w:after="0"/>
              <w:rPr>
                <w:sz w:val="20"/>
                <w:szCs w:val="20"/>
                <w:color w:val="auto"/>
              </w:rPr>
            </w:pPr>
            <w:r>
              <w:rPr>
                <w:rFonts w:ascii="Arial" w:cs="Arial" w:eastAsia="Arial" w:hAnsi="Arial"/>
                <w:sz w:val="8"/>
                <w:szCs w:val="8"/>
                <w:color w:val="auto"/>
              </w:rPr>
              <w:t>(7,313)</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80"/>
        </w:trPr>
        <w:tc>
          <w:tcPr>
            <w:tcW w:w="7680" w:type="dxa"/>
            <w:vAlign w:val="bottom"/>
          </w:tcPr>
          <w:p>
            <w:pPr>
              <w:ind w:left="160"/>
              <w:spacing w:after="0"/>
              <w:rPr>
                <w:sz w:val="20"/>
                <w:szCs w:val="20"/>
                <w:color w:val="auto"/>
              </w:rPr>
            </w:pPr>
            <w:r>
              <w:rPr>
                <w:rFonts w:ascii="Arial" w:cs="Arial" w:eastAsia="Arial" w:hAnsi="Arial"/>
                <w:sz w:val="8"/>
                <w:szCs w:val="8"/>
                <w:color w:val="auto"/>
              </w:rPr>
              <w:t>Repayment of in-orbit incentive obligations</w:t>
            </w:r>
          </w:p>
        </w:tc>
        <w:tc>
          <w:tcPr>
            <w:tcW w:w="1040" w:type="dxa"/>
            <w:vAlign w:val="bottom"/>
          </w:tcPr>
          <w:p>
            <w:pPr>
              <w:spacing w:after="0"/>
              <w:rPr>
                <w:sz w:val="15"/>
                <w:szCs w:val="15"/>
                <w:color w:val="auto"/>
              </w:rPr>
            </w:pPr>
          </w:p>
        </w:tc>
        <w:tc>
          <w:tcPr>
            <w:tcW w:w="800" w:type="dxa"/>
            <w:vAlign w:val="bottom"/>
          </w:tcPr>
          <w:p>
            <w:pPr>
              <w:jc w:val="right"/>
              <w:ind w:right="38"/>
              <w:spacing w:after="0"/>
              <w:rPr>
                <w:sz w:val="20"/>
                <w:szCs w:val="20"/>
                <w:color w:val="auto"/>
              </w:rPr>
            </w:pPr>
            <w:r>
              <w:rPr>
                <w:rFonts w:ascii="Arial" w:cs="Arial" w:eastAsia="Arial" w:hAnsi="Arial"/>
                <w:sz w:val="8"/>
                <w:szCs w:val="8"/>
                <w:color w:val="auto"/>
              </w:rPr>
              <w:t>(5,269)</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38"/>
              <w:spacing w:after="0"/>
              <w:rPr>
                <w:sz w:val="20"/>
                <w:szCs w:val="20"/>
                <w:color w:val="auto"/>
              </w:rPr>
            </w:pPr>
            <w:r>
              <w:rPr>
                <w:rFonts w:ascii="Arial" w:cs="Arial" w:eastAsia="Arial" w:hAnsi="Arial"/>
                <w:sz w:val="8"/>
                <w:szCs w:val="8"/>
                <w:color w:val="auto"/>
              </w:rPr>
              <w:t>(4,601)</w:t>
            </w:r>
          </w:p>
        </w:tc>
      </w:tr>
      <w:tr>
        <w:trPr>
          <w:trHeight w:val="180"/>
        </w:trPr>
        <w:tc>
          <w:tcPr>
            <w:tcW w:w="7680" w:type="dxa"/>
            <w:vAlign w:val="bottom"/>
          </w:tcPr>
          <w:p>
            <w:pPr>
              <w:ind w:left="160"/>
              <w:spacing w:after="0"/>
              <w:rPr>
                <w:sz w:val="20"/>
                <w:szCs w:val="20"/>
                <w:color w:val="auto"/>
              </w:rPr>
            </w:pPr>
            <w:r>
              <w:rPr>
                <w:rFonts w:ascii="Arial" w:cs="Arial" w:eastAsia="Arial" w:hAnsi="Arial"/>
                <w:sz w:val="8"/>
                <w:szCs w:val="8"/>
                <w:color w:val="auto"/>
              </w:rPr>
              <w:t>Net proceeds from Class A common stock options exercised</w:t>
            </w:r>
          </w:p>
        </w:tc>
        <w:tc>
          <w:tcPr>
            <w:tcW w:w="1040" w:type="dxa"/>
            <w:vAlign w:val="bottom"/>
          </w:tcPr>
          <w:p>
            <w:pPr>
              <w:spacing w:after="0"/>
              <w:rPr>
                <w:sz w:val="15"/>
                <w:szCs w:val="15"/>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64,143</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78"/>
              <w:spacing w:after="0"/>
              <w:rPr>
                <w:sz w:val="20"/>
                <w:szCs w:val="20"/>
                <w:color w:val="auto"/>
              </w:rPr>
            </w:pPr>
            <w:r>
              <w:rPr>
                <w:rFonts w:ascii="Arial" w:cs="Arial" w:eastAsia="Arial" w:hAnsi="Arial"/>
                <w:sz w:val="8"/>
                <w:szCs w:val="8"/>
                <w:color w:val="auto"/>
              </w:rPr>
              <w:t>4,424</w:t>
            </w:r>
          </w:p>
        </w:tc>
      </w:tr>
      <w:tr>
        <w:trPr>
          <w:trHeight w:val="180"/>
        </w:trPr>
        <w:tc>
          <w:tcPr>
            <w:tcW w:w="7680" w:type="dxa"/>
            <w:vAlign w:val="bottom"/>
          </w:tcPr>
          <w:p>
            <w:pPr>
              <w:ind w:left="160"/>
              <w:spacing w:after="0"/>
              <w:rPr>
                <w:sz w:val="20"/>
                <w:szCs w:val="20"/>
                <w:color w:val="auto"/>
              </w:rPr>
            </w:pPr>
            <w:r>
              <w:rPr>
                <w:rFonts w:ascii="Arial" w:cs="Arial" w:eastAsia="Arial" w:hAnsi="Arial"/>
                <w:sz w:val="8"/>
                <w:szCs w:val="8"/>
                <w:color w:val="auto"/>
              </w:rPr>
              <w:t>Net proceeds from Class A common stock issued under the Employee Stock Purchase Plan</w:t>
            </w:r>
          </w:p>
        </w:tc>
        <w:tc>
          <w:tcPr>
            <w:tcW w:w="1040" w:type="dxa"/>
            <w:vAlign w:val="bottom"/>
          </w:tcPr>
          <w:p>
            <w:pPr>
              <w:spacing w:after="0"/>
              <w:rPr>
                <w:sz w:val="15"/>
                <w:szCs w:val="15"/>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7,724</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78"/>
              <w:spacing w:after="0"/>
              <w:rPr>
                <w:sz w:val="20"/>
                <w:szCs w:val="20"/>
                <w:color w:val="auto"/>
              </w:rPr>
            </w:pPr>
            <w:r>
              <w:rPr>
                <w:rFonts w:ascii="Arial" w:cs="Arial" w:eastAsia="Arial" w:hAnsi="Arial"/>
                <w:sz w:val="8"/>
                <w:szCs w:val="8"/>
                <w:color w:val="auto"/>
              </w:rPr>
              <w:t>7,428</w:t>
            </w:r>
          </w:p>
        </w:tc>
      </w:tr>
      <w:tr>
        <w:trPr>
          <w:trHeight w:val="186"/>
        </w:trPr>
        <w:tc>
          <w:tcPr>
            <w:tcW w:w="7680" w:type="dxa"/>
            <w:vAlign w:val="bottom"/>
          </w:tcPr>
          <w:p>
            <w:pPr>
              <w:ind w:left="160"/>
              <w:spacing w:after="0"/>
              <w:rPr>
                <w:sz w:val="20"/>
                <w:szCs w:val="20"/>
                <w:color w:val="auto"/>
              </w:rPr>
            </w:pPr>
            <w:r>
              <w:rPr>
                <w:rFonts w:ascii="Arial" w:cs="Arial" w:eastAsia="Arial" w:hAnsi="Arial"/>
                <w:sz w:val="8"/>
                <w:szCs w:val="8"/>
                <w:color w:val="auto"/>
              </w:rPr>
              <w:t>Other, net</w:t>
            </w:r>
          </w:p>
        </w:tc>
        <w:tc>
          <w:tcPr>
            <w:tcW w:w="10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758</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(530)</w:t>
            </w:r>
          </w:p>
        </w:tc>
      </w:tr>
      <w:tr>
        <w:trPr>
          <w:trHeight w:val="160"/>
        </w:trPr>
        <w:tc>
          <w:tcPr>
            <w:tcW w:w="7680" w:type="dxa"/>
            <w:vAlign w:val="bottom"/>
          </w:tcPr>
          <w:p>
            <w:pPr>
              <w:ind w:left="440"/>
              <w:spacing w:after="0"/>
              <w:rPr>
                <w:sz w:val="20"/>
                <w:szCs w:val="20"/>
                <w:color w:val="auto"/>
              </w:rPr>
            </w:pPr>
            <w:r>
              <w:rPr>
                <w:rFonts w:ascii="Arial" w:cs="Arial" w:eastAsia="Arial" w:hAnsi="Arial"/>
                <w:sz w:val="8"/>
                <w:szCs w:val="8"/>
                <w:color w:val="auto"/>
              </w:rPr>
              <w:t>Net cash flows from financing activities</w:t>
            </w:r>
          </w:p>
        </w:tc>
        <w:tc>
          <w:tcPr>
            <w:tcW w:w="10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(890,015)</w:t>
            </w:r>
          </w:p>
        </w:tc>
        <w:tc>
          <w:tcPr>
            <w:tcW w:w="1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(21,043)</w:t>
            </w:r>
          </w:p>
        </w:tc>
      </w:tr>
      <w:tr>
        <w:trPr>
          <w:trHeight w:val="160"/>
        </w:trPr>
        <w:tc>
          <w:tcPr>
            <w:tcW w:w="7680" w:type="dxa"/>
            <w:vAlign w:val="bottom"/>
          </w:tcPr>
          <w:p>
            <w:pPr>
              <w:ind w:left="440"/>
              <w:spacing w:after="0"/>
              <w:rPr>
                <w:sz w:val="20"/>
                <w:szCs w:val="20"/>
                <w:color w:val="auto"/>
              </w:rPr>
            </w:pPr>
            <w:r>
              <w:rPr>
                <w:rFonts w:ascii="Arial" w:cs="Arial" w:eastAsia="Arial" w:hAnsi="Arial"/>
                <w:sz w:val="8"/>
                <w:szCs w:val="8"/>
                <w:color w:val="auto"/>
              </w:rPr>
              <w:t>Effect of exchange rates on cash and cash equivalents</w:t>
            </w:r>
          </w:p>
        </w:tc>
        <w:tc>
          <w:tcPr>
            <w:tcW w:w="10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(411)</w:t>
            </w:r>
          </w:p>
        </w:tc>
        <w:tc>
          <w:tcPr>
            <w:tcW w:w="12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8"/>
                <w:szCs w:val="8"/>
                <w:color w:val="auto"/>
              </w:rPr>
              <w:t>(3,449)</w:t>
            </w:r>
          </w:p>
        </w:tc>
      </w:tr>
      <w:tr>
        <w:trPr>
          <w:trHeight w:val="154"/>
        </w:trPr>
        <w:tc>
          <w:tcPr>
            <w:tcW w:w="7680" w:type="dxa"/>
            <w:vAlign w:val="bottom"/>
          </w:tcPr>
          <w:p>
            <w:pPr>
              <w:ind w:left="440"/>
              <w:spacing w:after="0"/>
              <w:rPr>
                <w:sz w:val="20"/>
                <w:szCs w:val="20"/>
                <w:color w:val="auto"/>
              </w:rPr>
            </w:pPr>
            <w:r>
              <w:rPr>
                <w:rFonts w:ascii="Arial" w:cs="Arial" w:eastAsia="Arial" w:hAnsi="Arial"/>
                <w:sz w:val="8"/>
                <w:szCs w:val="8"/>
                <w:color w:val="auto"/>
              </w:rPr>
              <w:t>Net increase (decrease) in cash and cash equivalents, including restricted amounts</w:t>
            </w:r>
          </w:p>
        </w:tc>
        <w:tc>
          <w:tcPr>
            <w:tcW w:w="1040" w:type="dxa"/>
            <w:vAlign w:val="bottom"/>
          </w:tcPr>
          <w:p>
            <w:pPr>
              <w:spacing w:after="0"/>
              <w:rPr>
                <w:sz w:val="13"/>
                <w:szCs w:val="13"/>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634,003</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jc w:val="right"/>
              <w:ind w:right="38"/>
              <w:spacing w:after="0"/>
              <w:rPr>
                <w:sz w:val="20"/>
                <w:szCs w:val="20"/>
                <w:color w:val="auto"/>
              </w:rPr>
            </w:pPr>
            <w:r>
              <w:rPr>
                <w:rFonts w:ascii="Arial" w:cs="Arial" w:eastAsia="Arial" w:hAnsi="Arial"/>
                <w:sz w:val="8"/>
                <w:szCs w:val="8"/>
                <w:color w:val="auto"/>
              </w:rPr>
              <w:t>(834,175)</w:t>
            </w:r>
          </w:p>
        </w:tc>
      </w:tr>
      <w:tr>
        <w:trPr>
          <w:trHeight w:val="186"/>
        </w:trPr>
        <w:tc>
          <w:tcPr>
            <w:tcW w:w="7680" w:type="dxa"/>
            <w:vAlign w:val="bottom"/>
          </w:tcPr>
          <w:p>
            <w:pPr>
              <w:spacing w:after="0"/>
              <w:rPr>
                <w:sz w:val="20"/>
                <w:szCs w:val="20"/>
                <w:color w:val="auto"/>
              </w:rPr>
            </w:pPr>
            <w:r>
              <w:rPr>
                <w:rFonts w:ascii="Arial" w:cs="Arial" w:eastAsia="Arial" w:hAnsi="Arial"/>
                <w:sz w:val="8"/>
                <w:szCs w:val="8"/>
                <w:color w:val="auto"/>
              </w:rPr>
              <w:t>Cash and cash equivalents, including restricted amounts, beginning of period</w:t>
            </w:r>
          </w:p>
        </w:tc>
        <w:tc>
          <w:tcPr>
            <w:tcW w:w="10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929,495</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2,432,249</w:t>
            </w:r>
          </w:p>
        </w:tc>
      </w:tr>
      <w:tr>
        <w:trPr>
          <w:trHeight w:val="164"/>
        </w:trPr>
        <w:tc>
          <w:tcPr>
            <w:tcW w:w="7680" w:type="dxa"/>
            <w:vAlign w:val="bottom"/>
          </w:tcPr>
          <w:p>
            <w:pPr>
              <w:spacing w:after="0"/>
              <w:rPr>
                <w:sz w:val="20"/>
                <w:szCs w:val="20"/>
                <w:color w:val="auto"/>
              </w:rPr>
            </w:pPr>
            <w:r>
              <w:rPr>
                <w:rFonts w:ascii="Arial" w:cs="Arial" w:eastAsia="Arial" w:hAnsi="Arial"/>
                <w:sz w:val="8"/>
                <w:szCs w:val="8"/>
                <w:color w:val="auto"/>
              </w:rPr>
              <w:t>Cash and cash equivalents, including restricted amounts, end of period</w:t>
            </w:r>
          </w:p>
        </w:tc>
        <w:tc>
          <w:tcPr>
            <w:tcW w:w="1040" w:type="dxa"/>
            <w:vAlign w:val="bottom"/>
            <w:tcBorders>
              <w:bottom w:val="single" w:sz="8" w:color="auto"/>
            </w:tcBorders>
          </w:tcPr>
          <w:p>
            <w:pPr>
              <w:jc w:val="right"/>
              <w:ind w:right="938"/>
              <w:spacing w:after="0"/>
              <w:rPr>
                <w:sz w:val="20"/>
                <w:szCs w:val="20"/>
                <w:color w:val="auto"/>
              </w:rPr>
            </w:pPr>
            <w:r>
              <w:rPr>
                <w:rFonts w:ascii="Arial" w:cs="Arial" w:eastAsia="Arial" w:hAnsi="Arial"/>
                <w:sz w:val="8"/>
                <w:szCs w:val="8"/>
                <w:color w:val="auto"/>
                <w:w w:val="88"/>
              </w:rPr>
              <w:t>$</w:t>
            </w: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1,563,498</w:t>
            </w:r>
          </w:p>
        </w:tc>
        <w:tc>
          <w:tcPr>
            <w:tcW w:w="120" w:type="dxa"/>
            <w:vAlign w:val="bottom"/>
          </w:tcPr>
          <w:p>
            <w:pPr>
              <w:spacing w:after="0"/>
              <w:rPr>
                <w:sz w:val="14"/>
                <w:szCs w:val="14"/>
                <w:color w:val="auto"/>
              </w:rPr>
            </w:pPr>
          </w:p>
        </w:tc>
        <w:tc>
          <w:tcPr>
            <w:tcW w:w="800" w:type="dxa"/>
            <w:vAlign w:val="bottom"/>
            <w:tcBorders>
              <w:bottom w:val="single" w:sz="8" w:color="auto"/>
            </w:tcBorders>
          </w:tcPr>
          <w:p>
            <w:pPr>
              <w:jc w:val="right"/>
              <w:ind w:right="698"/>
              <w:spacing w:after="0"/>
              <w:rPr>
                <w:sz w:val="20"/>
                <w:szCs w:val="20"/>
                <w:color w:val="auto"/>
              </w:rPr>
            </w:pPr>
            <w:r>
              <w:rPr>
                <w:rFonts w:ascii="Arial" w:cs="Arial" w:eastAsia="Arial" w:hAnsi="Arial"/>
                <w:sz w:val="8"/>
                <w:szCs w:val="8"/>
                <w:color w:val="auto"/>
                <w:w w:val="88"/>
              </w:rPr>
              <w:t>$</w:t>
            </w: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1,598,074</w:t>
            </w:r>
          </w:p>
        </w:tc>
      </w:tr>
      <w:tr>
        <w:trPr>
          <w:trHeight w:val="348"/>
        </w:trPr>
        <w:tc>
          <w:tcPr>
            <w:tcW w:w="7680" w:type="dxa"/>
            <w:vAlign w:val="bottom"/>
          </w:tcPr>
          <w:p>
            <w:pPr>
              <w:spacing w:after="0"/>
              <w:rPr>
                <w:sz w:val="20"/>
                <w:szCs w:val="20"/>
                <w:color w:val="auto"/>
              </w:rPr>
            </w:pPr>
            <w:r>
              <w:rPr>
                <w:rFonts w:ascii="Arial" w:cs="Arial" w:eastAsia="Arial" w:hAnsi="Arial"/>
                <w:sz w:val="8"/>
                <w:szCs w:val="8"/>
                <w:b w:val="1"/>
                <w:bCs w:val="1"/>
                <w:color w:val="auto"/>
              </w:rPr>
              <w:t>Supplemental disclosure of cash flow information:</w:t>
            </w: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0"/>
        </w:trPr>
        <w:tc>
          <w:tcPr>
            <w:tcW w:w="7680" w:type="dxa"/>
            <w:vAlign w:val="bottom"/>
          </w:tcPr>
          <w:p>
            <w:pPr>
              <w:ind w:left="160"/>
              <w:spacing w:after="0"/>
              <w:rPr>
                <w:sz w:val="20"/>
                <w:szCs w:val="20"/>
                <w:color w:val="auto"/>
              </w:rPr>
            </w:pPr>
            <w:r>
              <w:rPr>
                <w:rFonts w:ascii="Arial" w:cs="Arial" w:eastAsia="Arial" w:hAnsi="Arial"/>
                <w:sz w:val="8"/>
                <w:szCs w:val="8"/>
                <w:color w:val="auto"/>
              </w:rPr>
              <w:t>Cash paid for interest, net of amounts capitalized</w:t>
            </w:r>
          </w:p>
        </w:tc>
        <w:tc>
          <w:tcPr>
            <w:tcW w:w="1040" w:type="dxa"/>
            <w:vAlign w:val="bottom"/>
            <w:tcBorders>
              <w:bottom w:val="single" w:sz="8" w:color="auto"/>
            </w:tcBorders>
          </w:tcPr>
          <w:p>
            <w:pPr>
              <w:jc w:val="right"/>
              <w:ind w:right="938"/>
              <w:spacing w:after="0"/>
              <w:rPr>
                <w:sz w:val="20"/>
                <w:szCs w:val="20"/>
                <w:color w:val="auto"/>
              </w:rPr>
            </w:pPr>
            <w:r>
              <w:rPr>
                <w:rFonts w:ascii="Arial" w:cs="Arial" w:eastAsia="Arial" w:hAnsi="Arial"/>
                <w:sz w:val="8"/>
                <w:szCs w:val="8"/>
                <w:color w:val="auto"/>
                <w:w w:val="88"/>
              </w:rPr>
              <w:t>$</w:t>
            </w: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161,766</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ind w:right="698"/>
              <w:spacing w:after="0"/>
              <w:rPr>
                <w:sz w:val="20"/>
                <w:szCs w:val="20"/>
                <w:color w:val="auto"/>
              </w:rPr>
            </w:pPr>
            <w:r>
              <w:rPr>
                <w:rFonts w:ascii="Arial" w:cs="Arial" w:eastAsia="Arial" w:hAnsi="Arial"/>
                <w:sz w:val="8"/>
                <w:szCs w:val="8"/>
                <w:color w:val="auto"/>
                <w:w w:val="88"/>
              </w:rPr>
              <w:t>$</w:t>
            </w: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170,303</w:t>
            </w:r>
          </w:p>
        </w:tc>
      </w:tr>
      <w:tr>
        <w:trPr>
          <w:trHeight w:val="160"/>
        </w:trPr>
        <w:tc>
          <w:tcPr>
            <w:tcW w:w="7680" w:type="dxa"/>
            <w:vAlign w:val="bottom"/>
          </w:tcPr>
          <w:p>
            <w:pPr>
              <w:ind w:left="160"/>
              <w:spacing w:after="0"/>
              <w:rPr>
                <w:sz w:val="20"/>
                <w:szCs w:val="20"/>
                <w:color w:val="auto"/>
              </w:rPr>
            </w:pPr>
            <w:r>
              <w:rPr>
                <w:rFonts w:ascii="Arial" w:cs="Arial" w:eastAsia="Arial" w:hAnsi="Arial"/>
                <w:sz w:val="8"/>
                <w:szCs w:val="8"/>
                <w:color w:val="auto"/>
              </w:rPr>
              <w:t>Cash paid for income taxes</w:t>
            </w:r>
          </w:p>
        </w:tc>
        <w:tc>
          <w:tcPr>
            <w:tcW w:w="1040" w:type="dxa"/>
            <w:vAlign w:val="bottom"/>
            <w:tcBorders>
              <w:bottom w:val="single" w:sz="8" w:color="auto"/>
            </w:tcBorders>
          </w:tcPr>
          <w:p>
            <w:pPr>
              <w:jc w:val="right"/>
              <w:ind w:right="938"/>
              <w:spacing w:after="0"/>
              <w:rPr>
                <w:sz w:val="20"/>
                <w:szCs w:val="20"/>
                <w:color w:val="auto"/>
              </w:rPr>
            </w:pPr>
            <w:r>
              <w:rPr>
                <w:rFonts w:ascii="Arial" w:cs="Arial" w:eastAsia="Arial" w:hAnsi="Arial"/>
                <w:sz w:val="8"/>
                <w:szCs w:val="8"/>
                <w:color w:val="auto"/>
                <w:w w:val="88"/>
              </w:rPr>
              <w:t>$</w:t>
            </w: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2,119</w:t>
            </w:r>
          </w:p>
        </w:tc>
        <w:tc>
          <w:tcPr>
            <w:tcW w:w="120" w:type="dxa"/>
            <w:vAlign w:val="bottom"/>
          </w:tcPr>
          <w:p>
            <w:pPr>
              <w:spacing w:after="0"/>
              <w:rPr>
                <w:sz w:val="13"/>
                <w:szCs w:val="13"/>
                <w:color w:val="auto"/>
              </w:rPr>
            </w:pPr>
          </w:p>
        </w:tc>
        <w:tc>
          <w:tcPr>
            <w:tcW w:w="800" w:type="dxa"/>
            <w:vAlign w:val="bottom"/>
            <w:tcBorders>
              <w:bottom w:val="single" w:sz="8" w:color="auto"/>
            </w:tcBorders>
          </w:tcPr>
          <w:p>
            <w:pPr>
              <w:jc w:val="right"/>
              <w:ind w:right="698"/>
              <w:spacing w:after="0"/>
              <w:rPr>
                <w:sz w:val="20"/>
                <w:szCs w:val="20"/>
                <w:color w:val="auto"/>
              </w:rPr>
            </w:pPr>
            <w:r>
              <w:rPr>
                <w:rFonts w:ascii="Arial" w:cs="Arial" w:eastAsia="Arial" w:hAnsi="Arial"/>
                <w:sz w:val="8"/>
                <w:szCs w:val="8"/>
                <w:color w:val="auto"/>
                <w:w w:val="88"/>
              </w:rPr>
              <w:t>$</w:t>
            </w:r>
          </w:p>
        </w:tc>
        <w:tc>
          <w:tcPr>
            <w:tcW w:w="10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3,369</w:t>
            </w:r>
          </w:p>
        </w:tc>
      </w:tr>
    </w:tbl>
    <w:p>
      <w:pPr>
        <w:spacing w:after="0" w:line="171" w:lineRule="exact"/>
        <w:rPr>
          <w:sz w:val="20"/>
          <w:szCs w:val="20"/>
          <w:color w:val="auto"/>
        </w:rPr>
      </w:pPr>
    </w:p>
    <w:p>
      <w:pPr>
        <w:ind w:left="5160"/>
        <w:spacing w:after="0"/>
        <w:rPr>
          <w:sz w:val="20"/>
          <w:szCs w:val="20"/>
          <w:color w:val="auto"/>
        </w:rPr>
      </w:pPr>
      <w:r>
        <w:rPr>
          <w:rFonts w:ascii="Arial" w:cs="Arial" w:eastAsia="Arial" w:hAnsi="Arial"/>
          <w:sz w:val="12"/>
          <w:szCs w:val="12"/>
          <w:color w:val="auto"/>
        </w:rPr>
        <w:t>7</w:t>
      </w:r>
    </w:p>
    <w:p>
      <w:pPr>
        <w:sectPr>
          <w:pgSz w:w="11900" w:h="16838" w:orient="portrait"/>
          <w:cols w:equalWidth="0" w:num="1">
            <w:col w:w="11460"/>
          </w:cols>
          <w:pgMar w:left="240" w:top="287" w:right="199" w:bottom="1440"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59690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74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4715" cy="5974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74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4715" cy="5974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59690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4715" cy="5969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lowerRoman"/>
      <w:start w:val="3"/>
    </w:lvl>
  </w:abstractNum>
  <w:abstractNum w:abstractNumId="3">
    <w:nsid w:val="DED7263"/>
    <w:multiLevelType w:val="hybridMultilevel"/>
    <w:lvl w:ilvl="0">
      <w:lvlJc w:val="left"/>
      <w:lvlText w:val="(%1)"/>
      <w:numFmt w:val="lowerRoman"/>
      <w:start w:val="2"/>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lowerRoman"/>
      <w:start w:val="1"/>
    </w:lvl>
  </w:abstractNum>
  <w:abstractNum w:abstractNumId="13">
    <w:nsid w:val="7C83E458"/>
    <w:multiLevelType w:val="hybridMultilevel"/>
    <w:lvl w:ilvl="0">
      <w:lvlJc w:val="left"/>
      <w:lvlText w:val="(%1)"/>
      <w:numFmt w:val="upperLetter"/>
      <w:start w:val="8"/>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decimal"/>
      <w:start w:val="1"/>
    </w:lvl>
    <w:lvl w:ilvl="1">
      <w:lvlJc w:val="left"/>
      <w:lvlText w:val="%2)"/>
      <w:numFmt w:val="lowerLetter"/>
      <w:start w:val="1"/>
    </w:lvl>
  </w:abstractNum>
  <w:abstractNum w:abstractNumId="18">
    <w:nsid w:val="333AB105"/>
    <w:multiLevelType w:val="hybridMultilevel"/>
    <w:lvl w:ilvl="0">
      <w:lvlJc w:val="left"/>
      <w:lvlText w:val="%1."/>
      <w:numFmt w:val="decimal"/>
      <w:start w:val="1"/>
    </w:lvl>
    <w:lvl w:ilvl="1">
      <w:lvlJc w:val="left"/>
      <w:lvlText w:val="%2)"/>
      <w:numFmt w:val="lowerLetter"/>
      <w:start w:val="1"/>
    </w:lvl>
  </w:abstractNum>
  <w:abstractNum w:abstractNumId="19">
    <w:nsid w:val="721DA317"/>
    <w:multiLevelType w:val="hybridMultilevel"/>
    <w:lvl w:ilvl="0">
      <w:lvlJc w:val="left"/>
      <w:lvlText w:val="(%1)"/>
      <w:numFmt w:val="lowerRoman"/>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
      <w:numFmt w:val="bullet"/>
      <w:start w:val="1"/>
    </w:lvl>
    <w:lvl w:ilvl="1">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2019-12-28T02:13:48Z</dcterms:created>
  <dcterms:modified xsi:type="dcterms:W3CDTF">2019-12-28T02:13:48Z</dcterms:modified>
</cp:coreProperties>
</file>