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WASHINGTON, D.C. 20549</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81" w:lineRule="exact"/>
        <w:rPr>
          <w:sz w:val="24"/>
          <w:szCs w:val="24"/>
          <w:color w:val="auto"/>
        </w:rPr>
      </w:pPr>
    </w:p>
    <w:p>
      <w:pPr>
        <w:ind w:left="960" w:hanging="925"/>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62" w:lineRule="exact"/>
        <w:rPr>
          <w:sz w:val="24"/>
          <w:szCs w:val="24"/>
          <w:color w:val="auto"/>
        </w:rPr>
      </w:pPr>
    </w:p>
    <w:p>
      <w:pPr>
        <w:ind w:left="4040"/>
        <w:spacing w:after="0"/>
        <w:rPr>
          <w:sz w:val="20"/>
          <w:szCs w:val="20"/>
          <w:color w:val="auto"/>
        </w:rPr>
      </w:pPr>
      <w:r>
        <w:rPr>
          <w:rFonts w:ascii="Arial" w:cs="Arial" w:eastAsia="Arial" w:hAnsi="Arial"/>
          <w:sz w:val="16"/>
          <w:szCs w:val="16"/>
          <w:b w:val="1"/>
          <w:bCs w:val="1"/>
          <w:color w:val="auto"/>
        </w:rPr>
        <w:t>FOR THE QUARTERLY PERIOD ENDED JUNE 30, 2016.</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ind w:left="960" w:hanging="925"/>
        <w:spacing w:after="0" w:line="183" w:lineRule="auto"/>
        <w:tabs>
          <w:tab w:leader="none" w:pos="960" w:val="left"/>
        </w:tabs>
        <w:numPr>
          <w:ilvl w:val="0"/>
          <w:numId w:val="2"/>
        </w:numPr>
        <w:rPr>
          <w:rFonts w:ascii="Arial" w:cs="Arial" w:eastAsia="Arial" w:hAnsi="Arial"/>
          <w:sz w:val="43"/>
          <w:szCs w:val="43"/>
          <w:b w:val="1"/>
          <w:bCs w:val="1"/>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52" w:lineRule="exact"/>
        <w:rPr>
          <w:sz w:val="24"/>
          <w:szCs w:val="24"/>
          <w:color w:val="auto"/>
        </w:rPr>
      </w:pPr>
    </w:p>
    <w:tbl>
      <w:tblPr>
        <w:tblLayout w:type="fixed"/>
        <w:tblInd w:w="760" w:type="dxa"/>
        <w:tblCellMar>
          <w:top w:w="0" w:type="dxa"/>
          <w:left w:w="0" w:type="dxa"/>
          <w:bottom w:w="0" w:type="dxa"/>
          <w:right w:w="0" w:type="dxa"/>
        </w:tblCellMar>
      </w:tblPr>
      <w:tr>
        <w:trPr>
          <w:trHeight w:val="184"/>
        </w:trPr>
        <w:tc>
          <w:tcPr>
            <w:tcW w:w="5340" w:type="dxa"/>
            <w:vAlign w:val="bottom"/>
          </w:tcPr>
          <w:p>
            <w:pPr>
              <w:ind w:left="2140"/>
              <w:spacing w:after="0"/>
              <w:rPr>
                <w:sz w:val="20"/>
                <w:szCs w:val="20"/>
                <w:color w:val="auto"/>
              </w:rPr>
            </w:pPr>
            <w:r>
              <w:rPr>
                <w:rFonts w:ascii="Arial" w:cs="Arial" w:eastAsia="Arial" w:hAnsi="Arial"/>
                <w:sz w:val="16"/>
                <w:szCs w:val="16"/>
                <w:b w:val="1"/>
                <w:bCs w:val="1"/>
                <w:color w:val="auto"/>
              </w:rPr>
              <w:t>FOR THE TRANSITION PERIOD FROM</w:t>
            </w:r>
          </w:p>
        </w:tc>
        <w:tc>
          <w:tcPr>
            <w:tcW w:w="13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8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r>
      <w:tr>
        <w:trPr>
          <w:trHeight w:val="393"/>
        </w:trPr>
        <w:tc>
          <w:tcPr>
            <w:tcW w:w="6720" w:type="dxa"/>
            <w:vAlign w:val="bottom"/>
            <w:gridSpan w:val="3"/>
          </w:tcPr>
          <w:p>
            <w:pPr>
              <w:jc w:val="center"/>
              <w:ind w:left="3091"/>
              <w:spacing w:after="0"/>
              <w:rPr>
                <w:sz w:val="20"/>
                <w:szCs w:val="20"/>
                <w:color w:val="auto"/>
              </w:rPr>
            </w:pPr>
            <w:r>
              <w:rPr>
                <w:rFonts w:ascii="Arial" w:cs="Arial" w:eastAsia="Arial" w:hAnsi="Arial"/>
                <w:sz w:val="16"/>
                <w:szCs w:val="16"/>
                <w:b w:val="1"/>
                <w:bCs w:val="1"/>
                <w:color w:val="auto"/>
                <w:w w:val="93"/>
              </w:rPr>
              <w:t>Commission File Number: 333-179121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09"/>
        </w:trPr>
        <w:tc>
          <w:tcPr>
            <w:tcW w:w="7400" w:type="dxa"/>
            <w:vAlign w:val="bottom"/>
            <w:gridSpan w:val="5"/>
          </w:tcPr>
          <w:p>
            <w:pPr>
              <w:jc w:val="center"/>
              <w:ind w:left="2411"/>
              <w:spacing w:after="0"/>
              <w:rPr>
                <w:sz w:val="20"/>
                <w:szCs w:val="20"/>
                <w:color w:val="auto"/>
              </w:rPr>
            </w:pPr>
            <w:r>
              <w:rPr>
                <w:rFonts w:ascii="Arial" w:cs="Arial" w:eastAsia="Arial" w:hAnsi="Arial"/>
                <w:sz w:val="29"/>
                <w:szCs w:val="29"/>
                <w:b w:val="1"/>
                <w:bCs w:val="1"/>
                <w:color w:val="auto"/>
                <w:w w:val="88"/>
              </w:rPr>
              <w:t>Hughes Satellite Systems Corporation</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6"/>
        </w:trPr>
        <w:tc>
          <w:tcPr>
            <w:tcW w:w="6720" w:type="dxa"/>
            <w:vAlign w:val="bottom"/>
            <w:gridSpan w:val="3"/>
          </w:tcPr>
          <w:p>
            <w:pPr>
              <w:jc w:val="center"/>
              <w:ind w:left="3091"/>
              <w:spacing w:after="0"/>
              <w:rPr>
                <w:sz w:val="20"/>
                <w:szCs w:val="20"/>
                <w:color w:val="auto"/>
              </w:rPr>
            </w:pPr>
            <w:r>
              <w:rPr>
                <w:rFonts w:ascii="Arial" w:cs="Arial" w:eastAsia="Arial" w:hAnsi="Arial"/>
                <w:sz w:val="16"/>
                <w:szCs w:val="16"/>
                <w:color w:val="auto"/>
                <w:w w:val="91"/>
              </w:rPr>
              <w:t>(Exact Name of Registrant as Specified in Its Charter)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51"/>
        </w:trPr>
        <w:tc>
          <w:tcPr>
            <w:tcW w:w="6720" w:type="dxa"/>
            <w:vAlign w:val="bottom"/>
            <w:gridSpan w:val="3"/>
          </w:tcPr>
          <w:p>
            <w:pPr>
              <w:jc w:val="center"/>
              <w:ind w:right="2740"/>
              <w:spacing w:after="0"/>
              <w:rPr>
                <w:sz w:val="20"/>
                <w:szCs w:val="20"/>
                <w:color w:val="auto"/>
              </w:rPr>
            </w:pPr>
            <w:r>
              <w:rPr>
                <w:rFonts w:ascii="Arial" w:cs="Arial" w:eastAsia="Arial" w:hAnsi="Arial"/>
                <w:sz w:val="16"/>
                <w:szCs w:val="16"/>
                <w:b w:val="1"/>
                <w:bCs w:val="1"/>
                <w:color w:val="auto"/>
                <w:w w:val="93"/>
              </w:rPr>
              <w:t>Colorado</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45-0897865</w:t>
            </w:r>
          </w:p>
        </w:tc>
        <w:tc>
          <w:tcPr>
            <w:tcW w:w="580" w:type="dxa"/>
            <w:vAlign w:val="bottom"/>
          </w:tcPr>
          <w:p>
            <w:pPr>
              <w:spacing w:after="0"/>
              <w:rPr>
                <w:sz w:val="24"/>
                <w:szCs w:val="24"/>
                <w:color w:val="auto"/>
              </w:rPr>
            </w:pPr>
          </w:p>
        </w:tc>
      </w:tr>
      <w:tr>
        <w:trPr>
          <w:trHeight w:val="257"/>
        </w:trPr>
        <w:tc>
          <w:tcPr>
            <w:tcW w:w="6720" w:type="dxa"/>
            <w:vAlign w:val="bottom"/>
            <w:gridSpan w:val="3"/>
          </w:tcPr>
          <w:p>
            <w:pPr>
              <w:jc w:val="center"/>
              <w:ind w:right="274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2360" w:type="dxa"/>
            <w:vAlign w:val="bottom"/>
            <w:gridSpan w:val="4"/>
          </w:tcPr>
          <w:p>
            <w:pPr>
              <w:jc w:val="center"/>
              <w:spacing w:after="0"/>
              <w:rPr>
                <w:sz w:val="20"/>
                <w:szCs w:val="20"/>
                <w:color w:val="auto"/>
              </w:rPr>
            </w:pPr>
            <w:r>
              <w:rPr>
                <w:rFonts w:ascii="Arial" w:cs="Arial" w:eastAsia="Arial" w:hAnsi="Arial"/>
                <w:sz w:val="16"/>
                <w:szCs w:val="16"/>
                <w:color w:val="auto"/>
                <w:w w:val="94"/>
              </w:rPr>
              <w:t>(I.R.S. Employer Identification No.)</w:t>
            </w:r>
          </w:p>
        </w:tc>
      </w:tr>
      <w:tr>
        <w:trPr>
          <w:trHeight w:val="608"/>
        </w:trPr>
        <w:tc>
          <w:tcPr>
            <w:tcW w:w="6720" w:type="dxa"/>
            <w:vAlign w:val="bottom"/>
            <w:gridSpan w:val="3"/>
          </w:tcPr>
          <w:p>
            <w:pPr>
              <w:jc w:val="center"/>
              <w:ind w:right="2740"/>
              <w:spacing w:after="0"/>
              <w:rPr>
                <w:sz w:val="20"/>
                <w:szCs w:val="20"/>
                <w:color w:val="auto"/>
              </w:rPr>
            </w:pPr>
            <w:r>
              <w:rPr>
                <w:rFonts w:ascii="Arial" w:cs="Arial" w:eastAsia="Arial" w:hAnsi="Arial"/>
                <w:sz w:val="16"/>
                <w:szCs w:val="16"/>
                <w:b w:val="1"/>
                <w:bCs w:val="1"/>
                <w:color w:val="auto"/>
                <w:w w:val="91"/>
              </w:rPr>
              <w:t>100 Inverness Terrace East, Englewood, Colorado</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80112-5308</w:t>
            </w:r>
          </w:p>
        </w:tc>
        <w:tc>
          <w:tcPr>
            <w:tcW w:w="580" w:type="dxa"/>
            <w:vAlign w:val="bottom"/>
          </w:tcPr>
          <w:p>
            <w:pPr>
              <w:spacing w:after="0"/>
              <w:rPr>
                <w:sz w:val="24"/>
                <w:szCs w:val="24"/>
                <w:color w:val="auto"/>
              </w:rPr>
            </w:pPr>
          </w:p>
        </w:tc>
      </w:tr>
      <w:tr>
        <w:trPr>
          <w:trHeight w:val="257"/>
        </w:trPr>
        <w:tc>
          <w:tcPr>
            <w:tcW w:w="6720" w:type="dxa"/>
            <w:vAlign w:val="bottom"/>
            <w:gridSpan w:val="3"/>
          </w:tcPr>
          <w:p>
            <w:pPr>
              <w:jc w:val="center"/>
              <w:ind w:right="2740"/>
              <w:spacing w:after="0"/>
              <w:rPr>
                <w:sz w:val="20"/>
                <w:szCs w:val="20"/>
                <w:color w:val="auto"/>
              </w:rPr>
            </w:pPr>
            <w:r>
              <w:rPr>
                <w:rFonts w:ascii="Arial" w:cs="Arial" w:eastAsia="Arial" w:hAnsi="Arial"/>
                <w:sz w:val="16"/>
                <w:szCs w:val="16"/>
                <w:color w:val="auto"/>
                <w:w w:val="94"/>
              </w:rPr>
              <w:t>(Address of Principal Executive Offices)</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80" w:type="dxa"/>
            <w:vAlign w:val="bottom"/>
            <w:gridSpan w:val="2"/>
          </w:tcPr>
          <w:p>
            <w:pPr>
              <w:jc w:val="center"/>
              <w:ind w:right="579"/>
              <w:spacing w:after="0"/>
              <w:rPr>
                <w:sz w:val="20"/>
                <w:szCs w:val="20"/>
                <w:color w:val="auto"/>
              </w:rPr>
            </w:pPr>
            <w:r>
              <w:rPr>
                <w:rFonts w:ascii="Arial" w:cs="Arial" w:eastAsia="Arial" w:hAnsi="Arial"/>
                <w:sz w:val="16"/>
                <w:szCs w:val="16"/>
                <w:color w:val="auto"/>
                <w:w w:val="92"/>
              </w:rPr>
              <w:t>(Zip Code)</w:t>
            </w:r>
          </w:p>
        </w:tc>
      </w:tr>
    </w:tbl>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(303) 706-4000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13" w:lineRule="exact"/>
        <w:rPr>
          <w:sz w:val="24"/>
          <w:szCs w:val="24"/>
          <w:color w:val="auto"/>
        </w:rPr>
      </w:pPr>
    </w:p>
    <w:p>
      <w:pPr>
        <w:jc w:val="both"/>
        <w:ind w:right="10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o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5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6" w:lineRule="exact"/>
        <w:rPr>
          <w:sz w:val="24"/>
          <w:szCs w:val="24"/>
          <w:color w:val="auto"/>
        </w:rPr>
      </w:pPr>
    </w:p>
    <w:p>
      <w:pPr>
        <w:ind w:right="26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p>
      <w:pPr>
        <w:ind w:left="2900" w:right="680" w:hanging="5590"/>
        <w:spacing w:after="0" w:line="301" w:lineRule="auto"/>
        <w:tabs>
          <w:tab w:leader="none" w:pos="288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Accelerated filer o Non-accelerated filer x Smaller reporting company o (Do not check if a smaller</w:t>
      </w:r>
    </w:p>
    <w:p>
      <w:pPr>
        <w:spacing w:after="0" w:line="282"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reporting company)</w:t>
      </w:r>
    </w:p>
    <w:p>
      <w:pPr>
        <w:spacing w:after="0" w:line="20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24" w:lineRule="exact"/>
        <w:rPr>
          <w:sz w:val="24"/>
          <w:szCs w:val="24"/>
          <w:color w:val="auto"/>
        </w:rPr>
      </w:pPr>
    </w:p>
    <w:p>
      <w:pPr>
        <w:spacing w:after="0"/>
        <w:rPr>
          <w:sz w:val="20"/>
          <w:szCs w:val="20"/>
          <w:color w:val="auto"/>
        </w:rPr>
      </w:pPr>
      <w:r>
        <w:rPr>
          <w:rFonts w:ascii="Arial" w:cs="Arial" w:eastAsia="Arial" w:hAnsi="Arial"/>
          <w:sz w:val="16"/>
          <w:szCs w:val="16"/>
          <w:color w:val="auto"/>
        </w:rPr>
        <w:t>As of August 1, 2016, the registrant’s outstanding common stock consisted of 1,000 shares of common stock, $0.01 par value per share.</w:t>
      </w:r>
    </w:p>
    <w:p>
      <w:pPr>
        <w:spacing w:after="0" w:line="194" w:lineRule="exact"/>
        <w:rPr>
          <w:sz w:val="24"/>
          <w:szCs w:val="24"/>
          <w:color w:val="auto"/>
        </w:rPr>
      </w:pPr>
    </w:p>
    <w:p>
      <w:pPr>
        <w:spacing w:after="0"/>
        <w:rPr>
          <w:sz w:val="20"/>
          <w:szCs w:val="20"/>
          <w:color w:val="auto"/>
        </w:rPr>
      </w:pPr>
      <w:r>
        <w:rPr>
          <w:rFonts w:ascii="Arial" w:cs="Arial" w:eastAsia="Arial" w:hAnsi="Arial"/>
          <w:sz w:val="15"/>
          <w:szCs w:val="15"/>
          <w:color w:val="auto"/>
        </w:rPr>
        <w:t>The registrant meets the conditions set forth in General Instructions (H)(1)(a) and (b) of Form 10-Q and is therefore filing this Form 10-Q with the reduced disclosure format.</w:t>
      </w:r>
    </w:p>
    <w:p>
      <w:pPr>
        <w:spacing w:after="0" w:line="206" w:lineRule="exact"/>
        <w:rPr>
          <w:sz w:val="24"/>
          <w:szCs w:val="24"/>
          <w:color w:val="auto"/>
        </w:rPr>
      </w:pPr>
    </w:p>
    <w:p>
      <w:pPr>
        <w:ind w:left="420" w:right="400" w:hanging="412"/>
        <w:spacing w:after="0" w:line="261" w:lineRule="auto"/>
        <w:tabs>
          <w:tab w:leader="none" w:pos="37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 currently is not subject to the filing requirements of Section 13 or 15(d) of the Securities Exchange Act of 1934 and is filing this Quarterly Report on Form 10-Q on a voluntary basis. The registrant has filed all reports required to be filed by Section 13 or 15(d) of the Securities Exchange Act of 1934 during the preceding 12 months as if it were subject to such filing requirements during the entirety of such period.</w:t>
      </w:r>
    </w:p>
    <w:p>
      <w:pPr>
        <w:sectPr>
          <w:pgSz w:w="11900" w:h="16838" w:orient="portrait"/>
          <w:cols w:equalWidth="0" w:num="1">
            <w:col w:w="11380"/>
          </w:cols>
          <w:pgMar w:left="240" w:top="233" w:right="279" w:bottom="1440" w:gutter="0" w:footer="0" w:header="0"/>
        </w:sectPr>
      </w:pPr>
    </w:p>
    <w:bookmarkStart w:id="1" w:name="page2"/>
    <w:bookmarkEnd w:id="1"/>
    <w:tbl>
      <w:tblPr>
        <w:tblLayout w:type="fixed"/>
        <w:tblInd w:w="32"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40" w:type="dxa"/>
            <w:vAlign w:val="bottom"/>
            <w:gridSpan w:val="8"/>
          </w:tcPr>
          <w:p>
            <w:pPr>
              <w:jc w:val="center"/>
              <w:ind w:right="436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118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Disclosure Regarding Forward-Looking Statements</w:t>
              </w:r>
            </w:hyperlink>
          </w:p>
        </w:tc>
        <w:tc>
          <w:tcPr>
            <w:tcW w:w="8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7460" w:type="dxa"/>
            <w:vAlign w:val="bottom"/>
            <w:gridSpan w:val="11"/>
          </w:tcPr>
          <w:p>
            <w:pPr>
              <w:jc w:val="center"/>
              <w:ind w:right="35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126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286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120" w:type="dxa"/>
            <w:vAlign w:val="bottom"/>
            <w:tcBorders>
              <w:top w:val="single" w:sz="8" w:color="0000EE"/>
            </w:tcBorders>
            <w:gridSpan w:val="6"/>
          </w:tcPr>
          <w:p>
            <w:pPr>
              <w:spacing w:after="0"/>
              <w:rPr>
                <w:sz w:val="24"/>
                <w:szCs w:val="24"/>
                <w:color w:val="auto"/>
              </w:rPr>
            </w:pPr>
          </w:p>
        </w:tc>
        <w:tc>
          <w:tcPr>
            <w:tcW w:w="3940" w:type="dxa"/>
            <w:vAlign w:val="bottom"/>
            <w:gridSpan w:val="4"/>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9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2016 and December 31, 2015 (Unaudited)</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9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and Comprehensive Income (Loss) for the Three and Six Months</w:t>
              </w:r>
            </w:hyperlink>
          </w:p>
        </w:tc>
        <w:tc>
          <w:tcPr>
            <w:tcW w:w="180" w:type="dxa"/>
            <w:vAlign w:val="bottom"/>
            <w:gridSpan w:val="2"/>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Ended June 30, 2016 and 2015 (Unaudited)</w:t>
              </w:r>
            </w:hyperlink>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920" w:type="dxa"/>
            <w:vAlign w:val="bottom"/>
            <w:gridSpan w:val="1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Six Months Ended June 30, 2016 and 2015 (Unaudited)</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80" w:type="dxa"/>
            <w:vAlign w:val="bottom"/>
            <w:tcBorders>
              <w:top w:val="single" w:sz="8" w:color="0000EE"/>
            </w:tcBorders>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164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490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Narrative Analysis of Results of Operations</w:t>
              </w:r>
            </w:hyperlink>
          </w:p>
        </w:tc>
        <w:tc>
          <w:tcPr>
            <w:tcW w:w="5020" w:type="dxa"/>
            <w:vAlign w:val="bottom"/>
            <w:gridSpan w:val="6"/>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10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91"/>
        </w:trPr>
        <w:tc>
          <w:tcPr>
            <w:tcW w:w="12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19"/>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60" w:type="dxa"/>
            <w:vAlign w:val="bottom"/>
            <w:gridSpan w:val="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4.</w:t>
              </w:r>
            </w:hyperlink>
          </w:p>
        </w:tc>
        <w:tc>
          <w:tcPr>
            <w:tcW w:w="992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47</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20" w:type="dxa"/>
            <w:vAlign w:val="bottom"/>
            <w:gridSpan w:val="9"/>
          </w:tcPr>
          <w:p>
            <w:pPr>
              <w:jc w:val="center"/>
              <w:ind w:right="4100"/>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 - OTHER INFORMATION</w:t>
              </w:r>
            </w:hyperlink>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520"/>
        </w:trPr>
        <w:tc>
          <w:tcPr>
            <w:tcW w:w="126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1.</w:t>
              </w:r>
            </w:hyperlink>
          </w:p>
        </w:tc>
        <w:tc>
          <w:tcPr>
            <w:tcW w:w="3000" w:type="dxa"/>
            <w:vAlign w:val="bottom"/>
            <w:gridSpan w:val="1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2820" w:type="dxa"/>
            <w:vAlign w:val="bottom"/>
            <w:tcBorders>
              <w:top w:val="single" w:sz="8" w:color="0000EE"/>
            </w:tcBorders>
            <w:gridSpan w:val="4"/>
          </w:tcPr>
          <w:p>
            <w:pPr>
              <w:spacing w:after="0"/>
              <w:rPr>
                <w:sz w:val="24"/>
                <w:szCs w:val="24"/>
                <w:color w:val="auto"/>
              </w:rPr>
            </w:pPr>
          </w:p>
        </w:tc>
        <w:tc>
          <w:tcPr>
            <w:tcW w:w="4100" w:type="dxa"/>
            <w:vAlign w:val="bottom"/>
            <w:gridSpan w:val="5"/>
          </w:tcPr>
          <w:p>
            <w:pPr>
              <w:spacing w:after="0"/>
              <w:rPr>
                <w:sz w:val="24"/>
                <w:szCs w:val="24"/>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20" w:type="dxa"/>
            <w:vAlign w:val="bottom"/>
            <w:tcBorders>
              <w:left w:val="single" w:sz="8" w:color="0000EE"/>
            </w:tcBorders>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4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Item 1A.</w:t>
              </w:r>
            </w:hyperlink>
          </w:p>
        </w:tc>
        <w:tc>
          <w:tcPr>
            <w:tcW w:w="620" w:type="dxa"/>
            <w:vAlign w:val="bottom"/>
          </w:tcPr>
          <w:p>
            <w:pPr>
              <w:spacing w:after="0"/>
              <w:rPr>
                <w:sz w:val="21"/>
                <w:szCs w:val="21"/>
                <w:color w:val="auto"/>
              </w:rPr>
            </w:pPr>
          </w:p>
        </w:tc>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Risk Factors</w:t>
              </w:r>
            </w:hyperlink>
          </w:p>
        </w:tc>
        <w:tc>
          <w:tcPr>
            <w:tcW w:w="9020" w:type="dxa"/>
            <w:vAlign w:val="bottom"/>
            <w:gridSpan w:val="15"/>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48</w:t>
              </w:r>
            </w:hyperlink>
          </w:p>
        </w:tc>
      </w:tr>
      <w:tr>
        <w:trPr>
          <w:trHeight w:val="291"/>
        </w:trPr>
        <w:tc>
          <w:tcPr>
            <w:tcW w:w="126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19"/>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126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920" w:type="dxa"/>
            <w:vAlign w:val="bottom"/>
            <w:gridSpan w:val="19"/>
          </w:tcPr>
          <w:p>
            <w:pPr>
              <w:spacing w:after="0"/>
              <w:rPr>
                <w:sz w:val="20"/>
                <w:szCs w:val="20"/>
                <w:color w:val="auto"/>
              </w:rPr>
            </w:pPr>
            <w:r>
              <w:rPr>
                <w:rFonts w:ascii="Arial" w:cs="Arial" w:eastAsia="Arial" w:hAnsi="Arial"/>
                <w:sz w:val="18"/>
                <w:szCs w:val="18"/>
                <w:color w:val="auto"/>
              </w:rPr>
              <w:t>Defaults Upon Senior Securities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26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4.</w:t>
              </w:r>
            </w:hyperlink>
          </w:p>
        </w:tc>
        <w:tc>
          <w:tcPr>
            <w:tcW w:w="992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60" w:type="dxa"/>
            <w:vAlign w:val="bottom"/>
            <w:gridSpan w:val="1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5.</w:t>
              </w:r>
            </w:hyperlink>
          </w:p>
        </w:tc>
        <w:tc>
          <w:tcPr>
            <w:tcW w:w="992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20" w:type="dxa"/>
            <w:vAlign w:val="bottom"/>
            <w:gridSpan w:val="14"/>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260" w:type="dxa"/>
            <w:vAlign w:val="bottom"/>
            <w:gridSpan w:val="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6.</w:t>
              </w:r>
            </w:hyperlink>
          </w:p>
        </w:tc>
        <w:tc>
          <w:tcPr>
            <w:tcW w:w="992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160" w:type="dxa"/>
            <w:vAlign w:val="bottom"/>
            <w:gridSpan w:val="16"/>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56">
              <w:r>
                <w:rPr>
                  <w:rFonts w:ascii="Arial" w:cs="Arial" w:eastAsia="Arial" w:hAnsi="Arial"/>
                  <w:sz w:val="18"/>
                  <w:szCs w:val="18"/>
                  <w:color w:val="0000EE"/>
                  <w:w w:val="85"/>
                </w:rPr>
                <w:t>Signatures</w:t>
              </w:r>
            </w:hyperlink>
          </w:p>
        </w:tc>
        <w:tc>
          <w:tcPr>
            <w:tcW w:w="9160" w:type="dxa"/>
            <w:vAlign w:val="bottom"/>
            <w:gridSpan w:val="16"/>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51</w:t>
              </w:r>
            </w:hyperlink>
          </w:p>
        </w:tc>
      </w:tr>
    </w:tbl>
    <w:p>
      <w:pPr>
        <w:spacing w:after="0" w:line="252" w:lineRule="exact"/>
        <w:rPr>
          <w:sz w:val="20"/>
          <w:szCs w:val="20"/>
          <w:color w:val="auto"/>
        </w:rPr>
      </w:pPr>
    </w:p>
    <w:p>
      <w:pPr>
        <w:ind w:left="132" w:hanging="132"/>
        <w:spacing w:after="0"/>
        <w:tabs>
          <w:tab w:leader="none" w:pos="13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This item has been omitted pursuant to the reduced disclosure format as set forth in General Instructions (H)(2) of Form 10-Q</w:t>
      </w:r>
    </w:p>
    <w:p>
      <w:pPr>
        <w:sectPr>
          <w:pgSz w:w="11900" w:h="16838" w:orient="portrait"/>
          <w:cols w:equalWidth="0" w:num="1">
            <w:col w:w="11392"/>
          </w:cols>
          <w:pgMar w:left="248" w:top="580"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83" w:lineRule="exact"/>
        <w:rPr>
          <w:sz w:val="20"/>
          <w:szCs w:val="20"/>
          <w:color w:val="auto"/>
        </w:rPr>
      </w:pPr>
    </w:p>
    <w:p>
      <w:pPr>
        <w:ind w:left="420" w:hanging="169"/>
        <w:spacing w:after="0"/>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reliance on our primary customer, DISH Network Corporation and its subsidiaries (“DISH Network”), for a significant portion of our revenue;</w:t>
      </w:r>
    </w:p>
    <w:p>
      <w:pPr>
        <w:spacing w:after="0" w:line="236" w:lineRule="exact"/>
        <w:rPr>
          <w:rFonts w:ascii="Arial" w:cs="Arial" w:eastAsia="Arial" w:hAnsi="Arial"/>
          <w:sz w:val="17"/>
          <w:szCs w:val="17"/>
          <w:color w:val="auto"/>
        </w:rPr>
      </w:pPr>
    </w:p>
    <w:p>
      <w:pPr>
        <w:ind w:left="420" w:hanging="16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implement our strategic initiatives;</w:t>
      </w:r>
    </w:p>
    <w:p>
      <w:pPr>
        <w:spacing w:after="0" w:line="225" w:lineRule="exact"/>
        <w:rPr>
          <w:rFonts w:ascii="Arial" w:cs="Arial" w:eastAsia="Arial" w:hAnsi="Arial"/>
          <w:sz w:val="18"/>
          <w:szCs w:val="18"/>
          <w:color w:val="auto"/>
        </w:rPr>
      </w:pPr>
    </w:p>
    <w:p>
      <w:pPr>
        <w:ind w:left="420" w:hanging="16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w:t>
      </w:r>
    </w:p>
    <w:p>
      <w:pPr>
        <w:spacing w:after="0" w:line="225" w:lineRule="exact"/>
        <w:rPr>
          <w:rFonts w:ascii="Arial" w:cs="Arial" w:eastAsia="Arial" w:hAnsi="Arial"/>
          <w:sz w:val="18"/>
          <w:szCs w:val="18"/>
          <w:color w:val="auto"/>
        </w:rPr>
      </w:pPr>
    </w:p>
    <w:p>
      <w:pPr>
        <w:ind w:left="420" w:right="100" w:hanging="169"/>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170" w:lineRule="exact"/>
        <w:rPr>
          <w:rFonts w:ascii="Arial" w:cs="Arial" w:eastAsia="Arial" w:hAnsi="Arial"/>
          <w:sz w:val="18"/>
          <w:szCs w:val="18"/>
          <w:color w:val="auto"/>
        </w:rPr>
      </w:pPr>
    </w:p>
    <w:p>
      <w:pPr>
        <w:jc w:val="both"/>
        <w:ind w:left="420" w:right="620" w:hanging="169"/>
        <w:spacing w:after="0" w:line="26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risks related to the construction, launch and operation of our satellites, such as the risk of material malfunction on one or more of our satellites, changes in the space weather environment that could interfere with the operation of our satellites, and our general lack of commercial insurance coverage on our satellites;</w:t>
      </w:r>
    </w:p>
    <w:p>
      <w:pPr>
        <w:spacing w:after="0" w:line="181" w:lineRule="exact"/>
        <w:rPr>
          <w:rFonts w:ascii="Arial" w:cs="Arial" w:eastAsia="Arial" w:hAnsi="Arial"/>
          <w:sz w:val="18"/>
          <w:szCs w:val="18"/>
          <w:color w:val="auto"/>
        </w:rPr>
      </w:pPr>
    </w:p>
    <w:p>
      <w:pPr>
        <w:ind w:left="420" w:hanging="169"/>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adequately anticipate the need for satellite capacity or the inability to obtain satellite capacity for our Hughes segment; and</w:t>
      </w:r>
    </w:p>
    <w:p>
      <w:pPr>
        <w:spacing w:after="0" w:line="225" w:lineRule="exact"/>
        <w:rPr>
          <w:rFonts w:ascii="Arial" w:cs="Arial" w:eastAsia="Arial" w:hAnsi="Arial"/>
          <w:sz w:val="18"/>
          <w:szCs w:val="18"/>
          <w:color w:val="auto"/>
        </w:rPr>
      </w:pPr>
    </w:p>
    <w:p>
      <w:pPr>
        <w:ind w:left="420" w:right="540" w:hanging="169"/>
        <w:spacing w:after="0" w:line="324" w:lineRule="auto"/>
        <w:tabs>
          <w:tab w:leader="none" w:pos="43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(“Form 10-K”) filed with the Securities and Exchange Commission (“SEC”), those discussed in “Management’s Narrative Analysis of Results of Operations” herein and in our Form 10-K, and those discussed in other documents we file with the SEC.</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87" w:lineRule="exact"/>
        <w:rPr>
          <w:sz w:val="20"/>
          <w:szCs w:val="20"/>
          <w:color w:val="auto"/>
        </w:rPr>
      </w:pPr>
    </w:p>
    <w:p>
      <w:pPr>
        <w:ind w:right="100"/>
        <w:spacing w:after="0" w:line="221" w:lineRule="exact"/>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events, levels of activity, performance or achievements. We do not assume responsibility for the accuracy and completeness of the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We assume no responsibility for updating forward</w:t>
      </w:r>
      <w:r>
        <w:rPr>
          <w:rFonts w:ascii="MS PGothic" w:cs="MS PGothic" w:eastAsia="MS PGothic" w:hAnsi="MS PGothic"/>
          <w:sz w:val="16"/>
          <w:szCs w:val="16"/>
          <w:color w:val="auto"/>
        </w:rPr>
        <w:t>‑</w:t>
      </w:r>
      <w:r>
        <w:rPr>
          <w:rFonts w:ascii="Arial" w:cs="Arial" w:eastAsia="Arial" w:hAnsi="Arial"/>
          <w:sz w:val="16"/>
          <w:szCs w:val="16"/>
          <w:color w:val="auto"/>
        </w:rPr>
        <w:t>looking information contained or incorporated by reference herein or in any documents we file with the SEC.</w:t>
      </w:r>
    </w:p>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5" w:right="239" w:bottom="1440" w:gutter="0" w:footer="0" w:header="0"/>
        </w:sectPr>
      </w:pPr>
    </w:p>
    <w:bookmarkStart w:id="3" w:name="page4"/>
    <w:bookmarkEnd w:id="3"/>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tab/>
        <w:t>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4"/>
              </w:rPr>
              <w:t>As of</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w w:val="92"/>
              </w:rPr>
              <w:t>June 30, 2016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700" w:type="dxa"/>
            <w:vAlign w:val="bottom"/>
            <w:shd w:val="clear" w:color="auto" w:fill="CCEEFF"/>
          </w:tcPr>
          <w:p>
            <w:pPr>
              <w:ind w:left="408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349,788</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382,990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Marketable investment securities, at fair value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315,635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253,343</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Trade accounts receivable, net of allowance for doubtful accounts of $12,440 and $11,447, respectively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133,379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139,510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Trade accounts receivable - DISH Network, net of allowance for doubtful accounts of zero</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27,270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21,258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55,241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48,797</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Prepaids and deposits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36,176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38,222</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to affiliates,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80,187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47,387</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13,273</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1,008,113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944,780</w:t>
            </w:r>
          </w:p>
        </w:tc>
        <w:tc>
          <w:tcPr>
            <w:tcW w:w="0" w:type="dxa"/>
            <w:vAlign w:val="bottom"/>
          </w:tcPr>
          <w:p>
            <w:pPr>
              <w:spacing w:after="0"/>
              <w:rPr>
                <w:sz w:val="1"/>
                <w:szCs w:val="1"/>
                <w:color w:val="auto"/>
              </w:rPr>
            </w:pPr>
          </w:p>
        </w:tc>
      </w:tr>
      <w:tr>
        <w:trPr>
          <w:trHeight w:val="204"/>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Noncurrent Assets:</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21,724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20,140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Property and equipment, net of accumulated depreciation of $2,319,774 and $2,138,642, respectively</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2,322,560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2,265,402</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authorizations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471,658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471,658</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504,173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504,173</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115,420</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Investments in unconsolidated entities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37,220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41,481</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 net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289,498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208,225</w:t>
            </w:r>
          </w:p>
        </w:tc>
        <w:tc>
          <w:tcPr>
            <w:tcW w:w="0" w:type="dxa"/>
            <w:vAlign w:val="bottom"/>
          </w:tcPr>
          <w:p>
            <w:pPr>
              <w:spacing w:after="0"/>
              <w:rPr>
                <w:sz w:val="1"/>
                <w:szCs w:val="1"/>
                <w:color w:val="auto"/>
              </w:rPr>
            </w:pPr>
          </w:p>
        </w:tc>
      </w:tr>
      <w:tr>
        <w:trPr>
          <w:trHeight w:val="217"/>
        </w:trPr>
        <w:tc>
          <w:tcPr>
            <w:tcW w:w="8700" w:type="dxa"/>
            <w:vAlign w:val="bottom"/>
          </w:tcPr>
          <w:p>
            <w:pPr>
              <w:ind w:left="40"/>
              <w:spacing w:after="0"/>
              <w:rPr>
                <w:sz w:val="20"/>
                <w:szCs w:val="20"/>
                <w:color w:val="auto"/>
              </w:rPr>
            </w:pPr>
            <w:r>
              <w:rPr>
                <w:rFonts w:ascii="Arial" w:cs="Arial" w:eastAsia="Arial" w:hAnsi="Arial"/>
                <w:sz w:val="16"/>
                <w:szCs w:val="16"/>
                <w:color w:val="auto"/>
              </w:rPr>
              <w:t>Total noncurrent assets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3,744,910</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3,626,499</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4,753,023</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4,571,279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3040"/>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Trade accounts payable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104,379</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97,648</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Trade accounts payable - DISH Network</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Current portion of long-term debt and capital lease obligations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31,410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30,284</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from affiliates, net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3,773</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Deferred revenue and prepayments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63,461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57,493</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18,932</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Accrued expenses and other</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74,556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104,811</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298,665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312,960</w:t>
            </w:r>
          </w:p>
        </w:tc>
        <w:tc>
          <w:tcPr>
            <w:tcW w:w="0" w:type="dxa"/>
            <w:vAlign w:val="bottom"/>
          </w:tcPr>
          <w:p>
            <w:pPr>
              <w:spacing w:after="0"/>
              <w:rPr>
                <w:sz w:val="1"/>
                <w:szCs w:val="1"/>
                <w:color w:val="auto"/>
              </w:rPr>
            </w:pPr>
          </w:p>
        </w:tc>
      </w:tr>
      <w:tr>
        <w:trPr>
          <w:trHeight w:val="204"/>
        </w:trPr>
        <w:tc>
          <w:tcPr>
            <w:tcW w:w="8700" w:type="dxa"/>
            <w:vAlign w:val="bottom"/>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and capital lease obligations, net of unamortized 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2,142,361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2,154,988</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Deferred tax liabilities, net</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492,304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452,350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Advances from affiliates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30,361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25,283</w:t>
            </w:r>
          </w:p>
        </w:tc>
        <w:tc>
          <w:tcPr>
            <w:tcW w:w="0" w:type="dxa"/>
            <w:vAlign w:val="bottom"/>
          </w:tcPr>
          <w:p>
            <w:pPr>
              <w:spacing w:after="0"/>
              <w:rPr>
                <w:sz w:val="1"/>
                <w:szCs w:val="1"/>
                <w:color w:val="auto"/>
              </w:rPr>
            </w:pPr>
          </w:p>
        </w:tc>
      </w:tr>
      <w:tr>
        <w:trPr>
          <w:trHeight w:val="237"/>
        </w:trPr>
        <w:tc>
          <w:tcPr>
            <w:tcW w:w="870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83,121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84,058</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2,748,147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2,716,679</w:t>
            </w:r>
          </w:p>
        </w:tc>
        <w:tc>
          <w:tcPr>
            <w:tcW w:w="0" w:type="dxa"/>
            <w:vAlign w:val="bottom"/>
          </w:tcPr>
          <w:p>
            <w:pPr>
              <w:spacing w:after="0"/>
              <w:rPr>
                <w:sz w:val="1"/>
                <w:szCs w:val="1"/>
                <w:color w:val="auto"/>
              </w:rPr>
            </w:pPr>
          </w:p>
        </w:tc>
      </w:tr>
      <w:tr>
        <w:trPr>
          <w:trHeight w:val="217"/>
        </w:trPr>
        <w:tc>
          <w:tcPr>
            <w:tcW w:w="870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3,046,812</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3,029,639</w:t>
            </w:r>
          </w:p>
        </w:tc>
        <w:tc>
          <w:tcPr>
            <w:tcW w:w="0" w:type="dxa"/>
            <w:vAlign w:val="bottom"/>
          </w:tcPr>
          <w:p>
            <w:pPr>
              <w:spacing w:after="0"/>
              <w:rPr>
                <w:sz w:val="1"/>
                <w:szCs w:val="1"/>
                <w:color w:val="auto"/>
              </w:rPr>
            </w:pPr>
          </w:p>
        </w:tc>
      </w:tr>
      <w:tr>
        <w:trPr>
          <w:trHeight w:val="33"/>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700" w:type="dxa"/>
            <w:vAlign w:val="bottom"/>
          </w:tcPr>
          <w:p>
            <w:pPr>
              <w:ind w:left="40"/>
              <w:spacing w:after="0"/>
              <w:rPr>
                <w:sz w:val="20"/>
                <w:szCs w:val="20"/>
                <w:color w:val="auto"/>
              </w:rPr>
            </w:pPr>
            <w:r>
              <w:rPr>
                <w:rFonts w:ascii="Arial" w:cs="Arial" w:eastAsia="Arial" w:hAnsi="Arial"/>
                <w:sz w:val="16"/>
                <w:szCs w:val="16"/>
                <w:color w:val="auto"/>
              </w:rPr>
              <w:t>Preferred Stock, $0.001 par value; 1,000,000 shares authorized: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87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1"/>
              </w:rPr>
              <w:t>Hughes Retail Preferred Tracking Stock, $0.001 par value; 300 shares authorized, 81.128 shares issued and outstanding at each</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of June 30, 2016 and December 31, 2015</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700" w:type="dxa"/>
            <w:vAlign w:val="bottom"/>
          </w:tcPr>
          <w:p>
            <w:pPr>
              <w:ind w:left="40"/>
              <w:spacing w:after="0"/>
              <w:rPr>
                <w:sz w:val="20"/>
                <w:szCs w:val="20"/>
                <w:color w:val="auto"/>
              </w:rPr>
            </w:pPr>
            <w:r>
              <w:rPr>
                <w:rFonts w:ascii="Arial" w:cs="Arial" w:eastAsia="Arial" w:hAnsi="Arial"/>
                <w:sz w:val="16"/>
                <w:szCs w:val="16"/>
                <w:color w:val="auto"/>
                <w:w w:val="93"/>
              </w:rPr>
              <w:t>Common stock, $0.01 par value; 1,000,000 shares authorized, 1,000 shares issued and outstanding at each of June 30, 2016 and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700" w:type="dxa"/>
            <w:vAlign w:val="bottom"/>
          </w:tcPr>
          <w:p>
            <w:pPr>
              <w:ind w:left="200"/>
              <w:spacing w:after="0"/>
              <w:rPr>
                <w:sz w:val="20"/>
                <w:szCs w:val="20"/>
                <w:color w:val="auto"/>
              </w:rPr>
            </w:pPr>
            <w:r>
              <w:rPr>
                <w:rFonts w:ascii="Arial" w:cs="Arial" w:eastAsia="Arial" w:hAnsi="Arial"/>
                <w:sz w:val="16"/>
                <w:szCs w:val="16"/>
                <w:color w:val="auto"/>
              </w:rPr>
              <w:t>December 31, 2015</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1,502,130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1,417,748</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(45,770)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(54,116)</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earnings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238,305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166,698</w:t>
            </w:r>
          </w:p>
        </w:tc>
        <w:tc>
          <w:tcPr>
            <w:tcW w:w="0" w:type="dxa"/>
            <w:vAlign w:val="bottom"/>
          </w:tcPr>
          <w:p>
            <w:pPr>
              <w:spacing w:after="0"/>
              <w:rPr>
                <w:sz w:val="1"/>
                <w:szCs w:val="1"/>
                <w:color w:val="auto"/>
              </w:rPr>
            </w:pPr>
          </w:p>
        </w:tc>
      </w:tr>
      <w:tr>
        <w:trPr>
          <w:trHeight w:val="217"/>
        </w:trPr>
        <w:tc>
          <w:tcPr>
            <w:tcW w:w="8700" w:type="dxa"/>
            <w:vAlign w:val="bottom"/>
          </w:tcPr>
          <w:p>
            <w:pPr>
              <w:ind w:left="40"/>
              <w:spacing w:after="0"/>
              <w:rPr>
                <w:sz w:val="20"/>
                <w:szCs w:val="20"/>
                <w:color w:val="auto"/>
              </w:rPr>
            </w:pPr>
            <w:r>
              <w:rPr>
                <w:rFonts w:ascii="Arial" w:cs="Arial" w:eastAsia="Arial" w:hAnsi="Arial"/>
                <w:sz w:val="16"/>
                <w:szCs w:val="16"/>
                <w:color w:val="auto"/>
              </w:rPr>
              <w:t>Total HSS shareholders’ equity</w:t>
            </w: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1,694,665</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1,530,330</w:t>
            </w:r>
          </w:p>
        </w:tc>
        <w:tc>
          <w:tcPr>
            <w:tcW w:w="0" w:type="dxa"/>
            <w:vAlign w:val="bottom"/>
          </w:tcPr>
          <w:p>
            <w:pPr>
              <w:spacing w:after="0"/>
              <w:rPr>
                <w:sz w:val="1"/>
                <w:szCs w:val="1"/>
                <w:color w:val="auto"/>
              </w:rPr>
            </w:pPr>
          </w:p>
        </w:tc>
      </w:tr>
      <w:tr>
        <w:trPr>
          <w:trHeight w:val="33"/>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
        </w:trPr>
        <w:tc>
          <w:tcPr>
            <w:tcW w:w="8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11,546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11,310</w:t>
            </w:r>
          </w:p>
        </w:tc>
      </w:tr>
      <w:tr>
        <w:trPr>
          <w:trHeight w:val="217"/>
        </w:trPr>
        <w:tc>
          <w:tcPr>
            <w:tcW w:w="8700" w:type="dxa"/>
            <w:vAlign w:val="bottom"/>
          </w:tcPr>
          <w:p>
            <w:pPr>
              <w:ind w:left="280"/>
              <w:spacing w:after="0"/>
              <w:rPr>
                <w:sz w:val="20"/>
                <w:szCs w:val="20"/>
                <w:color w:val="auto"/>
              </w:rPr>
            </w:pPr>
            <w:r>
              <w:rPr>
                <w:rFonts w:ascii="Arial" w:cs="Arial" w:eastAsia="Arial" w:hAnsi="Arial"/>
                <w:sz w:val="16"/>
                <w:szCs w:val="16"/>
                <w:color w:val="auto"/>
              </w:rPr>
              <w:t>Total shareholders’ equity</w:t>
            </w:r>
          </w:p>
        </w:tc>
        <w:tc>
          <w:tcPr>
            <w:tcW w:w="30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1,706,211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1,541,640</w:t>
            </w:r>
          </w:p>
        </w:tc>
      </w:tr>
      <w:tr>
        <w:trPr>
          <w:trHeight w:val="33"/>
        </w:trPr>
        <w:tc>
          <w:tcPr>
            <w:tcW w:w="8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4,753,023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4,571,279</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620" w:type="dxa"/>
            <w:vAlign w:val="bottom"/>
            <w:gridSpan w:val="4"/>
          </w:tcPr>
          <w:p>
            <w:pPr>
              <w:jc w:val="center"/>
              <w:ind w:left="2150"/>
              <w:spacing w:after="0"/>
              <w:rPr>
                <w:sz w:val="20"/>
                <w:szCs w:val="20"/>
                <w:color w:val="auto"/>
              </w:rPr>
            </w:pPr>
            <w:r>
              <w:rPr>
                <w:rFonts w:ascii="Arial" w:cs="Arial" w:eastAsia="Arial" w:hAnsi="Arial"/>
                <w:sz w:val="18"/>
                <w:szCs w:val="18"/>
                <w:b w:val="1"/>
                <w:bCs w:val="1"/>
                <w:color w:val="auto"/>
                <w:w w:val="99"/>
              </w:rPr>
              <w:t>HUGHES SATELLITE SYSTEMS CORPORATION</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880" w:type="dxa"/>
            <w:vAlign w:val="bottom"/>
            <w:gridSpan w:val="7"/>
          </w:tcPr>
          <w:p>
            <w:pPr>
              <w:jc w:val="center"/>
              <w:ind w:left="8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620" w:type="dxa"/>
            <w:vAlign w:val="bottom"/>
            <w:gridSpan w:val="4"/>
          </w:tcPr>
          <w:p>
            <w:pPr>
              <w:jc w:val="center"/>
              <w:ind w:left="2170"/>
              <w:spacing w:after="0"/>
              <w:rPr>
                <w:sz w:val="20"/>
                <w:szCs w:val="20"/>
                <w:color w:val="auto"/>
              </w:rPr>
            </w:pPr>
            <w:r>
              <w:rPr>
                <w:rFonts w:ascii="Arial" w:cs="Arial" w:eastAsia="Arial" w:hAnsi="Arial"/>
                <w:sz w:val="18"/>
                <w:szCs w:val="18"/>
                <w:b w:val="1"/>
                <w:bCs w:val="1"/>
                <w:color w:val="auto"/>
              </w:rPr>
              <w:t>AND COMPREHENSIVE INCOME (LOSS)</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360" w:type="dxa"/>
            <w:vAlign w:val="bottom"/>
          </w:tcPr>
          <w:p>
            <w:pPr>
              <w:jc w:val="center"/>
              <w:ind w:left="3430"/>
              <w:spacing w:after="0"/>
              <w:rPr>
                <w:sz w:val="20"/>
                <w:szCs w:val="20"/>
                <w:color w:val="auto"/>
              </w:rPr>
            </w:pPr>
            <w:r>
              <w:rPr>
                <w:rFonts w:ascii="Arial" w:cs="Arial" w:eastAsia="Arial" w:hAnsi="Arial"/>
                <w:sz w:val="18"/>
                <w:szCs w:val="18"/>
                <w:color w:val="auto"/>
                <w:w w:val="90"/>
              </w:rPr>
              <w:t>(In thousands)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5360" w:type="dxa"/>
            <w:vAlign w:val="bottom"/>
          </w:tcPr>
          <w:p>
            <w:pPr>
              <w:jc w:val="center"/>
              <w:ind w:left="3410"/>
              <w:spacing w:after="0"/>
              <w:rPr>
                <w:sz w:val="20"/>
                <w:szCs w:val="20"/>
                <w:color w:val="auto"/>
              </w:rPr>
            </w:pPr>
            <w:r>
              <w:rPr>
                <w:rFonts w:ascii="Arial" w:cs="Arial" w:eastAsia="Arial" w:hAnsi="Arial"/>
                <w:sz w:val="18"/>
                <w:szCs w:val="18"/>
                <w:color w:val="auto"/>
                <w:w w:val="91"/>
              </w:rPr>
              <w:t>(Unaudited)</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60"/>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520" w:type="dxa"/>
            <w:vAlign w:val="bottom"/>
            <w:gridSpan w:val="6"/>
          </w:tcPr>
          <w:p>
            <w:pPr>
              <w:ind w:left="100"/>
              <w:spacing w:after="0"/>
              <w:rPr>
                <w:sz w:val="20"/>
                <w:szCs w:val="20"/>
                <w:color w:val="auto"/>
              </w:rPr>
            </w:pPr>
            <w:r>
              <w:rPr>
                <w:rFonts w:ascii="Arial" w:cs="Arial" w:eastAsia="Arial" w:hAnsi="Arial"/>
                <w:sz w:val="18"/>
                <w:szCs w:val="18"/>
                <w:b w:val="1"/>
                <w:bCs w:val="1"/>
                <w:color w:val="auto"/>
                <w:w w:val="98"/>
              </w:rPr>
              <w:t>For the Three Months Ended</w:t>
            </w:r>
          </w:p>
        </w:tc>
        <w:tc>
          <w:tcPr>
            <w:tcW w:w="120" w:type="dxa"/>
            <w:vAlign w:val="bottom"/>
          </w:tcPr>
          <w:p>
            <w:pPr>
              <w:spacing w:after="0"/>
              <w:rPr>
                <w:sz w:val="24"/>
                <w:szCs w:val="24"/>
                <w:color w:val="auto"/>
              </w:rPr>
            </w:pPr>
          </w:p>
        </w:tc>
        <w:tc>
          <w:tcPr>
            <w:tcW w:w="21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0"/>
              </w:rPr>
              <w:t>For the Six Months Ended</w:t>
            </w:r>
          </w:p>
        </w:tc>
      </w:tr>
      <w:tr>
        <w:trPr>
          <w:trHeight w:val="234"/>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2015</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other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274,563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271,321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544,986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541,000</w:t>
            </w: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262,924</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Equipment revenue - other</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51,526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53,849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94,385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101,900</w:t>
            </w: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3,886</w:t>
            </w:r>
          </w:p>
        </w:tc>
      </w:tr>
      <w:tr>
        <w:trPr>
          <w:trHeight w:val="237"/>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440,718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459,476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869,844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909,710</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126,800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132,548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251,377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262,466</w:t>
            </w: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93,994</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69,185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65,023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140,100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135,568</w:t>
            </w: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12,067</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107,625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204,674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215,639</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360,492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701,073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719,734</w:t>
            </w:r>
          </w:p>
        </w:tc>
      </w:tr>
      <w:tr>
        <w:trPr>
          <w:trHeight w:val="237"/>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87,546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98,984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168,771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189,976</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1280" w:type="dxa"/>
            <w:vAlign w:val="bottom"/>
            <w:shd w:val="clear" w:color="auto" w:fill="CCEEFF"/>
          </w:tcPr>
          <w:p>
            <w:pPr>
              <w:spacing w:after="0"/>
              <w:rPr>
                <w:sz w:val="22"/>
                <w:szCs w:val="22"/>
                <w:color w:val="auto"/>
              </w:rPr>
            </w:pPr>
          </w:p>
        </w:tc>
        <w:tc>
          <w:tcPr>
            <w:tcW w:w="5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(74,090)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(88,652)</w:t>
            </w: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Loss from partial redemption of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Other-than-temporary impairment loss on available-for-sale securities</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(4,649)</w:t>
            </w: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Gains (losses) on marketable investment securities,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Equity in earnings of unconsolidated affiliate</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2,638</w:t>
            </w: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37"/>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(28,727)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(53,131)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(55,881)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(96,774)</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93,202</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Income tax provision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(40,861)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(36,353)</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56,849</w:t>
            </w: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797</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attributable to HSS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37,688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56,052</w:t>
            </w:r>
          </w:p>
        </w:tc>
      </w:tr>
      <w:tr>
        <w:trPr>
          <w:trHeight w:val="20"/>
        </w:trPr>
        <w:tc>
          <w:tcPr>
            <w:tcW w:w="12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57"/>
        </w:trPr>
        <w:tc>
          <w:tcPr>
            <w:tcW w:w="128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37,999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27,473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72,029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56,849</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(9,247)</w:t>
            </w: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Unrealized gains on available-for-sale securities and 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w w:val="93"/>
              </w:rPr>
              <w:t>Recognition of other-than-temporary loss on available-for-sale securities in net income</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4,649</w:t>
            </w:r>
          </w:p>
        </w:tc>
      </w:tr>
      <w:tr>
        <w:trPr>
          <w:trHeight w:val="27"/>
        </w:trPr>
        <w:tc>
          <w:tcPr>
            <w:tcW w:w="12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Recognition of realized gains on available-for-sale securities in net income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7,381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8,160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55,553</w:t>
            </w:r>
          </w:p>
        </w:tc>
      </w:tr>
      <w:tr>
        <w:trPr>
          <w:trHeight w:val="243"/>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797</w:t>
            </w:r>
          </w:p>
        </w:tc>
      </w:tr>
      <w:tr>
        <w:trPr>
          <w:trHeight w:val="27"/>
        </w:trPr>
        <w:tc>
          <w:tcPr>
            <w:tcW w:w="1280" w:type="dxa"/>
            <w:vAlign w:val="bottom"/>
            <w:tcBorders>
              <w:bottom w:val="single" w:sz="8" w:color="CCEEFF"/>
            </w:tcBorders>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HSS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34,426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54,756</w:t>
            </w:r>
          </w:p>
        </w:tc>
      </w:tr>
      <w:tr>
        <w:trPr>
          <w:trHeight w:val="20"/>
        </w:trPr>
        <w:tc>
          <w:tcPr>
            <w:tcW w:w="12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08" w:right="239" w:bottom="57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08" w:right="239" w:bottom="57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5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726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HUGHES SATELLITE SYSTEMS CORPORATION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726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260" w:type="dxa"/>
            <w:vAlign w:val="bottom"/>
          </w:tcPr>
          <w:p>
            <w:pPr>
              <w:jc w:val="center"/>
              <w:ind w:left="1530"/>
              <w:spacing w:after="0"/>
              <w:rPr>
                <w:sz w:val="20"/>
                <w:szCs w:val="20"/>
                <w:color w:val="auto"/>
              </w:rPr>
            </w:pPr>
            <w:r>
              <w:rPr>
                <w:rFonts w:ascii="Arial" w:cs="Arial" w:eastAsia="Arial" w:hAnsi="Arial"/>
                <w:sz w:val="18"/>
                <w:szCs w:val="18"/>
                <w:color w:val="auto"/>
                <w:w w:val="90"/>
              </w:rPr>
              <w:t>(In thousands)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7260" w:type="dxa"/>
            <w:vAlign w:val="bottom"/>
          </w:tcPr>
          <w:p>
            <w:pPr>
              <w:jc w:val="center"/>
              <w:ind w:left="147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For the Six Months Ended</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72,029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56,849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204,674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215,639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Equity in earnings of unconsolidated affiliate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43"/>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from partial redemption of debt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43"/>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Losses (gains) and impairment on marketable investment securities, net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43"/>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Deferred tax provision</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39,219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34,584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Dividends received from unconsolidated entity</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Proceeds from sale of trading securities</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current assets and current liabilities, net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(67,920)</w:t>
            </w:r>
          </w:p>
        </w:tc>
        <w:tc>
          <w:tcPr>
            <w:tcW w:w="0" w:type="dxa"/>
            <w:vAlign w:val="bottom"/>
          </w:tcPr>
          <w:p>
            <w:pPr>
              <w:spacing w:after="0"/>
              <w:rPr>
                <w:sz w:val="1"/>
                <w:szCs w:val="1"/>
                <w:color w:val="auto"/>
              </w:rPr>
            </w:pPr>
          </w:p>
        </w:tc>
      </w:tr>
      <w:tr>
        <w:trPr>
          <w:trHeight w:val="243"/>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Changes in noncurrent assets and noncurrent liabilities, net</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3,831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w:t>
            </w: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Net cash flows from operating activities</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281,341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253,974</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(280,810)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(96,462)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investment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213,913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104,423</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(220,591)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(187,305)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Expenditures for externally marketed software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unconsolidated entity</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Payment for EchoStar XXI launch services</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Net cash flows from investing activities</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(314,882)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(192,520)</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Repayment of 6 1/2% Senior Secured Notes Due 2019 and related premium</w:t>
            </w:r>
          </w:p>
        </w:tc>
        <w:tc>
          <w:tcPr>
            <w:tcW w:w="1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(113,300)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 of other debt and capital lease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(23,722)</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Advances from affiliates</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contribution from EchoStar</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flows from financing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(137,731)</w:t>
            </w:r>
          </w:p>
        </w:tc>
        <w:tc>
          <w:tcPr>
            <w:tcW w:w="0" w:type="dxa"/>
            <w:vAlign w:val="bottom"/>
          </w:tcPr>
          <w:p>
            <w:pPr>
              <w:spacing w:after="0"/>
              <w:rPr>
                <w:sz w:val="1"/>
                <w:szCs w:val="1"/>
                <w:color w:val="auto"/>
              </w:rPr>
            </w:pPr>
          </w:p>
        </w:tc>
      </w:tr>
      <w:tr>
        <w:trPr>
          <w:trHeight w:val="237"/>
        </w:trPr>
        <w:tc>
          <w:tcPr>
            <w:tcW w:w="8540" w:type="dxa"/>
            <w:vAlign w:val="bottom"/>
            <w:gridSpan w:val="2"/>
          </w:tcPr>
          <w:p>
            <w:pPr>
              <w:ind w:left="600"/>
              <w:spacing w:after="0"/>
              <w:rPr>
                <w:sz w:val="20"/>
                <w:szCs w:val="20"/>
                <w:color w:val="auto"/>
              </w:rPr>
            </w:pPr>
            <w:r>
              <w:rPr>
                <w:rFonts w:ascii="Arial" w:cs="Arial" w:eastAsia="Arial" w:hAnsi="Arial"/>
                <w:sz w:val="18"/>
                <w:szCs w:val="18"/>
                <w:color w:val="auto"/>
              </w:rPr>
              <w:t>Effect of exchange rates on cash and cash equivalents</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(76,903)</w:t>
            </w:r>
          </w:p>
        </w:tc>
        <w:tc>
          <w:tcPr>
            <w:tcW w:w="0" w:type="dxa"/>
            <w:vAlign w:val="bottom"/>
          </w:tcPr>
          <w:p>
            <w:pPr>
              <w:spacing w:after="0"/>
              <w:rPr>
                <w:sz w:val="1"/>
                <w:szCs w:val="1"/>
                <w:color w:val="auto"/>
              </w:rPr>
            </w:pPr>
          </w:p>
        </w:tc>
      </w:tr>
      <w:tr>
        <w:trPr>
          <w:trHeight w:val="243"/>
        </w:trPr>
        <w:tc>
          <w:tcPr>
            <w:tcW w:w="85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382,990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225,557</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349,788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148,654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80" w:type="dxa"/>
            <w:vAlign w:val="bottom"/>
          </w:tcPr>
          <w:p>
            <w:pPr>
              <w:spacing w:after="0"/>
              <w:rPr>
                <w:sz w:val="21"/>
                <w:szCs w:val="21"/>
                <w:color w:val="auto"/>
              </w:rPr>
            </w:pPr>
          </w:p>
        </w:tc>
        <w:tc>
          <w:tcPr>
            <w:tcW w:w="7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Cash paid for interest (including capitalized interest)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86,623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91,653</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72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4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Capitalized interest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72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4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Property and equipment financed under capital lease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Reduction of capital lease obligation for AMC-15 and AMC-16 satellites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72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4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Increase (decrease) in capital expenditures included in accounts payable,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Transfer of EchoStar XXI launch contract from EchoStar to HNS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4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52,250</w:t>
            </w:r>
          </w:p>
        </w:tc>
        <w:tc>
          <w:tcPr>
            <w:tcW w:w="0" w:type="dxa"/>
            <w:vAlign w:val="bottom"/>
          </w:tcPr>
          <w:p>
            <w:pPr>
              <w:spacing w:after="0"/>
              <w:rPr>
                <w:sz w:val="1"/>
                <w:szCs w:val="1"/>
                <w:color w:val="auto"/>
              </w:rPr>
            </w:pPr>
          </w:p>
        </w:tc>
      </w:tr>
      <w:tr>
        <w:trPr>
          <w:trHeight w:val="67"/>
        </w:trPr>
        <w:tc>
          <w:tcPr>
            <w:tcW w:w="1280" w:type="dxa"/>
            <w:vAlign w:val="bottom"/>
            <w:tcBorders>
              <w:bottom w:val="single" w:sz="8" w:color="CCEEFF"/>
            </w:tcBorders>
          </w:tcPr>
          <w:p>
            <w:pPr>
              <w:spacing w:after="0"/>
              <w:rPr>
                <w:sz w:val="5"/>
                <w:szCs w:val="5"/>
                <w:color w:val="auto"/>
              </w:rPr>
            </w:pPr>
          </w:p>
        </w:tc>
        <w:tc>
          <w:tcPr>
            <w:tcW w:w="72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54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Transfer of EchoStar XXIII launch contract from EchoStar to HNS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40"/>
          </w:cols>
          <w:pgMar w:left="240" w:top="108" w:right="819" w:bottom="0" w:gutter="0" w:footer="0" w:header="0"/>
        </w:sectPr>
      </w:pPr>
    </w:p>
    <w:p>
      <w:pPr>
        <w:spacing w:after="0" w:line="200" w:lineRule="exact"/>
        <w:rPr>
          <w:sz w:val="20"/>
          <w:szCs w:val="20"/>
          <w:color w:val="auto"/>
        </w:rPr>
      </w:pPr>
    </w:p>
    <w:p>
      <w:pPr>
        <w:spacing w:after="0" w:line="234" w:lineRule="exact"/>
        <w:rPr>
          <w:sz w:val="20"/>
          <w:szCs w:val="20"/>
          <w:color w:val="auto"/>
        </w:rPr>
      </w:pPr>
    </w:p>
    <w:p>
      <w:pPr>
        <w:ind w:left="216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0840"/>
          </w:cols>
          <w:pgMar w:left="240" w:top="108" w:right="81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w:t>
      </w:r>
      <w:r>
        <w:rPr>
          <w:rFonts w:ascii="Arial" w:cs="Arial" w:eastAsia="Arial" w:hAnsi="Arial"/>
          <w:sz w:val="18"/>
          <w:szCs w:val="18"/>
          <w:color w:val="auto"/>
        </w:rPr>
        <w:t>(Unaudited)</w:t>
      </w:r>
    </w:p>
    <w:p>
      <w:pPr>
        <w:spacing w:after="0" w:line="17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Organization and Business Activities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Hughes Satellite Systems Corporation (which, together with its subsidiaries, is referred to as “HSS,” the “Company,” “we,” “us” and/or “our”) is a holding company and a subsidiary of EchoStar Corporation (“EchoStar”). We are a global provider of satellite service operations, video delivery solutions, broadband satellite technologies and broadband services for home and office customers. We deliver innovative network technologies, managed services, and various communications solutions for enterprise and government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currently operate in the following two business segments:</w:t>
      </w:r>
    </w:p>
    <w:p>
      <w:pPr>
        <w:spacing w:after="0" w:line="225" w:lineRule="exact"/>
        <w:rPr>
          <w:sz w:val="20"/>
          <w:szCs w:val="20"/>
          <w:color w:val="auto"/>
        </w:rPr>
      </w:pPr>
    </w:p>
    <w:p>
      <w:pPr>
        <w:jc w:val="both"/>
        <w:ind w:left="500" w:right="60" w:hanging="168"/>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services to home and office customers and network technologies, managed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and communication solutions to domestic and international enterprise and government markets. The Hughes segment also provides managed services to large enterprises and solutions to customers for mobile satellite systems.</w:t>
      </w:r>
    </w:p>
    <w:p>
      <w:pPr>
        <w:spacing w:after="0" w:line="181" w:lineRule="exact"/>
        <w:rPr>
          <w:rFonts w:ascii="Arial" w:cs="Arial" w:eastAsia="Arial" w:hAnsi="Arial"/>
          <w:sz w:val="18"/>
          <w:szCs w:val="18"/>
          <w:color w:val="auto"/>
        </w:rPr>
      </w:pPr>
    </w:p>
    <w:p>
      <w:pPr>
        <w:ind w:left="500" w:right="200" w:hanging="168"/>
        <w:spacing w:after="0" w:line="30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EchoStar Satellite Services (“ESS”) </w:t>
      </w:r>
      <w:r>
        <w:rPr>
          <w:rFonts w:ascii="Arial" w:cs="Arial" w:eastAsia="Arial" w:hAnsi="Arial"/>
          <w:sz w:val="16"/>
          <w:szCs w:val="16"/>
          <w:color w:val="auto"/>
        </w:rPr>
        <w:t>— which uses certain of our owned and leased in-orbit satellites and related licenses to provide satellite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and video delivery solutions on a full-time and occasional-use basis primarily to DISH Network Corporation and its subsidiaries (“DISH Network”), Dish Mexico, S. de R.L. de C.V. (“Dish Mexico”), a joint venture that EchoStar entered into in 2008, United States (“U.S.”) government service providers, internet service providers, broadcast news organizations, programmers, and private enterprise customers.</w:t>
      </w:r>
    </w:p>
    <w:p>
      <w:pPr>
        <w:spacing w:after="0" w:line="15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were formed as a Colorado corporation in March 2011 to facilitate the acquisition (the “Hughes Acquisition”) of Hughes Communications, Inc. and its subsidiaries (“Hughes Communications”) and related financing transactions. In connection with our formation, EchoStar contributed the assets and liabilities of its satellite services business, including the principal operating subsidiary of its satellite services business, EchoStar Satellite Services L.L.C., to us. In addition, as a result of the Satellite and Tracking Stock Transaction described in Note 3 below and in our most recent Annual Report on Form 10-K, DISH Network owns shares of our preferred tracking stock representing a 28.11% economic interest in the residential retail satellite broadband business of our Hughes segment. DISH Network also owns shares of preferred tracking stock issued by EchoStar Corporation, which together with our preferred tracking stock represents an aggregate 80.0% economic interest in the residential retail satellite and broadband business of our Hughes segment. The tracking stock is an equity security and the rights of DISH Network, as the holder of the tracking stock, in our assets are subject to the claims of our creditors.</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conformity with accounting principles generally accepted in the U.S. (“GAAP”) and with the instructions to Form 10-Q and Article 10 of Regulation S-X for interim financial information. Accordingly, these financial statements do not include all of the information and notes required for complete financial statements prepared in conformity with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percent of the outstanding voting shares and other shareholders do not have substantive rights to participate in management. For entities we control but do not wholly own, we record a noncontrolling interest within shareholders’ equity for the portion of the entity’s equity attributed to the noncontrolling ownership interests. All significant intercompany balances and transactions have been eliminated in consolidation.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80" w:right="224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preparation of financial statements in conformity with GAAP requires us to make certain estimates and assumptions that affect the reported amounts of assets and liabilities at the date of the balance sheets, the reported amounts of revenue and expense for each reporting period, and certain information disclosed in the notes to our condensed consolidated financial statements. Estimates are used in accounting for, among other things, amortization periods for deferred subscriber acquisition costs, revenue recognition using the percentage-of-completion method, allowances for doubtful accounts, allowances for sales returns and rebates, warranty obligations, self-insurance obligations, deferred taxes and related valuation allowances, uncertain tax positions, loss contingencies, fair value of financial instruments, fair value of EchoStar’s stock-based compensation awards, fair value of assets and liabilities acquired in business combinations, lease classifications, asset impairment testing, useful lives and methods for depreciation and amortization of long-lived assets, and certain royalty obligations. We base our estimates and assumptions on historical experience, observable market inputs and on various other factors that we believe to be relevant under the circumstances. Due to the inherent uncertainty involved in making estimates, actual results may differ from previously estimated amounts, and such differences may be material to our condensed consolidated financial statements. Changing economic conditions may increase the inherent uncertainty in the estimates and assumptions indicated above. We review our estimates and assumptions periodically and the effects of revisions are reflected in the period they occur or prospectively if the revised estimate affects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utilize the highest level of inputs available according to the following hierarchy in determining fair value:</w:t>
      </w:r>
    </w:p>
    <w:p>
      <w:pPr>
        <w:spacing w:after="0" w:line="187" w:lineRule="exact"/>
        <w:rPr>
          <w:sz w:val="20"/>
          <w:szCs w:val="20"/>
          <w:color w:val="auto"/>
        </w:rPr>
      </w:pPr>
    </w:p>
    <w:p>
      <w:pPr>
        <w:ind w:left="500" w:hanging="168"/>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25" w:lineRule="exact"/>
        <w:rPr>
          <w:rFonts w:ascii="Arial" w:cs="Arial" w:eastAsia="Arial" w:hAnsi="Arial"/>
          <w:sz w:val="18"/>
          <w:szCs w:val="18"/>
          <w:color w:val="auto"/>
        </w:rPr>
      </w:pPr>
    </w:p>
    <w:p>
      <w:pPr>
        <w:ind w:left="500" w:right="80" w:hanging="168"/>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quoted prices for identical or similar instruments in markets that are not active; and model-derived valuations in which significant inputs and significant value drivers are observable in active markets; and</w:t>
      </w:r>
    </w:p>
    <w:p>
      <w:pPr>
        <w:spacing w:after="0" w:line="181" w:lineRule="exact"/>
        <w:rPr>
          <w:rFonts w:ascii="Arial" w:cs="Arial" w:eastAsia="Arial" w:hAnsi="Arial"/>
          <w:sz w:val="18"/>
          <w:szCs w:val="18"/>
          <w:color w:val="auto"/>
        </w:rPr>
      </w:pPr>
    </w:p>
    <w:p>
      <w:pPr>
        <w:ind w:left="500" w:right="220" w:hanging="168"/>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defined as unobservable inputs for which little or no market data exists, consistent with characteristics of the asset or liability that would be considered by market participants in a transaction to purchase or sell the asset or liability.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Transfers between levels in the fair value hierarchy are considered to occur at the beginning of the quarterly accounting period. There were no transfers between levels for each of the six months ended June 30, 2016 or 2015.</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As of June 30, 2016 and December 31, 2015, the carrying amounts of our cash and cash equivalents, trade accounts receivable, net of allowance for doubtful accounts, accounts payable and accrued liabilities were equal to or approximated fair value due to their short-term nature or proximity to current market rates.</w:t>
      </w:r>
    </w:p>
    <w:p>
      <w:pPr>
        <w:spacing w:after="0" w:line="12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Fair values of our current marketable investment securities are based on a variety of observable market inputs. For our investments in publicly traded equity securities and U.S. government securities, fair value ordinarily is determined based on a Level 1 measurement that reflects quoted prices for identical securities in active markets. Fair values of our investments in other marketable debt securities generally are based on Level 2 measurements as the markets for such debt securities are less active. Trades of identical debt securities on or near the measurement date are considered a strong indication of fair value. Matrix pricing techniques that consider par value, coupon rate, credit quality, maturity and other relevant features also may be used to determine fair value of our investments in marketable debt securities.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Fair values for our publicly traded debt are based on quoted market prices in less active markets and are categorized as Level 2 measurements. The fair values of our privately held debt are Level 2 measurements and are estimated to approximate their carrying amounts based on the proximity of their interest rates to current market rates. As of June 30, 2016 and December 31, 2015, the fair values of our in-orbit incentive obligations, based on measurements categorized within Level 2 of the fair value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hierarchy, approximated their carrying amounts of $77.3 million and $79.3 million, respectively. We use fair value measurements from time to time in connection with impairment testing and the assignment of purchase consideration to assets and liabilities of acquired companies. Those fair value measurements typically include significant unobservable inputs and are categorized within Level 3 of the fair value hierarchy.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Costs incurred in research and development activities generally are expensed as incurred. A significant portion of our research and development costs are incurred in connection with the specific requirements of a customer’s order. In such instances, the amounts for these customer funded development efforts are included in cost of sales.</w:t>
      </w:r>
    </w:p>
    <w:p>
      <w:pPr>
        <w:spacing w:after="0" w:line="18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Cost of sales includes research and development costs incurred in connection with customer’s orders of approximately $3.3 million and $5.2 million for the three months ended June 30, 2016 and 2015, respectively, and $6.1 million and $10.9 million for the six months ended June 30, 2016 and 2015, respectively. In addition, we incurred other research and development expenses of approximately $7.6 million and $6.5 million for the three months ended June 30, 2016 and 2015, respectively, and $14.5 million and $12.1 million for the six months ended June 30, 2016 and 2015,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Costs related to the procurement and development of software for internal-use and externally marketed software are capitalized and amortized using the straight-line method over the estimated useful life of the software, not in excess of five years. Capitalized costs of internal-use software are included in “Property and equipment, net” and capitalized costs of externally marketed software are included in “Other noncurrent assets, net” in our condensed consolidated balance sheets. Externally marketed software is generally installed in the equipment we sell to customers. We conduct software program reviews for externally marketed capitalized software costs at least annually, or as events and circumstances warrant such a review, to determine if capitalized software development costs are recoverable and to ensure that costs associated with programs that are no longer generating revenue are expensed. As of June 30, 2016 and December 31, 2015, the net carrying amount of externally marketed software was $70.5 million and $62.8 million, respectively. We capitalized costs related to the development of externally marketed software of $6.3 million and $6.7 million for the three months ended June 30, 2016 and 2015, respectively, and $12.3 million and $11.7 million for the six months ended June 30, 2016 and 2015, respectively. We recorded amortization expense relating to the development of externally marketed software of $2.3 million and $2.0 million for the three months ended June 30, 2016 and 2015, respectively, and $4.6 million and $3.9 million for the six months ended June 30, 2016 and 2015, respectively. The weighted average useful life of our externally marketed software was approximately three years as of June 30, 2016.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May 2014, the Financial Accounting Standards Board (“FASB”) issued Accounting Standards Update No. 2014-09, Revenue from Contracts with Customers (“ASU 2014-09”). It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In August 2015, the FASB issued Accounting Standards Update No. 2015-14, which deferred the mandatory effective date of ASU 2014-09 by one year. As a result, public entities are required to adopt the new revenue standard in annual periods beginning after December 15, 2017 and in interim periods within those annual periods. The standard may be applied either retrospectively to prior periods or as a cumulative-effect adjustment as of the date of adoption. Early adoption is permitted, but not before annual periods beginning after December 15, 2016. In March 2016, the FASB issued Accounting Standards Update No. 2016-08, Principal versus Agent Considerations, which clarifies the implementation guidance on principal versus agent considerations. In April 2016, the FASB issued Accounting Standards Update No. 2016-10, Identifying Performance Obligations and Licensing, which amends guidance on identifying performance obligations and accounting for licenses of intellectual property. In May 2016, the FASB issued Accounting Standards Update No. 2016-12, Narrow-Scope Improvements and Practical Expedients, which addresses collectibility, noncash consideration, completed contracts at transition, a practical expedient for contract modifications at transition, and an accounting policy election related to the presentation of sales taxes and other similar taxes collected from customers. We have not determined when we will adopt the new revenue standard or selected the transition method that we will apply upon adoption. We are assessing the impact of adopting this new accounting standard on our consolidated financial statements and related disclosures.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80" w:right="224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February 2015, the FASB issued Accounting Standards Update No. 2015-02, Consolidation (Topic 810): Amendments to the Consolidation Analysis (“ASU 2015-02”). This standard amends the consolidation guidance for variable interest entities and general partners’ investments in limited partnerships and similar entities. ASU 2015-02 was effective for annual periods beginning after December 15, 2015 and interim periods within those annual periods, and required either a retrospective or a modified retrospective approach as of the beginning of the fiscal year of adoption. We adopted ASU 2015-02 in the first quarter of 2016. The adoption of the standard did not impact our consolidated financial statements.</w:t>
      </w:r>
    </w:p>
    <w:p>
      <w:pPr>
        <w:spacing w:after="0" w:line="17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April 2015, the FASB issued Accounting Standards Update No. 2015-03, Simplifying the Presentation of Debt Issuance Costs (“ASU 2015-03”). This standard requires that debt issuance costs related to a recognized debt liability be presented in the balance sheet as a direct deduction from the carrying amount of debt liability, consistent with debt discounts or premiums. ASU 2015-03 was effective for annual periods beginning after December 15, 2015 and interim periods within those annual periods, and required a retrospective approach to adoption. We adopted ASU 2015-03 in the first quarter of 2016. Upon adoption, we presented unamortized debt issuance cost previously reported in “Other noncurrent assets, net” with a carrying amount of $31.3 million as of December 31, 2015, as a reduction of our “Long-term debt and capital lease obligations, net of unamortized debt issuance costs”.</w:t>
      </w:r>
    </w:p>
    <w:p>
      <w:pPr>
        <w:spacing w:after="0" w:line="8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January 2016, the FASB issued Accounting Standards Update No. 2016-01, Recognition and Measurement of Financial Assets and Financial Liabilities (“ASU 2016-01”). This update substantially revises standards for the recognition, measurement and presentation of financial instruments, including requiring all equity investments to be measured at fair value with changes in the fair value recognized through net income. It also amends certain disclosure requirements associated with the fair value of financial instruments. ASU 2016-01 is effective for annual periods beginning after December 15, 2017, including interim periods within those annual periods, with early adoption permitted for certain requirements. We are assessing the impact of adopting this new accounting standard on our consolidated financial statements and related disclosures.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February 2016, the FASB issued Accounting Standards Update No. 2016-02, Leases (“ASU 2016-02”). This standard requires lessees to recognize assets and liabilities for all leases with lease terms more than 12 months, including leases classified as operating leases. The standard also modifies the definition of a lease and the criteria for classifying leases as operating leases or financing leases. ASU 2016-02 is effective for annual periods beginning after December 15, 2018 and interim periods within those periods. Early adoption is permitted. We are assessing the impact of adopting this new accounting standard on our consolidated financial statements and related disclosures.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March 2016, the FASB issued Accounting Standards Update No. 2016-09, Improvements to Employee Share-Based Payment Accounting (“ASU 2016-09”), which simplifies the accounting for share-based payment awards. This update requires all excess tax benefits and deficiencies to be recognized as income tax expense or benefit and permits an entity to make an entity-wide policy election to either estimate forfeitures or recognize forfeitures as they occur. ASU 2016-09 is effective for annual periods beginning after December 15, 2016 and interim periods within those periods. The update specifies requirements for retrospective, modified retrospective or prospective application for the various amendments contained in the update. We are assessing the impact of adopting this new accounting standard on our consolidated financial statements and related disclosures.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June 2016, the FASB issued Accounting Standards Update No. 2016-13, Measurement of Credit Losses on Financial Instruments (“ASU 2016-13”), which introduces an approach based on expected losses to estimate credit losses on certain types of financial instruments. It also modifies the impairment model for available-for-sale debt securities and provides for a simplified accounting model for purchased financial assets with credit deterioration since their origination. ASU 2016-13 is effective for annual periods beginning after December 15, 2019 and interim periods within those periods. Early adoption is permitted. We are assessing the impact of adopting this new accounting standard on our consolidated financial statements and related disclosures.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Hughes Retail Preferred Tracking Stock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and Tracking Stock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February 2014, HSS and EchoStar entered into agreements with certain subsidiaries of DISH Network pursuant to which, effective March 1, 2014,</w:t>
      </w:r>
    </w:p>
    <w:p>
      <w:pPr>
        <w:spacing w:after="0" w:line="35" w:lineRule="exact"/>
        <w:rPr>
          <w:sz w:val="20"/>
          <w:szCs w:val="20"/>
          <w:color w:val="auto"/>
        </w:rPr>
      </w:pPr>
    </w:p>
    <w:p>
      <w:pPr>
        <w:ind w:right="20" w:firstLine="8"/>
        <w:spacing w:after="0" w:line="267" w:lineRule="auto"/>
        <w:tabs>
          <w:tab w:leader="none" w:pos="215" w:val="left"/>
        </w:tabs>
        <w:numPr>
          <w:ilvl w:val="0"/>
          <w:numId w:val="8"/>
        </w:numPr>
        <w:rPr>
          <w:rFonts w:ascii="Arial" w:cs="Arial" w:eastAsia="Arial" w:hAnsi="Arial"/>
          <w:sz w:val="17"/>
          <w:szCs w:val="17"/>
          <w:color w:val="auto"/>
        </w:rPr>
      </w:pPr>
      <w:r>
        <w:rPr>
          <w:rFonts w:ascii="Arial" w:cs="Arial" w:eastAsia="Arial" w:hAnsi="Arial"/>
          <w:sz w:val="17"/>
          <w:szCs w:val="17"/>
          <w:color w:val="auto"/>
        </w:rPr>
        <w:t>EchoStar issued shares of its newly authorized Hughes Retail Preferred Tracking Stock (the “EchoStar Tracking Stock”) and HSS issued shares of its newly authorized Hughes Retail Preferred Tracking Stock (the “HSS Tracking Stock” and together with the EchoStar Tracking Stock, the “Tracking Stock”) to DISH Network in exchange for five satellites (EchoStar I, EchoStar VII, EchoStar X, EchoStar XI, and EchoStar XIV), including the assumption of related in-orbit incentive obligations, and $11.4 million in cash and (ii) DISH Network began receiving certain satellite services on these five satellites from us (the “Satellite and Tracking Stock Transaction”). Immediately upon receipt of net assets (consisting of two of the five satellites and related in-orbit incentive obligations) from DISH Network in exchange for EchoStar Tracking Stock, EchoStar transferred such net assets to us. The Tracking Stock tracks the economic performance of the residential retail satellite broadband business of our Hughes segment, including certain operations, assets and liabilities attributed to such business (collectively, the “Hughes Retail Group” or “HRG”). The shares of the Tracking Stock issued to DISH Network represent an aggregate 80.0% economic interest in the Hughes Retail Group (the shares issued as HSS Tracking Stock represent a 28.11% economic interest in the Hughes Retail Group and the shares issued as EchoStar Tracking Stock represent a 51.89% economic interest in the Hughes Retail Group). In addition to the remaining 20.0% economic interest in the Hughes Retail Group, HSS retains all economic interest in the wholesale satellite broadband business and other businesses of HSS. The Satellite and Tracking Stock Transaction was consistent with the long-term strategy of the Company to increase the scale of its satellite services business, which provides high-margin revenues, while continuing to benefit from the growth of the satellite broadband business. As a result of the additional satellites received in the Satellite and Tracking Stock Transaction, HSS increased short-term cash flow that it believes better positions it to achieve its strategic objectives.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HSS has adopted a policy statement (the “Policy Statement”) setting forth management and allocation policies for purposes of attributing all of the business and operations of HSS to either the Hughes Retail Group or the “HSSC Group,” which is defined as all other operations of HSS, including all existing and future businesses, other than the Hughes Retail Group. Among other things, the Policy Statement governs how assets, liabilities, revenue and expenses are attributed or allocated between HRG and the HSSC Group. Such attributions and allocations generally do not affect the amounts reported in our consolidated financial statements, except for the attribution of shareholders’ equity and net income or loss between the holders of Tracking Stock and common stock. The Policy Statement also does not significantly affect the way that management assesses operating performance and allocates resources within our Hughes segment.</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provide unaudited attributed financial information for HRG and the HSSC Group in an exhibit to our periodic reports on Form 10-Q and Form 10-K. For a description of the Tracking Stock and the initial recording of the Satellite and Tracking Stock Transaction in our consolidated financial statements, as well as the purpose and effect of the transaction on the Company and holders of shares of HSS common stock, see Note 3 to the consolidated financial statements in our most recent Annual Report on Form 10-K.</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Other Comprehensive Income (Loss) and Related Tax Effects</w:t>
      </w:r>
    </w:p>
    <w:p>
      <w:pPr>
        <w:spacing w:after="0" w:line="2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not recognized any tax effects on foreign currency translation adjustments because they are not expected to result in future taxable income or deductions. We have not recognized any tax effects on unrealized gains or losses on available-for-sale securities because such gains or losses would affect the amount of existing capital loss carryforwards for which the related deferred tax asset has been fully offset by a valuation allowance.</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Accumulated other comprehensive loss includes cumulative foreign currency translation losses of $44.3 million and $53.8 million as of June 30, 2016 and December 31, 2015,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accumulated other comprehensive loss for the three and six months ended June 30, 2016 and 2015 were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0"/>
              </w:rPr>
              <w:t>Affected Line Item in our</w:t>
            </w:r>
          </w:p>
        </w:tc>
        <w:tc>
          <w:tcPr>
            <w:tcW w:w="0" w:type="dxa"/>
            <w:vAlign w:val="bottom"/>
          </w:tcPr>
          <w:p>
            <w:pPr>
              <w:spacing w:after="0"/>
              <w:rPr>
                <w:sz w:val="1"/>
                <w:szCs w:val="1"/>
                <w:color w:val="auto"/>
              </w:rPr>
            </w:pPr>
          </w:p>
        </w:tc>
      </w:tr>
      <w:tr>
        <w:trPr>
          <w:trHeight w:val="212"/>
        </w:trPr>
        <w:tc>
          <w:tcPr>
            <w:tcW w:w="3760" w:type="dxa"/>
            <w:vAlign w:val="bottom"/>
            <w:gridSpan w:val="2"/>
            <w:vMerge w:val="continue"/>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4"/>
              </w:rPr>
              <w:t>Condensed Consolidated</w:t>
            </w:r>
          </w:p>
        </w:tc>
        <w:tc>
          <w:tcPr>
            <w:tcW w:w="0" w:type="dxa"/>
            <w:vAlign w:val="bottom"/>
          </w:tcPr>
          <w:p>
            <w:pPr>
              <w:spacing w:after="0"/>
              <w:rPr>
                <w:sz w:val="1"/>
                <w:szCs w:val="1"/>
                <w:color w:val="auto"/>
              </w:rPr>
            </w:pPr>
          </w:p>
        </w:tc>
      </w:tr>
      <w:tr>
        <w:trPr>
          <w:trHeight w:val="234"/>
        </w:trPr>
        <w:tc>
          <w:tcPr>
            <w:tcW w:w="376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Components</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8"/>
              </w:rPr>
              <w:t>Statement of Operations</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171450</wp:posOffset>
            </wp:positionV>
            <wp:extent cx="720344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For the Three Months Ended</w:t>
            </w:r>
          </w:p>
        </w:tc>
        <w:tc>
          <w:tcPr>
            <w:tcW w:w="2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the Six Months Ended</w:t>
            </w:r>
          </w:p>
        </w:tc>
      </w:tr>
      <w:tr>
        <w:trPr>
          <w:trHeight w:val="234"/>
        </w:trPr>
        <w:tc>
          <w:tcPr>
            <w:tcW w:w="820" w:type="dxa"/>
            <w:vAlign w:val="bottom"/>
          </w:tcPr>
          <w:p>
            <w:pPr>
              <w:spacing w:after="0"/>
              <w:rPr>
                <w:sz w:val="20"/>
                <w:szCs w:val="20"/>
                <w:color w:val="auto"/>
              </w:rPr>
            </w:pPr>
          </w:p>
        </w:tc>
        <w:tc>
          <w:tcPr>
            <w:tcW w:w="166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Pr>
          <w:p>
            <w:pPr>
              <w:spacing w:after="0"/>
              <w:rPr>
                <w:sz w:val="20"/>
                <w:szCs w:val="20"/>
                <w:color w:val="auto"/>
              </w:rPr>
            </w:pPr>
          </w:p>
        </w:tc>
        <w:tc>
          <w:tcPr>
            <w:tcW w:w="1560" w:type="dxa"/>
            <w:vAlign w:val="bottom"/>
          </w:tcPr>
          <w:p>
            <w:pPr>
              <w:jc w:val="center"/>
              <w:ind w:right="710"/>
              <w:spacing w:after="0"/>
              <w:rPr>
                <w:sz w:val="20"/>
                <w:szCs w:val="20"/>
                <w:color w:val="auto"/>
              </w:rPr>
            </w:pPr>
            <w:r>
              <w:rPr>
                <w:rFonts w:ascii="Arial" w:cs="Arial" w:eastAsia="Arial" w:hAnsi="Arial"/>
                <w:sz w:val="18"/>
                <w:szCs w:val="18"/>
                <w:b w:val="1"/>
                <w:bCs w:val="1"/>
                <w:color w:val="auto"/>
                <w:w w:val="88"/>
              </w:rPr>
              <w:t>June 30,</w:t>
            </w:r>
          </w:p>
        </w:tc>
      </w:tr>
      <w:tr>
        <w:trPr>
          <w:trHeight w:val="27"/>
        </w:trPr>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r>
      <w:tr>
        <w:trPr>
          <w:trHeight w:val="27"/>
        </w:trPr>
        <w:tc>
          <w:tcPr>
            <w:tcW w:w="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p>
        </w:tc>
        <w:tc>
          <w:tcPr>
            <w:tcW w:w="2480" w:type="dxa"/>
            <w:vAlign w:val="bottom"/>
            <w:gridSpan w:val="3"/>
          </w:tcPr>
          <w:p>
            <w:pPr>
              <w:jc w:val="right"/>
              <w:ind w:right="250"/>
              <w:spacing w:after="0"/>
              <w:rPr>
                <w:sz w:val="20"/>
                <w:szCs w:val="20"/>
                <w:color w:val="auto"/>
              </w:rPr>
            </w:pPr>
            <w:r>
              <w:rPr>
                <w:rFonts w:ascii="Arial" w:cs="Arial" w:eastAsia="Arial" w:hAnsi="Arial"/>
                <w:sz w:val="18"/>
                <w:szCs w:val="18"/>
                <w:color w:val="auto"/>
              </w:rPr>
              <w:t>(In thousands)</w:t>
            </w:r>
          </w:p>
        </w:tc>
        <w:tc>
          <w:tcPr>
            <w:tcW w:w="1560" w:type="dxa"/>
            <w:vAlign w:val="bottom"/>
          </w:tcPr>
          <w:p>
            <w:pPr>
              <w:spacing w:after="0"/>
              <w:rPr>
                <w:sz w:val="20"/>
                <w:szCs w:val="20"/>
                <w:color w:val="auto"/>
              </w:rPr>
            </w:pPr>
          </w:p>
        </w:tc>
      </w:tr>
    </w:tbl>
    <w:p>
      <w:pPr>
        <w:spacing w:after="0" w:line="40" w:lineRule="exact"/>
        <w:rPr>
          <w:sz w:val="20"/>
          <w:szCs w:val="20"/>
          <w:color w:val="auto"/>
        </w:rPr>
      </w:pPr>
    </w:p>
    <w:p>
      <w:pPr>
        <w:sectPr>
          <w:pgSz w:w="11900" w:h="16838" w:orient="portrait"/>
          <w:cols w:equalWidth="0" w:num="2">
            <w:col w:w="6460" w:space="100"/>
            <w:col w:w="4860"/>
          </w:cols>
          <w:pgMar w:left="240" w:top="125" w:right="239" w:bottom="1440" w:gutter="0" w:footer="0" w:header="0"/>
          <w:type w:val="continuous"/>
        </w:sectPr>
      </w:pPr>
    </w:p>
    <w:p>
      <w:pPr>
        <w:ind w:left="260" w:right="180" w:hanging="161"/>
        <w:spacing w:after="0" w:line="298" w:lineRule="auto"/>
        <w:rPr>
          <w:sz w:val="20"/>
          <w:szCs w:val="20"/>
          <w:color w:val="auto"/>
        </w:rPr>
      </w:pPr>
      <w:r>
        <w:rPr>
          <w:rFonts w:ascii="Arial" w:cs="Arial" w:eastAsia="Arial" w:hAnsi="Arial"/>
          <w:sz w:val="17"/>
          <w:szCs w:val="17"/>
          <w:color w:val="auto"/>
        </w:rPr>
        <w:t>Recognition of realized gains on available-for-sale securities in net income (1)</w:t>
      </w:r>
    </w:p>
    <w:p>
      <w:pPr>
        <w:spacing w:after="0" w:line="1" w:lineRule="exact"/>
        <w:rPr>
          <w:sz w:val="20"/>
          <w:szCs w:val="20"/>
          <w:color w:val="auto"/>
        </w:rPr>
      </w:pPr>
    </w:p>
    <w:p>
      <w:pPr>
        <w:ind w:left="260" w:hanging="161"/>
        <w:spacing w:after="0" w:line="264" w:lineRule="auto"/>
        <w:rPr>
          <w:sz w:val="20"/>
          <w:szCs w:val="20"/>
          <w:color w:val="auto"/>
        </w:rPr>
      </w:pPr>
      <w:r>
        <w:rPr>
          <w:rFonts w:ascii="Arial" w:cs="Arial" w:eastAsia="Arial" w:hAnsi="Arial"/>
          <w:sz w:val="18"/>
          <w:szCs w:val="18"/>
          <w:color w:val="auto"/>
        </w:rPr>
        <w:t>Recognition of other-than-temporary impairment loss on available-for-sale securities in net income (2)</w:t>
      </w:r>
    </w:p>
    <w:p>
      <w:pPr>
        <w:spacing w:after="0" w:line="19" w:lineRule="exact"/>
        <w:rPr>
          <w:sz w:val="20"/>
          <w:szCs w:val="20"/>
          <w:color w:val="auto"/>
        </w:rPr>
      </w:pPr>
    </w:p>
    <w:p>
      <w:pPr>
        <w:ind w:left="260" w:right="900" w:hanging="161"/>
        <w:spacing w:after="0" w:line="277" w:lineRule="auto"/>
        <w:rPr>
          <w:sz w:val="20"/>
          <w:szCs w:val="20"/>
          <w:color w:val="auto"/>
        </w:rPr>
      </w:pPr>
      <w:r>
        <w:rPr>
          <w:rFonts w:ascii="Arial" w:cs="Arial" w:eastAsia="Arial" w:hAnsi="Arial"/>
          <w:sz w:val="18"/>
          <w:szCs w:val="18"/>
          <w:color w:val="auto"/>
        </w:rPr>
        <w:t>Total reclassifications, net of tax and noncontrolling interests</w:t>
      </w:r>
    </w:p>
    <w:p>
      <w:pPr>
        <w:spacing w:after="0" w:line="20" w:lineRule="exact"/>
        <w:rPr>
          <w:sz w:val="20"/>
          <w:szCs w:val="20"/>
          <w:color w:val="auto"/>
        </w:rPr>
      </w:pPr>
      <w:r>
        <w:rPr>
          <w:sz w:val="20"/>
          <w:szCs w:val="20"/>
          <w:color w:val="auto"/>
        </w:rPr>
        <w:br w:type="column"/>
      </w:r>
    </w:p>
    <w:p>
      <w:pPr>
        <w:ind w:right="360" w:hanging="161"/>
        <w:spacing w:after="0" w:line="317" w:lineRule="auto"/>
        <w:rPr>
          <w:sz w:val="20"/>
          <w:szCs w:val="20"/>
          <w:color w:val="auto"/>
        </w:rPr>
      </w:pPr>
      <w:r>
        <w:rPr>
          <w:rFonts w:ascii="Arial" w:cs="Arial" w:eastAsia="Arial" w:hAnsi="Arial"/>
          <w:sz w:val="16"/>
          <w:szCs w:val="16"/>
          <w:color w:val="auto"/>
        </w:rPr>
        <w:t>Gains (losses) on marketable investment securities, net</w:t>
      </w:r>
    </w:p>
    <w:p>
      <w:pPr>
        <w:ind w:hanging="161"/>
        <w:spacing w:after="0" w:line="264" w:lineRule="auto"/>
        <w:rPr>
          <w:sz w:val="20"/>
          <w:szCs w:val="20"/>
          <w:color w:val="auto"/>
        </w:rPr>
      </w:pPr>
      <w:r>
        <w:rPr>
          <w:rFonts w:ascii="Arial" w:cs="Arial" w:eastAsia="Arial" w:hAnsi="Arial"/>
          <w:sz w:val="18"/>
          <w:szCs w:val="18"/>
          <w:color w:val="auto"/>
        </w:rPr>
        <w:t>Other-than-temporary impairment loss on 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4445</wp:posOffset>
            </wp:positionV>
            <wp:extent cx="7203440"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702"/>
        </w:trPr>
        <w:tc>
          <w:tcPr>
            <w:tcW w:w="3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4,649</w:t>
            </w:r>
          </w:p>
        </w:tc>
      </w:tr>
      <w:tr>
        <w:trPr>
          <w:trHeight w:val="27"/>
        </w:trPr>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426"/>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4,638</w:t>
            </w:r>
          </w:p>
        </w:tc>
      </w:tr>
      <w:tr>
        <w:trPr>
          <w:trHeight w:val="27"/>
        </w:trPr>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3">
            <w:col w:w="3640" w:space="380"/>
            <w:col w:w="2280" w:space="260"/>
            <w:col w:w="4860"/>
          </w:cols>
          <w:pgMar w:left="240" w:top="125" w:right="239" w:bottom="1440" w:gutter="0" w:footer="0" w:header="0"/>
          <w:type w:val="continuous"/>
        </w:sectPr>
      </w:pPr>
    </w:p>
    <w:p>
      <w:pPr>
        <w:ind w:left="340" w:right="320" w:hanging="332"/>
        <w:spacing w:after="0" w:line="25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When available-for-sale securities are sold, the related unrealized gains and losses that were previously recognized in other comprehensive income (loss) are reclassified and recognized as “Gains (losses) on marketable investment securities, net” in our condensed consolidated statements of operations and comprehensive income (loss).</w:t>
      </w: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June 2015, we recorded an other-than-temporary impairment loss on shares of certain common stock included in our strategic equity securities.</w:t>
      </w:r>
    </w:p>
    <w:p>
      <w:pPr>
        <w:spacing w:after="0" w:line="1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Investment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marketable investment securities and investments in unconsolidated entities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2016</w:t>
            </w:r>
          </w:p>
        </w:tc>
        <w:tc>
          <w:tcPr>
            <w:tcW w:w="20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December 31, 2015</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4"/>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00" w:type="dxa"/>
            <w:vAlign w:val="bottom"/>
            <w:gridSpan w:val="4"/>
          </w:tcPr>
          <w:p>
            <w:pPr>
              <w:jc w:val="right"/>
              <w:ind w:right="1370"/>
              <w:spacing w:after="0"/>
              <w:rPr>
                <w:sz w:val="20"/>
                <w:szCs w:val="20"/>
                <w:color w:val="auto"/>
              </w:rPr>
            </w:pPr>
            <w:r>
              <w:rPr>
                <w:rFonts w:ascii="Arial" w:cs="Arial" w:eastAsia="Arial" w:hAnsi="Arial"/>
                <w:sz w:val="18"/>
                <w:szCs w:val="18"/>
                <w:color w:val="auto"/>
              </w:rPr>
              <w:t>(In thousands)</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Marketable investment securities—current,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294,285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228,770</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Strategic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12,641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6,276</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investment securities—current</w:t>
            </w:r>
          </w:p>
        </w:tc>
        <w:tc>
          <w:tcPr>
            <w:tcW w:w="2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253,343</w:t>
            </w:r>
          </w:p>
        </w:tc>
      </w:tr>
      <w:tr>
        <w:trPr>
          <w:trHeight w:val="22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Investments in unconsolidated entities—noncurrent:</w:t>
            </w:r>
          </w:p>
        </w:tc>
        <w:tc>
          <w:tcPr>
            <w:tcW w:w="2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method</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15,438</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 method</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21,782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26,043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in unconsolidated entities—noncurrent</w:t>
            </w:r>
          </w:p>
        </w:tc>
        <w:tc>
          <w:tcPr>
            <w:tcW w:w="28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41,481</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marketable investment securities and investments in unconsolidated entities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352,855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294,824</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Investment Securities</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marketable investment securities portfolio consists of various debt and equity instruments, which generally are classified as available-for-sale or trading securities depending on our investment strategy for those securities. The value of our investment portfolio depends on the value of such securities and other instruments comprising the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Bonds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corporate bond portfolio includes debt instruments issued by individual corporations, primarily in the industrial and financial services industries.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Equity Securities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Our strategic investment portfolio consists of investments in shares of common stock of public companies, which are highly speculative and have experienced and continue to experience volatility. We did not receive any dividend income for the three and six months ended June 30, 2016 or 2015.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00" w:right="222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the three and six months ended June 30, 2016, “Gains (losses) on marketable investment securities, net” included losses of $1.2 million and $1.0 million, respectively, related to trading securities that we held as of June 30, 2016. For each of the three and six months ended June 30, 2015, “Gains (losses) on marketable investment securities, net” included a $1.6 million loss related to trading securities that we held as of June 30,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other current marketable investment securities portfolio includes investments in various debt instruments, including U.S. government bonds.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Gains (Losses) on Marketable Investment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available-for-sale investments are summarized in the table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300" w:type="dxa"/>
            <w:vAlign w:val="bottom"/>
          </w:tcPr>
          <w:p>
            <w:pPr>
              <w:spacing w:after="0"/>
              <w:rPr>
                <w:sz w:val="20"/>
                <w:szCs w:val="20"/>
                <w:color w:val="auto"/>
              </w:rPr>
            </w:pPr>
          </w:p>
        </w:tc>
        <w:tc>
          <w:tcPr>
            <w:tcW w:w="166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2"/>
              </w:rPr>
              <w:t>Unrealized</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Estimated</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Gains</w:t>
            </w:r>
          </w:p>
        </w:tc>
        <w:tc>
          <w:tcPr>
            <w:tcW w:w="42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(In thousands)</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June 30, 2016</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294,285</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12,642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12,641</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3,196</w:t>
            </w:r>
          </w:p>
        </w:tc>
      </w:tr>
      <w:tr>
        <w:trPr>
          <w:trHeight w:val="237"/>
        </w:trPr>
        <w:tc>
          <w:tcPr>
            <w:tcW w:w="4960" w:type="dxa"/>
            <w:vAlign w:val="bottom"/>
          </w:tcPr>
          <w:p>
            <w:pPr>
              <w:ind w:left="380"/>
              <w:spacing w:after="0"/>
              <w:rPr>
                <w:sz w:val="20"/>
                <w:szCs w:val="20"/>
                <w:color w:val="auto"/>
              </w:rPr>
            </w:pPr>
            <w:r>
              <w:rPr>
                <w:rFonts w:ascii="Arial" w:cs="Arial" w:eastAsia="Arial" w:hAnsi="Arial"/>
                <w:sz w:val="18"/>
                <w:szCs w:val="18"/>
                <w:color w:val="auto"/>
              </w:rPr>
              <w:t>Total marketable investment securities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311,619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310,122</w:t>
            </w:r>
          </w:p>
        </w:tc>
      </w:tr>
      <w:tr>
        <w:trPr>
          <w:trHeight w:val="67"/>
        </w:trPr>
        <w:tc>
          <w:tcPr>
            <w:tcW w:w="49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4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 of December 31, 2015</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228,770</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6,276</w:t>
            </w:r>
          </w:p>
        </w:tc>
      </w:tr>
      <w:tr>
        <w:trPr>
          <w:trHeight w:val="27"/>
        </w:trPr>
        <w:tc>
          <w:tcPr>
            <w:tcW w:w="4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7,955</w:t>
            </w:r>
          </w:p>
        </w:tc>
      </w:tr>
      <w:tr>
        <w:trPr>
          <w:trHeight w:val="237"/>
        </w:trPr>
        <w:tc>
          <w:tcPr>
            <w:tcW w:w="4960" w:type="dxa"/>
            <w:vAlign w:val="bottom"/>
          </w:tcPr>
          <w:p>
            <w:pPr>
              <w:ind w:left="380"/>
              <w:spacing w:after="0"/>
              <w:rPr>
                <w:sz w:val="20"/>
                <w:szCs w:val="20"/>
                <w:color w:val="auto"/>
              </w:rPr>
            </w:pPr>
            <w:r>
              <w:rPr>
                <w:rFonts w:ascii="Arial" w:cs="Arial" w:eastAsia="Arial" w:hAnsi="Arial"/>
                <w:sz w:val="18"/>
                <w:szCs w:val="18"/>
                <w:color w:val="auto"/>
              </w:rPr>
              <w:t>Total marketable investment securities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243,320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243,001</w:t>
            </w:r>
          </w:p>
        </w:tc>
      </w:tr>
      <w:tr>
        <w:trPr>
          <w:trHeight w:val="27"/>
        </w:trPr>
        <w:tc>
          <w:tcPr>
            <w:tcW w:w="4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June 30, 2016, restricted and non-restricted marketable investment securities included debt securities of $269.4 million with contractual maturities of one year or less and $37.5 million with contractual maturities greater than one year. We may realize proceeds from certain investments prior to their contractual maturity as a result of our ability to sell these securities prior to their contractual maturity.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Available-for-Sale Securities in a Loss Position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following table reflects the length of time that our available-for-sale securities have been in an unrealized loss position. We do not intend to sell these securities before they recover or mature, and it is more likely than not that we will hold these securities until they recover or mature. We believe that changes in the estimated fair values of these securities are primarily related to temporary market conditions as of June 30, 2016.</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As of</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gridSpan w:val="5"/>
          </w:tcPr>
          <w:p>
            <w:pPr>
              <w:ind w:left="820"/>
              <w:spacing w:after="0"/>
              <w:rPr>
                <w:sz w:val="20"/>
                <w:szCs w:val="20"/>
                <w:color w:val="auto"/>
              </w:rPr>
            </w:pPr>
            <w:r>
              <w:rPr>
                <w:rFonts w:ascii="Arial" w:cs="Arial" w:eastAsia="Arial" w:hAnsi="Arial"/>
                <w:sz w:val="18"/>
                <w:szCs w:val="18"/>
                <w:b w:val="1"/>
                <w:bCs w:val="1"/>
                <w:color w:val="auto"/>
              </w:rPr>
              <w:t>June 30, 2016</w:t>
            </w:r>
          </w:p>
        </w:tc>
        <w:tc>
          <w:tcPr>
            <w:tcW w:w="540" w:type="dxa"/>
            <w:vAlign w:val="bottom"/>
          </w:tcPr>
          <w:p>
            <w:pPr>
              <w:spacing w:after="0"/>
              <w:rPr>
                <w:sz w:val="20"/>
                <w:szCs w:val="20"/>
                <w:color w:val="auto"/>
              </w:rPr>
            </w:pPr>
          </w:p>
        </w:tc>
        <w:tc>
          <w:tcPr>
            <w:tcW w:w="2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6"/>
              </w:rPr>
              <w:t>Fair</w:t>
            </w:r>
          </w:p>
        </w:tc>
        <w:tc>
          <w:tcPr>
            <w:tcW w:w="26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Unrealized</w:t>
            </w:r>
          </w:p>
        </w:tc>
        <w:tc>
          <w:tcPr>
            <w:tcW w:w="540" w:type="dxa"/>
            <w:vAlign w:val="bottom"/>
          </w:tcPr>
          <w:p>
            <w:pPr>
              <w:spacing w:after="0"/>
              <w:rPr>
                <w:sz w:val="18"/>
                <w:szCs w:val="18"/>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6"/>
              </w:rPr>
              <w:t>Fair</w:t>
            </w:r>
          </w:p>
        </w:tc>
        <w:tc>
          <w:tcPr>
            <w:tcW w:w="260" w:type="dxa"/>
            <w:vAlign w:val="bottom"/>
          </w:tcPr>
          <w:p>
            <w:pPr>
              <w:spacing w:after="0"/>
              <w:rPr>
                <w:sz w:val="18"/>
                <w:szCs w:val="18"/>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Unrealized</w:t>
            </w:r>
          </w:p>
        </w:tc>
      </w:tr>
      <w:tr>
        <w:trPr>
          <w:trHeight w:val="234"/>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0"/>
              </w:rPr>
              <w:t>Losses</w:t>
            </w:r>
          </w:p>
        </w:tc>
        <w:tc>
          <w:tcPr>
            <w:tcW w:w="540" w:type="dxa"/>
            <w:vAlign w:val="bottom"/>
          </w:tcPr>
          <w:p>
            <w:pPr>
              <w:spacing w:after="0"/>
              <w:rPr>
                <w:sz w:val="20"/>
                <w:szCs w:val="20"/>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Value</w:t>
            </w:r>
          </w:p>
        </w:tc>
        <w:tc>
          <w:tcPr>
            <w:tcW w:w="26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Losses</w:t>
            </w:r>
          </w:p>
        </w:tc>
      </w:tr>
      <w:tr>
        <w:trPr>
          <w:trHeight w:val="27"/>
        </w:trPr>
        <w:tc>
          <w:tcPr>
            <w:tcW w:w="3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12 months or more</w:t>
            </w:r>
          </w:p>
        </w:tc>
        <w:tc>
          <w:tcPr>
            <w:tcW w:w="3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67,751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3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216,380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360"/>
          </w:cols>
          <w:pgMar w:left="240" w:top="125" w:right="29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60" w:right="21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Marketable Investment Securities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recognized gains from the sales of our available-for-sale securities of $3.0 million for each of the three and six months ended June 30, 2016 and de minimis gains for each of the three and six months ended June 30, 2015. We recognized de minimis losses from the sales of our available-for-sale securities for each of the three and six months ended June 30, 2016 and 2015.</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Proceeds from sales of our available-for-sale securities totaled $15.3 million and $3.1 million for the three months ended June 30, 2016 and 2015, respectively, and $17.6 million and $10.6 million for the six months ended June 30,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current marketable investment securities are measured at fair value on a recurring basis as summarized in the table below. As of June 30, 2016 and December 31, 2015, we did not have investments that were categorized within Level 3 of the fair value hierarchy.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June 30, 2016</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5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December 31, 2015</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Level 1</w:t>
            </w:r>
          </w:p>
        </w:tc>
        <w:tc>
          <w:tcPr>
            <w:tcW w:w="180" w:type="dxa"/>
            <w:vAlign w:val="bottom"/>
          </w:tcPr>
          <w:p>
            <w:pPr>
              <w:spacing w:after="0"/>
              <w:rPr>
                <w:sz w:val="20"/>
                <w:szCs w:val="20"/>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Level 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4"/>
          </w:tcPr>
          <w:p>
            <w:pPr>
              <w:jc w:val="right"/>
              <w:ind w:right="41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303,152</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302,939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Debt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294,285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228,770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228,770</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12,641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 strategic</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18,297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marketable investment securities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315,635</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306,926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253,343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18,297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235,046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Unconsolidated Entities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Noncurrent</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several strategic investments in certain non-publicly traded equity securities that are accounted for using either the equity or the cost method of accounting. Our ability to realize value from our strategic investments in companies that are not publicly traded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June 2016, we recorded a $10.0 million cash distribution from an investment accounted for using the equity method that was determined to be a return on investment and reported in cash flows from operating activities in our condensed consolidated statement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Note 6.</w:t>
            </w:r>
          </w:p>
        </w:tc>
        <w:tc>
          <w:tcPr>
            <w:tcW w:w="5980" w:type="dxa"/>
            <w:vAlign w:val="bottom"/>
          </w:tcPr>
          <w:p>
            <w:pPr>
              <w:ind w:left="140"/>
              <w:spacing w:after="0"/>
              <w:rPr>
                <w:sz w:val="20"/>
                <w:szCs w:val="20"/>
                <w:color w:val="auto"/>
              </w:rPr>
            </w:pPr>
            <w:r>
              <w:rPr>
                <w:rFonts w:ascii="Arial" w:cs="Arial" w:eastAsia="Arial" w:hAnsi="Arial"/>
                <w:sz w:val="18"/>
                <w:szCs w:val="18"/>
                <w:b w:val="1"/>
                <w:bCs w:val="1"/>
                <w:color w:val="auto"/>
              </w:rPr>
              <w:t>Trade Accounts Receivable</w:t>
            </w:r>
          </w:p>
        </w:tc>
        <w:tc>
          <w:tcPr>
            <w:tcW w:w="3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73"/>
        </w:trPr>
        <w:tc>
          <w:tcPr>
            <w:tcW w:w="6680" w:type="dxa"/>
            <w:vAlign w:val="bottom"/>
            <w:gridSpan w:val="2"/>
          </w:tcPr>
          <w:p>
            <w:pPr>
              <w:spacing w:after="0"/>
              <w:rPr>
                <w:sz w:val="20"/>
                <w:szCs w:val="20"/>
                <w:color w:val="auto"/>
              </w:rPr>
            </w:pPr>
            <w:r>
              <w:rPr>
                <w:rFonts w:ascii="Arial" w:cs="Arial" w:eastAsia="Arial" w:hAnsi="Arial"/>
                <w:sz w:val="18"/>
                <w:szCs w:val="18"/>
                <w:color w:val="auto"/>
              </w:rPr>
              <w:t>Our trade accounts receivable consisted of the following:</w:t>
            </w:r>
          </w:p>
        </w:tc>
        <w:tc>
          <w:tcPr>
            <w:tcW w:w="3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702"/>
        </w:trPr>
        <w:tc>
          <w:tcPr>
            <w:tcW w:w="7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980" w:type="dxa"/>
            <w:vAlign w:val="bottom"/>
          </w:tcPr>
          <w:p>
            <w:pPr>
              <w:spacing w:after="0"/>
              <w:rPr>
                <w:sz w:val="24"/>
                <w:szCs w:val="24"/>
                <w:color w:val="auto"/>
              </w:rPr>
            </w:pPr>
          </w:p>
        </w:tc>
      </w:tr>
      <w:tr>
        <w:trPr>
          <w:trHeight w:val="27"/>
        </w:trPr>
        <w:tc>
          <w:tcPr>
            <w:tcW w:w="7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2016</w:t>
            </w:r>
          </w:p>
        </w:tc>
        <w:tc>
          <w:tcPr>
            <w:tcW w:w="280" w:type="dxa"/>
            <w:vAlign w:val="bottom"/>
          </w:tcPr>
          <w:p>
            <w:pPr>
              <w:spacing w:after="0"/>
              <w:rPr>
                <w:sz w:val="20"/>
                <w:szCs w:val="20"/>
                <w:color w:val="auto"/>
              </w:rPr>
            </w:pPr>
          </w:p>
        </w:tc>
        <w:tc>
          <w:tcPr>
            <w:tcW w:w="198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December 31, 2015</w:t>
            </w:r>
          </w:p>
        </w:tc>
      </w:tr>
      <w:tr>
        <w:trPr>
          <w:trHeight w:val="27"/>
        </w:trPr>
        <w:tc>
          <w:tcPr>
            <w:tcW w:w="7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4"/>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60" w:type="dxa"/>
            <w:vAlign w:val="bottom"/>
            <w:gridSpan w:val="4"/>
          </w:tcPr>
          <w:p>
            <w:pPr>
              <w:jc w:val="right"/>
              <w:ind w:right="1690"/>
              <w:spacing w:after="0"/>
              <w:rPr>
                <w:sz w:val="20"/>
                <w:szCs w:val="20"/>
                <w:color w:val="auto"/>
              </w:rPr>
            </w:pPr>
            <w:r>
              <w:rPr>
                <w:rFonts w:ascii="Arial" w:cs="Arial" w:eastAsia="Arial" w:hAnsi="Arial"/>
                <w:sz w:val="18"/>
                <w:szCs w:val="18"/>
                <w:color w:val="auto"/>
              </w:rPr>
              <w:t>(In thousands)</w:t>
            </w:r>
          </w:p>
        </w:tc>
      </w:tr>
      <w:tr>
        <w:trPr>
          <w:trHeight w:val="27"/>
        </w:trPr>
        <w:tc>
          <w:tcPr>
            <w:tcW w:w="66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127,946</w:t>
            </w:r>
          </w:p>
        </w:tc>
      </w:tr>
      <w:tr>
        <w:trPr>
          <w:trHeight w:val="24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Contracts in process, net</w:t>
            </w:r>
          </w:p>
        </w:tc>
        <w:tc>
          <w:tcPr>
            <w:tcW w:w="36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23,379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23,011</w:t>
            </w:r>
          </w:p>
        </w:tc>
      </w:tr>
      <w:tr>
        <w:trPr>
          <w:trHeight w:val="27"/>
        </w:trPr>
        <w:tc>
          <w:tcPr>
            <w:tcW w:w="6680" w:type="dxa"/>
            <w:vAlign w:val="bottom"/>
            <w:tcBorders>
              <w:bottom w:val="single" w:sz="8" w:color="CCEEFF"/>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trade 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150,957</w:t>
            </w:r>
          </w:p>
        </w:tc>
      </w:tr>
      <w:tr>
        <w:trPr>
          <w:trHeight w:val="243"/>
        </w:trPr>
        <w:tc>
          <w:tcPr>
            <w:tcW w:w="6680" w:type="dxa"/>
            <w:vAlign w:val="bottom"/>
            <w:gridSpan w:val="2"/>
          </w:tcPr>
          <w:p>
            <w:pPr>
              <w:ind w:left="4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(12,440)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(11,447)</w:t>
            </w:r>
          </w:p>
        </w:tc>
      </w:tr>
      <w:tr>
        <w:trPr>
          <w:trHeight w:val="27"/>
        </w:trPr>
        <w:tc>
          <w:tcPr>
            <w:tcW w:w="66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w:t>
            </w:r>
          </w:p>
        </w:tc>
        <w:tc>
          <w:tcPr>
            <w:tcW w:w="3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21,258</w:t>
            </w:r>
          </w:p>
        </w:tc>
      </w:tr>
      <w:tr>
        <w:trPr>
          <w:trHeight w:val="237"/>
        </w:trPr>
        <w:tc>
          <w:tcPr>
            <w:tcW w:w="6680" w:type="dxa"/>
            <w:vAlign w:val="bottom"/>
            <w:gridSpan w:val="2"/>
          </w:tcPr>
          <w:p>
            <w:pPr>
              <w:ind w:left="180"/>
              <w:spacing w:after="0"/>
              <w:rPr>
                <w:sz w:val="20"/>
                <w:szCs w:val="20"/>
                <w:color w:val="auto"/>
              </w:rPr>
            </w:pPr>
            <w:r>
              <w:rPr>
                <w:rFonts w:ascii="Arial" w:cs="Arial" w:eastAsia="Arial" w:hAnsi="Arial"/>
                <w:sz w:val="18"/>
                <w:szCs w:val="18"/>
                <w:color w:val="auto"/>
              </w:rPr>
              <w:t>Total trade accounts receivable,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160,649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160,768</w:t>
            </w:r>
          </w:p>
        </w:tc>
      </w:tr>
      <w:tr>
        <w:trPr>
          <w:trHeight w:val="27"/>
        </w:trPr>
        <w:tc>
          <w:tcPr>
            <w:tcW w:w="7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25" w:right="359" w:bottom="1440" w:gutter="0" w:footer="0" w:header="0"/>
        </w:sect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00"/>
          </w:cols>
          <w:pgMar w:left="240" w:top="125"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2016 and December 31, 2015, progress billings offset against contracts in process amounted to $0.9 million and $2.9 million,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4800" w:type="dxa"/>
            <w:vAlign w:val="bottom"/>
          </w:tcPr>
          <w:p>
            <w:pPr>
              <w:ind w:left="140"/>
              <w:spacing w:after="0"/>
              <w:rPr>
                <w:sz w:val="20"/>
                <w:szCs w:val="20"/>
                <w:color w:val="auto"/>
              </w:rPr>
            </w:pPr>
            <w:r>
              <w:rPr>
                <w:rFonts w:ascii="Arial" w:cs="Arial" w:eastAsia="Arial" w:hAnsi="Arial"/>
                <w:sz w:val="18"/>
                <w:szCs w:val="18"/>
                <w:b w:val="1"/>
                <w:bCs w:val="1"/>
                <w:color w:val="auto"/>
              </w:rPr>
              <w:t>Inventory</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5500" w:type="dxa"/>
            <w:vAlign w:val="bottom"/>
            <w:gridSpan w:val="2"/>
          </w:tcPr>
          <w:p>
            <w:pPr>
              <w:spacing w:after="0"/>
              <w:rPr>
                <w:sz w:val="20"/>
                <w:szCs w:val="20"/>
                <w:color w:val="auto"/>
              </w:rPr>
            </w:pPr>
            <w:r>
              <w:rPr>
                <w:rFonts w:ascii="Arial" w:cs="Arial" w:eastAsia="Arial" w:hAnsi="Arial"/>
                <w:sz w:val="18"/>
                <w:szCs w:val="18"/>
                <w:color w:val="auto"/>
              </w:rPr>
              <w:t>Our inventory consisted of the following:</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5"/>
              </w:rPr>
              <w:t>June 30, 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3"/>
              </w:rPr>
              <w:t>December 31, 2015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6"/>
          </w:tcPr>
          <w:p>
            <w:pPr>
              <w:jc w:val="right"/>
              <w:ind w:right="50"/>
              <w:spacing w:after="0"/>
              <w:rPr>
                <w:sz w:val="20"/>
                <w:szCs w:val="20"/>
                <w:color w:val="auto"/>
              </w:rPr>
            </w:pPr>
            <w:r>
              <w:rPr>
                <w:rFonts w:ascii="Arial" w:cs="Arial" w:eastAsia="Arial" w:hAnsi="Arial"/>
                <w:sz w:val="18"/>
                <w:szCs w:val="18"/>
                <w:color w:val="auto"/>
              </w:rPr>
              <w:t>(In thousands)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72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40,863</w:t>
            </w:r>
          </w:p>
        </w:tc>
        <w:tc>
          <w:tcPr>
            <w:tcW w:w="5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Raw materials</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5,280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Work-in process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Total inventory</w:t>
            </w:r>
          </w:p>
        </w:tc>
        <w:tc>
          <w:tcPr>
            <w:tcW w:w="12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55,241</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rPr>
              <w:t>Note 8.</w:t>
            </w:r>
          </w:p>
        </w:tc>
        <w:tc>
          <w:tcPr>
            <w:tcW w:w="48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Property and Equipment</w:t>
            </w:r>
          </w:p>
        </w:tc>
        <w:tc>
          <w:tcPr>
            <w:tcW w:w="1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 w:type="dxa"/>
            <w:vAlign w:val="bottom"/>
            <w:vMerge w:val="continue"/>
          </w:tcPr>
          <w:p>
            <w:pPr>
              <w:spacing w:after="0" w:line="20" w:lineRule="exact"/>
              <w:rPr>
                <w:sz w:val="1"/>
                <w:szCs w:val="1"/>
                <w:color w:val="auto"/>
              </w:rPr>
            </w:pPr>
          </w:p>
        </w:tc>
        <w:tc>
          <w:tcPr>
            <w:tcW w:w="480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 w:type="dxa"/>
            <w:vAlign w:val="bottom"/>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50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4"/>
              </w:rPr>
              <w:t>As of</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720" w:type="dxa"/>
            <w:vAlign w:val="bottom"/>
            <w:gridSpan w:val="2"/>
            <w:vMerge w:val="restart"/>
          </w:tcPr>
          <w:p>
            <w:pPr>
              <w:jc w:val="right"/>
              <w:ind w:right="70"/>
              <w:spacing w:after="0"/>
              <w:rPr>
                <w:sz w:val="20"/>
                <w:szCs w:val="20"/>
                <w:color w:val="auto"/>
              </w:rPr>
            </w:pPr>
            <w:r>
              <w:rPr>
                <w:rFonts w:ascii="Arial" w:cs="Arial" w:eastAsia="Arial" w:hAnsi="Arial"/>
                <w:sz w:val="18"/>
                <w:szCs w:val="18"/>
                <w:b w:val="1"/>
                <w:bCs w:val="1"/>
                <w:color w:val="auto"/>
              </w:rPr>
              <w:t>Depreciable Life</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7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(In 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June 30, 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December 31, 2015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540" w:type="dxa"/>
            <w:vAlign w:val="bottom"/>
            <w:gridSpan w:val="7"/>
          </w:tcPr>
          <w:p>
            <w:pPr>
              <w:jc w:val="center"/>
              <w:ind w:right="1400"/>
              <w:spacing w:after="0"/>
              <w:rPr>
                <w:sz w:val="20"/>
                <w:szCs w:val="20"/>
                <w:color w:val="auto"/>
              </w:rPr>
            </w:pPr>
            <w:r>
              <w:rPr>
                <w:rFonts w:ascii="Arial" w:cs="Arial" w:eastAsia="Arial" w:hAnsi="Arial"/>
                <w:sz w:val="18"/>
                <w:szCs w:val="18"/>
                <w:color w:val="auto"/>
                <w:w w:val="88"/>
              </w:rPr>
              <w:t>(In thousands)</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8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13,338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Buildings and improvements</w:t>
            </w:r>
          </w:p>
        </w:tc>
        <w:tc>
          <w:tcPr>
            <w:tcW w:w="1200" w:type="dxa"/>
            <w:vAlign w:val="bottom"/>
          </w:tcPr>
          <w:p>
            <w:pPr>
              <w:jc w:val="center"/>
              <w:ind w:left="570"/>
              <w:spacing w:after="0"/>
              <w:rPr>
                <w:sz w:val="20"/>
                <w:szCs w:val="20"/>
                <w:color w:val="auto"/>
              </w:rPr>
            </w:pPr>
            <w:r>
              <w:rPr>
                <w:rFonts w:ascii="Arial" w:cs="Arial" w:eastAsia="Arial" w:hAnsi="Arial"/>
                <w:sz w:val="18"/>
                <w:szCs w:val="18"/>
                <w:color w:val="auto"/>
                <w:w w:val="91"/>
              </w:rPr>
              <w:t>1 - 30</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8"/>
                <w:szCs w:val="18"/>
                <w:color w:val="auto"/>
              </w:rPr>
              <w:t>78,141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73,949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fixtures, equipment and other</w:t>
            </w:r>
          </w:p>
        </w:tc>
        <w:tc>
          <w:tcPr>
            <w:tcW w:w="120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1 - 12</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387,858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371,889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Customer rental equipment</w:t>
            </w:r>
          </w:p>
        </w:tc>
        <w:tc>
          <w:tcPr>
            <w:tcW w:w="1200" w:type="dxa"/>
            <w:vAlign w:val="bottom"/>
          </w:tcPr>
          <w:p>
            <w:pPr>
              <w:jc w:val="center"/>
              <w:ind w:left="550"/>
              <w:spacing w:after="0"/>
              <w:rPr>
                <w:sz w:val="20"/>
                <w:szCs w:val="20"/>
                <w:color w:val="auto"/>
              </w:rPr>
            </w:pPr>
            <w:r>
              <w:rPr>
                <w:rFonts w:ascii="Arial" w:cs="Arial" w:eastAsia="Arial" w:hAnsi="Arial"/>
                <w:sz w:val="18"/>
                <w:szCs w:val="18"/>
                <w:color w:val="auto"/>
                <w:w w:val="88"/>
              </w:rPr>
              <w:t>2 - 4</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8"/>
                <w:szCs w:val="18"/>
                <w:color w:val="auto"/>
              </w:rPr>
              <w:t>636,745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588,430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Satellites - owned</w:t>
            </w:r>
          </w:p>
        </w:tc>
        <w:tc>
          <w:tcPr>
            <w:tcW w:w="1200" w:type="dxa"/>
            <w:vAlign w:val="bottom"/>
            <w:tcBorders>
              <w:bottom w:val="single" w:sz="8" w:color="CCEEFF"/>
            </w:tcBorders>
            <w:shd w:val="clear" w:color="auto" w:fill="CCEEFF"/>
          </w:tcPr>
          <w:p>
            <w:pPr>
              <w:jc w:val="center"/>
              <w:ind w:left="570"/>
              <w:spacing w:after="0"/>
              <w:rPr>
                <w:sz w:val="20"/>
                <w:szCs w:val="20"/>
                <w:color w:val="auto"/>
              </w:rPr>
            </w:pPr>
            <w:r>
              <w:rPr>
                <w:rFonts w:ascii="Arial" w:cs="Arial" w:eastAsia="Arial" w:hAnsi="Arial"/>
                <w:sz w:val="18"/>
                <w:szCs w:val="18"/>
                <w:color w:val="auto"/>
                <w:w w:val="91"/>
              </w:rPr>
              <w:t>2 - 15</w:t>
            </w: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2,381,120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2,381,120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Satellites acquired under capital leases</w:t>
            </w:r>
          </w:p>
        </w:tc>
        <w:tc>
          <w:tcPr>
            <w:tcW w:w="1200" w:type="dxa"/>
            <w:vAlign w:val="bottom"/>
          </w:tcPr>
          <w:p>
            <w:pPr>
              <w:jc w:val="center"/>
              <w:ind w:left="550"/>
              <w:spacing w:after="0"/>
              <w:rPr>
                <w:sz w:val="20"/>
                <w:szCs w:val="20"/>
                <w:color w:val="auto"/>
              </w:rPr>
            </w:pPr>
            <w:r>
              <w:rPr>
                <w:rFonts w:ascii="Arial" w:cs="Arial" w:eastAsia="Arial" w:hAnsi="Arial"/>
                <w:sz w:val="18"/>
                <w:szCs w:val="18"/>
                <w:color w:val="auto"/>
                <w:w w:val="92"/>
              </w:rPr>
              <w:t>10 - 15</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8"/>
                <w:szCs w:val="18"/>
                <w:color w:val="auto"/>
              </w:rPr>
              <w:t>665,518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665,518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72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479,614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311,083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Total property and equipment</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4,642,334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4,404,044</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(2,319,774)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(2,138,642)</w:t>
            </w:r>
          </w:p>
        </w:tc>
        <w:tc>
          <w:tcPr>
            <w:tcW w:w="0" w:type="dxa"/>
            <w:vAlign w:val="bottom"/>
          </w:tcPr>
          <w:p>
            <w:pPr>
              <w:spacing w:after="0"/>
              <w:rPr>
                <w:sz w:val="1"/>
                <w:szCs w:val="1"/>
                <w:color w:val="auto"/>
              </w:rPr>
            </w:pP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2,322,560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2,265,402</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Construction in progress consisted of the following:</w:t>
            </w: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8"/>
              </w:rPr>
              <w:t>As of</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540" w:type="dxa"/>
            <w:vAlign w:val="bottom"/>
            <w:gridSpan w:val="7"/>
          </w:tcPr>
          <w:p>
            <w:pPr>
              <w:jc w:val="center"/>
              <w:ind w:right="1420"/>
              <w:spacing w:after="0"/>
              <w:rPr>
                <w:sz w:val="20"/>
                <w:szCs w:val="20"/>
                <w:color w:val="auto"/>
              </w:rPr>
            </w:pPr>
            <w:r>
              <w:rPr>
                <w:rFonts w:ascii="Arial" w:cs="Arial" w:eastAsia="Arial" w:hAnsi="Arial"/>
                <w:sz w:val="18"/>
                <w:szCs w:val="18"/>
                <w:color w:val="auto"/>
                <w:w w:val="90"/>
              </w:rPr>
              <w:t>(In thousands)</w:t>
            </w:r>
          </w:p>
        </w:tc>
        <w:tc>
          <w:tcPr>
            <w:tcW w:w="0" w:type="dxa"/>
            <w:vAlign w:val="bottom"/>
          </w:tcPr>
          <w:p>
            <w:pPr>
              <w:spacing w:after="0"/>
              <w:rPr>
                <w:sz w:val="1"/>
                <w:szCs w:val="1"/>
                <w:color w:val="auto"/>
              </w:rPr>
            </w:pPr>
          </w:p>
        </w:tc>
      </w:tr>
      <w:tr>
        <w:trPr>
          <w:trHeight w:val="27"/>
        </w:trPr>
        <w:tc>
          <w:tcPr>
            <w:tcW w:w="722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0"/>
              </w:rPr>
              <w:t>Progress amounts for satellite construction, including prepayments under capital leases and launch</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services costs</w:t>
            </w:r>
          </w:p>
        </w:tc>
        <w:tc>
          <w:tcPr>
            <w:tcW w:w="1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307,258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187,253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Satellite related equipment</w:t>
            </w: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gridSpan w:val="4"/>
          </w:tcPr>
          <w:p>
            <w:pPr>
              <w:jc w:val="right"/>
              <w:ind w:right="10"/>
              <w:spacing w:after="0"/>
              <w:rPr>
                <w:sz w:val="20"/>
                <w:szCs w:val="20"/>
                <w:color w:val="auto"/>
              </w:rPr>
            </w:pPr>
            <w:r>
              <w:rPr>
                <w:rFonts w:ascii="Arial" w:cs="Arial" w:eastAsia="Arial" w:hAnsi="Arial"/>
                <w:sz w:val="18"/>
                <w:szCs w:val="18"/>
                <w:color w:val="auto"/>
              </w:rPr>
              <w:t>143,282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104,566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29,074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19,264</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Construction in progress</w:t>
            </w: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479,614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311,083</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Construction in progress included the following owned and leased satellites under construction or undergoing in-orbit testing as of June 30, 2016.</w:t>
      </w:r>
    </w:p>
    <w:p>
      <w:pPr>
        <w:spacing w:after="0" w:line="395"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3060" w:type="dxa"/>
            <w:vAlign w:val="bottom"/>
            <w:gridSpan w:val="2"/>
          </w:tcPr>
          <w:p>
            <w:pPr>
              <w:ind w:left="1120"/>
              <w:spacing w:after="0"/>
              <w:rPr>
                <w:sz w:val="20"/>
                <w:szCs w:val="20"/>
                <w:color w:val="auto"/>
              </w:rPr>
            </w:pPr>
            <w:r>
              <w:rPr>
                <w:rFonts w:ascii="Arial" w:cs="Arial" w:eastAsia="Arial" w:hAnsi="Arial"/>
                <w:sz w:val="18"/>
                <w:szCs w:val="18"/>
                <w:b w:val="1"/>
                <w:bCs w:val="1"/>
                <w:color w:val="auto"/>
              </w:rPr>
              <w:t>Satellites</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Segment</w:t>
            </w:r>
          </w:p>
        </w:tc>
        <w:tc>
          <w:tcPr>
            <w:tcW w:w="3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Expected Launch Date</w:t>
            </w:r>
          </w:p>
        </w:tc>
      </w:tr>
      <w:tr>
        <w:trPr>
          <w:trHeight w:val="27"/>
        </w:trPr>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4"/>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Eutelsat 65 West A (2)</w:t>
            </w:r>
          </w:p>
        </w:tc>
        <w:tc>
          <w:tcPr>
            <w:tcW w:w="29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Hughes</w:t>
            </w:r>
          </w:p>
        </w:tc>
        <w:tc>
          <w:tcPr>
            <w:tcW w:w="30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March 2016 (1)</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EchoStar 105/SES-11</w:t>
            </w:r>
          </w:p>
        </w:tc>
        <w:tc>
          <w:tcPr>
            <w:tcW w:w="298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ESS</w:t>
            </w:r>
          </w:p>
        </w:tc>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Fourth quarter of 2016</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Telesat T19V (“63 West”) (2)</w:t>
            </w:r>
          </w:p>
        </w:tc>
        <w:tc>
          <w:tcPr>
            <w:tcW w:w="29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Hughes</w:t>
            </w:r>
          </w:p>
        </w:tc>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Second quarter of 2018</w:t>
            </w:r>
          </w:p>
        </w:tc>
      </w:tr>
      <w:tr>
        <w:trPr>
          <w:trHeight w:val="27"/>
        </w:trPr>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ind w:left="980"/>
        <w:spacing w:after="0"/>
        <w:rPr>
          <w:sz w:val="20"/>
          <w:szCs w:val="20"/>
          <w:color w:val="auto"/>
        </w:rPr>
      </w:pPr>
      <w:r>
        <w:rPr>
          <w:rFonts w:ascii="Arial" w:cs="Arial" w:eastAsia="Arial" w:hAnsi="Arial"/>
          <w:sz w:val="14"/>
          <w:szCs w:val="14"/>
          <w:color w:val="auto"/>
        </w:rPr>
        <w:t>(1)This satellite was launched in March 2016 and placed into service in July 2016.</w:t>
      </w:r>
    </w:p>
    <w:p>
      <w:pPr>
        <w:spacing w:after="0" w:line="13" w:lineRule="exact"/>
        <w:rPr>
          <w:sz w:val="20"/>
          <w:szCs w:val="20"/>
          <w:color w:val="auto"/>
        </w:rPr>
      </w:pPr>
    </w:p>
    <w:p>
      <w:pPr>
        <w:ind w:left="980"/>
        <w:spacing w:after="0"/>
        <w:rPr>
          <w:sz w:val="20"/>
          <w:szCs w:val="20"/>
          <w:color w:val="auto"/>
        </w:rPr>
      </w:pPr>
      <w:r>
        <w:rPr>
          <w:rFonts w:ascii="Arial" w:cs="Arial" w:eastAsia="Arial" w:hAnsi="Arial"/>
          <w:sz w:val="13"/>
          <w:szCs w:val="13"/>
          <w:color w:val="auto"/>
        </w:rPr>
        <w:t>(2)We entered into a satellite services agreement and made prepayments for certain capacity on this satellite once launched, but are not a party to the construction contract.</w:t>
      </w:r>
    </w:p>
    <w:p>
      <w:pPr>
        <w:sectPr>
          <w:pgSz w:w="11900" w:h="16838" w:orient="portrait"/>
          <w:cols w:equalWidth="0" w:num="1">
            <w:col w:w="11420"/>
          </w:cols>
          <w:pgMar w:left="240" w:top="125" w:right="239" w:bottom="1095"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095"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associated with our property and equipment consisted of the following:</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2940" w:type="dxa"/>
            <w:vAlign w:val="bottom"/>
            <w:gridSpan w:val="7"/>
          </w:tcPr>
          <w:p>
            <w:pPr>
              <w:ind w:left="80"/>
              <w:spacing w:after="0"/>
              <w:rPr>
                <w:sz w:val="20"/>
                <w:szCs w:val="20"/>
                <w:color w:val="auto"/>
              </w:rPr>
            </w:pPr>
            <w:r>
              <w:rPr>
                <w:rFonts w:ascii="Arial" w:cs="Arial" w:eastAsia="Arial" w:hAnsi="Arial"/>
                <w:sz w:val="18"/>
                <w:szCs w:val="18"/>
                <w:b w:val="1"/>
                <w:bCs w:val="1"/>
                <w:color w:val="auto"/>
                <w:w w:val="97"/>
              </w:rPr>
              <w:t>For the Three Months Ended June</w:t>
            </w:r>
          </w:p>
        </w:tc>
        <w:tc>
          <w:tcPr>
            <w:tcW w:w="32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7"/>
              </w:rPr>
              <w:t>30,</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9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2015</w:t>
            </w:r>
          </w:p>
        </w:tc>
      </w:tr>
      <w:tr>
        <w:trPr>
          <w:trHeight w:val="27"/>
        </w:trPr>
        <w:tc>
          <w:tcPr>
            <w:tcW w:w="4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(In thousands)</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Satellites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46,965</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93,930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98,241</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Furniture, fixtures, equipment and other</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14,102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15,058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28,144</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27,275</w:t>
            </w:r>
          </w:p>
        </w:tc>
      </w:tr>
      <w:tr>
        <w:trPr>
          <w:trHeight w:val="27"/>
        </w:trPr>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rental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58,137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60,711</w:t>
            </w: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2,567</w:t>
            </w:r>
          </w:p>
        </w:tc>
      </w:tr>
      <w:tr>
        <w:trPr>
          <w:trHeight w:val="27"/>
        </w:trPr>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depreciation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91,115</w:t>
            </w:r>
          </w:p>
        </w:tc>
        <w:tc>
          <w:tcPr>
            <w:tcW w:w="4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182,320</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188,794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June 30, 2016, we utilized in support of our operations, 16 of our owned and leased satellites in geosynchronous orbit, approximately 22,300 miles above the equator. We depreciate our owned satellites on a straight-line basis over the estimated useful life of each satellite. Two of our satellites are accounted for as capital leases and are depreciated on a straight-line basis over their respective lease terms. We utilized one satellite that is accounted for as an operating lease and not included in property and equipment as of June 30,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impact on their remaining useful lives, the commercial operation of the satellites or our operating results. We are not aware of any anomalies with respect to our owned or leased satellites that have had any such material adverse effect during the six months ended June 30, 2016. There can be no assurance, however, that anomalies will not have any such adverse impacts in the future. In addition, there can be no assurance that we can recover critical transmission capacity in the event one or more of our in-orbit satellites were to fail.</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Goodwill and Other Intangible Assets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As of June 30, 2016 and December 31, 2015, all of our goodwill was assigned to reporting units of our Hughes segment. We test this goodwill for impairment annually in the second quarter. Based on our qualitative assessment of impairment of reporting units’ goodwill in the second quarter of 2016, we determined that it was not more likely than not that the fair values of the Hughes segment reporting units were less than the corresponding carrying amounts.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other intangible assets, which are subject to amortization,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tcPr>
          <w:p>
            <w:pPr>
              <w:spacing w:after="0"/>
              <w:rPr>
                <w:sz w:val="20"/>
                <w:szCs w:val="20"/>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4"/>
              </w:rPr>
              <w:t>As of</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20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4"/>
              </w:rPr>
              <w:t>December 31, 2015</w:t>
            </w: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60" w:type="dxa"/>
            <w:vAlign w:val="bottom"/>
          </w:tcPr>
          <w:p>
            <w:pPr>
              <w:spacing w:after="0"/>
              <w:rPr>
                <w:sz w:val="14"/>
                <w:szCs w:val="14"/>
                <w:color w:val="auto"/>
              </w:rPr>
            </w:pPr>
          </w:p>
        </w:tc>
        <w:tc>
          <w:tcPr>
            <w:tcW w:w="1240" w:type="dxa"/>
            <w:vAlign w:val="bottom"/>
            <w:gridSpan w:val="2"/>
            <w:vMerge w:val="restart"/>
          </w:tcPr>
          <w:p>
            <w:pPr>
              <w:jc w:val="center"/>
              <w:ind w:right="100"/>
              <w:spacing w:after="0" w:line="194" w:lineRule="exact"/>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0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Useful Life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Carrying</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 Years)</w:t>
            </w: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28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jc w:val="center"/>
              <w:ind w:right="260"/>
              <w:spacing w:after="0"/>
              <w:rPr>
                <w:sz w:val="20"/>
                <w:szCs w:val="20"/>
                <w:color w:val="auto"/>
              </w:rPr>
            </w:pPr>
            <w:r>
              <w:rPr>
                <w:rFonts w:ascii="Arial" w:cs="Arial" w:eastAsia="Arial" w:hAnsi="Arial"/>
                <w:sz w:val="18"/>
                <w:szCs w:val="18"/>
                <w:color w:val="auto"/>
                <w:w w:val="88"/>
              </w:rPr>
              <w:t>(In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270,300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80,390</w:t>
            </w: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Contract-based</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64,800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43"/>
        </w:trPr>
        <w:tc>
          <w:tcPr>
            <w:tcW w:w="2060" w:type="dxa"/>
            <w:vAlign w:val="bottom"/>
          </w:tcPr>
          <w:p>
            <w:pPr>
              <w:ind w:left="40"/>
              <w:spacing w:after="0"/>
              <w:rPr>
                <w:sz w:val="20"/>
                <w:szCs w:val="20"/>
                <w:color w:val="auto"/>
              </w:rPr>
            </w:pPr>
            <w:r>
              <w:rPr>
                <w:rFonts w:ascii="Arial" w:cs="Arial" w:eastAsia="Arial" w:hAnsi="Arial"/>
                <w:sz w:val="18"/>
                <w:szCs w:val="18"/>
                <w:color w:val="auto"/>
              </w:rPr>
              <w:t>Trademark portfolio</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22,151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29,700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22,894</w:t>
            </w:r>
          </w:p>
        </w:tc>
        <w:tc>
          <w:tcPr>
            <w:tcW w:w="0" w:type="dxa"/>
            <w:vAlign w:val="bottom"/>
          </w:tcPr>
          <w:p>
            <w:pPr>
              <w:spacing w:after="0"/>
              <w:rPr>
                <w:sz w:val="1"/>
                <w:szCs w:val="1"/>
                <w:color w:val="auto"/>
              </w:rPr>
            </w:pPr>
          </w:p>
        </w:tc>
      </w:tr>
      <w:tr>
        <w:trPr>
          <w:trHeight w:val="27"/>
        </w:trPr>
        <w:tc>
          <w:tcPr>
            <w:tcW w:w="20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intangible</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416,217</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(318,140)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98,077</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416,217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(300,797)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115,420</w:t>
            </w:r>
          </w:p>
        </w:tc>
        <w:tc>
          <w:tcPr>
            <w:tcW w:w="0" w:type="dxa"/>
            <w:vAlign w:val="bottom"/>
          </w:tcPr>
          <w:p>
            <w:pPr>
              <w:spacing w:after="0"/>
              <w:rPr>
                <w:sz w:val="1"/>
                <w:szCs w:val="1"/>
                <w:color w:val="auto"/>
              </w:rPr>
            </w:pPr>
          </w:p>
        </w:tc>
      </w:tr>
      <w:tr>
        <w:trPr>
          <w:trHeight w:val="237"/>
        </w:trPr>
        <w:tc>
          <w:tcPr>
            <w:tcW w:w="2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Intangible asset amortization expense, including amortization of regulatory authorizations with finite lives and externally marketed capitalized software, was $11.2 million and $11.6 million for the three months ended June 30, 2016 and 2015, respectively, and $22.4 million and $26.8 million for the six months ended June 30, 2016 and 2015, respectively.</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Debt and Capital Lease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debt: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84"/>
              </w:rPr>
              <w:t>As of</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June 30, 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ind w:left="340"/>
              <w:spacing w:after="0"/>
              <w:rPr>
                <w:sz w:val="20"/>
                <w:szCs w:val="20"/>
                <w:color w:val="auto"/>
              </w:rPr>
            </w:pPr>
            <w:r>
              <w:rPr>
                <w:rFonts w:ascii="Arial" w:cs="Arial" w:eastAsia="Arial" w:hAnsi="Arial"/>
                <w:sz w:val="16"/>
                <w:szCs w:val="16"/>
                <w:b w:val="1"/>
                <w:bCs w:val="1"/>
                <w:color w:val="auto"/>
              </w:rPr>
              <w:t>December 31, 2015</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Effective Interest</w:t>
            </w:r>
          </w:p>
        </w:tc>
        <w:tc>
          <w:tcPr>
            <w:tcW w:w="18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b w:val="1"/>
                <w:bCs w:val="1"/>
                <w:color w:val="auto"/>
              </w:rPr>
              <w:t>Fair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59"/>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Rate</w:t>
            </w:r>
          </w:p>
        </w:tc>
        <w:tc>
          <w:tcPr>
            <w:tcW w:w="18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b w:val="1"/>
                <w:bCs w:val="1"/>
                <w:color w:val="auto"/>
              </w:rPr>
              <w:t>Value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5"/>
          </w:tcPr>
          <w:p>
            <w:pPr>
              <w:jc w:val="right"/>
              <w:ind w:right="599"/>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 1/2% Senior Secured Notes due 2019</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990,000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1,070,438</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990,000</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1,071,675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7 5/8% Senior Notes due 2021</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8.062%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969,750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900,000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954,000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Less: Unamortized debt issuance costs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(28,172)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(31,276)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Subtotal</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1,862,203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2,040,563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1,859,527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2,026,478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Capital lease obligations</w:t>
            </w: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39"/>
              <w:spacing w:after="0"/>
              <w:rPr>
                <w:sz w:val="20"/>
                <w:szCs w:val="20"/>
                <w:color w:val="auto"/>
              </w:rPr>
            </w:pPr>
            <w:r>
              <w:rPr>
                <w:rFonts w:ascii="Arial" w:cs="Arial" w:eastAsia="Arial" w:hAnsi="Arial"/>
                <w:sz w:val="16"/>
                <w:szCs w:val="16"/>
                <w:color w:val="auto"/>
              </w:rPr>
              <w:t>311,568</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ind w:right="19"/>
              <w:spacing w:after="0"/>
              <w:rPr>
                <w:sz w:val="20"/>
                <w:szCs w:val="20"/>
                <w:color w:val="auto"/>
              </w:rPr>
            </w:pPr>
            <w:r>
              <w:rPr>
                <w:rFonts w:ascii="Arial" w:cs="Arial" w:eastAsia="Arial" w:hAnsi="Arial"/>
                <w:sz w:val="16"/>
                <w:szCs w:val="16"/>
                <w:color w:val="auto"/>
              </w:rPr>
              <w:t>325,745</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debt and capital lease obligations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2,173,771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2,185,272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(31,410)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(30,284)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Long-term debt and capital lease obligations, net of unamortized</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2,142,361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2,154,988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debt issuance costs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debt are estimates categorized within Level 2 of the fair value hierarchy.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6, 2016, we offered to repurchase for cash all or any part of our outstanding 6 1/2% Senior Secured Notes due 2019 (the “2019 Senior Secured Notes”) and our outstanding 7 5/8% Senior Notes due 2021 (the “2021 Senior Unsecured Notes”) at a purchase price equal to 101% of the aggregate principal amount thereof, together with accrued and unpaid interest thereon to the date of repurchase. The Change of Control Offers expired on June 6, 2016, with none of the 2019 Senior Secured Notes or the 2021 Senior Unsecured Notes tendered for repurchase.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Income Taxes</w:t>
      </w:r>
    </w:p>
    <w:p>
      <w:pPr>
        <w:spacing w:after="0" w:line="2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8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quarterly tax provision, and our quarterly estimate of our annual effective tax rate, is subject to significant volatility due to several factors, including income and losses from investments for which we have a full valuation allowance, changes in tax laws and relative changes in unrecognized tax benefits. Additionally, our effective tax rate can be more or less volatile based on the amount of pre-tax income. For example, the impact of discrete items and non-deductible expenses on our effective tax rate is greater when our pre-tax income is lower.</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Income tax expense was approximately $40.9 million and $36.4 million for the six months ended June 30, 2016 and 2015, respectively. Our estimated effective income tax rate was 36.2% and 39.0% for the six months ended June 30, 2016 and 2015, respectively. The variations in our current year effective tax rate from the U.S. federal statutory rate for the six months ended June 30, 2016 were primarily due to the impact of state and local taxes, partially offset by research and experimentation credits. For the six months ended June 30, 2015, the variation in our effective tax rate from the U.S. federal statutory rate was primarily due to the impact of state and local taxes.</w:t>
      </w:r>
    </w:p>
    <w:p>
      <w:pPr>
        <w:spacing w:after="0" w:line="18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June 30, 2016, our satellite-related obligations were approximately $756.3 million. Our satellite-related obligations primarily include payments pursuant to agreements for the construction of the EchoStar XIX, EchoStar XXI, EchoStar XXIII, EchoStar 105/SES-11, and 63 West satellites, payments pursuant to launch services contracts and regulatory authorizations, executory costs for our capital lease satellites, costs under satellite service agreements and in-orbit incentives relating to certain satellites, as well as commitments for long-term satellite operating leases and satellite service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Many entities, including some of our competitors, have or may in the future obtain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trebled.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components within our direct broadcast satellite (“DBS”) products and services. We cannot be certain that these persons do not own the rights they claim, that these rights are not valid or that our products and services do not infringe on these rights. Further, we cannot be certain that we would be able to obtain licenses from these persons on commercially reasonable terms or, if we were unable to obtain such licenses, that we would be able to redesign our products and services to avoid infringement.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2008, DISH Network Corporation contributed its digital set-top box business and certain infrastructure and other assets, including certain of its satellites, uplink and satellite transmission assets, real estate, and other assets and related liabilities to EchoStar (the “Spin-off”). In connection with the Spin-off, EchoStar entered into a separation agreement with DISH Network that provides, among other things, for the division of certain liabilities, including liabilities resulting from litigation. Under the terms of the separation agreement, EchoStar has assumed certain liabilities that relate to its business, including certain designated liabilities for acts or omissions that occurred prior to the Spin-off. Certain specific provisions govern intellectual property related claims under which, generally, EchoStar will only be liable for its acts or omissions following the Spin-off and DISH Network will indemnify EchoStar for any liabilities or damages resulting from intellectual property claims relating to the period prior to the Spin-off, as well as DISH Network’s acts or omissions following the Spin-off.</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involved in a number of legal proceedings (including those described below)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certain cases described below, management is unable to predict with any degree of certainty the outcome or provide a meaningful estimate of the possible loss or range of possible loss because, among other reasons, (i) the proceedings are in various stages; (ii) damages have not been sought or specified;</w:t>
      </w:r>
    </w:p>
    <w:p>
      <w:pPr>
        <w:ind w:right="200" w:firstLine="8"/>
        <w:spacing w:after="0" w:line="290" w:lineRule="auto"/>
        <w:tabs>
          <w:tab w:leader="none" w:pos="3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damages are unsupported, indeterminate and/or exaggerated in management’s opinion; (iv) there is uncertainty as to the outcome of pending appeals or motions; (v) there are significant factual issues to be resolved; and/or (vi) there are novel legal issues or unsettled legal theories to be presented or a large number of parties are involved (as with many patent-related cases). For these cases, however, management does not believe, based on currently available information, that the outcomes of these proceedings will have a material adverse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6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We intend to vigorously defend the proceedings against us. In the event that a court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 In addition, adverse decisions against DISH Network in the proceedings described below could decrease the number of products and components we sell to DISH Network, which could have a material adverse effect on our business operations and our financial condition, results of operation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Institute of Technology</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On October 1, 2013, the California Institute of Technology (“Caltech”) filed suit against two of our subsidiaries, Hughes Communications, Inc. and Hughes Network Systems, LLC (“HNS”), as well as against DISH Network, DISH Network L.L.C., and dishNET Satellite 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infringes each of the asserted patents. In the operative Amended Complaint, served on March 6, 2014, Caltech claims that the Hopper</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set-top box that we design and sell to DISH Network, as well as certain of our Hughes segment’s satellite broadband products and services, infringe the asserted patents by implementing the DVB-S2 standard. On September 26, 2014, Caltech requested leave to amend its Amended Complaint to add EchoStar Corporation and EchoStar Technologies L.L.C. as defendants, as well as to allege that a number of additional set-top boxes infringe the asserted patents. On November 7, 2014, the Court rejected that request. Additionally, on November 4, 2014, the Court ruled that the patent claims at issue in the suit are directed to patentable subject matter. On February 17, 2015, Caltech filed a second complaint in the same district against the same defendants alleging that HNS’ Gen4 HT1000 and HT1100 products infringe the same patents asserted in the first case. We answered that second complaint on March 24, 2015. The trial for the first case which was scheduled to commence on April 20, 2015, was vacated by the Court on March 16, 2015 and a new trial date has yet to be set. On May 5, 2015, the Court granted summary judgment for us on a number of issues, finding that Caltech’s damages theory improperly apportioned alleged damages, that allegations of infringement against DISH Network, DISH Network L.L.C., and dishNET Satellite Broadband L.L.C. should be dismissed from the case, and affirming that Caltech could not assert infringement under the doctrine of equivalents. The Court also granted motions by Caltech seeking findings that certain of its patents were not indefinite or subject to equitable estoppel. The Court otherwise denied motions for summary judgment, including a motion by Caltech seeking summary judgment of infringement. On May 25, 2016, we, the DISH Network defendants and Caltech entered into a settlement agreement pursuant to which the Court dismissed with prejudice all of the claims in these actions on May 31, 2016.</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80" w:right="224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Elbit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January 23, 2015, Elbit Systems Land and C4I LTD and Elbit Systems of America Ltd. (together referred to as “Elbit”) filed a complaint against our subsidiary HNS, as well as against Black Elk Energy Offshore Operations, LLC, Bluetide Communications, Inc. and Helm Hotels Group, in the United States District Court for the Eastern District of Texas, alleging infringement of United States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 Over November 3 and 4, 2015, and January 22, 2016, the defendants filed petitions before the United States Patent and Trademark Office challenging the validity of the patents in suit, which the Patent and Trademark Office subsequently declined to institute. On April 13, 2016, the defendants answered Elbit’s complaint.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Realtime Data LLC</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May 8, 2015, Realtime Data LLC (“Realtime”) filed suit against EchoStar Corporation and our subsidiary HNS in the United States District Court for the Eastern District of Texas alleging infringement of United States Patent Nos. 7,378,992, entitled “Content Independent Data Compression Method and System”; 7,415,530, entitled “System and Methods for Accelerated Data Storage and Retrieval”; and 8,643,513, entitled “Data Compression System and Methods.” On September 14, 2015, Realtime amended its complaint, additionally alleging infringement of United States Patent No. 9,116,908, entitled “System and Methods for Accelerated Data Storage and Retrieval.” Realtime generally alleges that the asserted patents are infringed by certain HNS data compression products and services. Over April 29, 2016 and May 5, 2016, the defendants filed petitions before the United States Patent and Trademark Office challenging the validity of the asserted patents. Realtime is an entity that seeks to license an acquired patent portfolio without itself practicing any of the claims recited therein.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TQ Beta LLC</w:t>
      </w:r>
    </w:p>
    <w:p>
      <w:pPr>
        <w:spacing w:after="0" w:line="2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June 30, 2014, TQ Beta LLC (“TQ Beta”) filed suit against DISH Network, DISH DBS Corporation, DISH Network L.L.C., as well as HSS, EchoStar Corporation, EchoStar Technologies, L.L.C, and Sling Media, Inc., a subsidiary of EchoStar, in the United States District Court for the District of Delaware, alleging infringement of United States Patent No. 7,203,456 (the “456 patent”), which is entitled “Method and Apparatus for Time and Space Domain Shifting of Broadcast Signals.” TQ Beta alleges that the Hopper, Hopper with Sling, ViP 722 and ViP 722k DVR devices, as well as the DISH Anywhere service and DISH Anywhere mobile application, infringe the 456 patent, but has not specified the amount of damages that it seeks. TQ Beta is an entity that seeks to license an acquired patent portfolio without itself practicing any of the claims recited therein. During August 2015, EchoStar Corporation and DISH Network L.L.C. filed petitions before the United States Patent and Trademark Office challenging the validity of certain claims of the 456 patent, and in February 2016, the United States Patent and Trademark Office agreed to institute proceedings on our petitions. On February 25, 2016, the case was stayed pending resolution of these proceedings before the United States Patent and Trademark Office, and the Court vacated all pending court dates and deadlines.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Two-Way Media Ltd</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February 17, 2016, Two-Way Media Ltd (“TWM”) filed a complaint against EchoStar Corporation and its subsidiaries, EchoStar Technologies L.L.C., EchoStar Satellite Services L.L.C., and Sling Media, Inc., as well as against DISH Network Corporation, DISH DBS Corporation, DISH Network L.L.C., DISH Network Service L.L.C., Sling TV Holding L.L.C., Sling TV L.L.C., and Sling TV Purchasing L.L.C. TWM brought the suit in the United States District Court for the District of Colorado, alleging infringement of United States Patent Nos. 5,778,187; 5,983,005; 6,434,622; and 7,266,686, each entitled “Multicasting Method and Apparatus”; and 9,124,607, entitled “Methods and Systems for Playing Media.” TWM alleges that the Sling TV, Sling International, DISH Anywhere, and DISHWorld services, as well as the Slingbox units and DISH DVRs incorporating Slingbox technology, infringe the asserted patents. TWM is an entity that seeks to license a patent portfolio without itself practicing any of the claims recited therein.</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80" w:right="224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to the above actions, we are subject to various other legal proceedings and claims, which arise in the ordinary course of our business. As part of our ongoing operations, the Company is subject to various inspections, audits, inquiries, investigations and similar actions by third parties, as well as by governmental/regulatory authorities responsible for enforcing the laws and regulations to which the Company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the Company from time to time receives inquiries from federal, state and foreign agencies regarding compliance with various laws and regulations.</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the amount of ultimate liability with respect to any of these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8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The Company indemnifies its directors, officers and employees for certain liabilities that might arise from the performance of their responsibilities for the Company. Additionally, in the normal course of its business, the Company enters into contracts pursuant to which the Company may make a variety of representations and warranties and indemnify the counterparty for certain losses. The Company’s possible exposure under these arrangements cannot be reasonably estimated as this involves the resolution of claims made, or future claims that may be made, against the Company or its officers, directors or employees, the outcomes of which are unknown and not currently predictable or estimable.</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Segment Reporting</w:t>
      </w:r>
    </w:p>
    <w:p>
      <w:pPr>
        <w:spacing w:after="0" w:line="2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Operating segments are business components of an enterprise for which separate financial information is available and regularly evaluated by the chief operating decision maker (“CODM”), who for HSS, is the Company’s Chief Executive Officer. Under this definition, we operate in two primary business segments, Hughes and EchoStar Satellite Services as described in Note 1 of these condensed consolidated financial statements.</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primary measure of segment profitability that is reported regularly to our CODM is earnings before interest, taxes, depreciation and amortization, or EBITDA. Our segment operating results do not include real estate and other activities, costs incurred in certain satellite development programs and other business development activities, expenses of various corporate departments and our centralized treasury operations, including income from our investment portfolio and interest expense on our debt. These activities are accounted for in the “All Other and Eliminations” column in the table below. Total assets by segment have not been reported herein because the information is not provided to our CODM on a regular basis. The Hughes Retail Group is included in our Hughes segment and our CODM reviews separate HRG financial information only to the extent such information is included in our periodic filings with the SEC. Therefore, we do not consider HRG to be a separate operating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Transactions between segments were not significant for the three and six months ended June 30, 2016 or 2015.</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5"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capital expenditures, and EBITDA for each of our operating segments: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EchoStar</w:t>
            </w:r>
          </w:p>
        </w:tc>
        <w:tc>
          <w:tcPr>
            <w:tcW w:w="28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rPr>
              <w:t>All</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Satellite</w:t>
            </w:r>
          </w:p>
        </w:tc>
        <w:tc>
          <w:tcPr>
            <w:tcW w:w="28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Other and</w:t>
            </w:r>
          </w:p>
        </w:tc>
        <w:tc>
          <w:tcPr>
            <w:tcW w:w="24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Services</w:t>
            </w:r>
          </w:p>
        </w:tc>
        <w:tc>
          <w:tcPr>
            <w:tcW w:w="28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Eliminations</w:t>
            </w:r>
          </w:p>
        </w:tc>
        <w:tc>
          <w:tcPr>
            <w:tcW w:w="2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3"/>
          </w:tcPr>
          <w:p>
            <w:pPr>
              <w:jc w:val="right"/>
              <w:ind w:right="97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2016</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338,574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101,278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440,718</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339,337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101,450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440,718</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81,322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91,634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106,379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83,826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5,160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195,365</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June 30, 2015</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334,554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124,402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459,476</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335,185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124,589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459,476</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70,527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94,995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103,414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103,558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(11,513)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195,459</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2016</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664,113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204,093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1,638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869,844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665,575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204,439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869,844</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185,559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220,591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205,847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172,012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9,952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387,811</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Six Months Ended June 30, 2015</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659,504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249,600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909,710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660,465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249,987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909,710</w:t>
            </w:r>
          </w:p>
        </w:tc>
      </w:tr>
      <w:tr>
        <w:trPr>
          <w:trHeight w:val="27"/>
        </w:trPr>
        <w:tc>
          <w:tcPr>
            <w:tcW w:w="5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135,054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52,251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187,305</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194,687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209,977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394,440</w:t>
            </w:r>
          </w:p>
        </w:tc>
      </w:tr>
    </w:tbl>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reconciles total consolidated EBITDA to reported “Income before income taxes” in our condensed consolidated statements of operations and comprehensive income (loss):</w:t>
      </w:r>
    </w:p>
    <w:p>
      <w:pPr>
        <w:spacing w:after="0" w:line="329"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8"/>
                <w:szCs w:val="18"/>
                <w:b w:val="1"/>
                <w:bCs w:val="1"/>
                <w:color w:val="auto"/>
                <w:w w:val="96"/>
              </w:rPr>
              <w:t>For the Three Months Ended June</w:t>
            </w:r>
          </w:p>
        </w:tc>
        <w:tc>
          <w:tcPr>
            <w:tcW w:w="340" w:type="dxa"/>
            <w:vAlign w:val="bottom"/>
          </w:tcPr>
          <w:p>
            <w:pPr>
              <w:spacing w:after="0"/>
              <w:rPr>
                <w:sz w:val="18"/>
                <w:szCs w:val="18"/>
                <w:color w:val="auto"/>
              </w:rPr>
            </w:pPr>
          </w:p>
        </w:tc>
        <w:tc>
          <w:tcPr>
            <w:tcW w:w="27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00" w:type="dxa"/>
            <w:vAlign w:val="bottom"/>
            <w:gridSpan w:val="4"/>
          </w:tcPr>
          <w:p>
            <w:pPr>
              <w:jc w:val="right"/>
              <w:ind w:right="830"/>
              <w:spacing w:after="0"/>
              <w:rPr>
                <w:sz w:val="20"/>
                <w:szCs w:val="20"/>
                <w:color w:val="auto"/>
              </w:rPr>
            </w:pPr>
            <w:r>
              <w:rPr>
                <w:rFonts w:ascii="Arial" w:cs="Arial" w:eastAsia="Arial" w:hAnsi="Arial"/>
                <w:sz w:val="18"/>
                <w:szCs w:val="18"/>
                <w:b w:val="1"/>
                <w:bCs w:val="1"/>
                <w:color w:val="auto"/>
              </w:rPr>
              <w:t>Ended June 30,</w:t>
            </w:r>
          </w:p>
        </w:tc>
      </w:tr>
      <w:tr>
        <w:trPr>
          <w:trHeight w:val="27"/>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(In thousands)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387,811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394,440</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Interest income and expense, net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(86,396)</w:t>
            </w:r>
          </w:p>
        </w:tc>
      </w:tr>
      <w:tr>
        <w:trPr>
          <w:trHeight w:val="27"/>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(215,639)</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797</w:t>
            </w:r>
          </w:p>
        </w:tc>
      </w:tr>
      <w:tr>
        <w:trPr>
          <w:trHeight w:val="27"/>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93,202</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87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Related Party Transactions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and EchoStar have agreed that we shall have the right, but not the obligation, to receive from EchoStar certain corporate services, including among other things: treasury, tax, accounting and reporting, risk management, legal, internal audit, human resources, and information technology. These services are provided at cost. We may terminate a particular service we receive from EchoStar for any reason upon at least 30 days’ notice. We recorded expenses for services received from EchoStar of $3.2 million and $4.6 million for the three months ended June 30, 2016 and 2015, respectively, and $5.6 million and $8.2 million for the six months ended June 30, 2016 and 2015, respectively. In addition, we occupy certain office space in buildings owned or leased by EchoStar and pay a portion of the taxes, insurance, utilities and maintenance of the premises in accordance with the percentage of the space we occupy.</w:t>
      </w:r>
    </w:p>
    <w:p>
      <w:pPr>
        <w:spacing w:after="0" w:line="16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participate in certain of EchoStar’s shared services arrangements for its subsidiaries in the ordinary course of business, including arrangements for payroll, accounts payable and cash management. From time to time in connection with the processing of transactions under these arrangements, we may pay or receive amounts attributable to other domestic subsidiaries of EchoStar. We report net payments on behalf of other subsidiaries in “Advances to affiliates, net” within current assets and we report net receipts on behalf of other subsidiaries in “Advances from affiliates, net” within current liabilities in our condensed consolidated balance sheets. No repayment schedule for these net advances has been determined.</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EchoStar and certain of its subsidiaries have provided cash advances to certain of our foreign subsidiaries to fund certain expenditures pursuant to loan agreements that mature in 2018 and 2022. Advances under these agreements bear interest at annual rates ranging from one to three percent, subject to periodic adjustment based on the one-year U.S. LIBOR rate. We report amounts payable under these agreements in “Advances from affiliates” within noncurrent liabilities in our condensed consolidated balance sheets.</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EchoStar XXI and EchoStar XXIII Launch Facilitation and Operational Control Agreement. </w:t>
      </w:r>
      <w:r>
        <w:rPr>
          <w:rFonts w:ascii="Arial" w:cs="Arial" w:eastAsia="Arial" w:hAnsi="Arial"/>
          <w:sz w:val="16"/>
          <w:szCs w:val="16"/>
          <w:color w:val="auto"/>
        </w:rPr>
        <w:t>As part of applying for our launch licenses for EchoStar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XXI and XXIII through the UK Space Agency, our subsidiary, Hughes Network Systems, Ltd. (“HNS Ltd.”) and a subsidiary of EchoStar, EchoStar Operating L.L.C. (“EOC”), entered into agreements in June 2015 and March 2016 to transfer to HNS Ltd., EOC’s launch service contracts for the EchoStar XXI and EchoStar XXIII satellites, respectively, and to grant HNS Ltd. certain rights to control the in-orbit operations of these satellites. EOC retained ownership of the satellites, which are currently under construction and scheduled to be launched later in 2016. In March 2016, we recorded a $70.3 million addition to “Other noncurrent assets, net” and a corresponding increase in “Additional paid-in capital” in our condensed consolidated balance sheet to reflect EOC’s cumulative payments under the EchoStar XXIII launch service contract prior to the transfer date. EOC also contracted to make future payments to HNS Ltd. for amounts that HNS Ltd. is required to pay under both launch service contracts. In March 2016, HNS Ltd. received $11.9 million in cash from EOC to fund a required payment under the EchoStar XXI launch service contract. We recorded the cash receipt as an increase in “Additional paid-in capital.” HNS Ltd.’s future payments under the launch service contracts are included in our disclosure of satellite-related obligations in Note 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Following the Spin-off, EchoStar and DISH Network have operated as separate publicly-traded companies. However, pursuant to the Satellite and Tracking Stock Transaction, described in Note 3 and below, DISH Network owns Hughes Retail Preferred Tracking Stock representing an aggregate 80.0% economic interest in the residential retail satellite broadband business of our Hughes segment. The tracking stock is an equity security and the rights of DISH Network, as the holder of the tracking stock, in our assets are subject to the claims of our creditors. In addition, a substantial majority of the voting power of the shares of EchoStar and DISH Network is owned beneficially by Charles W. Ergen, our Chairman, and by certain trusts established by Mr. Ergen for the benefit of his family.</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and following the Spin-off, EchoStar and DISH Network have entered into certain agreements pursuant to which we and EchoStar obtain certain products, services and rights from DISH Network; DISH Network obtains certain products, services and rights from us and EchoStar; and we and DISH Network have indemnified each other against certain liabilities arising from our respective businesses. We and/or EchoStar also may enter into additional agreements with DISH Network in the future. Generally, the amounts DISH Network pays for products and services provided under the agreements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80" w:right="224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are based on our cost plus a fixed margin (unless noted differently below or in our most recent Annual Report on Form 10-K), which varies depending on the nature of the products and services provided.</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Satellite Services Provided to DISH Network</w:t>
      </w:r>
      <w:r>
        <w:rPr>
          <w:rFonts w:ascii="Arial" w:cs="Arial" w:eastAsia="Arial" w:hAnsi="Arial"/>
          <w:sz w:val="17"/>
          <w:szCs w:val="17"/>
          <w:color w:val="auto"/>
        </w:rPr>
        <w:t>. Since the Spin-off, we have entered into certain satellite service agreements pursuant to which DISH Network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receives satellite services on certain satellites owned or leased by us. The fees for the services provided under these satellite service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1" w:lineRule="exact"/>
        <w:rPr>
          <w:sz w:val="20"/>
          <w:szCs w:val="20"/>
          <w:color w:val="auto"/>
        </w:rPr>
      </w:pPr>
    </w:p>
    <w:p>
      <w:pPr>
        <w:ind w:left="340" w:right="100"/>
        <w:spacing w:after="0" w:line="290" w:lineRule="auto"/>
        <w:rPr>
          <w:sz w:val="20"/>
          <w:szCs w:val="20"/>
          <w:color w:val="auto"/>
        </w:rPr>
      </w:pPr>
      <w:r>
        <w:rPr>
          <w:rFonts w:ascii="Arial" w:cs="Arial" w:eastAsia="Arial" w:hAnsi="Arial"/>
          <w:sz w:val="16"/>
          <w:szCs w:val="16"/>
          <w:i w:val="1"/>
          <w:iCs w:val="1"/>
          <w:color w:val="auto"/>
        </w:rPr>
        <w:t xml:space="preserve">EchoStar I, EchoStar VII, EchoStar X, EchoStar XI and EchoStar XIV. </w:t>
      </w:r>
      <w:r>
        <w:rPr>
          <w:rFonts w:ascii="Arial" w:cs="Arial" w:eastAsia="Arial" w:hAnsi="Arial"/>
          <w:sz w:val="16"/>
          <w:szCs w:val="16"/>
          <w:color w:val="auto"/>
        </w:rPr>
        <w:t>As part of the Satellite and Tracking Stock Transaction discussed in Note 3,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2014, we began providing certain satellite services to DISH Network on the EchoStar I, EchoStar VII, EchoStar X, EchoStar XI and EchoStar XIV satellites. The term of each satellite services agreement generally terminates upon the earlier of: (i) the end of life of the satellite; (ii) the date the satellite fails; or (iii) a certain date, which depends upon, among other things, the estimated useful life of the satellite. DISH Network generally has the option to renew each satellite service agreement on a year-to-year basis through the end of the respective satellite’s life. There can be no assurance that any options to renew such agreements will be exercised. DISH Network elected not to renew the satellite services agreement relative to the EchoStar I satellite. The agreement for the EchoStar I satellite expired pursuant to its terms effective November 2015. In December 2015, DISH Network renewed the satellite services agreement relative to the EchoStar VII satellite for one year to June 2017.</w:t>
      </w:r>
    </w:p>
    <w:p>
      <w:pPr>
        <w:spacing w:after="0" w:line="166" w:lineRule="exact"/>
        <w:rPr>
          <w:sz w:val="20"/>
          <w:szCs w:val="20"/>
          <w:color w:val="auto"/>
        </w:rPr>
      </w:pPr>
    </w:p>
    <w:p>
      <w:pPr>
        <w:ind w:left="340" w:right="40"/>
        <w:spacing w:after="0" w:line="264" w:lineRule="auto"/>
        <w:rPr>
          <w:sz w:val="20"/>
          <w:szCs w:val="20"/>
          <w:color w:val="auto"/>
        </w:rPr>
      </w:pPr>
      <w:r>
        <w:rPr>
          <w:rFonts w:ascii="Arial" w:cs="Arial" w:eastAsia="Arial" w:hAnsi="Arial"/>
          <w:sz w:val="18"/>
          <w:szCs w:val="18"/>
          <w:i w:val="1"/>
          <w:iCs w:val="1"/>
          <w:color w:val="auto"/>
        </w:rPr>
        <w:t xml:space="preserve">EchoStar VIII. </w:t>
      </w:r>
      <w:r>
        <w:rPr>
          <w:rFonts w:ascii="Arial" w:cs="Arial" w:eastAsia="Arial" w:hAnsi="Arial"/>
          <w:sz w:val="18"/>
          <w:szCs w:val="18"/>
          <w:color w:val="auto"/>
        </w:rPr>
        <w:t>In May 2013, DISH Network began receiving satellite services from us on the EchoStar VIII satellite as an in-orbit spare.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2014, this satellite services arrangement converted to a month-to-month service agreement with both parties having the right to terminate upon 30 days’ notice. The agreement terminated in accordance with its terms effective November 2015.</w:t>
      </w:r>
    </w:p>
    <w:p>
      <w:pPr>
        <w:spacing w:after="0" w:line="181" w:lineRule="exact"/>
        <w:rPr>
          <w:sz w:val="20"/>
          <w:szCs w:val="20"/>
          <w:color w:val="auto"/>
        </w:rPr>
      </w:pPr>
    </w:p>
    <w:p>
      <w:pPr>
        <w:ind w:left="340" w:right="380"/>
        <w:spacing w:after="0" w:line="342" w:lineRule="auto"/>
        <w:rPr>
          <w:sz w:val="20"/>
          <w:szCs w:val="20"/>
          <w:color w:val="auto"/>
        </w:rPr>
      </w:pPr>
      <w:r>
        <w:rPr>
          <w:rFonts w:ascii="Arial" w:cs="Arial" w:eastAsia="Arial" w:hAnsi="Arial"/>
          <w:sz w:val="16"/>
          <w:szCs w:val="16"/>
          <w:i w:val="1"/>
          <w:iCs w:val="1"/>
          <w:color w:val="auto"/>
        </w:rPr>
        <w:t>EchoStar IX</w:t>
      </w:r>
      <w:r>
        <w:rPr>
          <w:rFonts w:ascii="Arial" w:cs="Arial" w:eastAsia="Arial" w:hAnsi="Arial"/>
          <w:sz w:val="16"/>
          <w:szCs w:val="16"/>
          <w:color w:val="auto"/>
        </w:rPr>
        <w:t>. Effective January 2008, DISH Network began receiving satellite services from us on the EchoStar IX satellite. Subject to availability,</w:t>
      </w:r>
      <w:r>
        <w:rPr>
          <w:rFonts w:ascii="Arial" w:cs="Arial" w:eastAsia="Arial" w:hAnsi="Arial"/>
          <w:sz w:val="16"/>
          <w:szCs w:val="16"/>
          <w:i w:val="1"/>
          <w:iCs w:val="1"/>
          <w:color w:val="auto"/>
        </w:rPr>
        <w:t xml:space="preserve"> </w:t>
      </w:r>
      <w:r>
        <w:rPr>
          <w:rFonts w:ascii="Arial" w:cs="Arial" w:eastAsia="Arial" w:hAnsi="Arial"/>
          <w:sz w:val="16"/>
          <w:szCs w:val="16"/>
          <w:color w:val="auto"/>
        </w:rPr>
        <w:t>DISH Network generally has the right to continue to receive satellite services from us on the EchoStar IX satellite on a month-to-month basis.</w:t>
      </w:r>
    </w:p>
    <w:p>
      <w:pPr>
        <w:spacing w:after="0" w:line="124" w:lineRule="exact"/>
        <w:rPr>
          <w:sz w:val="20"/>
          <w:szCs w:val="20"/>
          <w:color w:val="auto"/>
        </w:rPr>
      </w:pPr>
    </w:p>
    <w:p>
      <w:pPr>
        <w:ind w:left="340" w:right="60"/>
        <w:spacing w:after="0" w:line="279" w:lineRule="auto"/>
        <w:rPr>
          <w:sz w:val="20"/>
          <w:szCs w:val="20"/>
          <w:color w:val="auto"/>
        </w:rPr>
      </w:pPr>
      <w:r>
        <w:rPr>
          <w:rFonts w:ascii="Arial" w:cs="Arial" w:eastAsia="Arial" w:hAnsi="Arial"/>
          <w:sz w:val="17"/>
          <w:szCs w:val="17"/>
          <w:i w:val="1"/>
          <w:iCs w:val="1"/>
          <w:color w:val="auto"/>
        </w:rPr>
        <w:t>EchoStar XII</w:t>
      </w:r>
      <w:r>
        <w:rPr>
          <w:rFonts w:ascii="Arial" w:cs="Arial" w:eastAsia="Arial" w:hAnsi="Arial"/>
          <w:sz w:val="17"/>
          <w:szCs w:val="17"/>
          <w:color w:val="auto"/>
        </w:rPr>
        <w:t>. DISH Network receives satellite services from us on the EchoStar XII satellite. The term of the satellite services agreement terminates</w:t>
      </w:r>
      <w:r>
        <w:rPr>
          <w:rFonts w:ascii="Arial" w:cs="Arial" w:eastAsia="Arial" w:hAnsi="Arial"/>
          <w:sz w:val="17"/>
          <w:szCs w:val="17"/>
          <w:i w:val="1"/>
          <w:iCs w:val="1"/>
          <w:color w:val="auto"/>
        </w:rPr>
        <w:t xml:space="preserve"> </w:t>
      </w:r>
      <w:r>
        <w:rPr>
          <w:rFonts w:ascii="Arial" w:cs="Arial" w:eastAsia="Arial" w:hAnsi="Arial"/>
          <w:sz w:val="17"/>
          <w:szCs w:val="17"/>
          <w:color w:val="auto"/>
        </w:rPr>
        <w:t>upon the earlier of: (i) the end of life of the satellite; (ii) the date the satellite fails or the date the transponder(s) on which the service was being provided under the agreement fails; or (iii) September 2017. DISH Network generally has the option to renew the agreement on a year-to-year basis through the end of the satellite’s life. There can be no assurance that any options to renew this agreement will be exercised.</w:t>
      </w:r>
    </w:p>
    <w:p>
      <w:pPr>
        <w:spacing w:after="0" w:line="171" w:lineRule="exact"/>
        <w:rPr>
          <w:sz w:val="20"/>
          <w:szCs w:val="20"/>
          <w:color w:val="auto"/>
        </w:rPr>
      </w:pPr>
    </w:p>
    <w:p>
      <w:pPr>
        <w:ind w:left="340"/>
        <w:spacing w:after="0" w:line="268" w:lineRule="auto"/>
        <w:rPr>
          <w:sz w:val="20"/>
          <w:szCs w:val="20"/>
          <w:color w:val="auto"/>
        </w:rPr>
      </w:pPr>
      <w:r>
        <w:rPr>
          <w:rFonts w:ascii="Arial" w:cs="Arial" w:eastAsia="Arial" w:hAnsi="Arial"/>
          <w:sz w:val="17"/>
          <w:szCs w:val="17"/>
          <w:i w:val="1"/>
          <w:iCs w:val="1"/>
          <w:color w:val="auto"/>
        </w:rPr>
        <w:t xml:space="preserve">EchoStar XVI. </w:t>
      </w:r>
      <w:r>
        <w:rPr>
          <w:rFonts w:ascii="Arial" w:cs="Arial" w:eastAsia="Arial" w:hAnsi="Arial"/>
          <w:sz w:val="17"/>
          <w:szCs w:val="17"/>
          <w:color w:val="auto"/>
        </w:rPr>
        <w:t>In December 2009, we entered into an initial ten-year transponder service agreement with DISH Network, pursuant to which DISH</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has received satellite services from us on the EchoStar XVI satellite since January 2013. Effective December 2012, we and DISH Network amended the transponder service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transponder service agreement to, among other things, extend the initial term by one additional year and to reduce the term of the first renewal option by one year. Prior to expiration of the initial term, we, upon certain conditions, and DISH Network have the option to renew for an additional five-year period. If either we or DISH Network exercise our respective five-year renewal options, DISH Network has the option to renew for an additional five-year period prior to expiration of the then-current term. There can be no assurance that any option to renew this agreement will be exercised. In the event that we or DISH Network does not exercise the first five-year renewal option or DISH Network does not exercise the second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right="40"/>
        <w:spacing w:after="0" w:line="279" w:lineRule="auto"/>
        <w:rPr>
          <w:sz w:val="20"/>
          <w:szCs w:val="20"/>
          <w:color w:val="auto"/>
        </w:rPr>
      </w:pPr>
      <w:r>
        <w:rPr>
          <w:rFonts w:ascii="Arial" w:cs="Arial" w:eastAsia="Arial" w:hAnsi="Arial"/>
          <w:sz w:val="17"/>
          <w:szCs w:val="17"/>
          <w:b w:val="1"/>
          <w:bCs w:val="1"/>
          <w:i w:val="1"/>
          <w:iCs w:val="1"/>
          <w:color w:val="auto"/>
        </w:rPr>
        <w:t xml:space="preserve">Nimiq 5 Agreement. </w:t>
      </w:r>
      <w:r>
        <w:rPr>
          <w:rFonts w:ascii="Arial" w:cs="Arial" w:eastAsia="Arial" w:hAnsi="Arial"/>
          <w:sz w:val="17"/>
          <w:szCs w:val="17"/>
          <w:color w:val="auto"/>
        </w:rPr>
        <w:t>In September 2009, we entered into a fifteen-year satellite service agreement with Telesat Canada (“Telesat”) to receive service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 32 DBS transponders on the Nimiq 5 satellite at the 72.7 degree west longitude orbital location (the “Telesat Transponder Agreement”). In September 2009, we also entered into a satellite service agreement (the “DISH Nimiq 5 Agreement”) with DISH Network, pursuant to which DISH Network receives satellite services from us on all 32 of the DBS transponders covered by the Telesat Transponder Agreement.</w:t>
      </w:r>
    </w:p>
    <w:p>
      <w:pPr>
        <w:spacing w:after="0" w:line="171"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ten years following the date the Nimiq 5 satellite was placed into service.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receive service from us on a replacement satellite. There can be no assurance that any options to renew the DISH Nimiq 5 Agreement will be exercised or that DISH Network will exercise its option to receive service on a replacement satellite.</w:t>
      </w:r>
    </w:p>
    <w:p>
      <w:pPr>
        <w:spacing w:after="0" w:line="178"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b w:val="1"/>
          <w:bCs w:val="1"/>
          <w:i w:val="1"/>
          <w:iCs w:val="1"/>
          <w:color w:val="auto"/>
        </w:rPr>
        <w:t xml:space="preserve">QuetzSat-1 Agreement. </w:t>
      </w:r>
      <w:r>
        <w:rPr>
          <w:rFonts w:ascii="Arial" w:cs="Arial" w:eastAsia="Arial" w:hAnsi="Arial"/>
          <w:sz w:val="16"/>
          <w:szCs w:val="16"/>
          <w:color w:val="auto"/>
        </w:rPr>
        <w:t>In November 2008, we entered into a ten-year satellite service agreement with SES Latin America, which provides, among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things, for the provision by SES Latin America to us of service on 32 DBS transponders on the QuetzSat-1 satellite. Concurrently, in 2008, we entered into a transponder service agreement with DISH Network, pursuant to which DISH Network receives satellite services on 24 of the DBS transponders on the QuetzSat-1 satellite. The QuetzSat-1 satellite was launched in September 2011 and was placed into service in November 2011 at the 67.1 degree west longitude orbital location. In February 2013, we and DISH Network entered into an agreement pursuant to which we receive certain satellite services from DISH Network on five DBS transponders on the QuetzSat-1 satellite. In January 2013, the QuetzSat-1 satellite was moved to the 77 degree west longitude orbital location and DISH Network commenced commercial operations at such location in February 2013.</w:t>
      </w:r>
    </w:p>
    <w:p>
      <w:pPr>
        <w:spacing w:after="0" w:line="16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Under the terms of our contractual arrangements with DISH Network, we began to provide service to DISH Network on the QuetzSat-1 satellite in February 2013 and will continue to provide service through the remainder of the service term. Unless extended or earlier terminated under the terms and conditions of our agreement with DISH Network for the QuetzSat-1 satellite, the initial service term will expire in November 2021. Upon expiration of the initial service term, DISH Network has the option to renew the agreement for the QuetzSat-1 satellite on a year-to-year basis through the end of life of the QuetzSat-1 satellite. Upon an in-orbit failure or end of life of the QuetzSat-1 satellite, and in certain other circumstances, DISH Network has certain rights to receive service from us on a replacement satellite. There can be no assurance that any options to renew this agreement will be exercised or that DISH Network will exercise its option to receive service on a replacement satellite.</w:t>
      </w:r>
    </w:p>
    <w:p>
      <w:pPr>
        <w:spacing w:after="0" w:line="178" w:lineRule="exact"/>
        <w:rPr>
          <w:sz w:val="20"/>
          <w:szCs w:val="20"/>
          <w:color w:val="auto"/>
        </w:rPr>
      </w:pPr>
    </w:p>
    <w:p>
      <w:pPr>
        <w:ind w:left="340" w:right="120"/>
        <w:spacing w:after="0" w:line="276" w:lineRule="auto"/>
        <w:rPr>
          <w:sz w:val="20"/>
          <w:szCs w:val="20"/>
          <w:color w:val="auto"/>
        </w:rPr>
      </w:pPr>
      <w:r>
        <w:rPr>
          <w:rFonts w:ascii="Arial" w:cs="Arial" w:eastAsia="Arial" w:hAnsi="Arial"/>
          <w:sz w:val="17"/>
          <w:szCs w:val="17"/>
          <w:b w:val="1"/>
          <w:bCs w:val="1"/>
          <w:i w:val="1"/>
          <w:iCs w:val="1"/>
          <w:color w:val="auto"/>
        </w:rPr>
        <w:t xml:space="preserve">103 Degree Orbital Location/SES-3. </w:t>
      </w:r>
      <w:r>
        <w:rPr>
          <w:rFonts w:ascii="Arial" w:cs="Arial" w:eastAsia="Arial" w:hAnsi="Arial"/>
          <w:sz w:val="17"/>
          <w:szCs w:val="17"/>
          <w:color w:val="auto"/>
        </w:rPr>
        <w:t>In May 2012, we entered into a spectrum development agreement (the “103 Spectrum Development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Unless earlier terminated under the terms and conditions of the DISH 103 Spectrum Development Agreement, the term generally will continue for the duration of the 103 Spectrum Rights.</w:t>
      </w:r>
    </w:p>
    <w:p>
      <w:pPr>
        <w:spacing w:after="0" w:line="173" w:lineRule="exact"/>
        <w:rPr>
          <w:sz w:val="20"/>
          <w:szCs w:val="20"/>
          <w:color w:val="auto"/>
        </w:rPr>
      </w:pPr>
    </w:p>
    <w:p>
      <w:pPr>
        <w:ind w:left="340" w:right="80"/>
        <w:spacing w:after="0" w:line="290" w:lineRule="auto"/>
        <w:rPr>
          <w:sz w:val="20"/>
          <w:szCs w:val="20"/>
          <w:color w:val="auto"/>
        </w:rPr>
      </w:pPr>
      <w:r>
        <w:rPr>
          <w:rFonts w:ascii="Arial" w:cs="Arial" w:eastAsia="Arial" w:hAnsi="Arial"/>
          <w:sz w:val="16"/>
          <w:szCs w:val="16"/>
          <w:color w:val="auto"/>
        </w:rPr>
        <w:t>In connection with the 103 Spectrum Development Agreement, in May 2012, we also entered into a ten-year service agreement with Ciel pursuant to which we receive certain satellite services from Ciel on the SES-3 satellite at the 103 degree orbital location. In June 2013, we and DISH Network entered into an agreement pursuant to which DISH Network receives certain satellite services from us on the SES-3 satellite (the “DISH 103 Service Agreement”). Under the terms of the DISH 103 Service Agreement, DISH Network makes certain monthly payments to us through the service term. Unless earlier terminated under the terms and conditions of the DISH 103 Service Agreement, the initial service term will expire on the earlier of: (i) the date the SES-3 satellite fails; (ii) the date the transponder(s) on which service was being provided under the agreement fails; or (iii) June 2023. Upon in-orbit failure or end of life of the SES-3 satellite, and in certain other circumstances, DISH Network has certain rights to receive service from us on a replacement satellite. There can be no assurance that DISH Network will exercise its option to receive service on a replacement satellite.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Satellite and Tracking Stock Transaction</w:t>
      </w:r>
      <w:r>
        <w:rPr>
          <w:rFonts w:ascii="Arial" w:cs="Arial" w:eastAsia="Arial" w:hAnsi="Arial"/>
          <w:sz w:val="18"/>
          <w:szCs w:val="18"/>
          <w:color w:val="auto"/>
        </w:rPr>
        <w:t>. In February 2014, we entered into agreements with DISH Network to implement a transaction pursuant to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other things: (i) in March 2014, EchoStar and HSS issued shares of the Tracking Stock to DISH Network in exchange for five satellites owned by DISH Network (EchoStar I, EchoStar VII, EchoStar X, EchoStar XI and EchoStar XIV) (including assumption of related in-orbit incentive obligations) and approximately $11.4 million in cash; and (ii) in March 2014, DISH Network began receiving certain satellite services on these five satellites from us. See Note 3 herein and in our most recent Form 10-K for further information.</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TT&amp;C Agreement</w:t>
      </w:r>
      <w:r>
        <w:rPr>
          <w:rFonts w:ascii="Arial" w:cs="Arial" w:eastAsia="Arial" w:hAnsi="Arial"/>
          <w:sz w:val="18"/>
          <w:szCs w:val="18"/>
          <w:color w:val="auto"/>
        </w:rPr>
        <w:t>. Effective January 2012, we entered into a telemetry, tracking and control (“TT&amp;C”) agreement pursuant to which we provide TT&amp;C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to DISH Network for a period ending in December 2016 (the “2012 TT&amp;C Agreement”). The 2012 TT&amp;C Agreement replaced the TT&amp;C agreement we entered into with DISH Network in connection with the Spin-off. The fees for services provided under the 2012 TT&amp;C Agreement are calculated at either: (i) a fixed fee or (ii) cost plus a fixed margin, which will vary depending on the nature of the services provided. DISH Network is able to terminate the 2012 TT&amp;C Agreement for any reason upon 60 days’ notice.</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Satellite and Tracking Stock Transaction, in February 2014, we amended the TT&amp;C Agreement to cease the provision of TT&amp;C services to DISH Network for the EchoStar I, EchoStar VII, EchoStar X, EchoStar XI and EchoStar XIV satellites. Effective March 2014, we provide TT&amp;C services for DISH Network’s D-1 satellite.</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TerreStar Agreement</w:t>
      </w:r>
      <w:r>
        <w:rPr>
          <w:rFonts w:ascii="Arial" w:cs="Arial" w:eastAsia="Arial" w:hAnsi="Arial"/>
          <w:sz w:val="16"/>
          <w:szCs w:val="16"/>
          <w:color w:val="auto"/>
        </w:rPr>
        <w:t>. In March 2012, DISH Network completed its acquisition of substantially all the assets of TerreStar Networks Inc. (“TerreStar”).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DISH Network’s acquisition of substantially all the assets of TerreStar and our completion of the Hughes Acquisition, TerreStar and HNS entered into various agreements pursuant to which our Hughes segment provides, among other things, hosting, operations and maintenance services for TerreStar’s satellite gateway and associated ground infrastructure. These agreements generally may be terminated by DISH Network at any time for convenience.</w:t>
      </w:r>
    </w:p>
    <w:p>
      <w:pPr>
        <w:spacing w:after="0" w:line="15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Hughes Broadband Distribution Agreement</w:t>
      </w:r>
      <w:r>
        <w:rPr>
          <w:rFonts w:ascii="Arial" w:cs="Arial" w:eastAsia="Arial" w:hAnsi="Arial"/>
          <w:sz w:val="17"/>
          <w:szCs w:val="17"/>
          <w:color w:val="auto"/>
        </w:rPr>
        <w:t>. Effective October 2012, HNS and dishNET Satellite Broadband L.L.C. (“dishNET”), a wholly-owned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subsidiary of DISH Network, entered into a distribution agreement (the “Distribution Agreement”) pursuant to which dishNET has the right, but not the obligation, to market, sell and distribute the Hughes satellite internet service (the “Hughes service”). dishNET pays HNS a monthly per subscriber wholesale service fee for the Hughes service based upon a subscriber’s service level and based upon certain volume subscription thresholds. The Distribution Agreement also provides that dishNET has the right, but not the obligation, to purchase certain broadband equipment from us to support the sale of the Hughes service. The Distribution Agreement had an initial term of five years with automatic renewal for successive one year terms unless terminated by either party with a written notice at least 180 days before the expiration of the then-current term. In February 2014, HNS and dishNET entered into an amendment to the Distribution Agreement which, among other things, extended the initial term of the Distribution Agreement until March 2024. Upon expiration or termination of the Distribution Agreement, the parties will continue to provide the Hughes service to the then-current dishNET subscribers pursuant to the terms and conditions of the Distribution Agreement.</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DBSD North America Agreement</w:t>
      </w:r>
      <w:r>
        <w:rPr>
          <w:rFonts w:ascii="Arial" w:cs="Arial" w:eastAsia="Arial" w:hAnsi="Arial"/>
          <w:sz w:val="18"/>
          <w:szCs w:val="18"/>
          <w:color w:val="auto"/>
        </w:rPr>
        <w:t>. In March 2012, DISH Network completed its acquisition of 100%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 of DBSD North America and our completion of the Hughes Acquisition, DBSD North America and HNS entered into various agreements pursuant to which our Hughes segment provides, among other things, hosting, operations and maintenance services of DBSD North America’s satellite gateway and associated ground infrastructure. The agreements generally may be terminated by DISH Network at any time for convenience.</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RUS Implementation Agreement</w:t>
      </w:r>
      <w:r>
        <w:rPr>
          <w:rFonts w:ascii="Arial" w:cs="Arial" w:eastAsia="Arial" w:hAnsi="Arial"/>
          <w:sz w:val="16"/>
          <w:szCs w:val="16"/>
          <w:color w:val="auto"/>
        </w:rPr>
        <w:t>. In September 2010, DISH Broadband L.L.C. (“DISH Broadband”), DISH Network’s indirect, wholly-owned subsidiary,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selected by the Rural Utilities Service (“RUS”) of the United States Department of Agriculture to receive up to approximately $14.1 million in broadband stimulus grant funds (the “Grant Funds”). Effective November 2011, HNS and DISH Broadband entered into a RUS Implementation Agreement (the “RUS Agreement”) pursuant to which HNS provided certain portions of the equipment and broadband service used to implement DISH Broadband’s RUS program. While the RUS Agreement expired in June 2013 when the Grant Funds were exhausted, HNS is required to continue providing services to DISH Broadband’s customers activated prior to the expiration of the RUS Agreement in accordance with the terms and conditions of the RUS Agreement.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Professional Services Agreement. </w:t>
      </w:r>
      <w:r>
        <w:rPr>
          <w:rFonts w:ascii="Arial" w:cs="Arial" w:eastAsia="Arial" w:hAnsi="Arial"/>
          <w:sz w:val="16"/>
          <w:szCs w:val="16"/>
          <w:color w:val="auto"/>
        </w:rPr>
        <w:t>In connection with the Spin-off, EchoStar entered into various agreements with DISH Network including the Transition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Agreement, Satellite Procurement Agreement and Services Agreement, which all expired in January 2010 and were replaced by a Professional Services Agreement. In January 2010, EchoStar and DISH Network agreed that EchoStar shall continue to have the right, but not the obligation, to receive the following services from DISH Network, among others, certain of which were previously provided under the Transition Services Agreement: information technology, travel and event coordination, internal audit, legal, accounting and tax, benefits administration, program acquisition services and other support services. Additionally, EchoStar and DISH Network agreed that DISH Network would continue to have the right, but not the obligation, to engage us to manage the process of procuring new satellite capacity for DISH Network (previously provided under the Satellite Procurement Agreement), receive logistics, procurement and quality assurance services from EchoStar (previously provided under the Services Agreement) and other support services. A portion of these costs and expenses have been allocated to us in the manner described above under the caption “EchoStar.” The Professional Services Agreement automatically renewed in January 2016 for an additional one-year period until January 2017 and renews automatically for successive one-year periods thereafter, unless terminated earlier by either party upon at least 60 days’ notice. However, either party may terminate the Professional Services Agreement in part with respect to any particular service it receives for any reason upon at least 30 days’ notice.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Tax Sharing Agreement. </w:t>
      </w:r>
      <w:r>
        <w:rPr>
          <w:rFonts w:ascii="Arial" w:cs="Arial" w:eastAsia="Arial" w:hAnsi="Arial"/>
          <w:sz w:val="17"/>
          <w:szCs w:val="17"/>
          <w:color w:val="auto"/>
        </w:rPr>
        <w:t>As a subsidiary of EchoStar, we are an indirect party to EchoStar’s tax sharing agreement with DISH Network that was entered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connection with the Spin-off. This agreement governs EchoStar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will indemnify EchoStar for such taxes. However, DISH Network is not liable for and will not indemnify EchoStar for any taxes that are incurred as a result of the Spin-off or certain related transactions failing to qualify as tax-free distributions pursuant to any provision of Section 355 or Section 361 of the Internal Revenue Code of 1986, as amended because of: (i) a direct or indirect acquisition of any of EchoStar’s stock, stock options or assets; (ii) any action that EchoStar takes or fails to take; or (iii) any action that EchoStar takes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EchoStar will be solely liable for, and will indemnify DISH Network for, any resulting taxes, as well as any losses, claims and expenses. The tax sharing agreement will only terminate after the later of the full period of all applicable statutes of limitations, including extensions, or once all rights and obligations are fully effectuated or performed.</w:t>
      </w:r>
    </w:p>
    <w:p>
      <w:pPr>
        <w:spacing w:after="0" w:line="18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light of the tax sharing agreement, among other things, and in connection with EchoStar’s consolidated federal income tax returns for certain tax years prior to and for the year of the Spin-off, in September 2013, EchoStar and DISH Network agreed upon a supplemental allocation of the tax benefits arising from certain tax items resolved in the course of the IRS’s examination of EchoStar’s consolidated tax returns. As a result, DISH Network agreed to pay EchoStar an amount that includes $93.1 million of the federal tax benefit they received as a result of our operations.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Caltech</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October 1, 2013, Caltech filed complaints against two of our subsidiaries, Hughes Communications, Inc. and HNS, as well as against DISH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 DISH Network L.L.C., and dishNET Satellite Broadband L.L.C., in the United States District Court for the Central District of California alleging infringement of United States Patent Nos. 7,116,710; 7,421,032; 7,916,781; and 8,284,833, each of which is entitled “Serial Concatenation of Interleaved Convolutional Codes forming Turbo-Like Codes.” Caltech asserted that encoding data as specified by the DVB-S2 standard infringes each of the asserted patents. Caltech claimed that the Hopper</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set-top box that we design and sell to DISH Network, as well as certain of our Hughes segment’s satellite broadband products and services, infringe the asserted patents by implementing the DVB-S2 standard. Pursuant to a settlement agreement among us, DISH Network and Caltech, in May 2016, Caltech dismissed with prejudice all of its claims in these actions. See Note 14 of these condensed consolidated financial statements for further information.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contract with Hughes Systique for software development services. In 2008, Hughes Communications loaned $1.5 million to Hughes Systique pursuant to a term loan facility. The initial interest rate on the outstanding loans was 6%, payable annually, and the accrued and unpaid interest was added to the principal amount in certain circumstances. The loans were convertible into shares of Hughes Systique upon non-payment or an event of default. In May 2014, we amended the term loan facility to increase the interest rate from 6% to 8%, payable annually, to reflect then-current market conditions and extend the maturity date of the loans to May 1, 2015, and in April 2015, we extended the maturity date of the loans to May 1, 2016 on the same terms. In 2015, Hughes Systique repaid $1.5 million of the outstanding principal of the loan facility. In February 2016, Hughes Systique repaid $0.3 million of the outstanding principal of the loan facility. In April 2016, Hughes Systique repaid in full the remaining $0.3 million outstanding principal and interest of the loan facility. As of June 30, 2016, the principal amount outstanding of the loan facility was zero. In addition to our 43.9% ownership in Hughes Systique, Mr. Pradman Kaul, the President of Hughes Communications and a member of EchoStar’s board of directors, and his brother, who is the CEO and President of Hughes Systique, in the aggregate, own approximately 25.8%, on an undiluted basis, of Hughes Systique’s outstanding shares as of June 30, 2016.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condensed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Mexico</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EchoStar owns 49.0% of an entity that provides direct-to-home satellite services in Mexico known as Dish Mexico, and we provide certain satellite services to Dish Mexico. We recognized satellite services revenue from Dish Mexico of approximately $5.8 million for each of the three months ended June 30, 2016 and 2015 and $11.7 million for each of the six months ended June 30, 2016 and 2015. As of June 30, 2016 and December 31, 2015, we had trade accounts receivable from Dish Mexico of approximately $12.7 million and $10.6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Deluxe/EchoStar LLC</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approximately $0.7 million for each of the three months ended June 30, 2016 and 2015 and $1.3 million and $1.4 million for the six months ended June 30, 2016 and 2015, respectively. As of June 30, 2016 and December 31, 2015, we had trade accounts receivable from Deluxe of approximately $0.6 million and $0.1 million, respectively. In June 2016, we recorded a $10.0 million cash distribution from Deluxe that was determined to be a return on investment and reported in cash flows from operating activities in our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Supplemental Guarantor and Non-Guarantor Financial Information</w:t>
      </w:r>
    </w:p>
    <w:p>
      <w:pPr>
        <w:spacing w:after="0" w:line="2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Certain of our wholly-owned subsidiaries (together, the “Guarantor Subsidiaries”) have fully and unconditionally guaranteed, on a joint and several basis, the obligations of our 2019 Senior Secured Notes and 2021 Senior Unsecured Notes, which were issued on June 1, 2011. See Note 10 for further information on the 2019 Senior Secured Notes and the 2021 Senior Unsecured Notes.</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lieu of separate financial statements of the Guarantor Subsidiaries, condensed consolidating financial information prepared in accordance with Rule 3-10(f) of Regulation S-X is presented below, including the condensed balance sheet information, the condensed statement of operations and comprehensive income (loss) information and the condensed statement of cash flows information of HSS, the Guarantor Subsidiaries on a combined basis and the non-guarantor subsidiaries of HSS on a combined basis and the eliminations necessary to arrive at the corresponding information of HSS on a consolidated basis.</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indentures governing the 2019 Senior Secured Notes and the 2021 Senior Unsecured Notes contain restrictive covenants that, among other things, impose limitations on our ability and the ability of certain of our subsidiaries to pay dividends or make distributions, incur additional debt, make certain investments, create liens or enter into sale and leaseback transactions, merge or consolidate with another company, transfer and sell assets, enter into transactions with affiliates or allow to exist certain restrictions on the ability of certain of our subsidiaries to pay dividends, make distributions, make other payments, or transfer assets to us.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condensed consolidating financial information presented below should be read in conjunction with our condensed consolidated financial statements and notes thereto included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June 30,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Guarantor</w:t>
            </w: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5"/>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HSS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288,615</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37,370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23,803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349,788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investment securities, at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306,925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315,635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Trade accounts receivable, net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105,910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27,469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133,379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46,440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8,801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55,241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to affiliates,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(820,971)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80,187</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22,443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46,613</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1,142,245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(820,971)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1,008,113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2,167,215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155,345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2,322,560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Regulatory authorizations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471,658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471,658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504,173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98,077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98,077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37,220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3,584,981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293,096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(3,878,077)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to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166,406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139,326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150,172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(166,406)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289,498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4,361,202</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4,860,510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397,465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(4,866,154)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4,753,023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 (Deficit)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104,379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Trade accounts payable - DISH Network</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 and capital lease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31,410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Advances from affiliates, net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793,921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5,896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25,678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(820,971)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158,347</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804,709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251,137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63,790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(820,971)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298,665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 obligations, net of</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unamortized debt issuance costs</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1,861,828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279,411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2,142,361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658,710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(166,406)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492,304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from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30,361</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83,062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83,121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HSS shareholders’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1,694,665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3,588,190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(3,878,077)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1,694,665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11,546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11,546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4,361,202</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4,860,510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397,465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(4,866,154)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4,753,023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27</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December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Guarantor</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Non-Guarantor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HSS</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300,634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55,767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26,589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382,990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investment securities,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238,249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253,343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Trade accounts receivable, net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101,923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139,510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receivable - DISH Network,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Advances to affiliates, net</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807,341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(766,208)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47,387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48,797</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26,890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51,495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(766,208)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944,780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2,181,495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2,265,402</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Regulatory authorizations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471,658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471,658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504,173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115,420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115,420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unconsolidated entities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41,481</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3,350,914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166,739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(3,517,653)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to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noncurrent assets, net</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254,486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135,970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72,255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(254,486)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208,225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4,157,018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4,691,010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(4,539,725)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4,571,279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 (Deficit)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97,648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Trade accounts payable - DISH Network</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 and capital lease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30,284</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Advances from affiliates, net</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739,810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(766,207)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181,236</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767,964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251,164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(766,207)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312,960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debt and capital lease obligations, net of</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1,858,724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295,060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2,154,988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Deferred tax liabilities, net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706,837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452,350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Advances from affiliates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25,283</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84,006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84,058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HSS shareholders’ equity (deficit)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1,530,330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3,353,943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(3,517,653)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1,530,330</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11,310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shareholders’ equity (deficit)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4,157,018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4,691,010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262,976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(4,539,725)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4,571,279</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left="260" w:right="2400"/>
        <w:spacing w:after="0" w:line="275" w:lineRule="auto"/>
        <w:rPr>
          <w:sz w:val="20"/>
          <w:szCs w:val="20"/>
          <w:color w:val="auto"/>
        </w:rPr>
      </w:pPr>
      <w:r>
        <w:rPr>
          <w:rFonts w:ascii="Arial" w:cs="Arial" w:eastAsia="Arial" w:hAnsi="Arial"/>
          <w:sz w:val="18"/>
          <w:szCs w:val="18"/>
          <w:b w:val="1"/>
          <w:bCs w:val="1"/>
          <w:color w:val="auto"/>
        </w:rPr>
        <w:t xml:space="preserve">Condensed Consolidating Statement of Operations and Comprehensive Income (Loss) For the Three Months Ended June 30, 2016 </w:t>
      </w:r>
      <w:r>
        <w:rPr>
          <w:rFonts w:ascii="Arial" w:cs="Arial" w:eastAsia="Arial" w:hAnsi="Arial"/>
          <w:sz w:val="18"/>
          <w:szCs w:val="18"/>
          <w:color w:val="auto"/>
        </w:rPr>
        <w:t>(In thousands)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Guarantor</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Non-Guarantor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HSS</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Services and other revenue - other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248,005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32,239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274,563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112,528</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Equipment revenue - other</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50,636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51,526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413,270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440,718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rPr>
              <w:t>Costs of sales - services and other (exclusive of</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108,424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23,958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126,800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Cost of sales - equipment (exclusive of depreciation and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47,320</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60,197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69,185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100,679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323,765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353,172</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89,505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87,546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w w:val="99"/>
              </w:rPr>
              <w:t>Gains (losses) on marketable investment securities, net</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Equity in earnings (losses) of subsidiaries, net</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(56,809)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58,819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37,999</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HSS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37,688</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37,999</w:t>
            </w:r>
          </w:p>
        </w:tc>
        <w:tc>
          <w:tcPr>
            <w:tcW w:w="0" w:type="dxa"/>
            <w:vAlign w:val="bottom"/>
          </w:tcPr>
          <w:p>
            <w:pPr>
              <w:spacing w:after="0"/>
              <w:rPr>
                <w:sz w:val="1"/>
                <w:szCs w:val="1"/>
                <w:color w:val="auto"/>
              </w:rPr>
            </w:pPr>
          </w:p>
        </w:tc>
      </w:tr>
      <w:tr>
        <w:trPr>
          <w:trHeight w:val="223"/>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w w:val="97"/>
              </w:rPr>
              <w:t>Unrealized gains (losses) on available-for-sale securities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and other</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realized gains on available-for-sale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included in net income</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29"/>
        </w:trPr>
        <w:tc>
          <w:tcPr>
            <w:tcW w:w="4580" w:type="dxa"/>
            <w:vAlign w:val="bottom"/>
          </w:tcPr>
          <w:p>
            <w:pPr>
              <w:ind w:left="180"/>
              <w:spacing w:after="0"/>
              <w:rPr>
                <w:sz w:val="20"/>
                <w:szCs w:val="20"/>
                <w:color w:val="auto"/>
              </w:rPr>
            </w:pPr>
            <w:r>
              <w:rPr>
                <w:rFonts w:ascii="Arial" w:cs="Arial" w:eastAsia="Arial" w:hAnsi="Arial"/>
                <w:sz w:val="18"/>
                <w:szCs w:val="18"/>
                <w:color w:val="auto"/>
              </w:rPr>
              <w:t>Equity in other comprehensive income (loss) of</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340"/>
              <w:spacing w:after="0"/>
              <w:rPr>
                <w:sz w:val="20"/>
                <w:szCs w:val="20"/>
                <w:color w:val="auto"/>
              </w:rPr>
            </w:pPr>
            <w:r>
              <w:rPr>
                <w:rFonts w:ascii="Arial" w:cs="Arial" w:eastAsia="Arial" w:hAnsi="Arial"/>
                <w:sz w:val="18"/>
                <w:szCs w:val="18"/>
                <w:color w:val="auto"/>
              </w:rPr>
              <w:t>subsidiaries, net</w:t>
            </w: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38,699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57,158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38,824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attributable to</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HSS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38,699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(59,474)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38,699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082"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5" w:right="239" w:bottom="1082"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left="260" w:right="2400"/>
        <w:spacing w:after="0" w:line="275" w:lineRule="auto"/>
        <w:rPr>
          <w:sz w:val="20"/>
          <w:szCs w:val="20"/>
          <w:color w:val="auto"/>
        </w:rPr>
      </w:pPr>
      <w:r>
        <w:rPr>
          <w:rFonts w:ascii="Arial" w:cs="Arial" w:eastAsia="Arial" w:hAnsi="Arial"/>
          <w:sz w:val="18"/>
          <w:szCs w:val="18"/>
          <w:b w:val="1"/>
          <w:bCs w:val="1"/>
          <w:color w:val="auto"/>
        </w:rPr>
        <w:t xml:space="preserve">Condensed Consolidating Statement of Operations and Comprehensive Income (Loss) For the Three Months Ended June 30, 2015 </w:t>
      </w:r>
      <w:r>
        <w:rPr>
          <w:rFonts w:ascii="Arial" w:cs="Arial" w:eastAsia="Arial" w:hAnsi="Arial"/>
          <w:sz w:val="18"/>
          <w:szCs w:val="18"/>
          <w:color w:val="auto"/>
        </w:rPr>
        <w:t>(In thousands)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4"/>
              </w:rPr>
              <w:t>Guarantor</w:t>
            </w:r>
          </w:p>
        </w:tc>
        <w:tc>
          <w:tcPr>
            <w:tcW w:w="14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5"/>
              </w:rPr>
              <w:t>Non-Guarantor</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ind w:left="160"/>
              <w:spacing w:after="0"/>
              <w:rPr>
                <w:sz w:val="20"/>
                <w:szCs w:val="20"/>
                <w:color w:val="auto"/>
              </w:rPr>
            </w:pPr>
            <w:r>
              <w:rPr>
                <w:rFonts w:ascii="Arial" w:cs="Arial" w:eastAsia="Arial" w:hAnsi="Arial"/>
                <w:sz w:val="17"/>
                <w:szCs w:val="17"/>
                <w:b w:val="1"/>
                <w:bCs w:val="1"/>
                <w:color w:val="auto"/>
              </w:rPr>
              <w:t>HSS</w:t>
            </w:r>
          </w:p>
        </w:tc>
        <w:tc>
          <w:tcPr>
            <w:tcW w:w="18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8"/>
              </w:rPr>
              <w:t>Subsidiaries</w:t>
            </w:r>
          </w:p>
        </w:tc>
        <w:tc>
          <w:tcPr>
            <w:tcW w:w="180" w:type="dxa"/>
            <w:vAlign w:val="bottom"/>
          </w:tcPr>
          <w:p>
            <w:pPr>
              <w:spacing w:after="0"/>
              <w:rPr>
                <w:sz w:val="19"/>
                <w:szCs w:val="19"/>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Subsidiaries</w:t>
            </w:r>
          </w:p>
        </w:tc>
        <w:tc>
          <w:tcPr>
            <w:tcW w:w="1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b w:val="1"/>
                <w:bCs w:val="1"/>
                <w:color w:val="auto"/>
              </w:rPr>
              <w:t>Eliminations</w:t>
            </w:r>
          </w:p>
        </w:tc>
        <w:tc>
          <w:tcPr>
            <w:tcW w:w="26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Services and other revenue</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248,329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35,433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(12,441)</w:t>
            </w:r>
          </w:p>
        </w:tc>
        <w:tc>
          <w:tcPr>
            <w:tcW w:w="100" w:type="dxa"/>
            <w:vAlign w:val="bottom"/>
          </w:tcPr>
          <w:p>
            <w:pPr>
              <w:spacing w:after="0"/>
              <w:rPr>
                <w:sz w:val="20"/>
                <w:szCs w:val="20"/>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271,321</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Services and other revenue - DISH Network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131,544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131,483</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Equipment revenue</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54,288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7,483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(7,922)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53,849</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Equipment revenue - DISH Network</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2,823</w:t>
            </w:r>
          </w:p>
        </w:tc>
        <w:tc>
          <w:tcPr>
            <w:tcW w:w="0" w:type="dxa"/>
            <w:vAlign w:val="bottom"/>
          </w:tcPr>
          <w:p>
            <w:pPr>
              <w:spacing w:after="0"/>
              <w:rPr>
                <w:sz w:val="1"/>
                <w:szCs w:val="1"/>
                <w:color w:val="auto"/>
              </w:rPr>
            </w:pPr>
          </w:p>
        </w:tc>
      </w:tr>
      <w:tr>
        <w:trPr>
          <w:trHeight w:val="219"/>
        </w:trPr>
        <w:tc>
          <w:tcPr>
            <w:tcW w:w="4580" w:type="dxa"/>
            <w:vAlign w:val="bottom"/>
          </w:tcPr>
          <w:p>
            <w:pPr>
              <w:ind w:left="40"/>
              <w:spacing w:after="0"/>
              <w:rPr>
                <w:sz w:val="20"/>
                <w:szCs w:val="20"/>
                <w:color w:val="auto"/>
              </w:rPr>
            </w:pPr>
            <w:r>
              <w:rPr>
                <w:rFonts w:ascii="Arial" w:cs="Arial" w:eastAsia="Arial" w:hAnsi="Arial"/>
                <w:sz w:val="17"/>
                <w:szCs w:val="17"/>
                <w:color w:val="auto"/>
              </w:rPr>
              <w:t>Total revenue</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436,984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42,855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(20,363)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459,476</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580" w:type="dxa"/>
            <w:vAlign w:val="bottom"/>
          </w:tcPr>
          <w:p>
            <w:pPr>
              <w:ind w:left="180"/>
              <w:spacing w:after="0"/>
              <w:rPr>
                <w:sz w:val="20"/>
                <w:szCs w:val="20"/>
                <w:color w:val="auto"/>
              </w:rPr>
            </w:pPr>
            <w:r>
              <w:rPr>
                <w:rFonts w:ascii="Arial" w:cs="Arial" w:eastAsia="Arial" w:hAnsi="Arial"/>
                <w:sz w:val="17"/>
                <w:szCs w:val="17"/>
                <w:color w:val="auto"/>
                <w:w w:val="95"/>
              </w:rPr>
              <w:t>Costs of sales - services and other (exclusive of depreciation</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7"/>
                <w:szCs w:val="17"/>
                <w:color w:val="auto"/>
              </w:rPr>
              <w:t>and amortization)</w:t>
            </w:r>
          </w:p>
        </w:tc>
        <w:tc>
          <w:tcPr>
            <w:tcW w:w="2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119,707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24,798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(11,957)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132,548</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sales - equipment (exclusive of depreciation and</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50,831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(7,518)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48,783</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Selling, general and administrative expenses</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57,086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8,825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65,023</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6,513</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106,082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1,543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107,625</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340,219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40,636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360,492</w:t>
            </w:r>
          </w:p>
        </w:tc>
        <w:tc>
          <w:tcPr>
            <w:tcW w:w="0" w:type="dxa"/>
            <w:vAlign w:val="bottom"/>
          </w:tcPr>
          <w:p>
            <w:pPr>
              <w:spacing w:after="0"/>
              <w:rPr>
                <w:sz w:val="1"/>
                <w:szCs w:val="1"/>
                <w:color w:val="auto"/>
              </w:rPr>
            </w:pPr>
          </w:p>
        </w:tc>
      </w:tr>
      <w:tr>
        <w:trPr>
          <w:trHeight w:val="219"/>
        </w:trPr>
        <w:tc>
          <w:tcPr>
            <w:tcW w:w="4580" w:type="dxa"/>
            <w:vAlign w:val="bottom"/>
          </w:tcPr>
          <w:p>
            <w:pPr>
              <w:ind w:left="40"/>
              <w:spacing w:after="0"/>
              <w:rPr>
                <w:sz w:val="20"/>
                <w:szCs w:val="20"/>
                <w:color w:val="auto"/>
              </w:rPr>
            </w:pPr>
            <w:r>
              <w:rPr>
                <w:rFonts w:ascii="Arial" w:cs="Arial" w:eastAsia="Arial" w:hAnsi="Arial"/>
                <w:sz w:val="17"/>
                <w:szCs w:val="17"/>
                <w:color w:val="auto"/>
              </w:rPr>
              <w:t>Operating income</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96,765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2,219</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98,984</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Interest income</w:t>
            </w:r>
          </w:p>
        </w:tc>
        <w:tc>
          <w:tcPr>
            <w:tcW w:w="28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868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259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1,157</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(43,566)</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Loss from partial redemption of debt</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(5,044)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(5,044)</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8"/>
              </w:rPr>
              <w:t>Other-than-temporary impairment loss on available-for-sale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securities</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(4,649)</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Gains (losses) on marketable investment securities, net</w:t>
            </w:r>
          </w:p>
        </w:tc>
        <w:tc>
          <w:tcPr>
            <w:tcW w:w="28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(1,613)</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in earnings of unconsolidated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1,241</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Equity in earnings (losses) of subsidiaries, net</w:t>
            </w:r>
          </w:p>
        </w:tc>
        <w:tc>
          <w:tcPr>
            <w:tcW w:w="28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57,683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5"/>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(59,697)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0" w:type="dxa"/>
            <w:vAlign w:val="bottom"/>
          </w:tcPr>
          <w:p>
            <w:pPr>
              <w:spacing w:after="0"/>
              <w:rPr>
                <w:sz w:val="1"/>
                <w:szCs w:val="1"/>
                <w:color w:val="auto"/>
              </w:rPr>
            </w:pPr>
          </w:p>
        </w:tc>
      </w:tr>
      <w:tr>
        <w:trPr>
          <w:trHeight w:val="219"/>
        </w:trPr>
        <w:tc>
          <w:tcPr>
            <w:tcW w:w="4580" w:type="dxa"/>
            <w:vAlign w:val="bottom"/>
          </w:tcPr>
          <w:p>
            <w:pPr>
              <w:ind w:left="40"/>
              <w:spacing w:after="0"/>
              <w:rPr>
                <w:sz w:val="20"/>
                <w:szCs w:val="20"/>
                <w:color w:val="auto"/>
              </w:rPr>
            </w:pPr>
            <w:r>
              <w:rPr>
                <w:rFonts w:ascii="Arial" w:cs="Arial" w:eastAsia="Arial" w:hAnsi="Arial"/>
                <w:sz w:val="17"/>
                <w:szCs w:val="17"/>
                <w:color w:val="auto"/>
              </w:rPr>
              <w:t>Total other income (expense), net</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9,687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(4,543)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1,422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(59,697)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(53,131)</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(loss) before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9,687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92,222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(59,697)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45,853</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Income tax benefit (provision)</w:t>
            </w:r>
          </w:p>
        </w:tc>
        <w:tc>
          <w:tcPr>
            <w:tcW w:w="28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17,360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(34,446)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(18,380)</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27,047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57,776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(59,697)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27,473</w:t>
            </w:r>
          </w:p>
        </w:tc>
        <w:tc>
          <w:tcPr>
            <w:tcW w:w="0" w:type="dxa"/>
            <w:vAlign w:val="bottom"/>
          </w:tcPr>
          <w:p>
            <w:pPr>
              <w:spacing w:after="0"/>
              <w:rPr>
                <w:sz w:val="1"/>
                <w:szCs w:val="1"/>
                <w:color w:val="auto"/>
              </w:rPr>
            </w:pPr>
          </w:p>
        </w:tc>
      </w:tr>
      <w:tr>
        <w:trPr>
          <w:trHeight w:val="239"/>
        </w:trPr>
        <w:tc>
          <w:tcPr>
            <w:tcW w:w="4580" w:type="dxa"/>
            <w:vAlign w:val="bottom"/>
          </w:tcPr>
          <w:p>
            <w:pPr>
              <w:ind w:left="40"/>
              <w:spacing w:after="0"/>
              <w:rPr>
                <w:sz w:val="20"/>
                <w:szCs w:val="20"/>
                <w:color w:val="auto"/>
              </w:rPr>
            </w:pPr>
            <w:r>
              <w:rPr>
                <w:rFonts w:ascii="Arial" w:cs="Arial" w:eastAsia="Arial" w:hAnsi="Arial"/>
                <w:sz w:val="17"/>
                <w:szCs w:val="17"/>
                <w:color w:val="auto"/>
                <w:w w:val="97"/>
              </w:rPr>
              <w:t>Less: Net income (loss) attributable to noncontrolling interests</w:t>
            </w:r>
          </w:p>
        </w:tc>
        <w:tc>
          <w:tcPr>
            <w:tcW w:w="2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428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income (loss) attributable to HSS</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27,047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(59,697)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27,045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7"/>
                <w:szCs w:val="17"/>
                <w:b w:val="1"/>
                <w:bCs w:val="1"/>
                <w:color w:val="auto"/>
              </w:rPr>
              <w:t>Comprehensive Income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5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4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income (loss)</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27,047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57,776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(59,697)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27,473</w:t>
            </w:r>
          </w:p>
        </w:tc>
        <w:tc>
          <w:tcPr>
            <w:tcW w:w="0" w:type="dxa"/>
            <w:vAlign w:val="bottom"/>
          </w:tcPr>
          <w:p>
            <w:pPr>
              <w:spacing w:after="0"/>
              <w:rPr>
                <w:sz w:val="1"/>
                <w:szCs w:val="1"/>
                <w:color w:val="auto"/>
              </w:rPr>
            </w:pPr>
          </w:p>
        </w:tc>
      </w:tr>
      <w:tr>
        <w:trPr>
          <w:trHeight w:val="206"/>
        </w:trPr>
        <w:tc>
          <w:tcPr>
            <w:tcW w:w="4580" w:type="dxa"/>
            <w:vAlign w:val="bottom"/>
          </w:tcPr>
          <w:p>
            <w:pPr>
              <w:ind w:left="40"/>
              <w:spacing w:after="0"/>
              <w:rPr>
                <w:sz w:val="20"/>
                <w:szCs w:val="20"/>
                <w:color w:val="auto"/>
              </w:rPr>
            </w:pPr>
            <w:r>
              <w:rPr>
                <w:rFonts w:ascii="Arial" w:cs="Arial" w:eastAsia="Arial" w:hAnsi="Arial"/>
                <w:sz w:val="17"/>
                <w:szCs w:val="17"/>
                <w:color w:val="auto"/>
              </w:rPr>
              <w:t>Other comprehensive income (loss), net of tax:</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4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987</w:t>
            </w:r>
          </w:p>
        </w:tc>
        <w:tc>
          <w:tcPr>
            <w:tcW w:w="0" w:type="dxa"/>
            <w:vAlign w:val="bottom"/>
          </w:tcPr>
          <w:p>
            <w:pPr>
              <w:spacing w:after="0"/>
              <w:rPr>
                <w:sz w:val="1"/>
                <w:szCs w:val="1"/>
                <w:color w:val="auto"/>
              </w:rPr>
            </w:pPr>
          </w:p>
        </w:tc>
      </w:tr>
      <w:tr>
        <w:trPr>
          <w:trHeight w:val="239"/>
        </w:trPr>
        <w:tc>
          <w:tcPr>
            <w:tcW w:w="4580" w:type="dxa"/>
            <w:vAlign w:val="bottom"/>
          </w:tcPr>
          <w:p>
            <w:pPr>
              <w:ind w:left="180"/>
              <w:spacing w:after="0"/>
              <w:rPr>
                <w:sz w:val="20"/>
                <w:szCs w:val="20"/>
                <w:color w:val="auto"/>
              </w:rPr>
            </w:pPr>
            <w:r>
              <w:rPr>
                <w:rFonts w:ascii="Arial" w:cs="Arial" w:eastAsia="Arial" w:hAnsi="Arial"/>
                <w:sz w:val="17"/>
                <w:szCs w:val="17"/>
                <w:color w:val="auto"/>
              </w:rPr>
              <w:t>Unrealized gains on available-for-sale securities and other</w:t>
            </w:r>
          </w:p>
        </w:tc>
        <w:tc>
          <w:tcPr>
            <w:tcW w:w="280" w:type="dxa"/>
            <w:vAlign w:val="bottom"/>
          </w:tcPr>
          <w:p>
            <w:pPr>
              <w:spacing w:after="0"/>
              <w:rPr>
                <w:sz w:val="20"/>
                <w:szCs w:val="20"/>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1,745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1,756</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Recognition of other-than-temporary loss on available-for-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sale securities in net income</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4,649</w:t>
            </w:r>
          </w:p>
        </w:tc>
        <w:tc>
          <w:tcPr>
            <w:tcW w:w="0" w:type="dxa"/>
            <w:vAlign w:val="bottom"/>
          </w:tcPr>
          <w:p>
            <w:pPr>
              <w:spacing w:after="0"/>
              <w:rPr>
                <w:sz w:val="1"/>
                <w:szCs w:val="1"/>
                <w:color w:val="auto"/>
              </w:rPr>
            </w:pPr>
          </w:p>
        </w:tc>
      </w:tr>
      <w:tr>
        <w:trPr>
          <w:trHeight w:val="212"/>
        </w:trPr>
        <w:tc>
          <w:tcPr>
            <w:tcW w:w="4580" w:type="dxa"/>
            <w:vAlign w:val="bottom"/>
          </w:tcPr>
          <w:p>
            <w:pPr>
              <w:ind w:left="180"/>
              <w:spacing w:after="0"/>
              <w:rPr>
                <w:sz w:val="20"/>
                <w:szCs w:val="20"/>
                <w:color w:val="auto"/>
              </w:rPr>
            </w:pPr>
            <w:r>
              <w:rPr>
                <w:rFonts w:ascii="Arial" w:cs="Arial" w:eastAsia="Arial" w:hAnsi="Arial"/>
                <w:sz w:val="17"/>
                <w:szCs w:val="17"/>
                <w:color w:val="auto"/>
                <w:w w:val="96"/>
              </w:rPr>
              <w:t>Recognition of realized gains on available-for-sale securities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7"/>
                <w:szCs w:val="17"/>
                <w:color w:val="auto"/>
              </w:rPr>
              <w:t>in net income</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31"/>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5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6"/>
              </w:rPr>
              <w:t>Equity in other comprehensive income (loss) of subsidiaries,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net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580" w:type="dxa"/>
            <w:vAlign w:val="bottom"/>
          </w:tcPr>
          <w:p>
            <w:pPr>
              <w:ind w:left="40"/>
              <w:spacing w:after="0"/>
              <w:rPr>
                <w:sz w:val="20"/>
                <w:szCs w:val="20"/>
                <w:color w:val="auto"/>
              </w:rPr>
            </w:pPr>
            <w:r>
              <w:rPr>
                <w:rFonts w:ascii="Arial" w:cs="Arial" w:eastAsia="Arial" w:hAnsi="Arial"/>
                <w:sz w:val="17"/>
                <w:szCs w:val="17"/>
                <w:color w:val="auto"/>
              </w:rPr>
              <w:t>Total other comprehensive income (loss), net of tax</w:t>
            </w: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7,379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998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(1,994)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7,381</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Comprehensive income (loss)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34,426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58,774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(61,691)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34,854</w:t>
            </w:r>
          </w:p>
        </w:tc>
        <w:tc>
          <w:tcPr>
            <w:tcW w:w="0" w:type="dxa"/>
            <w:vAlign w:val="bottom"/>
          </w:tcPr>
          <w:p>
            <w:pPr>
              <w:spacing w:after="0"/>
              <w:rPr>
                <w:sz w:val="1"/>
                <w:szCs w:val="1"/>
                <w:color w:val="auto"/>
              </w:rPr>
            </w:pPr>
          </w:p>
        </w:tc>
      </w:tr>
      <w:tr>
        <w:trPr>
          <w:trHeight w:val="212"/>
        </w:trPr>
        <w:tc>
          <w:tcPr>
            <w:tcW w:w="4580" w:type="dxa"/>
            <w:vAlign w:val="bottom"/>
          </w:tcPr>
          <w:p>
            <w:pPr>
              <w:ind w:left="180"/>
              <w:spacing w:after="0"/>
              <w:rPr>
                <w:sz w:val="20"/>
                <w:szCs w:val="20"/>
                <w:color w:val="auto"/>
              </w:rPr>
            </w:pPr>
            <w:r>
              <w:rPr>
                <w:rFonts w:ascii="Arial" w:cs="Arial" w:eastAsia="Arial" w:hAnsi="Arial"/>
                <w:sz w:val="17"/>
                <w:szCs w:val="17"/>
                <w:color w:val="auto"/>
                <w:w w:val="99"/>
              </w:rPr>
              <w:t>Less: Comprehensive income attributable to noncontrolling</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340"/>
              <w:spacing w:after="0"/>
              <w:rPr>
                <w:sz w:val="20"/>
                <w:szCs w:val="20"/>
                <w:color w:val="auto"/>
              </w:rPr>
            </w:pPr>
            <w:r>
              <w:rPr>
                <w:rFonts w:ascii="Arial" w:cs="Arial" w:eastAsia="Arial" w:hAnsi="Arial"/>
                <w:sz w:val="17"/>
                <w:szCs w:val="17"/>
                <w:color w:val="auto"/>
              </w:rPr>
              <w:t>interests</w:t>
            </w:r>
          </w:p>
        </w:tc>
        <w:tc>
          <w:tcPr>
            <w:tcW w:w="2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428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31"/>
        </w:trPr>
        <w:tc>
          <w:tcPr>
            <w:tcW w:w="4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Comprehensive income (loss) attributable to HSS</w:t>
            </w:r>
          </w:p>
        </w:tc>
        <w:tc>
          <w:tcPr>
            <w:tcW w:w="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34,426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58,774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34,426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2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42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right="218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HSS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4"/>
                <w:szCs w:val="14"/>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Services and other revenue - other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494,083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62,017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544,986</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225,603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225,603</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Equipment revenue - other</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94,533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94,385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819,089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68,842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869,844</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w w:val="92"/>
              </w:rPr>
              <w:t>Costs of sales - services and other (exclusive of depreciation and</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216,872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45,232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251,377</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 equipment (exclusive of depreciation and</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90,428</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122,536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18,826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140,100</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14,494</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201,521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204,674</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646,339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701,073</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172,750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168,771</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3,421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(74,090)</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Gains (losses) on marketable investment securities, net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Equity in earnings (losses) of subsidiaries, net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107,268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(107,442)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(55,881)</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112,890</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21,562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(40,861)</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72,029</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HSS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71,607</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71,607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72,029</w:t>
            </w:r>
          </w:p>
        </w:tc>
        <w:tc>
          <w:tcPr>
            <w:tcW w:w="0" w:type="dxa"/>
            <w:vAlign w:val="bottom"/>
          </w:tcPr>
          <w:p>
            <w:pPr>
              <w:spacing w:after="0"/>
              <w:rPr>
                <w:sz w:val="1"/>
                <w:szCs w:val="1"/>
                <w:color w:val="auto"/>
              </w:rPr>
            </w:pPr>
          </w:p>
        </w:tc>
      </w:tr>
      <w:tr>
        <w:trPr>
          <w:trHeight w:val="223"/>
        </w:trPr>
        <w:tc>
          <w:tcPr>
            <w:tcW w:w="50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9,352</w:t>
            </w: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rPr>
                <w:sz w:val="20"/>
                <w:szCs w:val="20"/>
                <w:color w:val="auto"/>
              </w:rPr>
            </w:pPr>
            <w:r>
              <w:rPr>
                <w:rFonts w:ascii="Arial" w:cs="Arial" w:eastAsia="Arial" w:hAnsi="Arial"/>
                <w:sz w:val="18"/>
                <w:szCs w:val="18"/>
                <w:color w:val="auto"/>
                <w:w w:val="98"/>
              </w:rPr>
              <w:t>Unrealized gains (losses) on available-for-sale securities and</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Recognition of realized gains on available-for-sale securities in</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43"/>
        </w:trPr>
        <w:tc>
          <w:tcPr>
            <w:tcW w:w="5000" w:type="dxa"/>
            <w:vAlign w:val="bottom"/>
          </w:tcPr>
          <w:p>
            <w:pPr>
              <w:ind w:left="180"/>
              <w:spacing w:after="0"/>
              <w:rPr>
                <w:sz w:val="20"/>
                <w:szCs w:val="20"/>
                <w:color w:val="auto"/>
              </w:rPr>
            </w:pPr>
            <w:r>
              <w:rPr>
                <w:rFonts w:ascii="Arial" w:cs="Arial" w:eastAsia="Arial" w:hAnsi="Arial"/>
                <w:sz w:val="18"/>
                <w:szCs w:val="18"/>
                <w:color w:val="auto"/>
                <w:w w:val="94"/>
              </w:rPr>
              <w:t>Equity in other comprehensive income (loss) of subsidiaries, net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7,971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8,160</w:t>
            </w:r>
          </w:p>
        </w:tc>
        <w:tc>
          <w:tcPr>
            <w:tcW w:w="0" w:type="dxa"/>
            <w:vAlign w:val="bottom"/>
          </w:tcPr>
          <w:p>
            <w:pPr>
              <w:spacing w:after="0"/>
              <w:rPr>
                <w:sz w:val="1"/>
                <w:szCs w:val="1"/>
                <w:color w:val="auto"/>
              </w:rPr>
            </w:pPr>
          </w:p>
        </w:tc>
      </w:tr>
      <w:tr>
        <w:trPr>
          <w:trHeight w:val="237"/>
        </w:trPr>
        <w:tc>
          <w:tcPr>
            <w:tcW w:w="500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115,417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9,758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(124,939)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80,189</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attributable to noncontrolling</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7"/>
        </w:trPr>
        <w:tc>
          <w:tcPr>
            <w:tcW w:w="500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HSS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115,417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(124,939)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79,953</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20"/>
          </w:cols>
          <w:pgMar w:left="24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540" w:right="198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HSS</w:t>
            </w: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Guarantor</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60" w:type="dxa"/>
            <w:vAlign w:val="bottom"/>
          </w:tcPr>
          <w:p>
            <w:pPr>
              <w:spacing w:after="0"/>
              <w:rPr>
                <w:sz w:val="14"/>
                <w:szCs w:val="14"/>
                <w:color w:val="auto"/>
              </w:rPr>
            </w:pPr>
          </w:p>
        </w:tc>
        <w:tc>
          <w:tcPr>
            <w:tcW w:w="84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Services and other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494,740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71,964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(25,704)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541,000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262,924</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Equipment revenue</w:t>
            </w:r>
          </w:p>
        </w:tc>
        <w:tc>
          <w:tcPr>
            <w:tcW w:w="2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99,142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13,464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101,900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3,886</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860,574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85,546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909,710</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w w:val="95"/>
              </w:rPr>
              <w:t>Costs of sales - services and other (exclusive of depreciation and</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2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237,794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49,892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262,466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 equipment (exclusive of depreciation and</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93,887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93,994</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119,980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16,825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135,568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212,474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215,639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676,202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79,942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719,734</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184,372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189,976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(88,652)</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Loss from partial redemption of debt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Other-than-temporary impairment loss on available-for-sale</w:t>
            </w:r>
          </w:p>
        </w:tc>
        <w:tc>
          <w:tcPr>
            <w:tcW w:w="2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122"/>
        </w:trPr>
        <w:tc>
          <w:tcPr>
            <w:tcW w:w="514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securities</w:t>
            </w:r>
          </w:p>
        </w:tc>
        <w:tc>
          <w:tcPr>
            <w:tcW w:w="28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gridSpan w:val="2"/>
            <w:vMerge w:val="continue"/>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Gains (losses) on marketable investment securities, net</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Equity in earnings (losses) of subsidiaries, net</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111,869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(114,916)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24,403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(114,916)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(96,774)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93,202</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31,649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(36,353)</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56,849</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attributable to HSS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56,052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112,052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56,849</w:t>
            </w:r>
          </w:p>
        </w:tc>
        <w:tc>
          <w:tcPr>
            <w:tcW w:w="0" w:type="dxa"/>
            <w:vAlign w:val="bottom"/>
          </w:tcPr>
          <w:p>
            <w:pPr>
              <w:spacing w:after="0"/>
              <w:rPr>
                <w:sz w:val="1"/>
                <w:szCs w:val="1"/>
                <w:color w:val="auto"/>
              </w:rPr>
            </w:pPr>
          </w:p>
        </w:tc>
      </w:tr>
      <w:tr>
        <w:trPr>
          <w:trHeight w:val="223"/>
        </w:trPr>
        <w:tc>
          <w:tcPr>
            <w:tcW w:w="51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Unrealized gains on available-for-sale securities and other</w:t>
            </w:r>
          </w:p>
        </w:tc>
        <w:tc>
          <w:tcPr>
            <w:tcW w:w="2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3,313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Recognition of other-than-temporary loss on available-for-sale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in net income</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w w:val="93"/>
              </w:rPr>
              <w:t>Recognition of realized gains on available-for-sale securities in net</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income</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Equity in other comprehensive income (loss) of subsidiaries, net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18,472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102,816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55,553</w:t>
            </w: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rPr>
              <w:t>Less: Comprehensive income attributable to noncontrolling</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HSS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54,756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54,756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20"/>
          </w:cols>
          <w:pgMar w:left="240" w:top="125" w:right="539" w:bottom="406" w:gutter="0" w:footer="0" w:header="0"/>
        </w:sect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240" w:top="125" w:right="539" w:bottom="406"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Guarantor</w:t>
            </w: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Non-Guarantor</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HSS</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71,607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107,446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(107,442)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72,029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(loss) to net cash</w:t>
            </w:r>
          </w:p>
        </w:tc>
        <w:tc>
          <w:tcPr>
            <w:tcW w:w="2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19,205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66,295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16,370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107,442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209,312</w:t>
            </w:r>
          </w:p>
        </w:tc>
        <w:tc>
          <w:tcPr>
            <w:tcW w:w="0" w:type="dxa"/>
            <w:vAlign w:val="bottom"/>
          </w:tcPr>
          <w:p>
            <w:pPr>
              <w:spacing w:after="0"/>
              <w:rPr>
                <w:sz w:val="1"/>
                <w:szCs w:val="1"/>
                <w:color w:val="auto"/>
              </w:rPr>
            </w:pPr>
          </w:p>
        </w:tc>
      </w:tr>
      <w:tr>
        <w:trPr>
          <w:trHeight w:val="122"/>
        </w:trPr>
        <w:tc>
          <w:tcPr>
            <w:tcW w:w="45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flows from operating activities</w:t>
            </w:r>
          </w:p>
        </w:tc>
        <w:tc>
          <w:tcPr>
            <w:tcW w:w="26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80" w:type="dxa"/>
            <w:vAlign w:val="bottom"/>
            <w:tcBorders>
              <w:bottom w:val="single" w:sz="8" w:color="CCEEFF"/>
            </w:tcBorders>
            <w:vMerge w:val="continue"/>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90,812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173,741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16,788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281,341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(280,810)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(280,810)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Sales and maturities of marketable investment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213,913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213,913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(162,392)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(58,199)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(220,591)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Investment in unconsolidated entity</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subsidiary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92,646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Payment for EchoStar XXI launch services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externally marketed software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flows from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(314,882)</w:t>
            </w:r>
          </w:p>
        </w:tc>
        <w:tc>
          <w:tcPr>
            <w:tcW w:w="0" w:type="dxa"/>
            <w:vAlign w:val="bottom"/>
          </w:tcPr>
          <w:p>
            <w:pPr>
              <w:spacing w:after="0"/>
              <w:rPr>
                <w:sz w:val="1"/>
                <w:szCs w:val="1"/>
                <w:color w:val="auto"/>
              </w:rPr>
            </w:pPr>
          </w:p>
        </w:tc>
      </w:tr>
      <w:tr>
        <w:trPr>
          <w:trHeight w:val="223"/>
        </w:trPr>
        <w:tc>
          <w:tcPr>
            <w:tcW w:w="45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capital contribution from parent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Capital contribution from EchoStar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11,875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other debt and capital 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(16,199)</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Advances from affiliates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Net cash flows from financing activities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11,883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30,172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50,063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Effect of exchange rates on cash and cash equivalents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(33,202)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300,634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26,589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382,990</w:t>
            </w:r>
          </w:p>
        </w:tc>
        <w:tc>
          <w:tcPr>
            <w:tcW w:w="0" w:type="dxa"/>
            <w:vAlign w:val="bottom"/>
          </w:tcPr>
          <w:p>
            <w:pPr>
              <w:spacing w:after="0"/>
              <w:rPr>
                <w:sz w:val="1"/>
                <w:szCs w:val="1"/>
                <w:color w:val="auto"/>
              </w:rPr>
            </w:pP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288,615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37,370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23,803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349,788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Guarantor</w:t>
            </w:r>
          </w:p>
        </w:tc>
        <w:tc>
          <w:tcPr>
            <w:tcW w:w="14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HSS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56,052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112,052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(114,916)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56,849</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Adjustments to reconcile net income (loss) to net cash flows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57"/>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from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197,125</w:t>
            </w: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color w:val="auto"/>
              </w:rPr>
              <w:t>Net cash flows from operating activities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189,940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253,974</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Purchases of marketable investment securities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(96,462)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(96,462)</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investment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104,423</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(161,853)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(187,305)</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externally marketed software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(11,660)</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Changes in restricted cash and cash equivalents</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(1,507)</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subsidiary</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flows from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(192,520)</w:t>
            </w:r>
          </w:p>
        </w:tc>
      </w:tr>
      <w:tr>
        <w:trPr>
          <w:trHeight w:val="223"/>
        </w:trPr>
        <w:tc>
          <w:tcPr>
            <w:tcW w:w="48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41"/>
        </w:trPr>
        <w:tc>
          <w:tcPr>
            <w:tcW w:w="4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capital contributions from parent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w w:val="98"/>
              </w:rPr>
              <w:t>Repayment of 2019 Senior Secured Notes Due and related</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820" w:type="dxa"/>
            <w:vAlign w:val="bottom"/>
          </w:tcPr>
          <w:p>
            <w:pPr>
              <w:ind w:left="340"/>
              <w:spacing w:after="0"/>
              <w:rPr>
                <w:sz w:val="20"/>
                <w:szCs w:val="20"/>
                <w:color w:val="auto"/>
              </w:rPr>
            </w:pPr>
            <w:r>
              <w:rPr>
                <w:rFonts w:ascii="Arial" w:cs="Arial" w:eastAsia="Arial" w:hAnsi="Arial"/>
                <w:sz w:val="18"/>
                <w:szCs w:val="18"/>
                <w:color w:val="auto"/>
              </w:rPr>
              <w:t>premium</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(113,300)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(113,300)</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Repayment of long-term debt and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(23,722)</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flows from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(137,731)</w:t>
            </w:r>
          </w:p>
        </w:tc>
      </w:tr>
      <w:tr>
        <w:trPr>
          <w:trHeight w:val="237"/>
        </w:trPr>
        <w:tc>
          <w:tcPr>
            <w:tcW w:w="4820" w:type="dxa"/>
            <w:vAlign w:val="bottom"/>
          </w:tcPr>
          <w:p>
            <w:pPr>
              <w:ind w:left="380"/>
              <w:spacing w:after="0"/>
              <w:rPr>
                <w:sz w:val="20"/>
                <w:szCs w:val="20"/>
                <w:color w:val="auto"/>
              </w:rPr>
            </w:pPr>
            <w:r>
              <w:rPr>
                <w:rFonts w:ascii="Arial" w:cs="Arial" w:eastAsia="Arial" w:hAnsi="Arial"/>
                <w:sz w:val="18"/>
                <w:szCs w:val="18"/>
                <w:color w:val="auto"/>
              </w:rPr>
              <w:t>Effect of exchange rates on cash and cash equivalents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(76,903)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142,762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31,203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225,557</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148,654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Subsequent Events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Secured and Unsecured Notes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July 27, 2016, we issued $750 million aggregate principal amount of 5.250% Senior Secured Notes due August 1, 2026 (the “2026 Senior Secured Notes”) pursuant to an Indenture dated July 27, 2016 (the “2016 Secured Indenture”) at an issue price of 100% of their aggregate principal amount and $750 million aggregate principal amount of 6.625% Senior Unsecured Notes due August 1, 2026 (the “2026 Senior Unsecured Notes” and together with the 2026 Senior Secured Notes, the “2026 Notes”) pursuant to an Indenture dated July 27, 2016 (the “2016 Unsecured Indenture” and together with the 2016 Secured Indenture, the “2016 Indentures”) at an issue price of 100% of their aggregate principal amount.</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2026 Senior Secured Notes bear interest at a rate of 5.250% per annum and mature on August 1, 2026, and the 2026 Senior Unsecured Notes bear interest at a rate of 6.625% per annum and mature on August 1, 2026. Interest on the 2026 Notes will be payable semi-annually on February 1 and August 1 of each year commencing February 1, 2017.</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2026 Notes are redeemable only in limited circumstances. The 2026 Notes are redeemable, in whole or in part at any time at a redemption price equal to 100% of the principal amount, plus accrued and unpaid interest to the date of redemption and a “make-whole” premium calculated under the 2016 Indentures. We may also redeem up to 10% of the outstanding 2026 Senior Secured Notes per year prior to August 1, 2020 at a redemption price equal to 103% of the principal amount thereof plus accrued and unpaid interest to the date of redemption. In addition, we may, at any time prior to August 1, 2019, with the net cash proceeds from certain equity offerings or capital contributions, redeem up to 35% of the 2026 Senior Secured Notes, at 105.25% of the principal amount, and up to 35% of the 2026 Senior Unsecured Notes, at a redemption price equal to 106.625% of the principal amount plus, in each case, accrued and unpaid interest on the 2026 Notes being redeemed to the date of redemption..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2026 Senior Secured Notes are:</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secured obligations;</w:t>
      </w:r>
    </w:p>
    <w:p>
      <w:pPr>
        <w:spacing w:after="0" w:line="90" w:lineRule="exact"/>
        <w:rPr>
          <w:rFonts w:ascii="Arial" w:cs="Arial" w:eastAsia="Arial" w:hAnsi="Arial"/>
          <w:sz w:val="18"/>
          <w:szCs w:val="18"/>
          <w:color w:val="auto"/>
        </w:rPr>
      </w:pPr>
    </w:p>
    <w:p>
      <w:pPr>
        <w:ind w:left="660" w:right="44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secured by security interests in substantially all of our and certain of our subsidiaries existing and future tangible and intangible assets on a first priority basis, subject to certain exceptions;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ranked equally and ratably with the existing 2019 Senior Secured Notes;</w:t>
      </w:r>
    </w:p>
    <w:p>
      <w:pPr>
        <w:spacing w:after="0" w:line="9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junior to our obligations that are secured by assets that are not part of the collateral that secures the 2026 Senior Secured Notes, in each case, to the extent of the value of the collateral securing such obligations;</w:t>
      </w:r>
    </w:p>
    <w:p>
      <w:pPr>
        <w:spacing w:after="0" w:line="35"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senior to our existing and future unsecured obligations to the extent of the value of the collateral securing the 2026 Senior Secured Notes, after giving effect to permitted liens as provided in the 2016 Secured Indenture;</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senior in right of payment to all of our existing and future obligations that are expressly subordinated to the 2026 Senior Secured Notes;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structurally junior to any of our existing and future obligations that do not guarantee the 2026 Senior Secured Notes; and</w:t>
      </w:r>
    </w:p>
    <w:p>
      <w:pPr>
        <w:spacing w:after="0" w:line="90"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subsidiaries, which guarantees rank equally with all of the guarantors’ existing and future unsubordinated indebtedness and effectively senior to such guarantors’ existing and future obligations to the extent of the value of the assets securing the 2026 Senior Secured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2026 Senior Unsecured Notes are:</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unsecured senior obligations;</w:t>
      </w:r>
    </w:p>
    <w:p>
      <w:pPr>
        <w:spacing w:after="0" w:line="90"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ranked equally with all existing and future unsubordinated indebtedness and effectively junior to any secured indebtedness up to the value of the assets securing such indebtedness;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junior to our obligations that are secured to the extent of the value of the collateral securing such obligations;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HUGHES SATELLITE SYSTEMS CORPORATION NOTES TO CONDENSED CONSOLIDATED FINANCIAL STATEMENTS - Continued </w:t>
      </w:r>
      <w:r>
        <w:rPr>
          <w:rFonts w:ascii="Arial" w:cs="Arial" w:eastAsia="Arial" w:hAnsi="Arial"/>
          <w:sz w:val="18"/>
          <w:szCs w:val="18"/>
          <w:color w:val="auto"/>
        </w:rPr>
        <w:t>(Unaudited)</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senior in right of payment to all of our existing and future obligations that are expressly subordinated to the 2026 Senior Unsecured Notes;</w:t>
      </w:r>
    </w:p>
    <w:p>
      <w:pPr>
        <w:spacing w:after="0" w:line="10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structurally junior to any of existing and future obligations of our subsidiaries that do not guarantee the 2026 Senior Unsecured Notes; and</w:t>
      </w:r>
    </w:p>
    <w:p>
      <w:pPr>
        <w:spacing w:after="0" w:line="101"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unconditionally guaranteed, jointly and severally, on a general senior secured basis by certain of our subsidiaries, which guarantees rank equally with all of the guarantors’ existing and future unsubordinated indebtedness, and effectively junior to any secured indebtedness of the guarantors up to the value of the assets securing such indebtedness.</w:t>
      </w:r>
    </w:p>
    <w:p>
      <w:pPr>
        <w:spacing w:after="0" w:line="2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2026 Notes are guaranteed by the same subsidiary guarantors that currently guarantee the 2019 Senior Secured Notes and the 2021 Senior Unsecured Notes.</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Subject to certain exceptions, the 2016 Indentures contain restrictive covenants that, among other things, impose limitations on our ability and, in certain instances, the ability of certain of our subsidiaries to:</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 or repurchase our capital stock;</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allow to exist certain restrictions on the ability of certain of our subsidiaries to pay dividends, make distributions, make other payments, or transfer assets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covenants include a number of important exceptions.</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the event of a Change of Control, as defined in the 2016 Indentures, we would be required to make an offer to repurchase all or any part of a holder’s 2026 Notes at a purchase price equal to 101.0% of the aggregate principal amount thereof, together with accrued and unpaid interest to the date of repurchase.</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2016 Indentures provide for customary events of default, including, among other things, nonpayment, breach of the covenants in the 2016 Indentures, payment defaults or acceleration of other indebtedness, a failure to pay certain judgments and certain events of bankruptcy, insolvency and reorganization. If any event of default occurs and is continuing, the Trustee or the holders of at least 25% in principal amount of the applicable then outstanding 2026 Notes may declare all the applicable 2026 Notes to be due and payable immediately, together with any accrued and unpaid interest.</w:t>
      </w:r>
    </w:p>
    <w:p>
      <w:pPr>
        <w:spacing w:after="0" w:line="15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As discussed above, we and certain of our subsidiaries have granted a first priority security interest in substantially all our and their assets, subject to certain exceptions and permitted liens, to secure our obligations under the 2019 Senior Secured Notes and the 2026 Senior Secured Notes.</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Under the terms of a registration rights agreement, we have agreed to register notes having substantially identical terms as the 2026 Notes with the SEC as part of an offer to exchange freely tradable exchange notes for the 2026 Notes.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NARRATIVE ANALYSIS OF RESULTS OF OPERATIONS</w:t>
      </w:r>
    </w:p>
    <w:p>
      <w:pPr>
        <w:spacing w:after="0" w:line="27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Unless the context indicates otherwise, as used herein, the terms “we,” “us,” “HSS,” the “Company” and “our” refer to Hughes Satellite Systems Corporation and its subsidiaries. References to “$” are to United States dollars. The following management’s narrative analysis of results of operations should be read in conjunction with the condensed consolidated financial statements and notes to our financial statements included elsewhere in this Quarterly Report on Form 10-Q. This management’s narrative analysis is intended to help provide an understanding of our financial condition, changes in our financial condition and our results of operations. Many of the statements in this management’s narrative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 Looking Statements” in this Quarterly Report on Form 10-Q for further discussion. For a discussion of additional risks, uncertainties and other factors that could impact our results of operations or financial condition, see the caption “Risk Factors” in Part II, Item 1A of this Quarterly Report on Form 10-Q and in Part I, Item 1A of our Annual Report on Form 10-K for the year ended December 31, 2015. Further, such forward-looking statements speak only as of the date of this Quarterly Report on Form 10-Q and we undertake no obligation to update them.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a holding company and a subsidiary of EchoStar Corporation (“EchoStar”). We were formed as a Colorado corporation in March 2011. We are a global provider of satellite service operations, video delivery solutions, broadband satellite technologies and broadband services for home and office customers. We deliver innovative network technologies, managed services, and various communications solutions for enterprise and government customers. We currently operate in two business segments, which are differentiated primarily by their operational focus: Hughes and EchoStar Satellite Services (“ESS”). These segments are consistent with the way decisions regarding the allocation of resources are made, as well as how operating results are reviewed by our chief operating decision maker (“CODM”), who for HSS, is the Company’s Chief Executive Officer.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 for the Six Months Ended June 30, 2016</w:t>
      </w:r>
    </w:p>
    <w:p>
      <w:pPr>
        <w:spacing w:after="0" w:line="229" w:lineRule="exact"/>
        <w:rPr>
          <w:sz w:val="20"/>
          <w:szCs w:val="20"/>
          <w:color w:val="auto"/>
        </w:rPr>
      </w:pPr>
    </w:p>
    <w:p>
      <w:pPr>
        <w:ind w:left="500" w:hanging="16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of $869.8 million</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income of $168.8 million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of $72.0 million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attributable to HSS of $71.6 million</w:t>
      </w:r>
    </w:p>
    <w:p>
      <w:pPr>
        <w:spacing w:after="0" w:line="35" w:lineRule="exact"/>
        <w:rPr>
          <w:rFonts w:ascii="Arial" w:cs="Arial" w:eastAsia="Arial" w:hAnsi="Arial"/>
          <w:sz w:val="18"/>
          <w:szCs w:val="18"/>
          <w:color w:val="auto"/>
        </w:rPr>
      </w:pPr>
    </w:p>
    <w:p>
      <w:pPr>
        <w:ind w:left="500" w:hanging="168"/>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EBITDA of $387.8 million (see reconciliation of this non-GAAP measure on page 42)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June 30, 2016</w:t>
      </w:r>
    </w:p>
    <w:p>
      <w:pPr>
        <w:spacing w:after="0" w:line="229" w:lineRule="exact"/>
        <w:rPr>
          <w:sz w:val="20"/>
          <w:szCs w:val="20"/>
          <w:color w:val="auto"/>
        </w:rPr>
      </w:pP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assets of $4.75 billion</w:t>
      </w:r>
    </w:p>
    <w:p>
      <w:pPr>
        <w:spacing w:after="0" w:line="23" w:lineRule="exact"/>
        <w:rPr>
          <w:rFonts w:ascii="Arial" w:cs="Arial" w:eastAsia="Arial" w:hAnsi="Arial"/>
          <w:sz w:val="18"/>
          <w:szCs w:val="18"/>
          <w:color w:val="auto"/>
        </w:rPr>
      </w:pP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liabilities of $3.04 billion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shareholders’ equity of $1.71 billion</w:t>
      </w:r>
    </w:p>
    <w:p>
      <w:pPr>
        <w:spacing w:after="0" w:line="9" w:lineRule="exact"/>
        <w:rPr>
          <w:rFonts w:ascii="Arial" w:cs="Arial" w:eastAsia="Arial" w:hAnsi="Arial"/>
          <w:sz w:val="18"/>
          <w:szCs w:val="18"/>
          <w:color w:val="auto"/>
        </w:rPr>
      </w:pP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$665.4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Our Hughes segment is a global provider of broadband satellite technologies and broadband services for home and office customers. We deliver innovative network technologies, managed services, and various communications solutions for enterprise and government customers.</w:t>
      </w:r>
    </w:p>
    <w:p>
      <w:pPr>
        <w:spacing w:after="0" w:line="14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continue to focus our efforts on growing our Hughes segment consumer revenue by maximizing utilization of our existing satellites while planning for new satellites to be launched. Our consumer revenue growth depends on our success in adding new subscribers and driving higher average revenue per subscriber across our wholesale and retail channels.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been preparing for the launch of the EchoStar XIX satellite, a next-generation, high throughput geostationary satellite, which will provide significant capacity for continued subscriber growth. In March 2013, a subsidiary of EchoStar entered into a contract for the design and construction of the EchoStar XIX satellite, which is expected to be launched in the fourth quarter of 2016. The EchoStar XIX satellite will employ a multi-spot beam, bent pipe Ka-band architecture and will provide additional capacity for the Hughes broadband services in North America and certain Latin American countries. Capital expenditures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associated with the construction and launch of the EchoStar XIX satellite have been incurred by our parent company, EchoStar, which intends to contribute the satellite to us.</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addition to our broadband service offerings, our Hughes segment also provides managed services, hardware, and satellite services to large enterprise and government customers globally. Examples of such customers include lottery agencies, gas station operators and companies with multi-branch networks that rely on satellite or terrestrial networks for critical communication across wide geographies. Most of our enterprise customers have contracts with us for the services they purchase.</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Hughes segment also designs, provides and installs gateway and terminal equipment to customers for other satellite systems. Developments toward the launch of next-generation satellite systems including low-earth orbit (“LEO”) and geostationary systems could provide additional opportunities to drive the demand for our network equipment and installation services. The growth of our enterprise and equipment businesses relies heavily on global economic conditions and the competitive landscape for pricing relative to competitors and alternative technologies.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continue our efforts to grow our consumer satellite services business outside of the U.S. In April 2014, we entered into a satellite services agreement pursuant to which Eutelsat do Brasil will provide to us, Ka-band capacity into Brazil on the EUTELSAT 65 West A satellite for a 15-year term. That satellite was launched in March 2016 and we began delivering high-speed consumer satellite broadband services in Brazil in July 2016. In September 2015, we entered into satellite services agreements pursuant to which affiliates of Telesat Canada will provide to us, the Ka-band capacity on a satellite to be located at the 63 degree west longitude orbital location for a 15-year term. We expect the satellite to be launched in the second quarter of 2018 and plan to enter into service in additional markets across South America once that capacity is available for commercial use.</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tracking closely the developments in next-generation satellite businesses, and we are seeking to utilize our services, technologies and expertise to find new commercial opportunities for our business. In June 2015, EchoStar made, an equity investment in WorldVu Satellites Limited (“OneWeb”), a global LEO satellite service company and we entered into an agreement with OneWeb to provide certain equipment and services in connection with the ground systems for OneWeb’s LEO satellites. Our Hughes segment also has the right of first refusal to 50% of the OneWeb capacity in the United States, Europe, Brazil and India for offering latency sensitive services to our Hughes segment’s customer base.</w:t>
      </w:r>
    </w:p>
    <w:p>
      <w:pPr>
        <w:spacing w:after="0" w:line="17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of June 30, 2016 and December 31, 2015, our Hughes segment had approximately 1,030,000 and 1,035,000 broadband subscribers, respectively. These broadband subscribers include customers that subscribe to our HughesNet broadband services through retail, wholesale and small/medium enterprise service channels. Gross subscriber additions decreased primarily due to a decrease in additions in both our wholesale and retail channels in the second quarter of 2016 compared to the first quarter of 2016 due to satellite beams servicing certain areas reaching capacity. Our average monthly subscriber churn for the second quarter of 2016 increased as compared to the first quarter of 2016 due to an increase in churn in our wholesale channel. As a result, for the quarter ended June 30, 2016, net subscribers decreased by approximately 8,200 primarily due to a decrease in wholesale subscribers. Subscriber additions and churn include only subscribers through our retail and wholesale channels.</w:t>
      </w:r>
    </w:p>
    <w:p>
      <w:pPr>
        <w:spacing w:after="0" w:line="17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of June 30, 2016 and December 31, 2015, our Hughes segment had approximately $1.51 billion and $1.44 billion, respectively, of contracted revenue backlog. We define Hughes contracted revenue backlog as our expected future revenue under customer contracts that are non-cancelable, excluding agreements with customers in our consumer market.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29"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Our ESS segment is a global provider of satellite service operations and video delivery solutions. We operate our business using our owned and leased in-orbit satellites. We provide satellite services on a full-time and occasional-use basis primarily to DISH Network Corporation and its subsidiaries (“DISH Network”) (our largest customer), Dish Mexico, S. de R.L. de C.V. (“Dish Mexico”) (a joint venture of our parent company, EchoStar), U.S. government service providers, internet service providers, broadcast news organizations, programmers and private enterprise customers.</w:t>
      </w:r>
    </w:p>
    <w:p>
      <w:pPr>
        <w:spacing w:after="0" w:line="15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depend on DISH Network for a significant portion of the revenue for our ESS segment, and we expect that DISH Network will continue to be the primary source of revenue for our ESS segment. Therefore, the results of operations of our ESS segment are linked to long-term changes in DISH Network’s satellite capacity requirements. DISH Network’s capacity requirements have been driven by the addition of new channels and migration of programming to high-definition TV and video on demand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53"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services. The services that we provide to DISH Network are critical to its nationwide delivery of content to its customers across the U.S.</w:t>
      </w:r>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In August 2014, we entered into: (i) a construction contract with Airbus Defence and Space SAS for the construction of the EchoStar 105/SES-11 satellite with C-band, Ku-band and Ka-band payloads; (ii) an agreement with SES Satellite Leasing Limited for the procurement of the related launch services; and</w:t>
      </w:r>
    </w:p>
    <w:p>
      <w:pPr>
        <w:ind w:right="80" w:firstLine="8"/>
        <w:spacing w:after="0" w:line="254"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agreement with SES Americom Inc. (“SES”) pursuant to which we will transfer the title to the C-band and Ka-band payloads to SES Satellite Leasing Limited at launch and transfer the title to the Ku-band payload to SES following in-orbit testing of the satellite. Simultaneously, SES will provide to us satellite service on the entire Ku-band payload on the EchoStar 105/SES-11 satellite for an initial ten-year term, with an option for us to renew the agreement on a year-to-year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Revenue growth in our ESS segment depends largely on our ability to continuously make additional satellite capacity available for sale. Our</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EchoStar 105/SES-11 satellite is currently under construction and will replace the capacity currently leased on the AMC-15 satellite. Once launched, which is expected in the fourth quarter of 2016, and placed into operation, we expect periodic revenue from the satellite to exceed the amount currently generated by the AMC-15 satellite.</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continue to pursue expanding our business offerings by providing value added services such as telemetry, tracking, and control services to third parties, which leverages the ground monitoring networks and personnel currently within our business.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June 30, 2016 and December 31, 2015, our ESS segment had contracted revenue backlog attributable to satellites currently in orbit of approximately $1.23 billion and $1.41 billion,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Business Opportunities</w:t>
      </w:r>
    </w:p>
    <w:p>
      <w:pPr>
        <w:spacing w:after="0" w:line="22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Our industry is evolving with the increase in worldwide demand for broadband internet access for information, entertainment and commerce. In addition to fiber and wireless systems, other technologies such as geostationary high throughput satellites, LEO orbit networks, balloons, and High Altitude Platform Systems will likely play significant roles in enabling global broadband access, networks and services. We intend to use our expertise, technologies, capital, investments, global presence, relationships and other capabilities to continue to provide broadband internet systems, networks and services for information, entertainment and commerce in North America and internationally for consumers, enterprises and governments.</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selectively exploring opportunities to pursue partnerships, joint ventures and strategic acquisition opportunities, domestically and internationally, that we believe may allow us to increase our existing market share, expand into new markets, broaden our portfolio of products and intellectual property, and strengthen our relationships with our customers. We may allocate significant resources for long-term initiatives that may not have a short or medium-term or any positive impact on our revenue, results of operations, or cash flow.</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3"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2016 Compared to the Six Months Ended June 30,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6"/>
          </w:tcPr>
          <w:p>
            <w:pPr>
              <w:ind w:left="80"/>
              <w:spacing w:after="0"/>
              <w:rPr>
                <w:sz w:val="20"/>
                <w:szCs w:val="20"/>
                <w:color w:val="auto"/>
              </w:rPr>
            </w:pPr>
            <w:r>
              <w:rPr>
                <w:rFonts w:ascii="Arial" w:cs="Arial" w:eastAsia="Arial" w:hAnsi="Arial"/>
                <w:sz w:val="18"/>
                <w:szCs w:val="18"/>
                <w:b w:val="1"/>
                <w:bCs w:val="1"/>
                <w:color w:val="auto"/>
                <w:w w:val="94"/>
              </w:rPr>
              <w:t>For the Six Months Ended June 30,</w:t>
            </w:r>
          </w:p>
        </w:tc>
        <w:tc>
          <w:tcPr>
            <w:tcW w:w="220" w:type="dxa"/>
            <w:vAlign w:val="bottom"/>
          </w:tcPr>
          <w:p>
            <w:pPr>
              <w:spacing w:after="0"/>
              <w:rPr>
                <w:sz w:val="20"/>
                <w:szCs w:val="20"/>
                <w:color w:val="auto"/>
              </w:rPr>
            </w:pPr>
          </w:p>
        </w:tc>
        <w:tc>
          <w:tcPr>
            <w:tcW w:w="1540" w:type="dxa"/>
            <w:vAlign w:val="bottom"/>
            <w:gridSpan w:val="2"/>
          </w:tcPr>
          <w:p>
            <w:pPr>
              <w:ind w:left="740"/>
              <w:spacing w:after="0"/>
              <w:rPr>
                <w:sz w:val="20"/>
                <w:szCs w:val="20"/>
                <w:color w:val="auto"/>
              </w:rPr>
            </w:pPr>
            <w:r>
              <w:rPr>
                <w:rFonts w:ascii="Arial" w:cs="Arial" w:eastAsia="Arial" w:hAnsi="Arial"/>
                <w:sz w:val="18"/>
                <w:szCs w:val="18"/>
                <w:b w:val="1"/>
                <w:bCs w:val="1"/>
                <w:color w:val="auto"/>
              </w:rPr>
              <w:t>Variance</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Operations Data (1)</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60" w:type="dxa"/>
            <w:vAlign w:val="bottom"/>
            <w:gridSpan w:val="5"/>
          </w:tcPr>
          <w:p>
            <w:pPr>
              <w:ind w:left="220"/>
              <w:spacing w:after="0"/>
              <w:rPr>
                <w:sz w:val="20"/>
                <w:szCs w:val="20"/>
                <w:color w:val="auto"/>
              </w:rPr>
            </w:pPr>
            <w:r>
              <w:rPr>
                <w:rFonts w:ascii="Arial" w:cs="Arial" w:eastAsia="Arial" w:hAnsi="Arial"/>
                <w:sz w:val="18"/>
                <w:szCs w:val="18"/>
                <w:color w:val="auto"/>
              </w:rPr>
              <w:t>(Dollars in thousands)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Services and other revenue - other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544,986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541,000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3,986</w:t>
            </w:r>
          </w:p>
        </w:tc>
        <w:tc>
          <w:tcPr>
            <w:tcW w:w="5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Services and other revenue - DISH Network</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225,603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262,924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(37,321)</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Equipment revenue - other</w:t>
            </w:r>
          </w:p>
        </w:tc>
        <w:tc>
          <w:tcPr>
            <w:tcW w:w="2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94,385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101,900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(7,515)</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Equipment revenue - DISH Network</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869,844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909,710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(39,866)</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Cost of sales - services and other</w:t>
            </w:r>
          </w:p>
        </w:tc>
        <w:tc>
          <w:tcPr>
            <w:tcW w:w="2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251,377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262,466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(11,089)</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services and other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Cost of sales - equipment</w:t>
            </w:r>
          </w:p>
        </w:tc>
        <w:tc>
          <w:tcPr>
            <w:tcW w:w="2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90,428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93,994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(3,566)</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equipment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140,100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135,568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4,532</w:t>
            </w:r>
          </w:p>
        </w:tc>
        <w:tc>
          <w:tcPr>
            <w:tcW w:w="5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14,494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12,067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2,427</w:t>
            </w:r>
          </w:p>
        </w:tc>
        <w:tc>
          <w:tcPr>
            <w:tcW w:w="5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 of 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204,674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215,639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(10,965)</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701,073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719,734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(18,661)</w:t>
            </w: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168,771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189,976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(21,205)</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3,421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5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(74,090)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14,562</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Loss from partial redemption of debt</w:t>
            </w:r>
          </w:p>
        </w:tc>
        <w:tc>
          <w:tcPr>
            <w:tcW w:w="28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5,044</w:t>
            </w: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Gains (losses) and impairment on marketable investment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securities, net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(6,262)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11,557</w:t>
            </w: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9,493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8,565</w:t>
            </w:r>
          </w:p>
        </w:tc>
        <w:tc>
          <w:tcPr>
            <w:tcW w:w="5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(55,881)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40,893</w:t>
            </w: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7"/>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112,890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93,202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19,688</w:t>
            </w:r>
          </w:p>
        </w:tc>
        <w:tc>
          <w:tcPr>
            <w:tcW w:w="5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(40,861)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(36,353)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7"/>
        </w:trPr>
        <w:tc>
          <w:tcPr>
            <w:tcW w:w="496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72,029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56,849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15,180</w:t>
            </w:r>
          </w:p>
        </w:tc>
        <w:tc>
          <w:tcPr>
            <w:tcW w:w="5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97"/>
        </w:trPr>
        <w:tc>
          <w:tcPr>
            <w:tcW w:w="4960" w:type="dxa"/>
            <w:vAlign w:val="bottom"/>
            <w:tcBorders>
              <w:bottom w:val="single" w:sz="8" w:color="CCEEFF"/>
            </w:tcBorders>
            <w:gridSpan w:val="2"/>
          </w:tcPr>
          <w:p>
            <w:pPr>
              <w:ind w:left="380"/>
              <w:spacing w:after="0"/>
              <w:rPr>
                <w:sz w:val="20"/>
                <w:szCs w:val="20"/>
                <w:color w:val="auto"/>
              </w:rPr>
            </w:pPr>
            <w:r>
              <w:rPr>
                <w:rFonts w:ascii="Arial" w:cs="Arial" w:eastAsia="Arial" w:hAnsi="Arial"/>
                <w:sz w:val="18"/>
                <w:szCs w:val="18"/>
                <w:color w:val="auto"/>
              </w:rPr>
              <w:t>Net income attributable to HSS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71,607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56,052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15,555</w:t>
            </w:r>
          </w:p>
        </w:tc>
        <w:tc>
          <w:tcPr>
            <w:tcW w:w="5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6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Data:</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(2)</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387,811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394,440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40"/>
              <w:spacing w:after="0"/>
              <w:rPr>
                <w:sz w:val="20"/>
                <w:szCs w:val="20"/>
                <w:color w:val="auto"/>
              </w:rPr>
            </w:pPr>
            <w:r>
              <w:rPr>
                <w:rFonts w:ascii="Arial" w:cs="Arial" w:eastAsia="Arial" w:hAnsi="Arial"/>
                <w:sz w:val="18"/>
                <w:szCs w:val="18"/>
                <w:color w:val="auto"/>
              </w:rPr>
              <w:t>Subscribers, end of period</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1,030,000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1,014,000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16,000</w:t>
            </w:r>
          </w:p>
        </w:tc>
        <w:tc>
          <w:tcPr>
            <w:tcW w:w="5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637655"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37655" cy="19748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___________________________</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 Percentage is not meaningful.</w:t>
      </w:r>
    </w:p>
    <w:p>
      <w:pPr>
        <w:spacing w:after="0" w:line="13"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45 and 46 under the heading “Explanation of Key Metrics and Other Items.”</w:t>
      </w:r>
    </w:p>
    <w:p>
      <w:pPr>
        <w:spacing w:after="0" w:line="1" w:lineRule="exact"/>
        <w:rPr>
          <w:rFonts w:ascii="Arial" w:cs="Arial" w:eastAsia="Arial" w:hAnsi="Arial"/>
          <w:sz w:val="14"/>
          <w:szCs w:val="14"/>
          <w:color w:val="auto"/>
        </w:rPr>
      </w:pPr>
    </w:p>
    <w:p>
      <w:pPr>
        <w:ind w:left="260" w:hanging="252"/>
        <w:spacing w:after="0" w:line="255" w:lineRule="auto"/>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GAAP measure in the accompanying financial statements, is included on page 42. For further information on our use of EBITDA see “Explanation of Key Metrics and Other Items” on page 46.</w:t>
      </w:r>
    </w:p>
    <w:p>
      <w:pPr>
        <w:spacing w:after="0" w:line="13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$545.0 million for the six months ended June 30, 2016,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 million, or 0.7%, compared to the same period in 2015.</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Services and other revenue - other from our Hughes segment for the six months ended June 30, 2016 increased by $7.2 million, or 1.4%, to</w:t>
      </w:r>
    </w:p>
    <w:p>
      <w:pPr>
        <w:spacing w:after="0" w:line="35" w:lineRule="exact"/>
        <w:rPr>
          <w:sz w:val="20"/>
          <w:szCs w:val="20"/>
          <w:color w:val="auto"/>
        </w:rPr>
      </w:pPr>
    </w:p>
    <w:p>
      <w:pPr>
        <w:ind w:left="500" w:right="220"/>
        <w:spacing w:after="0" w:line="255" w:lineRule="auto"/>
        <w:rPr>
          <w:sz w:val="20"/>
          <w:szCs w:val="20"/>
          <w:color w:val="auto"/>
        </w:rPr>
      </w:pPr>
      <w:r>
        <w:rPr>
          <w:rFonts w:ascii="Arial" w:cs="Arial" w:eastAsia="Arial" w:hAnsi="Arial"/>
          <w:sz w:val="18"/>
          <w:szCs w:val="18"/>
          <w:color w:val="auto"/>
        </w:rPr>
        <w:t>$516.2 million compared to the same period in 2015. The increase was primarily attributable to an increase of $20.8 million in sales of broadband services to our domestic consumer market, partially offset by a decrease of $11.9 million of broadband services to our international customers, and a decrease of $1.5 million in sales of broadband services to our domestic enterprise market.</w:t>
      </w:r>
    </w:p>
    <w:p>
      <w:pPr>
        <w:sectPr>
          <w:pgSz w:w="11900" w:h="16838" w:orient="portrait"/>
          <w:cols w:equalWidth="0" w:num="1">
            <w:col w:w="11400"/>
          </w:cols>
          <w:pgMar w:left="240" w:top="553" w:right="259" w:bottom="487"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00"/>
          </w:cols>
          <w:pgMar w:left="240" w:top="553" w:right="259" w:bottom="487"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00" w:lineRule="exact"/>
        <w:rPr>
          <w:sz w:val="20"/>
          <w:szCs w:val="20"/>
          <w:color w:val="auto"/>
        </w:rPr>
      </w:pPr>
    </w:p>
    <w:p>
      <w:pPr>
        <w:spacing w:after="0" w:line="272" w:lineRule="exact"/>
        <w:rPr>
          <w:sz w:val="20"/>
          <w:szCs w:val="20"/>
          <w:color w:val="auto"/>
        </w:rPr>
      </w:pPr>
    </w:p>
    <w:p>
      <w:pPr>
        <w:ind w:left="500" w:right="20"/>
        <w:spacing w:after="0" w:line="286" w:lineRule="auto"/>
        <w:rPr>
          <w:sz w:val="20"/>
          <w:szCs w:val="20"/>
          <w:color w:val="auto"/>
        </w:rPr>
      </w:pPr>
      <w:r>
        <w:rPr>
          <w:rFonts w:ascii="Arial" w:cs="Arial" w:eastAsia="Arial" w:hAnsi="Arial"/>
          <w:sz w:val="17"/>
          <w:szCs w:val="17"/>
          <w:color w:val="auto"/>
        </w:rPr>
        <w:t>Services and other revenue - other from our ESS segment for the six months ended June 30, 2016 decreased by $3.2 million, or 9.7%, to $29.9 million compared to the same period in 2015. The decrease was primarily attributable to a decrease in sales of transponder services in 2016 compared to the same period in 2015 due to a decrease in the number of transponders available for use in providing service.</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$225.6 million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 decrease of $37.3 million or 14.2%, compared to the same period in 2015.</w:t>
      </w:r>
    </w:p>
    <w:p>
      <w:pPr>
        <w:spacing w:after="0" w:line="170" w:lineRule="exact"/>
        <w:rPr>
          <w:sz w:val="20"/>
          <w:szCs w:val="20"/>
          <w:color w:val="auto"/>
        </w:rPr>
      </w:pPr>
    </w:p>
    <w:p>
      <w:pPr>
        <w:jc w:val="both"/>
        <w:ind w:left="500" w:right="20"/>
        <w:spacing w:after="0" w:line="264" w:lineRule="auto"/>
        <w:rPr>
          <w:sz w:val="20"/>
          <w:szCs w:val="20"/>
          <w:color w:val="auto"/>
        </w:rPr>
      </w:pPr>
      <w:r>
        <w:rPr>
          <w:rFonts w:ascii="Arial" w:cs="Arial" w:eastAsia="Arial" w:hAnsi="Arial"/>
          <w:sz w:val="18"/>
          <w:szCs w:val="18"/>
          <w:color w:val="auto"/>
        </w:rPr>
        <w:t>Services and other revenue - DISH Network from our Hughes segment for the six months ended June 30, 2016 increased by $4.2 million, or 9.2%, to $50.3 million compared to the same period in 2015. The increase was primarily attributable to an increase in wholesale subscribers receiving services pursuant to our Distribution Agreement with dishNET.</w:t>
      </w:r>
    </w:p>
    <w:p>
      <w:pPr>
        <w:spacing w:after="0" w:line="181" w:lineRule="exact"/>
        <w:rPr>
          <w:sz w:val="20"/>
          <w:szCs w:val="20"/>
          <w:color w:val="auto"/>
        </w:rPr>
      </w:pPr>
    </w:p>
    <w:p>
      <w:pPr>
        <w:ind w:left="500" w:right="120"/>
        <w:spacing w:after="0" w:line="312" w:lineRule="auto"/>
        <w:rPr>
          <w:sz w:val="20"/>
          <w:szCs w:val="20"/>
          <w:color w:val="auto"/>
        </w:rPr>
      </w:pPr>
      <w:r>
        <w:rPr>
          <w:rFonts w:ascii="Arial" w:cs="Arial" w:eastAsia="Arial" w:hAnsi="Arial"/>
          <w:sz w:val="16"/>
          <w:szCs w:val="16"/>
          <w:color w:val="auto"/>
        </w:rPr>
        <w:t>Services and other revenue - DISH Network from our ESS segment for the six months ended June 30, 2016 decreased by $42.3 million, or 19.5%, to $174.6 million compared to the same period in 2015. The decrease was mainly due to a decrease of $41.7 million in revenue as a result of the termination of the satellite services provided to DISH Network from the EchoStar I and EchoStar VIII satellites effective in November 2015.</w:t>
      </w:r>
    </w:p>
    <w:p>
      <w:pPr>
        <w:spacing w:after="0" w:line="14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b w:val="1"/>
          <w:bCs w:val="1"/>
          <w:i w:val="1"/>
          <w:iCs w:val="1"/>
          <w:color w:val="auto"/>
        </w:rPr>
        <w:t xml:space="preserve">Equipment revenue — other. </w:t>
      </w:r>
      <w:r>
        <w:rPr>
          <w:rFonts w:ascii="Arial" w:cs="Arial" w:eastAsia="Arial" w:hAnsi="Arial"/>
          <w:sz w:val="16"/>
          <w:szCs w:val="16"/>
          <w:color w:val="auto"/>
        </w:rPr>
        <w:t>“Equipment revenue — other” totaled $94.4 million for the six months ended June 30, 2016, a decrease of $7.5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7.4%, compared to the same period in 2015. The decrease was mainly due to a decrease of $16.8 million in revenue from our international and telecom systems customers. These decreases were partially offset by an increase of $8.5 million in sales of broadband equipment to our domestic enterprise market.</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Equipment revenue — DISH Network. </w:t>
      </w:r>
      <w:r>
        <w:rPr>
          <w:rFonts w:ascii="Arial" w:cs="Arial" w:eastAsia="Arial" w:hAnsi="Arial"/>
          <w:sz w:val="18"/>
          <w:szCs w:val="18"/>
          <w:color w:val="auto"/>
        </w:rPr>
        <w:t>“Equipment revenue — DISH Network” totaled $4.9 million for the six months ended June 30, 2016,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 million, or 25.3%, compared to the same period in 2015. The increase was primarily due to the increase in the volume of unit sales of broadband equipment to dishNET.</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$251.4 million for the six months ended June 30, 2016, a decrease of $11.1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4.2%, compared to the same period in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Hughes segment for the six months ended June 30, 2016 decreased by $7.5 million, or 3.3%, to</w:t>
      </w:r>
    </w:p>
    <w:p>
      <w:pPr>
        <w:spacing w:after="0" w:line="35" w:lineRule="exact"/>
        <w:rPr>
          <w:sz w:val="20"/>
          <w:szCs w:val="20"/>
          <w:color w:val="auto"/>
        </w:rPr>
      </w:pPr>
    </w:p>
    <w:p>
      <w:pPr>
        <w:ind w:left="660" w:right="460"/>
        <w:spacing w:after="0" w:line="290" w:lineRule="auto"/>
        <w:rPr>
          <w:sz w:val="20"/>
          <w:szCs w:val="20"/>
          <w:color w:val="auto"/>
        </w:rPr>
      </w:pPr>
      <w:r>
        <w:rPr>
          <w:rFonts w:ascii="Arial" w:cs="Arial" w:eastAsia="Arial" w:hAnsi="Arial"/>
          <w:sz w:val="17"/>
          <w:szCs w:val="17"/>
          <w:color w:val="auto"/>
        </w:rPr>
        <w:t>$219.8 million compared to the same period in 2015. The decrease was primarily attributable to a decrease in costs of our broadband services provided to our international customers of $5.3 million and to our domestic consumer and enterprise markets of $1.2 million.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Cost of sales - services and other from our ESS segment for the six months ended June 30, 2016 decreased by $4.3 million, or 11.9%, to</w:t>
      </w:r>
    </w:p>
    <w:p>
      <w:pPr>
        <w:spacing w:after="0" w:line="35"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$31.9 million compared to the same period in 2015. The decrease was primarily due to a decrease in cost of sales of transponder services as a result of a decrease in the number of leased transponders available for use in providing service.</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Cost of sales — equipment. </w:t>
      </w:r>
      <w:r>
        <w:rPr>
          <w:rFonts w:ascii="Arial" w:cs="Arial" w:eastAsia="Arial" w:hAnsi="Arial"/>
          <w:sz w:val="18"/>
          <w:szCs w:val="18"/>
          <w:color w:val="auto"/>
        </w:rPr>
        <w:t>“Cost of sales — equipment” totaled $90.4 million for the six months ended June 30, 2016, a decrease of $3.6 million, or 3.8%,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2015. The decrease was primarily attributable to a decrease of $10.1 million in equipment costs related to the decrease in sales to our international and telecom systems customers. This decrease was partially offset by an increase of $5.9 million in equipment costs related to the increase in sales volume of broadband equipment to DISH Network related to our Distribution Agreement with dishNET and to our domestic consumer and enterprise markets.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totaled $14.5 million for the six months ended June 30, 2016,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$2.4 million or 20.1%, compared to the same period in 2015. The increase was primarily related to an increase in research and development expense of $2.4 million in our Hughes segment. The Company’s research and development activities vary based on the activity level and scope of other engineering and customer related development contracts.</w:t>
      </w:r>
    </w:p>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$204.7 million for the six months ended June 30, 2016,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$11.0 million or 5.1%, compared to the same period in 2015. The decrease was primarily related to certain of our fully amortized other intangible assets in our Hughes segment and the fully depreciated EchoStar IX satellite as of October 2015 in our ESS segment.</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553" w:right="3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00" w:lineRule="exact"/>
        <w:rPr>
          <w:sz w:val="20"/>
          <w:szCs w:val="20"/>
          <w:color w:val="auto"/>
        </w:rPr>
      </w:pPr>
    </w:p>
    <w:p>
      <w:pPr>
        <w:spacing w:after="0" w:line="272"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Interest expense, net of amounts capitalized</w:t>
      </w:r>
      <w:r>
        <w:rPr>
          <w:rFonts w:ascii="Arial" w:cs="Arial" w:eastAsia="Arial" w:hAnsi="Arial"/>
          <w:sz w:val="17"/>
          <w:szCs w:val="17"/>
          <w:color w:val="auto"/>
        </w:rPr>
        <w:t>. “Interest expense, net of amounts capitalized” totaled $74.1 million for the six months ended June 30, 2016,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of $14.6 million or 16.4%, compared to the same period in 2015. The decrease was primarily due to higher capitalized interest of $10.2 million related to the construction of the EchoStar XIX, EchoStar XXI, and EchoStar 105/SES-11 satellites, and payments for satellite services on the EUTELSAT 65 West A and Telesat T19V (“63 West”) satellites, and a decrease in interest expense of $3.2 million relating to the partial redemption of the outstanding principal amount of our 6 1/2% Senior Secured Notes due 2019 (the “2019 Senior Secured Notes”) in the second quarter of 2015.</w:t>
      </w:r>
    </w:p>
    <w:p>
      <w:pPr>
        <w:spacing w:after="0" w:line="17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Loss from partial redemption of debt</w:t>
      </w:r>
      <w:r>
        <w:rPr>
          <w:rFonts w:ascii="Arial" w:cs="Arial" w:eastAsia="Arial" w:hAnsi="Arial"/>
          <w:sz w:val="17"/>
          <w:szCs w:val="17"/>
          <w:color w:val="auto"/>
        </w:rPr>
        <w:t>. “Loss from partial redemption of debt” totaled zero for the six months ended June 30, 2016, a decrease in loss of $5.0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compared to the same period in 2015. The $5.0 million loss related to the partial redemption of the 2019 Senior Secured Notes in the second quarter of 2015 which included a $3.3 million redemption premium and a $1.7 million write off of related unamortized financing costs.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Gains (losses) and impairment on marketable investment securities, net. </w:t>
      </w:r>
      <w:r>
        <w:rPr>
          <w:rFonts w:ascii="Arial" w:cs="Arial" w:eastAsia="Arial" w:hAnsi="Arial"/>
          <w:sz w:val="18"/>
          <w:szCs w:val="18"/>
          <w:color w:val="auto"/>
        </w:rPr>
        <w:t>“Gains (losses) and impairment on marketable investment securities, net” totaled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$5.3 million for the six months ended June 30, 2016, an increase of $11.6 million compared to the same period in 2015. The increase in gains was primarily due to an other than temporary impairment loss of $4.6 million on certain strategic equity securities in our marketable investment securities in the second quarter of 2015, an increase of $3.0 million in realized gains on our securities classified as available-for-sale and an increase of $3.9 million in gains on our trading securities.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totaled $9.5 million in income for the six months ended June 30, 2016, an increase of $8.6 million compared to the same period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2015. The increase was primarily related to $13.5 million for a provision recorded in the first half of 2015 in connection with FCC regulatory fees which was reversed in the first quarter of 2016 and an increase of $2.2 million in foreign exchange gains. The increase was partially offset by a $4.5 million non-recurring reduction of the capital lease obligation for the AMC-15 and AMC-16 satellites recorded in the first quarter of 2015 as a result of anomalies that previously affected the operation of these satellites, a decrease of $2.3 million related to a protective put associated with one of our trading securities and a gain of $1.7 million on the exchange of accounts receivable for certain trading securities in the second quarter of 2015.</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Earnings before interest, taxes, depreciation and amortization (</w:t>
      </w:r>
      <w:r>
        <w:rPr>
          <w:rFonts w:ascii="Arial" w:cs="Arial" w:eastAsia="Arial" w:hAnsi="Arial"/>
          <w:sz w:val="17"/>
          <w:szCs w:val="17"/>
          <w:color w:val="auto"/>
        </w:rPr>
        <w:t>“</w:t>
      </w:r>
      <w:r>
        <w:rPr>
          <w:rFonts w:ascii="Arial" w:cs="Arial" w:eastAsia="Arial" w:hAnsi="Arial"/>
          <w:sz w:val="17"/>
          <w:szCs w:val="17"/>
          <w:b w:val="1"/>
          <w:bCs w:val="1"/>
          <w:i w:val="1"/>
          <w:iCs w:val="1"/>
          <w:color w:val="auto"/>
        </w:rPr>
        <w:t>EBITDA</w:t>
      </w:r>
      <w:r>
        <w:rPr>
          <w:rFonts w:ascii="Arial" w:cs="Arial" w:eastAsia="Arial" w:hAnsi="Arial"/>
          <w:sz w:val="17"/>
          <w:szCs w:val="17"/>
          <w:color w:val="auto"/>
        </w:rPr>
        <w:t>”</w:t>
      </w:r>
      <w:r>
        <w:rPr>
          <w:rFonts w:ascii="Arial" w:cs="Arial" w:eastAsia="Arial" w:hAnsi="Arial"/>
          <w:sz w:val="17"/>
          <w:szCs w:val="17"/>
          <w:b w:val="1"/>
          <w:bCs w:val="1"/>
          <w:i w:val="1"/>
          <w:iCs w:val="1"/>
          <w:color w:val="auto"/>
        </w:rPr>
        <w:t>)</w:t>
      </w:r>
      <w:r>
        <w:rPr>
          <w:rFonts w:ascii="Arial" w:cs="Arial" w:eastAsia="Arial" w:hAnsi="Arial"/>
          <w:sz w:val="17"/>
          <w:szCs w:val="17"/>
          <w:color w:val="auto"/>
        </w:rPr>
        <w:t>. EBITDA was $387.8 million for the six months ended June 30, 2016,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 of $6.6 million or 1.7%, compared to the same period in 2015. The decrease was primarily due to a decrease of $25.2 million in gross margin, which we define as total revenue less total cost of sales, a decrease of $4.5 million as a result of a non-recurring reduction of the capital lease obligation for the AMC-15 and AMC-16 satellites recorded in the first quarter of 2015 as a result of anomalies that previously affected the operation of these satellites and a decrease of $2.3 million related to a protective put associated with one of our trading securities . These decreases were partially offset by $13.5 million attributable to a provision recorded in the first half of 2015 in connection with FCC regulatory fees which was reversed in the first quarter of 2016, a $5.0 million loss related to the partial redemption of the 2019 Senior Secured Notes in the second quarter of 2015, a $4.6 million loss on certain strategic equity securities in our marketable investment securities in the second quarter of 2015, and an increase of $2.2 million in foreign exchange gains. EBITDA is a non-GAAP financial measure and is described under Explanation of Key Metrics and Other Items below. The following table reconciles EBITDA to Net income, the most directly comparable GAAP measure in the accompanying financial statements.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620" w:type="dxa"/>
            <w:vAlign w:val="bottom"/>
            <w:gridSpan w:val="7"/>
          </w:tcPr>
          <w:p>
            <w:pPr>
              <w:ind w:left="40"/>
              <w:spacing w:after="0"/>
              <w:rPr>
                <w:sz w:val="20"/>
                <w:szCs w:val="20"/>
                <w:color w:val="auto"/>
              </w:rPr>
            </w:pPr>
            <w:r>
              <w:rPr>
                <w:rFonts w:ascii="Arial" w:cs="Arial" w:eastAsia="Arial" w:hAnsi="Arial"/>
                <w:sz w:val="18"/>
                <w:szCs w:val="18"/>
                <w:b w:val="1"/>
                <w:bCs w:val="1"/>
                <w:color w:val="auto"/>
                <w:w w:val="95"/>
              </w:rPr>
              <w:t>For the Six Months Ended June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30,</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7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90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7"/>
        </w:trPr>
        <w:tc>
          <w:tcPr>
            <w:tcW w:w="5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ind w:left="18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0"/>
                <w:szCs w:val="20"/>
                <w:color w:val="auto"/>
              </w:rPr>
            </w:pP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72,029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15,180</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26.7</w:t>
            </w:r>
          </w:p>
        </w:tc>
      </w:tr>
      <w:tr>
        <w:trPr>
          <w:trHeight w:val="270"/>
        </w:trPr>
        <w:tc>
          <w:tcPr>
            <w:tcW w:w="5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Interest income and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(70,669)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15,727</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w:t>
            </w: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Less: Income tax provision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(36,353)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(4,508)</w:t>
            </w:r>
          </w:p>
        </w:tc>
        <w:tc>
          <w:tcPr>
            <w:tcW w:w="50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12.4</w:t>
            </w:r>
          </w:p>
        </w:tc>
      </w:tr>
      <w:tr>
        <w:trPr>
          <w:trHeight w:val="27"/>
        </w:trPr>
        <w:tc>
          <w:tcPr>
            <w:tcW w:w="5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(204,674)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10,965</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r>
      <w:tr>
        <w:trPr>
          <w:trHeight w:val="243"/>
        </w:trPr>
        <w:tc>
          <w:tcPr>
            <w:tcW w:w="570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w:t>
            </w:r>
          </w:p>
        </w:tc>
        <w:tc>
          <w:tcPr>
            <w:tcW w:w="5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(47.1)</w:t>
            </w:r>
          </w:p>
        </w:tc>
      </w:tr>
      <w:tr>
        <w:trPr>
          <w:trHeight w:val="27"/>
        </w:trPr>
        <w:tc>
          <w:tcPr>
            <w:tcW w:w="5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EBITDA</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387,811</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394,440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5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Income tax provision</w:t>
      </w:r>
      <w:r>
        <w:rPr>
          <w:rFonts w:ascii="Arial" w:cs="Arial" w:eastAsia="Arial" w:hAnsi="Arial"/>
          <w:sz w:val="18"/>
          <w:szCs w:val="18"/>
          <w:color w:val="auto"/>
        </w:rPr>
        <w:t>. Income tax expense was $40.9 million for the six months ended June 30, 2016, an increase of $4.5 million or 12.4%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2015. Our effective income tax rate was 36.2% for the six months ended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553"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June 30, 2016 compared to 39.0% for the same period in 2015. The variations in our current year effective tax rate from the U.S. federal statutory rate for the six months ended June 30, 2016 were primarily due to the impact of state and local taxes, partially offset by research and experimentation credits. For the six months ended June 30, 2015, the variations in our effective tax rate from the U.S. federal statutory rate were primarily due to the impact of state and local taxes.</w:t>
      </w:r>
    </w:p>
    <w:p>
      <w:pPr>
        <w:spacing w:after="0" w:line="18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b w:val="1"/>
          <w:bCs w:val="1"/>
          <w:i w:val="1"/>
          <w:iCs w:val="1"/>
          <w:color w:val="auto"/>
        </w:rPr>
        <w:t>Net income attributable to HSS</w:t>
      </w:r>
      <w:r>
        <w:rPr>
          <w:rFonts w:ascii="Arial" w:cs="Arial" w:eastAsia="Arial" w:hAnsi="Arial"/>
          <w:sz w:val="17"/>
          <w:szCs w:val="17"/>
          <w:color w:val="auto"/>
        </w:rPr>
        <w:t>. “Net income attributable to HSS” was $71.6 million for the six months ended June 30, 2016, an increase of $15.6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27.8%, compared to the same period in 2015. The increase was primarily due to (i) higher capitalized interest of $10.2 million related to the construction of the EchoStar XIX, EchoStar XXI, EchoStar XXIII, and EchoStar 105/SES-11 satellites, and payments for satellite services on the EUTELSAT 65 West A and 63 West satellites, (ii) an increase of $11.6 million in the gains (losses) and impairment on marketable investments, net, (iii) $13.5 million for a provision recorded in the first half of 2015 in connection with FCC regulatory fees which was reversed in the first quarter of 2016, (iv) a $5.0 million loss related to the partial redemption of the 2019 Senior Secured Notes in the second quarter of 2015, (v) $4.5 million non-recurring reduction of the capital lease obligation for the AMC-15 and AMC-16 satellites recorded in the first quarter of 2015 and (vii) a decrease in interest expense of $3.2 million relating to the partial redemption of the outstanding principal amount of the 2019 Senior Secured Notes in the second quarter of 2015. The increase was partially offset by a decrease of $25.2 million in gross margin, an increase in income tax expense of $4.5 million and a decrease of $2.3 million related to a protective put associated with one of our trading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 and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2016 Compared to the Six Months Ended June 30,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EchoStar</w:t>
            </w:r>
          </w:p>
        </w:tc>
        <w:tc>
          <w:tcPr>
            <w:tcW w:w="28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rPr>
              <w:t>All</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Satellite</w:t>
            </w:r>
          </w:p>
        </w:tc>
        <w:tc>
          <w:tcPr>
            <w:tcW w:w="28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Other and</w:t>
            </w:r>
          </w:p>
        </w:tc>
        <w:tc>
          <w:tcPr>
            <w:tcW w:w="22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r>
      <w:tr>
        <w:trPr>
          <w:trHeight w:val="234"/>
        </w:trPr>
        <w:tc>
          <w:tcPr>
            <w:tcW w:w="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Hughes</w:t>
            </w:r>
          </w:p>
        </w:tc>
        <w:tc>
          <w:tcPr>
            <w:tcW w:w="340" w:type="dxa"/>
            <w:vAlign w:val="bottom"/>
          </w:tcPr>
          <w:p>
            <w:pPr>
              <w:spacing w:after="0"/>
              <w:rPr>
                <w:sz w:val="20"/>
                <w:szCs w:val="20"/>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Services</w:t>
            </w:r>
          </w:p>
        </w:tc>
        <w:tc>
          <w:tcPr>
            <w:tcW w:w="280" w:type="dxa"/>
            <w:vAlign w:val="bottom"/>
          </w:tcPr>
          <w:p>
            <w:pPr>
              <w:spacing w:after="0"/>
              <w:rPr>
                <w:sz w:val="20"/>
                <w:szCs w:val="20"/>
                <w:color w:val="auto"/>
              </w:rPr>
            </w:pPr>
          </w:p>
        </w:tc>
        <w:tc>
          <w:tcPr>
            <w:tcW w:w="136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Eliminations</w:t>
            </w:r>
          </w:p>
        </w:tc>
        <w:tc>
          <w:tcPr>
            <w:tcW w:w="22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80" w:type="dxa"/>
            <w:vAlign w:val="bottom"/>
            <w:gridSpan w:val="3"/>
          </w:tcPr>
          <w:p>
            <w:pPr>
              <w:jc w:val="right"/>
              <w:ind w:right="97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3"/>
        </w:trPr>
        <w:tc>
          <w:tcPr>
            <w:tcW w:w="43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For the Six Months Ended June 30, 2016</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20" w:type="dxa"/>
            <w:vAlign w:val="bottom"/>
            <w:tcBorders>
              <w:top w:val="single" w:sz="8" w:color="auto"/>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665,575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204,439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869,844</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185,559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220,591</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205,847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172,012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9,952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387,811</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03"/>
        </w:trPr>
        <w:tc>
          <w:tcPr>
            <w:tcW w:w="43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For the Six Months Ended June 30, 2015</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20" w:type="dxa"/>
            <w:vAlign w:val="bottom"/>
            <w:tcBorders>
              <w:top w:val="single" w:sz="8" w:color="auto"/>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660,465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249,987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909,710</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135,054</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52,251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187,305</w:t>
            </w:r>
          </w:p>
        </w:tc>
      </w:tr>
      <w:tr>
        <w:trPr>
          <w:trHeight w:val="243"/>
        </w:trPr>
        <w:tc>
          <w:tcPr>
            <w:tcW w:w="4320" w:type="dxa"/>
            <w:vAlign w:val="bottom"/>
            <w:gridSpan w:val="3"/>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194,687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209,977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(10,224)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394,440</w:t>
            </w:r>
          </w:p>
        </w:tc>
      </w:tr>
      <w:tr>
        <w:trPr>
          <w:trHeight w:val="459"/>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Hughes Segment</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4"/>
          </w:tcPr>
          <w:p>
            <w:pPr>
              <w:ind w:left="400"/>
              <w:spacing w:after="0"/>
              <w:rPr>
                <w:sz w:val="20"/>
                <w:szCs w:val="20"/>
                <w:color w:val="auto"/>
              </w:rPr>
            </w:pPr>
            <w:r>
              <w:rPr>
                <w:rFonts w:ascii="Arial" w:cs="Arial" w:eastAsia="Arial" w:hAnsi="Arial"/>
                <w:sz w:val="18"/>
                <w:szCs w:val="18"/>
                <w:b w:val="1"/>
                <w:bCs w:val="1"/>
                <w:color w:val="auto"/>
              </w:rPr>
              <w:t>For the Six Months</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4"/>
          </w:tcPr>
          <w:p>
            <w:pPr>
              <w:ind w:left="540"/>
              <w:spacing w:after="0"/>
              <w:rPr>
                <w:sz w:val="20"/>
                <w:szCs w:val="20"/>
                <w:color w:val="auto"/>
              </w:rPr>
            </w:pPr>
            <w:r>
              <w:rPr>
                <w:rFonts w:ascii="Arial" w:cs="Arial" w:eastAsia="Arial" w:hAnsi="Arial"/>
                <w:sz w:val="18"/>
                <w:szCs w:val="18"/>
                <w:b w:val="1"/>
                <w:bCs w:val="1"/>
                <w:color w:val="auto"/>
              </w:rPr>
              <w:t>Ended June 30,</w:t>
            </w:r>
          </w:p>
        </w:tc>
        <w:tc>
          <w:tcPr>
            <w:tcW w:w="240" w:type="dxa"/>
            <w:vAlign w:val="bottom"/>
          </w:tcPr>
          <w:p>
            <w:pPr>
              <w:spacing w:after="0"/>
              <w:rPr>
                <w:sz w:val="20"/>
                <w:szCs w:val="20"/>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ind w:left="20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ind w:right="850"/>
              <w:spacing w:after="0"/>
              <w:rPr>
                <w:sz w:val="20"/>
                <w:szCs w:val="20"/>
                <w:color w:val="auto"/>
              </w:rPr>
            </w:pPr>
            <w:r>
              <w:rPr>
                <w:rFonts w:ascii="Arial" w:cs="Arial" w:eastAsia="Arial" w:hAnsi="Arial"/>
                <w:sz w:val="18"/>
                <w:szCs w:val="18"/>
                <w:b w:val="1"/>
                <w:bCs w:val="1"/>
                <w:color w:val="auto"/>
              </w:rPr>
              <w:t>Amount</w:t>
            </w:r>
          </w:p>
        </w:tc>
        <w:tc>
          <w:tcPr>
            <w:tcW w:w="92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7"/>
        </w:trPr>
        <w:tc>
          <w:tcPr>
            <w:tcW w:w="3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00" w:type="dxa"/>
            <w:vAlign w:val="bottom"/>
            <w:gridSpan w:val="4"/>
          </w:tcPr>
          <w:p>
            <w:pPr>
              <w:jc w:val="right"/>
              <w:ind w:right="1090"/>
              <w:spacing w:after="0"/>
              <w:rPr>
                <w:sz w:val="20"/>
                <w:szCs w:val="20"/>
                <w:color w:val="auto"/>
              </w:rPr>
            </w:pPr>
            <w:r>
              <w:rPr>
                <w:rFonts w:ascii="Arial" w:cs="Arial" w:eastAsia="Arial" w:hAnsi="Arial"/>
                <w:sz w:val="18"/>
                <w:szCs w:val="18"/>
                <w:color w:val="auto"/>
              </w:rPr>
              <w:t>(Dollars in thousands)</w:t>
            </w:r>
          </w:p>
        </w:tc>
        <w:tc>
          <w:tcPr>
            <w:tcW w:w="9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665,575</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5,110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ind w:left="380"/>
              <w:spacing w:after="0"/>
              <w:rPr>
                <w:sz w:val="20"/>
                <w:szCs w:val="20"/>
                <w:color w:val="auto"/>
              </w:rPr>
            </w:pPr>
            <w:r>
              <w:rPr>
                <w:rFonts w:ascii="Arial" w:cs="Arial" w:eastAsia="Arial" w:hAnsi="Arial"/>
                <w:sz w:val="18"/>
                <w:szCs w:val="18"/>
                <w:color w:val="auto"/>
              </w:rPr>
              <w:t>185,559</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135,054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50,505</w:t>
            </w:r>
          </w:p>
        </w:tc>
        <w:tc>
          <w:tcPr>
            <w:tcW w:w="92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3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205,847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194,687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11,160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3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Hughes segment total revenue for the six months ended June 30, 2016 increased by $5.1 million, or 0.8%, compared to the same period in 2015. The increase was primarily due to an increase of $25.3 million in revenue related to sales of broadband services to our consumer markets and dishNET and an increase of $8.5 million in revenue related to sales of broadband equipment to our domestic enterprise market. These increases were partially offset by a decrease in revenue of broadband equipment and services to our international customers of $17.9 million, and a decrease of $10.8 million in revenue related to our telecom systems customers.</w:t>
      </w:r>
    </w:p>
    <w:p>
      <w:pPr>
        <w:sectPr>
          <w:pgSz w:w="11900" w:h="16838" w:orient="portrait"/>
          <w:cols w:equalWidth="0" w:num="1">
            <w:col w:w="11400"/>
          </w:cols>
          <w:pgMar w:left="240" w:top="553" w:right="2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553" w:right="2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Hughes segment capital expenditures for the six months ended June 30, 2016 increased by $50.5 million, or 37.4%, compared to the same period in 2015, primarily as a result of an increase in expenditures on the 63 West and EUTELSAT 65 West A satellites, and satellite ground infrastructures related to the EchoStar XIX and EchoStar XXI satellites.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Hughes segment EBITDA for the six months ended June 30, 2016 was $205.8 million, an increase of $11.2 million, or 5.7%, compared to the same period in 2015. The increase was primarily attributable to a $16.1 million increase in gross margin and an increase of $3.9 million in gains on our trading securities, partially offset by an increase of $4.9 million in selling, general and administrative expenses and an increase of $2.4 million in research and development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EchoStar Satellite Services Segment</w:t>
      </w:r>
    </w:p>
    <w:p>
      <w:pPr>
        <w:spacing w:after="0" w:line="200" w:lineRule="exact"/>
        <w:rPr>
          <w:sz w:val="20"/>
          <w:szCs w:val="20"/>
          <w:color w:val="auto"/>
        </w:rPr>
      </w:pPr>
    </w:p>
    <w:p>
      <w:pPr>
        <w:spacing w:after="0" w:line="24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For the Six Months</w:t>
            </w: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3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Ended June 30,</w:t>
            </w:r>
          </w:p>
        </w:tc>
        <w:tc>
          <w:tcPr>
            <w:tcW w:w="240" w:type="dxa"/>
            <w:vAlign w:val="bottom"/>
          </w:tcPr>
          <w:p>
            <w:pPr>
              <w:spacing w:after="0"/>
              <w:rPr>
                <w:sz w:val="20"/>
                <w:szCs w:val="20"/>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8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910"/>
              <w:spacing w:after="0"/>
              <w:rPr>
                <w:sz w:val="20"/>
                <w:szCs w:val="20"/>
                <w:color w:val="auto"/>
              </w:rPr>
            </w:pPr>
            <w:r>
              <w:rPr>
                <w:rFonts w:ascii="Arial" w:cs="Arial" w:eastAsia="Arial" w:hAnsi="Arial"/>
                <w:sz w:val="18"/>
                <w:szCs w:val="18"/>
                <w:b w:val="1"/>
                <w:bCs w:val="1"/>
                <w:color w:val="auto"/>
              </w:rPr>
              <w:t>Amount</w:t>
            </w:r>
          </w:p>
        </w:tc>
        <w:tc>
          <w:tcPr>
            <w:tcW w:w="9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r>
      <w:tr>
        <w:trPr>
          <w:trHeight w:val="27"/>
        </w:trPr>
        <w:tc>
          <w:tcPr>
            <w:tcW w:w="3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60" w:type="dxa"/>
            <w:vAlign w:val="bottom"/>
            <w:gridSpan w:val="4"/>
          </w:tcPr>
          <w:p>
            <w:pPr>
              <w:jc w:val="right"/>
              <w:ind w:right="1090"/>
              <w:spacing w:after="0"/>
              <w:rPr>
                <w:sz w:val="20"/>
                <w:szCs w:val="20"/>
                <w:color w:val="auto"/>
              </w:rPr>
            </w:pPr>
            <w:r>
              <w:rPr>
                <w:rFonts w:ascii="Arial" w:cs="Arial" w:eastAsia="Arial" w:hAnsi="Arial"/>
                <w:sz w:val="18"/>
                <w:szCs w:val="18"/>
                <w:color w:val="auto"/>
              </w:rPr>
              <w:t>(Dollars in thousands)</w:t>
            </w:r>
          </w:p>
        </w:tc>
        <w:tc>
          <w:tcPr>
            <w:tcW w:w="98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204,439</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249,987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(45,548)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35,032</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52,251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570"/>
              <w:spacing w:after="0"/>
              <w:rPr>
                <w:sz w:val="20"/>
                <w:szCs w:val="20"/>
                <w:color w:val="auto"/>
              </w:rPr>
            </w:pPr>
            <w:r>
              <w:rPr>
                <w:rFonts w:ascii="Arial" w:cs="Arial" w:eastAsia="Arial" w:hAnsi="Arial"/>
                <w:sz w:val="18"/>
                <w:szCs w:val="18"/>
                <w:color w:val="auto"/>
              </w:rPr>
              <w:t>(17,219)</w:t>
            </w: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3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172,012</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209,977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(37,965)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3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ESS segment total revenue for the six months ended June 30, 2016 decreased by $45.5 million, or 18.2%, compared to the same period in 2015, primarily due to a decrease of $41.7 million in revenue as a result of the termination of the satellite services provided to DISH Network from the EchoStar I and EchoStar VIII satellites effective in November 2015 and a decrease of $3.2 million primarily attributable to a decrease in sales of transponder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ESS segment capital expenditures for the six months ended June 30, 2016 decreased by $17.2 million, or 33.0%, compared to the same period in 2015, primarily related to a decrease in expenditures on the EchoStar 105/SES-11 satellite.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ESS segment EBITDA for the six months ended June 30, 2016 was $172.0 million, a decrease of $38.0 million, or 18.1%, compared to the same period in 2015. The decrease in EBITDA for our ESS segment was primarily due to a decrease of $41.3 million in gross margin primarily driven by the decrease in service revenue as a result of the termination of the satellite services provided to DISH Network from the EchoStar I and EchoStar VIII satellites effective in November 2015 and a $4.5 million non-recurring reduction of the capital lease obligation for the AMC-15 and AMC-16 satellites recorded in the first quarter of 2015 as a result of prior anomalies affecting these satellites. The decrease in EBITDA was partially offset by a $7.5 million increase due to a provision recorded in the first half of 2015 in connection with FCC regulatory fees which was reversed in the first quarter of 2016.</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553"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Services and other revenue — other</w:t>
      </w:r>
      <w:r>
        <w:rPr>
          <w:rFonts w:ascii="Arial" w:cs="Arial" w:eastAsia="Arial" w:hAnsi="Arial"/>
          <w:sz w:val="17"/>
          <w:szCs w:val="17"/>
          <w:color w:val="auto"/>
        </w:rPr>
        <w:t>. “Services and other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primarily includes the sales of enterprise and consumer broadband services,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well as maintenance and other contracted services. “Services and other revenue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other” also includes revenue associated with satellite and transponder services, satellite uplinking/downlinking and other services provided to customers other than DISH Network.</w:t>
      </w:r>
    </w:p>
    <w:p>
      <w:pPr>
        <w:spacing w:after="0" w:line="16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primarily includes revenue associated with satellite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transponder services, satellite uplinking/downlinking, signal processing, conditional access management, telemetry, tracking and control, professional services, facilities rental revenue and other services provided to DISH Network. “Services and other revenue — DISH Network” also includes subscriber wholesale service fees for the Hughes service sold to dishNET.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Equipment revenue — other</w:t>
      </w:r>
      <w:r>
        <w:rPr>
          <w:rFonts w:ascii="Arial" w:cs="Arial" w:eastAsia="Arial" w:hAnsi="Arial"/>
          <w:sz w:val="18"/>
          <w:szCs w:val="18"/>
          <w:color w:val="auto"/>
        </w:rPr>
        <w:t>. “Equipment revenue — other”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Equipment revenue — DISH Network</w:t>
      </w:r>
      <w:r>
        <w:rPr>
          <w:rFonts w:ascii="Arial" w:cs="Arial" w:eastAsia="Arial" w:hAnsi="Arial"/>
          <w:sz w:val="18"/>
          <w:szCs w:val="18"/>
          <w:color w:val="auto"/>
        </w:rPr>
        <w:t>. “Equipment revenue — DISH Network” primarily includes sales of satellite broadband equipment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related to the Hughes service, to DISH Network.</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Cost of sales — services and other</w:t>
      </w:r>
      <w:r>
        <w:rPr>
          <w:rFonts w:ascii="Arial" w:cs="Arial" w:eastAsia="Arial" w:hAnsi="Arial"/>
          <w:sz w:val="16"/>
          <w:szCs w:val="16"/>
          <w:color w:val="auto"/>
        </w:rPr>
        <w:t>. “Cost of sales — services and other” primarily includes the cost of broadband services provided to our enterprise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customers, and to DISH Network, as well as the cost of providing maintenance and other contracted services. “Cost of sales — services and other” also includes the costs associated with satellite and transponder services, satellite uplinking/downlinking, signal processing, conditional access management, telemetry, tracking and control, professional services, facilities rental costs, and other services provided to our customers, including DISH Network.</w:t>
      </w:r>
    </w:p>
    <w:p>
      <w:pPr>
        <w:spacing w:after="0" w:line="15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consumer markets.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 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EchoStar, DISH Network and other third parties.</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 development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to support future growth and provide new technology and innovation to our customers.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 including premium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and discount accretion on debt securities.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 with our debt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lease obligations (net of capitalized interest), and amortization of debt issuance costs.</w:t>
      </w:r>
    </w:p>
    <w:p>
      <w:pPr>
        <w:spacing w:after="0" w:line="170"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b w:val="1"/>
          <w:bCs w:val="1"/>
          <w:i w:val="1"/>
          <w:iCs w:val="1"/>
          <w:color w:val="auto"/>
        </w:rPr>
        <w:t>Loss from partial redemption of debt</w:t>
      </w:r>
      <w:r>
        <w:rPr>
          <w:rFonts w:ascii="Arial" w:cs="Arial" w:eastAsia="Arial" w:hAnsi="Arial"/>
          <w:sz w:val="18"/>
          <w:szCs w:val="18"/>
          <w:color w:val="auto"/>
        </w:rPr>
        <w:t>. “Loss from partial redemption of debt” primarily includes the loss from the partial redemption of the 2019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Secured Notes representing the redemption premium that the Company paid to the holders of its 2019 Senior Secured Notes and the write-off of related unamortized debt issuance costs.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Gains (losses) and impairment on marketable investment securities, net. </w:t>
      </w:r>
      <w:r>
        <w:rPr>
          <w:rFonts w:ascii="Arial" w:cs="Arial" w:eastAsia="Arial" w:hAnsi="Arial"/>
          <w:sz w:val="18"/>
          <w:szCs w:val="18"/>
          <w:color w:val="auto"/>
        </w:rPr>
        <w:t>“Gains (losses) and impairment on marketable investment securities, net”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gains, net of any losses, on the sale or exchange of investments and other-than-temporary impairment on certain of our marketable investment securities.</w:t>
      </w:r>
    </w:p>
    <w:p>
      <w:pPr>
        <w:spacing w:after="0" w:line="181"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 equity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of unconsolidated affiliate, and other non-operating income or expense items that are not appropriately classified elsewhere in our condensed consolidated statements of operations and comprehensive income (loss).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53"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2. MANAGEMENT’S NARRATIVE ANALYSIS OF RESULTS OF OPERATIONS - Continued</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Earnings before interest, taxes, depreciation and amortization (“EBITDA”). </w:t>
      </w:r>
      <w:r>
        <w:rPr>
          <w:rFonts w:ascii="Arial" w:cs="Arial" w:eastAsia="Arial" w:hAnsi="Arial"/>
          <w:sz w:val="18"/>
          <w:szCs w:val="18"/>
          <w:color w:val="auto"/>
        </w:rPr>
        <w:t>EBITDA is defined as “Net income” excluding “Interest expense,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capitalized,” “Interest income,” “Income tax provision,” and “Depreciation and amortization.” EBITDA is not a measure determined in accordance with GAAP. This non-GAAP measure is reconciled to “Net income” in our discussion of “Results of Operations” above. EBITDA should not be considered in isolation or as a substitute for operating income, net income or any other measure determined in accordance with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Management also believes that EBITDA is useful to investors because it is frequently used by securities analysts, investors, and other interested parties to evaluate the performance of companies in our industry.</w:t>
      </w:r>
    </w:p>
    <w:p>
      <w:pPr>
        <w:spacing w:after="0" w:line="19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 segment’s HughesNet broadband services, through retail, wholesale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small/medium enterprise service channels.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3"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our disclosure controls and procedures (as defined in Rule 15d-15(e) under the Securities Exchange Act of 1934, as amended)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 reports is recorded, processed, summarized and reported within the time periods specified in the SEC rules and forms, and is accumulated and communicated to our management, including our Chief Executive Officer and Chief Financial Officer,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15d-15(f) under the Securities Exchange Act of 1934, as amended) that occurred during the second quarter of 2016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tab/>
        <w:t>LEGAL PROCEEDINGS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legal proceedings, see Part I, Item 1. Financial Statements — Note 12 “Commitments and Contingencies — Litigation” in this Form 10-Q.</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Item 1A, “Risk Factors,” of our Form 10-K for the year ended December 31, 2015 includes a detailed discussion of our risk factors. Except as provided below, for the six months ended June 30, 2016, there were no material changes in our risk factors as previously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 AFFECTING OUR BUSINESS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failure to adequately anticipate the need for satellite capacity or the inability to obtain satellite capacity for our Hughes segment could harm our results of operations.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Hughes segment has made substantial contractual commitments for satellite capacity based on our existing customer contracts and backlog. If our existing customer contracts were to be terminated prior to their respective expiration dates, we may be committed to maintaining excess satellite capacity for which we will have insufficient revenue to cover our costs, which would have a negative impact on our margins and results of operations. Alternatively, we may not have sufficient satellite capacity to meet demand. We have satellite capacity commitments, generally for two to five year terms, with third parties to cover different geographical areas or support different applications and features; therefore, we may not be able to quickly or easily adjust our capacity to changes in demand. We generally only purchase satellite capacity based on existing contracts and bookings. Therefore, capacity for certain types of coverage in the future may not be readily available to us, and we may not be able to satisfy certain needs of our customers, which could result in a loss of possible new business and could negatively impact the margins for those services. At present, until the launch and operation of additional satellites, there is limited availability of capacity on the frequencies we use in North America, including within our own fleet of satellites. Our ability to provide additional capacity for subscriber growth in our North American consumer market could also be adversely affected by regulations in the U.S. recently adopted by the FCC. The FCC has enabled the use of a portion of the frequency bands, including without limitation, the Ka-band, where we operate our broadband gateway earth stations, for 5G mobile terrestrial services. In addition, the FSS industry has seen consolidation in the past decade, and today, the main FSS providers in North America and a number of smaller regional providers own and operate the current satellites that are available for our capacity needs. The failure of any of these FSS providers to replace existing satellite assets at the end of their useful lives or a downturn in their industry as a whole could reduce or interrupt the satellite capacity available to us. If we are not able to renew our capacity leases at economically viable rates, or if capacity is not available due to problems experienced by these FSS providers, our business and results of operations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generate cash to meet our debt service needs or fund our operations.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June 30, 2016, our total debt and capital lease obligations (including current portion), including the debt of our subsidiaries, outstanding was approximately $2.2 billion and, on a pro forma basis after giving effect to the issuance of the 2026 Notes on July 27, 2016, we would have approximately $3.7 billion in total debt outstanding. Our ability to make payments on or to refinance our indebtedness and to fund our operations will depend on our ability to generate cash in the future, which is subject in part to general economic, financial, competitive, legislative, regulatory and other factors that are beyond our control. We may need to raise additional debt in order to fund ongoing operations or to capitalize on business opportunities. We may not be able to generate sufficient cash flow from operations and future borrowings may not be available in amounts sufficient to enable us to service our indebtedness or to fund our operations or other liquidity needs. If we are unable to generate sufficient cash, we may be forced to take actions such as revising or delaying our strategic plans, reducing or delaying capital expenditures, selling assets, restructuring or refinancing our debt or seeking additional equity capital. We may not be able to implement any of these actions on satisfactory terms, or at all. The indentures governing the 2019 Senior Secured Notes, the 2021 Senior Unsecured Notes and the 2026 Notes limit our ability to dispose of assets and use the proceeds from such dispositions. Therefore, we may not be able to consummate those dispositions on satisfactory terms, or at all, or to use those proceeds in a manner we may otherwise prefer.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conditions in the financial markets could make it difficult for us to access capital markets at acceptable terms or at all. Instability or other conditions in the equity markets could make it difficult for us to raise equity financing without incurring substantial dilution to our existing shareholders. In addition, sustained or increased economic weaknesses or pressures or new economic conditions may limit our ability to generate sufficient internal cash to fund investments, capital expenditures, acquisitions,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other strategic transactions. We cannot predict with any certainty whether or not we will be impacted by economic conditions. As a result, these conditions make it difficult for us to accurately forecast and plan future business activities because we may not have access to funding sources necessary for us to pursue organic and strategic business development opportunities.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indentures restrict our business in many ways.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indentures governing the 2019 Senior Secured Notes, the 2021 Senior Unsecured Notes, and the 2026 Notes contain various covenants, subject to certain exceptions, that limit our ability and/or our restricted subsidiaries’ ability to, among other things:</w:t>
      </w:r>
    </w:p>
    <w:p>
      <w:pPr>
        <w:spacing w:after="0" w:line="170" w:lineRule="exact"/>
        <w:rPr>
          <w:sz w:val="20"/>
          <w:szCs w:val="20"/>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 or repurchase our capital stock;</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 or enter into sale and leaseback transactions;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and sell assets; and</w:t>
      </w:r>
    </w:p>
    <w:p>
      <w:pPr>
        <w:spacing w:after="0" w:line="90"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allow to exist certain restrictions on the ability of certain of our subsidiaries to pay dividends, make distributions, make other payments, or transfer assets to us or our subsidiaries.</w:t>
      </w:r>
    </w:p>
    <w:p>
      <w:pPr>
        <w:spacing w:after="0" w:line="25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Failure to comply with these and certain other financial covenants, if not cured or waived, may result in an event of default under the indentures, which could have a material adverse effect on our business, financial condition, results of operations or prospects. If an event of default occurs and is continuing under the respective indenture, the trustee under that indenture or the requisite holders of the notes under that indenture may declare all such notes to be immediately due and payable and, in the case of the indentures governing any of our secured notes, could proceed against the collateral that secures the applicable secured notes. We and certain of our subsidiaries have pledged a significant portion of our assets as collateral to secure the 2019 Senior Secured Notes and the 2026 Senior Secured Notes. If we do not have enough cash to service our debt or fund other liquidity needs, we may be required to take actions such as requesting a waiver from the holders of the notes, reducing or delaying capital expenditures, selling assets, restructuring or refinancing all or part of the existing debt, or seeking additional equity capital. We cannot assure you that any of these remedies can be implemented on commercially reasonable terms or at all, which could result in the trustee declaring the notes to be immediately due and payable and/or foreclosing on the collateral.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relating to the referendum of the United Kingdom’s membership of the European Union.</w:t>
      </w:r>
    </w:p>
    <w:p>
      <w:pPr>
        <w:spacing w:after="0" w:line="225"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In June 2016, the United Kingdom (the “U.K.”) held a referendum in which voters approved an exit from the EU, commonly referred to as the “Brexit.” As a result of the referendum, it is expected that the U.K. government will begin negotiating the terms of the U.K.’s future relationship with the EU. Although it is unknown what those terms will be, it is possible that there will be greater restrictions on imports and exports between the U.K. and EU countries.</w:t>
      </w:r>
    </w:p>
    <w:p>
      <w:pPr>
        <w:ind w:right="60"/>
        <w:spacing w:after="0" w:line="255" w:lineRule="auto"/>
        <w:rPr>
          <w:sz w:val="20"/>
          <w:szCs w:val="20"/>
          <w:color w:val="auto"/>
        </w:rPr>
      </w:pPr>
      <w:r>
        <w:rPr>
          <w:rFonts w:ascii="Arial" w:cs="Arial" w:eastAsia="Arial" w:hAnsi="Arial"/>
          <w:sz w:val="18"/>
          <w:szCs w:val="18"/>
          <w:color w:val="auto"/>
        </w:rPr>
        <w:t>Additionally, with the U.K. no longer being a part of the EU, we anticipate that there may be certain regulatory changes that may impact the regulatory regime under which we operate in both the U.K. and the EU. These and other changes, implications and consequences of the Brexit may adversely affect our business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risks of adverse government regulation.</w:t>
      </w:r>
    </w:p>
    <w:p>
      <w:pPr>
        <w:spacing w:after="0" w:line="22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business is subject to varying degrees of regulation in the U.S. by the FCC, and other federal, state and local entities, and in foreign countries by similar entities and internationally by the International Telecommunications Union. These regulations are subject to the administrative and political process and do change, for political and other reasons, from time to time. For example, the FCC recently adopted an order in its “Spectrum Frontiers” proceeding under which a portion of the Ka-band, in which we operate our broadband gateway earth stations, has been enabled for 5G mobile terrestrial services. Moreover, a substantial number of foreign countries in which we have, or may in the future make, an investment, regulate, in varying degrees, the ownership of satellites and other telecommunication facilities/networks and foreign investment in telecommunications companies. Violations of laws or regulations may result in various sanctions including fines, loss of authorizations and the denial of applications for new authorizations or for the renewal of existing authorizations. Further material changes in law and regulatory requirements may also occur, and there can be no assurance that our business and the business of our subsidiaries and affiliates will not be adversely affected by future legislation, new regulation or deregulation.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color w:val="auto"/>
        </w:rPr>
        <w:t>The failure to obtain or comply with the authorizations and regulations governing our operations could have a material adverse effect on our ability to generate revenue and our overall competitive position and could result in our suffering serious harm to our reputation.</w:t>
      </w:r>
    </w:p>
    <w:p>
      <w:pPr>
        <w:spacing w:after="0" w:line="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tab/>
        <w:t>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tab/>
        <w:t>EXHIBITS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700" w:type="dxa"/>
            <w:vAlign w:val="bottom"/>
          </w:tcPr>
          <w:p>
            <w:pPr>
              <w:ind w:left="4500"/>
              <w:spacing w:after="0"/>
              <w:rPr>
                <w:sz w:val="20"/>
                <w:szCs w:val="20"/>
                <w:color w:val="auto"/>
              </w:rPr>
            </w:pPr>
            <w:r>
              <w:rPr>
                <w:rFonts w:ascii="Arial" w:cs="Arial" w:eastAsia="Arial" w:hAnsi="Arial"/>
                <w:sz w:val="14"/>
                <w:szCs w:val="14"/>
                <w:b w:val="1"/>
                <w:bCs w:val="1"/>
                <w:color w:val="auto"/>
              </w:rPr>
              <w:t>Description</w:t>
            </w:r>
          </w:p>
        </w:tc>
      </w:tr>
      <w:tr>
        <w:trPr>
          <w:trHeight w:val="525"/>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4.12*</w:t>
            </w:r>
          </w:p>
        </w:tc>
        <w:tc>
          <w:tcPr>
            <w:tcW w:w="460" w:type="dxa"/>
            <w:vAlign w:val="bottom"/>
          </w:tcPr>
          <w:p>
            <w:pPr>
              <w:spacing w:after="0"/>
              <w:rPr>
                <w:sz w:val="24"/>
                <w:szCs w:val="24"/>
                <w:color w:val="auto"/>
              </w:rPr>
            </w:pPr>
          </w:p>
        </w:tc>
        <w:tc>
          <w:tcPr>
            <w:tcW w:w="9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Indenture, relating to the Secured Notes, dated as of July 27, 2016, among Hughes Satellite Systems Corporation, the guarantors</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9"/>
              </w:rPr>
              <w:t>party thereto, U.S. Bank National Association, as trustee, and Wells Fargo Bank, National Association, as collateral agent</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4"/>
              </w:rPr>
              <w:t>(incorporated by reference to Exhibit 4.1 to Hughes Satellite Systems Corporation’s Current Report on Form 8-K filed on July 27,</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2016, Commission File No. 333-179121).</w:t>
            </w: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4.13*</w:t>
            </w:r>
          </w:p>
        </w:tc>
        <w:tc>
          <w:tcPr>
            <w:tcW w:w="460" w:type="dxa"/>
            <w:vAlign w:val="bottom"/>
          </w:tcPr>
          <w:p>
            <w:pPr>
              <w:spacing w:after="0"/>
              <w:rPr>
                <w:sz w:val="22"/>
                <w:szCs w:val="22"/>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1"/>
              </w:rPr>
              <w:t>Indenture, relating to the Unsecured Notes, dated as of July 27, 2016, among Hughes Satellite Systems Corporation, the guarantors</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3"/>
              </w:rPr>
              <w:t>party thereto and U.S. Bank National Association, as trustee (incorporated by reference to Exhibit 4.2 to Hughes Satellite Systems</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Corporation’s Current Report on Form 8-K filed on July 27, 2016, Commission File No. 333-179121).</w:t>
            </w: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4.14*</w:t>
            </w:r>
          </w:p>
        </w:tc>
        <w:tc>
          <w:tcPr>
            <w:tcW w:w="460" w:type="dxa"/>
            <w:vAlign w:val="bottom"/>
          </w:tcPr>
          <w:p>
            <w:pPr>
              <w:spacing w:after="0"/>
              <w:rPr>
                <w:sz w:val="22"/>
                <w:szCs w:val="22"/>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0"/>
              </w:rPr>
              <w:t>Registration Rights Agreement, dated as of July 27, 2016, among Hughes Satellite Systems Corporation, the guarantors party thereto</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5"/>
              </w:rPr>
              <w:t>and Deutsche Bank Securities Inc. (incorporated by reference to Exhibit 4.3 to Hughes Satellite Systems Corporation’s Current</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Report on Form 8-K filed on July 27, 2016, Commission File No. 333-179121).</w:t>
            </w:r>
          </w:p>
        </w:tc>
      </w:tr>
      <w:tr>
        <w:trPr>
          <w:trHeight w:val="256"/>
        </w:trPr>
        <w:tc>
          <w:tcPr>
            <w:tcW w:w="1260" w:type="dxa"/>
            <w:vAlign w:val="bottom"/>
          </w:tcPr>
          <w:p>
            <w:pPr>
              <w:jc w:val="center"/>
              <w:spacing w:after="0"/>
              <w:rPr>
                <w:sz w:val="20"/>
                <w:szCs w:val="20"/>
                <w:color w:val="auto"/>
              </w:rPr>
            </w:pPr>
            <w:r>
              <w:rPr>
                <w:rFonts w:ascii="Arial" w:cs="Arial" w:eastAsia="Arial" w:hAnsi="Arial"/>
                <w:sz w:val="18"/>
                <w:szCs w:val="18"/>
                <w:color w:val="auto"/>
                <w:w w:val="95"/>
              </w:rPr>
              <w:t>4.15*</w:t>
            </w:r>
          </w:p>
        </w:tc>
        <w:tc>
          <w:tcPr>
            <w:tcW w:w="460" w:type="dxa"/>
            <w:vAlign w:val="bottom"/>
          </w:tcPr>
          <w:p>
            <w:pPr>
              <w:spacing w:after="0"/>
              <w:rPr>
                <w:sz w:val="22"/>
                <w:szCs w:val="22"/>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2"/>
              </w:rPr>
              <w:t>Additional Secured Party Joinder, dated as of July 27, 2016, among U.S. Bank National Association, as trustee, Wells Fargo Bank,</w:t>
            </w:r>
          </w:p>
        </w:tc>
      </w:tr>
      <w:tr>
        <w:trPr>
          <w:trHeight w:val="216"/>
        </w:trPr>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5"/>
              </w:rPr>
              <w:t>National Association, as collateral agent and Hughes Satellite Systems Corporation (incorporated by reference to Exhibit 4.4 to</w:t>
            </w:r>
          </w:p>
        </w:tc>
      </w:tr>
      <w:tr>
        <w:trPr>
          <w:trHeight w:val="230"/>
        </w:trPr>
        <w:tc>
          <w:tcPr>
            <w:tcW w:w="1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w w:val="95"/>
              </w:rPr>
              <w:t>Hughes Satellite Systems Corporation’s Current Report on Form 8-K filed on July 27, 2016, Commission File No. 333-179121).</w:t>
            </w: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4.16*</w:t>
            </w:r>
          </w:p>
        </w:tc>
        <w:tc>
          <w:tcPr>
            <w:tcW w:w="46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Form of 5.250% Senior Secured Note due 2026 (included as part of Exhibit 4.12)</w:t>
            </w:r>
          </w:p>
        </w:tc>
      </w:tr>
      <w:tr>
        <w:trPr>
          <w:trHeight w:val="27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4.17*</w:t>
            </w:r>
          </w:p>
        </w:tc>
        <w:tc>
          <w:tcPr>
            <w:tcW w:w="460" w:type="dxa"/>
            <w:vAlign w:val="bottom"/>
          </w:tcPr>
          <w:p>
            <w:pPr>
              <w:spacing w:after="0"/>
              <w:rPr>
                <w:sz w:val="23"/>
                <w:szCs w:val="23"/>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Form of 6.625% Senior Unsecured Note due 2026 (included as part of Exhibit 4.13)</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31.1(H)</w:t>
            </w:r>
          </w:p>
        </w:tc>
        <w:tc>
          <w:tcPr>
            <w:tcW w:w="9700" w:type="dxa"/>
            <w:vAlign w:val="bottom"/>
          </w:tcPr>
          <w:p>
            <w:pPr>
              <w:ind w:left="40"/>
              <w:spacing w:after="0"/>
              <w:rPr>
                <w:sz w:val="20"/>
                <w:szCs w:val="20"/>
                <w:color w:val="auto"/>
              </w:rPr>
            </w:pPr>
            <w:r>
              <w:rPr>
                <w:rFonts w:ascii="Arial" w:cs="Arial" w:eastAsia="Arial" w:hAnsi="Arial"/>
                <w:sz w:val="18"/>
                <w:szCs w:val="18"/>
                <w:color w:val="auto"/>
              </w:rPr>
              <w:t>Section 302 Certification of Chief Executive Officer.</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31.2(H)</w:t>
            </w:r>
          </w:p>
        </w:tc>
        <w:tc>
          <w:tcPr>
            <w:tcW w:w="9700" w:type="dxa"/>
            <w:vAlign w:val="bottom"/>
          </w:tcPr>
          <w:p>
            <w:pPr>
              <w:ind w:left="40"/>
              <w:spacing w:after="0"/>
              <w:rPr>
                <w:sz w:val="20"/>
                <w:szCs w:val="20"/>
                <w:color w:val="auto"/>
              </w:rPr>
            </w:pPr>
            <w:r>
              <w:rPr>
                <w:rFonts w:ascii="Arial" w:cs="Arial" w:eastAsia="Arial" w:hAnsi="Arial"/>
                <w:sz w:val="18"/>
                <w:szCs w:val="18"/>
                <w:color w:val="auto"/>
              </w:rPr>
              <w:t>Section 302 Certification of Chief Financial Officer.</w:t>
            </w:r>
          </w:p>
        </w:tc>
      </w:tr>
      <w:tr>
        <w:trPr>
          <w:trHeight w:val="270"/>
        </w:trPr>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96"/>
              </w:rPr>
              <w:t>32.1(I)</w:t>
            </w:r>
          </w:p>
        </w:tc>
        <w:tc>
          <w:tcPr>
            <w:tcW w:w="9700" w:type="dxa"/>
            <w:vAlign w:val="bottom"/>
          </w:tcPr>
          <w:p>
            <w:pPr>
              <w:ind w:left="40"/>
              <w:spacing w:after="0"/>
              <w:rPr>
                <w:sz w:val="20"/>
                <w:szCs w:val="20"/>
                <w:color w:val="auto"/>
              </w:rPr>
            </w:pPr>
            <w:r>
              <w:rPr>
                <w:rFonts w:ascii="Arial" w:cs="Arial" w:eastAsia="Arial" w:hAnsi="Arial"/>
                <w:sz w:val="18"/>
                <w:szCs w:val="18"/>
                <w:color w:val="auto"/>
              </w:rPr>
              <w:t>Section 906 Certifications of Chief Executive Officer and Chief Financial Officer.</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99.1(H)</w:t>
            </w:r>
          </w:p>
        </w:tc>
        <w:tc>
          <w:tcPr>
            <w:tcW w:w="9700" w:type="dxa"/>
            <w:vAlign w:val="bottom"/>
          </w:tcPr>
          <w:p>
            <w:pPr>
              <w:ind w:left="40"/>
              <w:spacing w:after="0"/>
              <w:rPr>
                <w:sz w:val="20"/>
                <w:szCs w:val="20"/>
                <w:color w:val="auto"/>
              </w:rPr>
            </w:pPr>
            <w:r>
              <w:rPr>
                <w:rFonts w:ascii="Arial" w:cs="Arial" w:eastAsia="Arial" w:hAnsi="Arial"/>
                <w:sz w:val="18"/>
                <w:szCs w:val="18"/>
                <w:color w:val="auto"/>
              </w:rPr>
              <w:t>Unaudited Condensed Attributed Financial Information and Notes for Hughes Retail Group.</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101.INS</w:t>
            </w:r>
          </w:p>
        </w:tc>
        <w:tc>
          <w:tcPr>
            <w:tcW w:w="970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70"/>
        </w:trPr>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101.SCH</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7"/>
              </w:rPr>
              <w:t>101.CAL</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270"/>
        </w:trPr>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92"/>
              </w:rPr>
              <w:t>101.DEF</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98"/>
              </w:rPr>
              <w:t>101.LAB</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17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101.PRE</w:t>
            </w: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17"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HUGHES SATELLITE SYSTEMS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tabs>
          <w:tab w:leader="none" w:pos="5160" w:val="left"/>
          <w:tab w:leader="none" w:pos="586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T. Dugan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President and Director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160" w:val="left"/>
          <w:tab w:leader="none" w:pos="5860" w:val="left"/>
        </w:tabs>
        <w:rPr>
          <w:sz w:val="20"/>
          <w:szCs w:val="20"/>
          <w:color w:val="auto"/>
        </w:rPr>
      </w:pPr>
      <w:r>
        <w:rPr>
          <w:rFonts w:ascii="Arial" w:cs="Arial" w:eastAsia="Arial" w:hAnsi="Arial"/>
          <w:sz w:val="18"/>
          <w:szCs w:val="18"/>
          <w:color w:val="auto"/>
        </w:rPr>
        <w:t>Date: August 9,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J. Rayner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125" w:right="4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Hughes Satellite Systems Corporation;</w:t>
      </w:r>
    </w:p>
    <w:p>
      <w:pPr>
        <w:spacing w:after="0" w:line="26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408"/>
        <w:spacing w:after="0" w:line="264"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408"/>
        <w:spacing w:after="0" w:line="264"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408"/>
        <w:spacing w:after="0" w:line="342" w:lineRule="auto"/>
        <w:tabs>
          <w:tab w:leader="none" w:pos="7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408"/>
        <w:spacing w:after="0" w:line="264"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408"/>
        <w:spacing w:after="0" w:line="277"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408"/>
        <w:spacing w:after="0" w:line="277" w:lineRule="auto"/>
        <w:tabs>
          <w:tab w:leader="none" w:pos="7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9, 2016</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Pr>
          <w:p>
            <w:pPr>
              <w:ind w:left="700"/>
              <w:spacing w:after="0"/>
              <w:rPr>
                <w:sz w:val="20"/>
                <w:szCs w:val="20"/>
                <w:color w:val="auto"/>
              </w:rPr>
            </w:pPr>
            <w:r>
              <w:rPr>
                <w:rFonts w:ascii="Arial" w:cs="Arial" w:eastAsia="Arial" w:hAnsi="Arial"/>
                <w:sz w:val="18"/>
                <w:szCs w:val="18"/>
                <w:i w:val="1"/>
                <w:iCs w:val="1"/>
                <w:color w:val="auto"/>
              </w:rPr>
              <w:t>/s/ 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490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Hughes Satellite Systems Corporation;</w:t>
      </w:r>
    </w:p>
    <w:p>
      <w:pPr>
        <w:spacing w:after="0" w:line="26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9, 2016</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7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and 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for the quarter ended June 30, 2016 on Form 10-Q (the “Quarterly Report”) of Hughes Satellite Systems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87" w:lineRule="exact"/>
        <w:rPr>
          <w:sz w:val="20"/>
          <w:szCs w:val="20"/>
          <w:color w:val="auto"/>
        </w:rPr>
      </w:pPr>
    </w:p>
    <w:p>
      <w:pPr>
        <w:ind w:left="900" w:right="380" w:hanging="487"/>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70" w:lineRule="exact"/>
        <w:rPr>
          <w:rFonts w:ascii="Arial" w:cs="Arial" w:eastAsia="Arial" w:hAnsi="Arial"/>
          <w:sz w:val="18"/>
          <w:szCs w:val="18"/>
          <w:color w:val="auto"/>
        </w:rPr>
      </w:pPr>
    </w:p>
    <w:p>
      <w:pPr>
        <w:ind w:left="900" w:right="180" w:hanging="487"/>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9,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700"/>
              <w:spacing w:after="0"/>
              <w:rPr>
                <w:sz w:val="20"/>
                <w:szCs w:val="20"/>
                <w:color w:val="auto"/>
              </w:rPr>
            </w:pPr>
            <w:r>
              <w:rPr>
                <w:rFonts w:ascii="Arial" w:cs="Arial" w:eastAsia="Arial" w:hAnsi="Arial"/>
                <w:sz w:val="18"/>
                <w:szCs w:val="18"/>
                <w:i w:val="1"/>
                <w:iCs w:val="1"/>
                <w:color w:val="auto"/>
              </w:rPr>
              <w:t>/s/ Michael T. Dugan</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Michael T. Dugan</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810"/>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Pr>
          <w:p>
            <w:pPr>
              <w:ind w:left="700"/>
              <w:spacing w:after="0"/>
              <w:rPr>
                <w:sz w:val="20"/>
                <w:szCs w:val="20"/>
                <w:color w:val="auto"/>
              </w:rPr>
            </w:pPr>
            <w:r>
              <w:rPr>
                <w:rFonts w:ascii="Arial" w:cs="Arial" w:eastAsia="Arial" w:hAnsi="Arial"/>
                <w:sz w:val="18"/>
                <w:szCs w:val="18"/>
                <w:i w:val="1"/>
                <w:iCs w:val="1"/>
                <w:color w:val="auto"/>
              </w:rPr>
              <w:t>/s/ David J. Rayner</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 w:type="dxa"/>
            <w:vAlign w:val="bottom"/>
            <w:vMerge w:val="continue"/>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and Treasurer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Attributed Financial Information for Hughes Retail Group</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March 1, 2014, EchoStar Corporation (“EchoStar”) issued shares of its newly authorized Hughes Retail Preferred Tracking Stock (the “EchoStar Tracking Stock”) and Hughes Satellite Systems Corporation (“HSS”), a subsidiary of EchoStar, also issued shares of its newly authorized Hughes Retail Preferred Tracking Stock (the “HSS Tracking Stock” and together with the EchoStar Tracking Stock, the “Tracking Stock”) to certain subsidiaries of DISH Network Corporation.</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Tracking Stock is intended to reflect the separate performance of the Hughes Retail Group, which is comprised primarily of our business of providing satellite broadband internet services to residential retail subscribers,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HSSC Group is comprised of all existing and future businesses of Hughes Satellite Systems Corporation and its subsidiaries, excluding the Hughes Retail Group.</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Holders of the Tracking Stock are holders of capital stock of the issuer (EchoStar or HSS) and are subject to risks associated with an investment in the issuer and all of its businesses, assets and liabilities. The issuance of the Tracking Stock does not affect the rights of our creditors or the creditors of our subsidiaries.</w:t>
      </w:r>
    </w:p>
    <w:p>
      <w:pPr>
        <w:spacing w:after="0" w:line="181"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Notwithstanding the following attribution of assets, liabilities, revenue, expenses and cash flows to the Hughes Retail Group and the HSSC Group, our tracking stock structure does not affect the ownership of or the legal title to our assets or responsibility for our liabilities.</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accompanying condensed attributed financial information as of, and for, the three and six months ended June 30, 2016 and 2015 and the year ended December 31, 2015 are unaudited. The Company’s management is solely responsible for this financial information and believes that it has been prepared in conformity with accounting principles generally accepted in the United States.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tables present our consolidated assets and liabilities as of June 30, 2016 and December 31, 2015 and our consolidated revenue, expenses and cash flows for the three and six months ended June 30, 2016 and 2015. The tables further present our assets, liabilities, revenue, expenses and cash flows that are attributed to the Hughes Retail Group as if that business and its assets had been attributed to that group at the beginning of each period. The financial information in this Exhibit should be read in conjunction with our unaudited condensed consolidated financial statements for the period ended June 30, 2016 included in our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320"/>
        <w:spacing w:after="0"/>
        <w:rPr>
          <w:sz w:val="20"/>
          <w:szCs w:val="20"/>
          <w:color w:val="auto"/>
        </w:rPr>
      </w:pPr>
      <w:r>
        <w:rPr>
          <w:rFonts w:ascii="Arial" w:cs="Arial" w:eastAsia="Arial" w:hAnsi="Arial"/>
          <w:sz w:val="13"/>
          <w:szCs w:val="13"/>
          <w:b w:val="1"/>
          <w:bCs w:val="1"/>
          <w:color w:val="auto"/>
        </w:rPr>
        <w:t>Assets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Assets: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Cash, cash equivalents and marketable investment securities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Trade 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Trade accounts receivable - DISH Network,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Prepaids and deposits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Inter-group advances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Assets:</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Restricted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Regulatory authorizations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Other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Economic interest in Hughes Retail Group</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Investments in unconsolidated entities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Deferred tax asset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Other noncurrent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noncurrent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 assets</w:t>
      </w:r>
    </w:p>
    <w:p>
      <w:pPr>
        <w:spacing w:after="0" w:line="117" w:lineRule="exact"/>
        <w:rPr>
          <w:sz w:val="20"/>
          <w:szCs w:val="20"/>
          <w:color w:val="auto"/>
        </w:rPr>
      </w:pPr>
    </w:p>
    <w:p>
      <w:pPr>
        <w:ind w:right="620" w:firstLine="946"/>
        <w:spacing w:after="0" w:line="436" w:lineRule="auto"/>
        <w:rPr>
          <w:sz w:val="20"/>
          <w:szCs w:val="20"/>
          <w:color w:val="auto"/>
        </w:rPr>
      </w:pPr>
      <w:r>
        <w:rPr>
          <w:rFonts w:ascii="Arial" w:cs="Arial" w:eastAsia="Arial" w:hAnsi="Arial"/>
          <w:sz w:val="13"/>
          <w:szCs w:val="13"/>
          <w:b w:val="1"/>
          <w:bCs w:val="1"/>
          <w:color w:val="auto"/>
        </w:rPr>
        <w:t>Liabilities and Stockholders’ Equity Current Liabilities: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Trade accounts payable</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Trade accounts payable - DISH Network</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Current portion of long-term debt and capital lease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Deferred revenue and prepayments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Accrued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Advances from affiliates, net</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Inter-group advances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Accrued expenses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Long-term debt and capital lease obligations, net of unamortized debt issuance costs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Deferred tax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Advances from affiliates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Other noncurrent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Total noncurrent liabilities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Shareholders’ Equity:</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Equity/Attributed net assets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Noncontrolling interests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shareholders’ equity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Total liabilities and equity/attributed net assets</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7"/>
          <w:szCs w:val="17"/>
          <w:b w:val="1"/>
          <w:bCs w:val="1"/>
          <w:color w:val="auto"/>
        </w:rPr>
        <w:t>CONDENSED ATTRIBUTED BALANCE SHEETS</w:t>
      </w:r>
    </w:p>
    <w:p>
      <w:pPr>
        <w:spacing w:after="0" w:line="3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(Unaudited)</w:t>
      </w:r>
    </w:p>
    <w:p>
      <w:pPr>
        <w:spacing w:after="0" w:line="139"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3"/>
              </w:rPr>
              <w:t>Attributed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93"/>
              </w:rPr>
              <w:t>Attributed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4"/>
        </w:trPr>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3"/>
                <w:szCs w:val="13"/>
                <w:b w:val="1"/>
                <w:bCs w:val="1"/>
                <w:color w:val="auto"/>
                <w:w w:val="86"/>
              </w:rPr>
              <w:t>As of June 30, 2016</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7"/>
              </w:rPr>
              <w:t>As of December 31, 2015</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44"/>
        </w:trPr>
        <w:tc>
          <w:tcPr>
            <w:tcW w:w="140" w:type="dxa"/>
            <w:vAlign w:val="bottom"/>
          </w:tcPr>
          <w:p>
            <w:pPr>
              <w:spacing w:after="0"/>
              <w:rPr>
                <w:sz w:val="12"/>
                <w:szCs w:val="12"/>
                <w:color w:val="auto"/>
              </w:rPr>
            </w:pPr>
          </w:p>
        </w:tc>
        <w:tc>
          <w:tcPr>
            <w:tcW w:w="8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Hughes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3"/>
              </w:rPr>
              <w:t>Hughes</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Retail</w:t>
            </w:r>
          </w:p>
        </w:tc>
        <w:tc>
          <w:tcPr>
            <w:tcW w:w="140" w:type="dxa"/>
            <w:vAlign w:val="bottom"/>
          </w:tcPr>
          <w:p>
            <w:pPr>
              <w:spacing w:after="0"/>
              <w:rPr>
                <w:sz w:val="11"/>
                <w:szCs w:val="11"/>
                <w:color w:val="auto"/>
              </w:rPr>
            </w:pPr>
          </w:p>
        </w:tc>
        <w:tc>
          <w:tcPr>
            <w:tcW w:w="8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HSSC</w:t>
            </w:r>
          </w:p>
        </w:tc>
        <w:tc>
          <w:tcPr>
            <w:tcW w:w="9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Inter-Group</w:t>
            </w:r>
          </w:p>
        </w:tc>
        <w:tc>
          <w:tcPr>
            <w:tcW w:w="80" w:type="dxa"/>
            <w:vAlign w:val="bottom"/>
          </w:tcPr>
          <w:p>
            <w:pPr>
              <w:spacing w:after="0"/>
              <w:rPr>
                <w:sz w:val="11"/>
                <w:szCs w:val="11"/>
                <w:color w:val="auto"/>
              </w:rPr>
            </w:pPr>
          </w:p>
        </w:tc>
        <w:tc>
          <w:tcPr>
            <w:tcW w:w="92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HSS</w:t>
            </w: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Retail</w:t>
            </w:r>
          </w:p>
        </w:tc>
        <w:tc>
          <w:tcPr>
            <w:tcW w:w="140" w:type="dxa"/>
            <w:vAlign w:val="bottom"/>
          </w:tcPr>
          <w:p>
            <w:pPr>
              <w:spacing w:after="0"/>
              <w:rPr>
                <w:sz w:val="11"/>
                <w:szCs w:val="11"/>
                <w:color w:val="auto"/>
              </w:rPr>
            </w:pPr>
          </w:p>
        </w:tc>
        <w:tc>
          <w:tcPr>
            <w:tcW w:w="7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HSSC</w:t>
            </w:r>
          </w:p>
        </w:tc>
        <w:tc>
          <w:tcPr>
            <w:tcW w:w="8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Inter-Group</w:t>
            </w:r>
          </w:p>
        </w:tc>
        <w:tc>
          <w:tcPr>
            <w:tcW w:w="100" w:type="dxa"/>
            <w:vAlign w:val="bottom"/>
          </w:tcPr>
          <w:p>
            <w:pPr>
              <w:spacing w:after="0"/>
              <w:rPr>
                <w:sz w:val="11"/>
                <w:szCs w:val="11"/>
                <w:color w:val="auto"/>
              </w:rPr>
            </w:pPr>
          </w:p>
        </w:tc>
        <w:tc>
          <w:tcPr>
            <w:tcW w:w="80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HSS</w:t>
            </w:r>
          </w:p>
        </w:tc>
      </w:tr>
      <w:tr>
        <w:trPr>
          <w:trHeight w:val="174"/>
        </w:trPr>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7"/>
              </w:rPr>
              <w:t>Group</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5"/>
              </w:rPr>
              <w:t>Eliminations</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4"/>
              </w:rPr>
              <w:t>Consolidated</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Group</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Eliminations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2"/>
              </w:rPr>
              <w:t>Consolidated</w:t>
            </w:r>
          </w:p>
        </w:tc>
      </w:tr>
      <w:tr>
        <w:trPr>
          <w:trHeight w:val="781"/>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665,423</w:t>
            </w:r>
          </w:p>
        </w:tc>
        <w:tc>
          <w:tcPr>
            <w:tcW w:w="12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665,423</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636,333</w:t>
            </w:r>
          </w:p>
        </w:tc>
        <w:tc>
          <w:tcPr>
            <w:tcW w:w="12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636,333</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27,230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106,149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133,379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27,094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112,416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139,510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27,270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27,270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21,258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21,258</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6,419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50,328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(1,506)</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55,241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6,699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43,665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(1,567)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48,797</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35,109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36,176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37,232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38,222</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9,773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(9,773)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30,398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(30,398)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90,624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90,624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60,660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60,660</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34,716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984,676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(11,279)</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1,008,113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34,783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941,962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(31,965)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944,780</w:t>
            </w:r>
          </w:p>
        </w:tc>
      </w:tr>
      <w:tr>
        <w:trPr>
          <w:trHeight w:val="511"/>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21,724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21,724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20,140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20,140</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153,974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2,185,924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(17,338)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2,322,560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162,497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2,118,727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(15,822)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2,265,402</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471,658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471,658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471,658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471,658</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260,000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244,173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504,173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244,173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504,173</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23,445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74,632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98,077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31,488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83,932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115,420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317,828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(317,828)</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320,412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(320,412)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37,220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37,220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41,481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41,481</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28,253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4,640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(28,253)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4,640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19,685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3,816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(19,685)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3,816</w:t>
            </w:r>
          </w:p>
        </w:tc>
      </w:tr>
      <w:tr>
        <w:trPr>
          <w:trHeight w:val="280"/>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33,030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252,451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(623)</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284,858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35,277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169,799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(667)</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204,409</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498,702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3,610,250</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(364,042)</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3,744,910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508,947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3,474,138</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(356,586)</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3,626,499</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533,418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4,594,926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(375,321)</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4,753,023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543,730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4,416,100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(388,551)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4,571,279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54"/>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16,901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87,483</w:t>
            </w:r>
          </w:p>
        </w:tc>
        <w:tc>
          <w:tcPr>
            <w:tcW w:w="12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104,384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12,023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85,644</w:t>
            </w:r>
          </w:p>
        </w:tc>
        <w:tc>
          <w:tcPr>
            <w:tcW w:w="12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97,667</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31,410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31,410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30,284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30,284</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26,729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36,732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63,461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26,636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30,857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57,493</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20,330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20,330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18,932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18,932</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4,524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4,524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3,773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3,773</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9,773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(9,773)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30,398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(30,398)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33,833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40,723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74,556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26,399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78,412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104,811</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87,236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221,202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(9,773)</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298,665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95,456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247,902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(30,398)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312,960</w:t>
            </w:r>
          </w:p>
        </w:tc>
      </w:tr>
      <w:tr>
        <w:trPr>
          <w:trHeight w:val="565"/>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2,142,361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2,142,361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2,154,988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2,154,988</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520,557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(28,253)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492,304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472,035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(19,685)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452,350</w:t>
            </w:r>
          </w:p>
        </w:tc>
      </w:tr>
      <w:tr>
        <w:trPr>
          <w:trHeight w:val="270"/>
        </w:trPr>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30,361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30,361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25,283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25,283</w:t>
            </w:r>
          </w:p>
        </w:tc>
      </w:tr>
      <w:tr>
        <w:trPr>
          <w:trHeight w:val="280"/>
        </w:trPr>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4,079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79,042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83,121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2,576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81,482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84,058</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4,079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2,772,321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(28,253)</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2,748,147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2,576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2,733,788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(19,685)</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2,716,679</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91,315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2,993,523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(38,026)</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3,046,812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98,032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2,981,690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(50,083)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3,029,639</w:t>
            </w:r>
          </w:p>
        </w:tc>
      </w:tr>
      <w:tr>
        <w:trPr>
          <w:trHeight w:val="511"/>
        </w:trPr>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442,103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1,589,857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(337,295)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1,694,665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445,698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w w:val="89"/>
              </w:rPr>
              <w:t>1,423,100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96"/>
              </w:rPr>
              <w:t>(338,468)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1,530,330</w:t>
            </w:r>
          </w:p>
        </w:tc>
      </w:tr>
      <w:tr>
        <w:trPr>
          <w:trHeight w:val="280"/>
        </w:trPr>
        <w:tc>
          <w:tcPr>
            <w:tcW w:w="14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11,546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11,546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11,310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11,310</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442,103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1,601,403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(337,295)</w:t>
            </w:r>
          </w:p>
        </w:tc>
        <w:tc>
          <w:tcPr>
            <w:tcW w:w="12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1,706,211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445,698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1,434,410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(338,468)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1,541,640</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533,418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4,594,926</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(375,321)</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4,753,023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543,730</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9"/>
              </w:rPr>
              <w:t>4,416,100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(388,551)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4,571,279</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-7769225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-7426325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-7082790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-6739890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-6396990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-6054090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-5710555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-5367655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-5024755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-4681855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-4338955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-3995420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-3652520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-3309620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-2966720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-2623820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-2280285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-1937385</wp:posOffset>
            </wp:positionV>
            <wp:extent cx="72466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-1560195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-1217295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-874395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-530860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-187960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160"/>
            <w:col w:w="7720"/>
          </w:cols>
          <w:pgMar w:left="280" w:top="364" w:right="239" w:bottom="1440" w:gutter="0" w:footer="0" w:header="0"/>
        </w:sectPr>
      </w:pP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80" w:top="364" w:right="2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CONDENSED ATTRIBUTED STATEMENTS OF OPERATIONS</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5"/>
              </w:rPr>
              <w:t>Attributed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5"/>
              </w:rPr>
              <w:t>Attributed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gridSpan w:val="11"/>
          </w:tcPr>
          <w:p>
            <w:pPr>
              <w:jc w:val="center"/>
              <w:ind w:right="180"/>
              <w:spacing w:after="0"/>
              <w:rPr>
                <w:sz w:val="20"/>
                <w:szCs w:val="20"/>
                <w:color w:val="auto"/>
              </w:rPr>
            </w:pPr>
            <w:r>
              <w:rPr>
                <w:rFonts w:ascii="Arial" w:cs="Arial" w:eastAsia="Arial" w:hAnsi="Arial"/>
                <w:sz w:val="18"/>
                <w:szCs w:val="18"/>
                <w:b w:val="1"/>
                <w:bCs w:val="1"/>
                <w:color w:val="auto"/>
                <w:w w:val="91"/>
              </w:rPr>
              <w:t>For the Three Months Ended June 30, 2016</w:t>
            </w:r>
          </w:p>
        </w:tc>
        <w:tc>
          <w:tcPr>
            <w:tcW w:w="120" w:type="dxa"/>
            <w:vAlign w:val="bottom"/>
          </w:tcPr>
          <w:p>
            <w:pPr>
              <w:spacing w:after="0"/>
              <w:rPr>
                <w:sz w:val="20"/>
                <w:szCs w:val="20"/>
                <w:color w:val="auto"/>
              </w:rPr>
            </w:pPr>
          </w:p>
        </w:tc>
        <w:tc>
          <w:tcPr>
            <w:tcW w:w="394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1"/>
              </w:rPr>
              <w:t>For the Three Months Ended June 30, 2015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Hughes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Hughes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Retail</w:t>
            </w:r>
          </w:p>
        </w:tc>
        <w:tc>
          <w:tcPr>
            <w:tcW w:w="1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HSSC</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Inter-Group</w:t>
            </w:r>
          </w:p>
        </w:tc>
        <w:tc>
          <w:tcPr>
            <w:tcW w:w="24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HSS</w:t>
            </w: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Retail</w:t>
            </w:r>
          </w:p>
        </w:tc>
        <w:tc>
          <w:tcPr>
            <w:tcW w:w="1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HSSC</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Inter-Group</w:t>
            </w:r>
          </w:p>
        </w:tc>
        <w:tc>
          <w:tcPr>
            <w:tcW w:w="24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HSS</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Group</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Group</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Consolidated</w:t>
            </w:r>
          </w:p>
        </w:tc>
        <w:tc>
          <w:tcPr>
            <w:tcW w:w="12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Group</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Group</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3"/>
              </w:rPr>
              <w:t>Services and equipment revenue - other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159,684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249,073</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326,089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151,825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254,012</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(80,667)</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325,170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equipment revenue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DISH Network</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114,629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134,306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134,306</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159,684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363,702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440,718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151,825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388,318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459,476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w w:val="96"/>
              </w:rPr>
              <w:t>Cost of sales (exclusive of depreciation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and amortization)</w:t>
            </w:r>
          </w:p>
        </w:tc>
        <w:tc>
          <w:tcPr>
            <w:tcW w:w="1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92,535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161,630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(80,045)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174,120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90,199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169,403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(78,271)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181,331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34,333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69,185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65,023</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9"/>
              </w:rPr>
              <w:t>Research and development expenses</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6,513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33,382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107,625</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160,769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274,471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353,172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158,642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281,380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360,492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106,938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98,984</w:t>
            </w:r>
          </w:p>
        </w:tc>
        <w:tc>
          <w:tcPr>
            <w:tcW w:w="0" w:type="dxa"/>
            <w:vAlign w:val="bottom"/>
          </w:tcPr>
          <w:p>
            <w:pPr>
              <w:spacing w:after="0"/>
              <w:rPr>
                <w:sz w:val="1"/>
                <w:szCs w:val="1"/>
                <w:color w:val="auto"/>
              </w:rPr>
            </w:pPr>
          </w:p>
        </w:tc>
      </w:tr>
      <w:tr>
        <w:trPr>
          <w:trHeight w:val="22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Interest expense, net of amounts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capitalized</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(36,059)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(43,566)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(43,566)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partial redemption of debt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w w:val="98"/>
              </w:rPr>
              <w:t>Other-than-temporary impairment loss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on available-for-sale securities</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marketable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 securities, net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affiliate</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interest in earnings (loss) of</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Hughes Retail Group</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(29,188)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(56,071)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(53,131)</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60,043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58,819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50,867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45,853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(21,256)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(21,092)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(18,380)</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38,787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37,999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29,775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27,473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9"/>
        </w:trPr>
        <w:tc>
          <w:tcPr>
            <w:tcW w:w="3200" w:type="dxa"/>
            <w:vAlign w:val="bottom"/>
          </w:tcPr>
          <w:p>
            <w:pPr>
              <w:ind w:left="380"/>
              <w:spacing w:after="0"/>
              <w:rPr>
                <w:sz w:val="20"/>
                <w:szCs w:val="20"/>
                <w:color w:val="auto"/>
              </w:rPr>
            </w:pPr>
            <w:r>
              <w:rPr>
                <w:rFonts w:ascii="Arial" w:cs="Arial" w:eastAsia="Arial" w:hAnsi="Arial"/>
                <w:sz w:val="18"/>
                <w:szCs w:val="18"/>
                <w:color w:val="auto"/>
              </w:rPr>
              <w:t>Net income (loss) attributable to</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38,476</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37,688</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29,347</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27,045</w:t>
            </w:r>
          </w:p>
        </w:tc>
        <w:tc>
          <w:tcPr>
            <w:tcW w:w="0" w:type="dxa"/>
            <w:vAlign w:val="bottom"/>
          </w:tcPr>
          <w:p>
            <w:pPr>
              <w:spacing w:after="0"/>
              <w:rPr>
                <w:sz w:val="1"/>
                <w:szCs w:val="1"/>
                <w:color w:val="auto"/>
              </w:rPr>
            </w:pPr>
          </w:p>
        </w:tc>
      </w:tr>
      <w:tr>
        <w:trPr>
          <w:trHeight w:val="242"/>
        </w:trPr>
        <w:tc>
          <w:tcPr>
            <w:tcW w:w="3200" w:type="dxa"/>
            <w:vAlign w:val="bottom"/>
          </w:tcPr>
          <w:p>
            <w:pPr>
              <w:ind w:left="380"/>
              <w:spacing w:after="0"/>
              <w:rPr>
                <w:sz w:val="20"/>
                <w:szCs w:val="20"/>
                <w:color w:val="auto"/>
              </w:rPr>
            </w:pPr>
            <w:r>
              <w:rPr>
                <w:rFonts w:ascii="Arial" w:cs="Arial" w:eastAsia="Arial" w:hAnsi="Arial"/>
                <w:sz w:val="18"/>
                <w:szCs w:val="18"/>
                <w:color w:val="auto"/>
              </w:rPr>
              <w:t>HSS</w:t>
            </w:r>
          </w:p>
        </w:tc>
        <w:tc>
          <w:tcPr>
            <w:tcW w:w="1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CONDENSED ATTRIBUTED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5"/>
              </w:rPr>
              <w:t>Attributed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5"/>
          </w:tcPr>
          <w:p>
            <w:pPr>
              <w:jc w:val="center"/>
              <w:ind w:left="70"/>
              <w:spacing w:after="0"/>
              <w:rPr>
                <w:sz w:val="20"/>
                <w:szCs w:val="20"/>
                <w:color w:val="auto"/>
              </w:rPr>
            </w:pPr>
            <w:r>
              <w:rPr>
                <w:rFonts w:ascii="Arial" w:cs="Arial" w:eastAsia="Arial" w:hAnsi="Arial"/>
                <w:sz w:val="18"/>
                <w:szCs w:val="18"/>
                <w:b w:val="1"/>
                <w:bCs w:val="1"/>
                <w:color w:val="auto"/>
                <w:w w:val="95"/>
              </w:rPr>
              <w:t>Attributed</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gridSpan w:val="11"/>
          </w:tcPr>
          <w:p>
            <w:pPr>
              <w:jc w:val="center"/>
              <w:ind w:right="200"/>
              <w:spacing w:after="0"/>
              <w:rPr>
                <w:sz w:val="20"/>
                <w:szCs w:val="20"/>
                <w:color w:val="auto"/>
              </w:rPr>
            </w:pPr>
            <w:r>
              <w:rPr>
                <w:rFonts w:ascii="Arial" w:cs="Arial" w:eastAsia="Arial" w:hAnsi="Arial"/>
                <w:sz w:val="18"/>
                <w:szCs w:val="18"/>
                <w:b w:val="1"/>
                <w:bCs w:val="1"/>
                <w:color w:val="auto"/>
                <w:w w:val="90"/>
              </w:rPr>
              <w:t>For the Six Months Ended June 30, 2016</w:t>
            </w:r>
          </w:p>
        </w:tc>
        <w:tc>
          <w:tcPr>
            <w:tcW w:w="406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For the Six Months Ended June 30, 2015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Hughes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Hughes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Retail</w:t>
            </w:r>
          </w:p>
        </w:tc>
        <w:tc>
          <w:tcPr>
            <w:tcW w:w="1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HSSC</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Inter-Group</w:t>
            </w:r>
          </w:p>
        </w:tc>
        <w:tc>
          <w:tcPr>
            <w:tcW w:w="24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HSS</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Retail</w:t>
            </w: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HSSC</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Inter-Group</w:t>
            </w:r>
          </w:p>
        </w:tc>
        <w:tc>
          <w:tcPr>
            <w:tcW w:w="24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HSS</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Group</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Group</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Consolidated</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Group</w:t>
            </w: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Group</w:t>
            </w: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Eliminations</w:t>
            </w: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3"/>
              </w:rPr>
              <w:t>Services and equipment revenue - other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318,490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485,833</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(164,952)</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639,371</w:t>
            </w:r>
          </w:p>
        </w:tc>
        <w:tc>
          <w:tcPr>
            <w:tcW w:w="1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93"/>
              </w:rPr>
              <w:t>$297,986</w:t>
            </w:r>
          </w:p>
        </w:tc>
        <w:tc>
          <w:tcPr>
            <w:tcW w:w="1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w w:val="93"/>
              </w:rPr>
              <w:t>$507,712</w:t>
            </w:r>
          </w:p>
        </w:tc>
        <w:tc>
          <w:tcPr>
            <w:tcW w:w="12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(162,798)</w:t>
            </w: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642,900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and equipment revenue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DISH Network</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230,473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230,473</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266,810</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318,490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716,306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(164,952)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869,844</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297,986</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774,522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(162,798)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909,710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w w:val="96"/>
              </w:rPr>
              <w:t>Cost of sales (exclusive of depreciation</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and amortization)</w:t>
            </w:r>
          </w:p>
        </w:tc>
        <w:tc>
          <w:tcPr>
            <w:tcW w:w="1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184,129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317,330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(159,654)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341,805</w:t>
            </w:r>
          </w:p>
        </w:tc>
        <w:tc>
          <w:tcPr>
            <w:tcW w:w="10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176,207</w:t>
            </w:r>
          </w:p>
        </w:tc>
        <w:tc>
          <w:tcPr>
            <w:tcW w:w="1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336,523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(156,270)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356,460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73,482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66,618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140,100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72,216</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63,352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135,568</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w w:val="99"/>
              </w:rPr>
              <w:t>Research and development expenses</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14,494</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66,784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141,777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204,674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69,112</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148,786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215,639</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324,395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540,219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(163,541)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701,073</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317,535</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560,728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(158,529)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719,734</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176,087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168,771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(19,549)</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213,794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189,976</w:t>
            </w:r>
          </w:p>
        </w:tc>
        <w:tc>
          <w:tcPr>
            <w:tcW w:w="0" w:type="dxa"/>
            <w:vAlign w:val="bottom"/>
          </w:tcPr>
          <w:p>
            <w:pPr>
              <w:spacing w:after="0"/>
              <w:rPr>
                <w:sz w:val="1"/>
                <w:szCs w:val="1"/>
                <w:color w:val="auto"/>
              </w:rPr>
            </w:pPr>
          </w:p>
        </w:tc>
      </w:tr>
      <w:tr>
        <w:trPr>
          <w:trHeight w:val="22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Interest expense, net of amounts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capitalized</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(74,090)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(74,090)</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(88,652)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(88,652)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partial redemption of debt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(5,044)</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w w:val="98"/>
              </w:rPr>
              <w:t>Other-than-temporary impairment loss</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340"/>
              <w:spacing w:after="0"/>
              <w:rPr>
                <w:sz w:val="20"/>
                <w:szCs w:val="20"/>
                <w:color w:val="auto"/>
              </w:rPr>
            </w:pPr>
            <w:r>
              <w:rPr>
                <w:rFonts w:ascii="Arial" w:cs="Arial" w:eastAsia="Arial" w:hAnsi="Arial"/>
                <w:sz w:val="18"/>
                <w:szCs w:val="18"/>
                <w:color w:val="auto"/>
              </w:rPr>
              <w:t>on available-for-sale securities</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marketable</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 securities, net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Equity in earnings of unconsolidated</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affiliate</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4,104</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interest in earnings (loss) of</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Hughes Retail Group</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(58,421)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(55,881)</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(105,223)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(96,774)</w:t>
            </w:r>
          </w:p>
        </w:tc>
        <w:tc>
          <w:tcPr>
            <w:tcW w:w="0" w:type="dxa"/>
            <w:vAlign w:val="bottom"/>
          </w:tcPr>
          <w:p>
            <w:pPr>
              <w:spacing w:after="0"/>
              <w:rPr>
                <w:sz w:val="1"/>
                <w:szCs w:val="1"/>
                <w:color w:val="auto"/>
              </w:rPr>
            </w:pPr>
          </w:p>
        </w:tc>
      </w:tr>
      <w:tr>
        <w:trPr>
          <w:trHeight w:val="237"/>
        </w:trPr>
        <w:tc>
          <w:tcPr>
            <w:tcW w:w="320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117,666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112,890</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(19,626)</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108,571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93,202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(43,215)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(40,861)</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(36,353)</w:t>
            </w:r>
          </w:p>
        </w:tc>
        <w:tc>
          <w:tcPr>
            <w:tcW w:w="0" w:type="dxa"/>
            <w:vAlign w:val="bottom"/>
          </w:tcPr>
          <w:p>
            <w:pPr>
              <w:spacing w:after="0"/>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74,451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72,029</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64,452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56,849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9"/>
        </w:trPr>
        <w:tc>
          <w:tcPr>
            <w:tcW w:w="3200" w:type="dxa"/>
            <w:vAlign w:val="bottom"/>
          </w:tcPr>
          <w:p>
            <w:pPr>
              <w:ind w:left="380"/>
              <w:spacing w:after="0"/>
              <w:rPr>
                <w:sz w:val="20"/>
                <w:szCs w:val="20"/>
                <w:color w:val="auto"/>
              </w:rPr>
            </w:pPr>
            <w:r>
              <w:rPr>
                <w:rFonts w:ascii="Arial" w:cs="Arial" w:eastAsia="Arial" w:hAnsi="Arial"/>
                <w:sz w:val="18"/>
                <w:szCs w:val="18"/>
                <w:color w:val="auto"/>
              </w:rPr>
              <w:t>Net income (loss) attributable to</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74,029</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71,607</w:t>
            </w:r>
          </w:p>
        </w:tc>
        <w:tc>
          <w:tcPr>
            <w:tcW w:w="100" w:type="dxa"/>
            <w:vAlign w:val="bottom"/>
          </w:tcPr>
          <w:p>
            <w:pPr>
              <w:spacing w:after="0"/>
              <w:rPr>
                <w:sz w:val="18"/>
                <w:szCs w:val="18"/>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 (11,860)</w:t>
            </w:r>
          </w:p>
        </w:tc>
        <w:tc>
          <w:tcPr>
            <w:tcW w:w="100" w:type="dxa"/>
            <w:vAlign w:val="bottom"/>
          </w:tcPr>
          <w:p>
            <w:pPr>
              <w:spacing w:after="0"/>
              <w:rPr>
                <w:sz w:val="18"/>
                <w:szCs w:val="18"/>
                <w:color w:val="auto"/>
              </w:rPr>
            </w:pP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$ 63,655</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56,052</w:t>
            </w:r>
          </w:p>
        </w:tc>
        <w:tc>
          <w:tcPr>
            <w:tcW w:w="0" w:type="dxa"/>
            <w:vAlign w:val="bottom"/>
          </w:tcPr>
          <w:p>
            <w:pPr>
              <w:spacing w:after="0"/>
              <w:rPr>
                <w:sz w:val="1"/>
                <w:szCs w:val="1"/>
                <w:color w:val="auto"/>
              </w:rPr>
            </w:pPr>
          </w:p>
        </w:tc>
      </w:tr>
      <w:tr>
        <w:trPr>
          <w:trHeight w:val="242"/>
        </w:trPr>
        <w:tc>
          <w:tcPr>
            <w:tcW w:w="3200" w:type="dxa"/>
            <w:vAlign w:val="bottom"/>
          </w:tcPr>
          <w:p>
            <w:pPr>
              <w:ind w:left="380"/>
              <w:spacing w:after="0"/>
              <w:rPr>
                <w:sz w:val="20"/>
                <w:szCs w:val="20"/>
                <w:color w:val="auto"/>
              </w:rPr>
            </w:pPr>
            <w:r>
              <w:rPr>
                <w:rFonts w:ascii="Arial" w:cs="Arial" w:eastAsia="Arial" w:hAnsi="Arial"/>
                <w:sz w:val="18"/>
                <w:szCs w:val="18"/>
                <w:color w:val="auto"/>
              </w:rPr>
              <w:t>HSS</w:t>
            </w:r>
          </w:p>
        </w:tc>
        <w:tc>
          <w:tcPr>
            <w:tcW w:w="12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CONDENSED ATTRIBUTED STATEMENTS OF CASH FLOWS</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5"/>
          </w:tcPr>
          <w:p>
            <w:pPr>
              <w:jc w:val="center"/>
              <w:ind w:left="39"/>
              <w:spacing w:after="0"/>
              <w:rPr>
                <w:sz w:val="20"/>
                <w:szCs w:val="20"/>
                <w:color w:val="auto"/>
              </w:rPr>
            </w:pPr>
            <w:r>
              <w:rPr>
                <w:rFonts w:ascii="Arial" w:cs="Arial" w:eastAsia="Arial" w:hAnsi="Arial"/>
                <w:sz w:val="16"/>
                <w:szCs w:val="16"/>
                <w:b w:val="1"/>
                <w:bCs w:val="1"/>
                <w:color w:val="auto"/>
                <w:w w:val="96"/>
              </w:rPr>
              <w:t>Attributed</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6"/>
              </w:rPr>
              <w:t>Attributed</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gridSpan w:val="11"/>
          </w:tcPr>
          <w:p>
            <w:pPr>
              <w:jc w:val="center"/>
              <w:ind w:right="180"/>
              <w:spacing w:after="0"/>
              <w:rPr>
                <w:sz w:val="20"/>
                <w:szCs w:val="20"/>
                <w:color w:val="auto"/>
              </w:rPr>
            </w:pPr>
            <w:r>
              <w:rPr>
                <w:rFonts w:ascii="Arial" w:cs="Arial" w:eastAsia="Arial" w:hAnsi="Arial"/>
                <w:sz w:val="16"/>
                <w:szCs w:val="16"/>
                <w:b w:val="1"/>
                <w:bCs w:val="1"/>
                <w:color w:val="auto"/>
                <w:w w:val="91"/>
              </w:rPr>
              <w:t>For the Six Months Ended June 30, 2016</w:t>
            </w:r>
          </w:p>
        </w:tc>
        <w:tc>
          <w:tcPr>
            <w:tcW w:w="120" w:type="dxa"/>
            <w:vAlign w:val="bottom"/>
          </w:tcPr>
          <w:p>
            <w:pPr>
              <w:spacing w:after="0"/>
              <w:rPr>
                <w:sz w:val="18"/>
                <w:szCs w:val="18"/>
                <w:color w:val="auto"/>
              </w:rPr>
            </w:pPr>
          </w:p>
        </w:tc>
        <w:tc>
          <w:tcPr>
            <w:tcW w:w="3600" w:type="dxa"/>
            <w:vAlign w:val="bottom"/>
            <w:gridSpan w:val="10"/>
          </w:tcPr>
          <w:p>
            <w:pPr>
              <w:jc w:val="center"/>
              <w:spacing w:after="0"/>
              <w:rPr>
                <w:sz w:val="20"/>
                <w:szCs w:val="20"/>
                <w:color w:val="auto"/>
              </w:rPr>
            </w:pPr>
            <w:r>
              <w:rPr>
                <w:rFonts w:ascii="Arial" w:cs="Arial" w:eastAsia="Arial" w:hAnsi="Arial"/>
                <w:sz w:val="16"/>
                <w:szCs w:val="16"/>
                <w:b w:val="1"/>
                <w:bCs w:val="1"/>
                <w:color w:val="auto"/>
                <w:w w:val="91"/>
              </w:rPr>
              <w:t>For the Six Months Ended June 30, 2015</w:t>
            </w:r>
          </w:p>
        </w:tc>
      </w:tr>
      <w:tr>
        <w:trPr>
          <w:trHeight w:val="33"/>
        </w:trPr>
        <w:tc>
          <w:tcPr>
            <w:tcW w:w="3940" w:type="dxa"/>
            <w:vAlign w:val="bottom"/>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3940" w:type="dxa"/>
            <w:vAlign w:val="bottom"/>
          </w:tcPr>
          <w:p>
            <w:pPr>
              <w:spacing w:after="0"/>
              <w:rPr>
                <w:sz w:val="18"/>
                <w:szCs w:val="18"/>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Hughes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Hughes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3"/>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Retail</w:t>
            </w:r>
          </w:p>
        </w:tc>
        <w:tc>
          <w:tcPr>
            <w:tcW w:w="1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HSSC</w:t>
            </w:r>
          </w:p>
        </w:tc>
        <w:tc>
          <w:tcPr>
            <w:tcW w:w="1020" w:type="dxa"/>
            <w:vAlign w:val="bottom"/>
            <w:gridSpan w:val="3"/>
          </w:tcPr>
          <w:p>
            <w:pPr>
              <w:ind w:left="40"/>
              <w:spacing w:after="0"/>
              <w:rPr>
                <w:sz w:val="20"/>
                <w:szCs w:val="20"/>
                <w:color w:val="auto"/>
              </w:rPr>
            </w:pPr>
            <w:r>
              <w:rPr>
                <w:rFonts w:ascii="Arial" w:cs="Arial" w:eastAsia="Arial" w:hAnsi="Arial"/>
                <w:sz w:val="16"/>
                <w:szCs w:val="16"/>
                <w:b w:val="1"/>
                <w:bCs w:val="1"/>
                <w:color w:val="auto"/>
              </w:rPr>
              <w:t>Inter-Group</w:t>
            </w:r>
          </w:p>
        </w:tc>
        <w:tc>
          <w:tcPr>
            <w:tcW w:w="20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6"/>
                <w:szCs w:val="16"/>
                <w:b w:val="1"/>
                <w:bCs w:val="1"/>
                <w:color w:val="auto"/>
              </w:rPr>
              <w:t>HSS</w:t>
            </w:r>
          </w:p>
        </w:tc>
        <w:tc>
          <w:tcPr>
            <w:tcW w:w="12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6"/>
              </w:rPr>
              <w:t>Retail</w:t>
            </w:r>
          </w:p>
        </w:tc>
        <w:tc>
          <w:tcPr>
            <w:tcW w:w="140" w:type="dxa"/>
            <w:vAlign w:val="bottom"/>
          </w:tcPr>
          <w:p>
            <w:pPr>
              <w:spacing w:after="0"/>
              <w:rPr>
                <w:sz w:val="17"/>
                <w:szCs w:val="17"/>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HSSC</w:t>
            </w:r>
          </w:p>
        </w:tc>
        <w:tc>
          <w:tcPr>
            <w:tcW w:w="1020" w:type="dxa"/>
            <w:vAlign w:val="bottom"/>
            <w:gridSpan w:val="3"/>
          </w:tcPr>
          <w:p>
            <w:pPr>
              <w:ind w:left="40"/>
              <w:spacing w:after="0"/>
              <w:rPr>
                <w:sz w:val="20"/>
                <w:szCs w:val="20"/>
                <w:color w:val="auto"/>
              </w:rPr>
            </w:pPr>
            <w:r>
              <w:rPr>
                <w:rFonts w:ascii="Arial" w:cs="Arial" w:eastAsia="Arial" w:hAnsi="Arial"/>
                <w:sz w:val="16"/>
                <w:szCs w:val="16"/>
                <w:b w:val="1"/>
                <w:bCs w:val="1"/>
                <w:color w:val="auto"/>
              </w:rPr>
              <w:t>Inter-Group</w:t>
            </w:r>
          </w:p>
        </w:tc>
        <w:tc>
          <w:tcPr>
            <w:tcW w:w="200" w:type="dxa"/>
            <w:vAlign w:val="bottom"/>
          </w:tcPr>
          <w:p>
            <w:pPr>
              <w:spacing w:after="0"/>
              <w:rPr>
                <w:sz w:val="17"/>
                <w:szCs w:val="17"/>
                <w:color w:val="auto"/>
              </w:rPr>
            </w:pPr>
          </w:p>
        </w:tc>
        <w:tc>
          <w:tcPr>
            <w:tcW w:w="780" w:type="dxa"/>
            <w:vAlign w:val="bottom"/>
          </w:tcPr>
          <w:p>
            <w:pPr>
              <w:jc w:val="right"/>
              <w:ind w:right="258"/>
              <w:spacing w:after="0"/>
              <w:rPr>
                <w:sz w:val="20"/>
                <w:szCs w:val="20"/>
                <w:color w:val="auto"/>
              </w:rPr>
            </w:pPr>
            <w:r>
              <w:rPr>
                <w:rFonts w:ascii="Arial" w:cs="Arial" w:eastAsia="Arial" w:hAnsi="Arial"/>
                <w:sz w:val="16"/>
                <w:szCs w:val="16"/>
                <w:b w:val="1"/>
                <w:bCs w:val="1"/>
                <w:color w:val="auto"/>
              </w:rPr>
              <w:t>HSS</w:t>
            </w:r>
          </w:p>
        </w:tc>
      </w:tr>
      <w:tr>
        <w:trPr>
          <w:trHeight w:val="210"/>
        </w:trPr>
        <w:tc>
          <w:tcPr>
            <w:tcW w:w="3940" w:type="dxa"/>
            <w:vAlign w:val="bottom"/>
          </w:tcPr>
          <w:p>
            <w:pPr>
              <w:spacing w:after="0"/>
              <w:rPr>
                <w:sz w:val="18"/>
                <w:szCs w:val="18"/>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Group</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Group</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1080" w:type="dxa"/>
            <w:vAlign w:val="bottom"/>
            <w:gridSpan w:val="3"/>
          </w:tcPr>
          <w:p>
            <w:pPr>
              <w:ind w:left="40"/>
              <w:spacing w:after="0"/>
              <w:rPr>
                <w:sz w:val="20"/>
                <w:szCs w:val="20"/>
                <w:color w:val="auto"/>
              </w:rPr>
            </w:pPr>
            <w:r>
              <w:rPr>
                <w:rFonts w:ascii="Arial" w:cs="Arial" w:eastAsia="Arial" w:hAnsi="Arial"/>
                <w:sz w:val="16"/>
                <w:szCs w:val="16"/>
                <w:b w:val="1"/>
                <w:bCs w:val="1"/>
                <w:color w:val="auto"/>
              </w:rPr>
              <w:t>Consolidated</w:t>
            </w:r>
          </w:p>
        </w:tc>
        <w:tc>
          <w:tcPr>
            <w:tcW w:w="120" w:type="dxa"/>
            <w:vAlign w:val="bottom"/>
          </w:tcPr>
          <w:p>
            <w:pPr>
              <w:spacing w:after="0"/>
              <w:rPr>
                <w:sz w:val="18"/>
                <w:szCs w:val="18"/>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5"/>
              </w:rPr>
              <w:t>Group</w:t>
            </w:r>
          </w:p>
        </w:tc>
        <w:tc>
          <w:tcPr>
            <w:tcW w:w="14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6"/>
                <w:szCs w:val="16"/>
                <w:b w:val="1"/>
                <w:bCs w:val="1"/>
                <w:color w:val="auto"/>
              </w:rPr>
              <w:t>Group</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Consolidated</w:t>
            </w:r>
          </w:p>
        </w:tc>
      </w:tr>
      <w:tr>
        <w:trPr>
          <w:trHeight w:val="33"/>
        </w:trPr>
        <w:tc>
          <w:tcPr>
            <w:tcW w:w="3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w w:val="90"/>
              </w:rPr>
              <w:t>$ (3,595)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74,451</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72,029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7"/>
              </w:rPr>
              <w:t>(11,860)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64,452</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4,257</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56,849</w:t>
            </w:r>
          </w:p>
        </w:tc>
      </w:tr>
      <w:tr>
        <w:trPr>
          <w:trHeight w:val="3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39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Adjustments to reconcile net income (loss) to net cash</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flows from operating activities:</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37"/>
        </w:trPr>
        <w:tc>
          <w:tcPr>
            <w:tcW w:w="394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66,784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141,777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204,674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69,112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148,786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215,639</w:t>
            </w:r>
          </w:p>
        </w:tc>
      </w:tr>
      <w:tr>
        <w:trPr>
          <w:trHeight w:val="3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Equity in earnings of unconsolidated affiliate</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(2,638)</w:t>
            </w:r>
          </w:p>
        </w:tc>
      </w:tr>
      <w:tr>
        <w:trPr>
          <w:trHeight w:val="220"/>
        </w:trPr>
        <w:tc>
          <w:tcPr>
            <w:tcW w:w="3940" w:type="dxa"/>
            <w:vAlign w:val="bottom"/>
          </w:tcPr>
          <w:p>
            <w:pPr>
              <w:ind w:left="380"/>
              <w:spacing w:after="0"/>
              <w:rPr>
                <w:sz w:val="20"/>
                <w:szCs w:val="20"/>
                <w:color w:val="auto"/>
              </w:rPr>
            </w:pPr>
            <w:r>
              <w:rPr>
                <w:rFonts w:ascii="Arial" w:cs="Arial" w:eastAsia="Arial" w:hAnsi="Arial"/>
                <w:sz w:val="16"/>
                <w:szCs w:val="16"/>
                <w:color w:val="auto"/>
                <w:w w:val="95"/>
              </w:rPr>
              <w:t>Retained interest in loss (earnings) of Hughes Retail</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3940" w:type="dxa"/>
            <w:vAlign w:val="bottom"/>
          </w:tcPr>
          <w:p>
            <w:pPr>
              <w:ind w:left="380"/>
              <w:spacing w:after="0"/>
              <w:rPr>
                <w:sz w:val="20"/>
                <w:szCs w:val="20"/>
                <w:color w:val="auto"/>
              </w:rPr>
            </w:pPr>
            <w:r>
              <w:rPr>
                <w:rFonts w:ascii="Arial" w:cs="Arial" w:eastAsia="Arial" w:hAnsi="Arial"/>
                <w:sz w:val="16"/>
                <w:szCs w:val="16"/>
                <w:color w:val="auto"/>
              </w:rPr>
              <w:t>Group</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2,584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8,526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debt issuance costs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3,051</w:t>
            </w:r>
          </w:p>
        </w:tc>
      </w:tr>
      <w:tr>
        <w:trPr>
          <w:trHeight w:val="237"/>
        </w:trPr>
        <w:tc>
          <w:tcPr>
            <w:tcW w:w="3940" w:type="dxa"/>
            <w:vAlign w:val="bottom"/>
          </w:tcPr>
          <w:p>
            <w:pPr>
              <w:ind w:left="380"/>
              <w:spacing w:after="0"/>
              <w:rPr>
                <w:sz w:val="20"/>
                <w:szCs w:val="20"/>
                <w:color w:val="auto"/>
              </w:rPr>
            </w:pPr>
            <w:r>
              <w:rPr>
                <w:rFonts w:ascii="Arial" w:cs="Arial" w:eastAsia="Arial" w:hAnsi="Arial"/>
                <w:sz w:val="16"/>
                <w:szCs w:val="16"/>
                <w:color w:val="auto"/>
              </w:rPr>
              <w:t>Loss from partial redemption of debt</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5,044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5,044</w:t>
            </w:r>
          </w:p>
        </w:tc>
      </w:tr>
      <w:tr>
        <w:trPr>
          <w:trHeight w:val="3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7"/>
              </w:rPr>
              <w:t>Losses (gains) on marketable investment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6,262</w:t>
            </w:r>
          </w:p>
        </w:tc>
      </w:tr>
      <w:tr>
        <w:trPr>
          <w:trHeight w:val="243"/>
        </w:trPr>
        <w:tc>
          <w:tcPr>
            <w:tcW w:w="394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2,602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2,602</w:t>
            </w:r>
          </w:p>
        </w:tc>
      </w:tr>
      <w:tr>
        <w:trPr>
          <w:trHeight w:val="27"/>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tax provision (benefit)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(8,568)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47,787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(13,409)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34,584</w:t>
            </w:r>
          </w:p>
        </w:tc>
      </w:tr>
      <w:tr>
        <w:trPr>
          <w:trHeight w:val="243"/>
        </w:trPr>
        <w:tc>
          <w:tcPr>
            <w:tcW w:w="3940" w:type="dxa"/>
            <w:vAlign w:val="bottom"/>
          </w:tcPr>
          <w:p>
            <w:pPr>
              <w:ind w:left="380"/>
              <w:spacing w:after="0"/>
              <w:rPr>
                <w:sz w:val="20"/>
                <w:szCs w:val="20"/>
                <w:color w:val="auto"/>
              </w:rPr>
            </w:pPr>
            <w:r>
              <w:rPr>
                <w:rFonts w:ascii="Arial" w:cs="Arial" w:eastAsia="Arial" w:hAnsi="Arial"/>
                <w:sz w:val="16"/>
                <w:szCs w:val="16"/>
                <w:color w:val="auto"/>
              </w:rPr>
              <w:t>Dividends received from unconsolidated entity</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trading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r>
      <w:tr>
        <w:trPr>
          <w:trHeight w:val="237"/>
        </w:trPr>
        <w:tc>
          <w:tcPr>
            <w:tcW w:w="3940" w:type="dxa"/>
            <w:vAlign w:val="bottom"/>
          </w:tcPr>
          <w:p>
            <w:pPr>
              <w:ind w:left="380"/>
              <w:spacing w:after="0"/>
              <w:rPr>
                <w:sz w:val="20"/>
                <w:szCs w:val="20"/>
                <w:color w:val="auto"/>
              </w:rPr>
            </w:pPr>
            <w:r>
              <w:rPr>
                <w:rFonts w:ascii="Arial" w:cs="Arial" w:eastAsia="Arial" w:hAnsi="Arial"/>
                <w:sz w:val="16"/>
                <w:szCs w:val="16"/>
                <w:color w:val="auto"/>
                <w:w w:val="96"/>
              </w:rPr>
              <w:t>Changes in current assets and current liabilities, net</w:t>
            </w:r>
          </w:p>
        </w:tc>
        <w:tc>
          <w:tcPr>
            <w:tcW w:w="10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12,473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(64,922)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(52,511)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2,437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(70,027)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(67,920)</w:t>
            </w:r>
          </w:p>
        </w:tc>
      </w:tr>
      <w:tr>
        <w:trPr>
          <w:trHeight w:val="3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3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Changes in noncurrent assets and noncurrent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3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liabilities, net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3,831</w:t>
            </w:r>
          </w:p>
        </w:tc>
      </w:tr>
      <w:tr>
        <w:trPr>
          <w:trHeight w:val="237"/>
        </w:trPr>
        <w:tc>
          <w:tcPr>
            <w:tcW w:w="394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(3,330)</w:t>
            </w:r>
          </w:p>
        </w:tc>
      </w:tr>
      <w:tr>
        <w:trPr>
          <w:trHeight w:val="33"/>
        </w:trPr>
        <w:tc>
          <w:tcPr>
            <w:tcW w:w="3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70,842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215,903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281,341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48,304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212,454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253,974</w:t>
            </w:r>
          </w:p>
        </w:tc>
      </w:tr>
      <w:tr>
        <w:trPr>
          <w:trHeight w:val="204"/>
        </w:trPr>
        <w:tc>
          <w:tcPr>
            <w:tcW w:w="3940" w:type="dxa"/>
            <w:vAlign w:val="bottom"/>
          </w:tcPr>
          <w:p>
            <w:pPr>
              <w:ind w:left="40"/>
              <w:spacing w:after="0"/>
              <w:rPr>
                <w:sz w:val="20"/>
                <w:szCs w:val="20"/>
                <w:color w:val="auto"/>
              </w:rPr>
            </w:pPr>
            <w:r>
              <w:rPr>
                <w:rFonts w:ascii="Arial" w:cs="Arial" w:eastAsia="Arial" w:hAnsi="Arial"/>
                <w:sz w:val="16"/>
                <w:szCs w:val="16"/>
                <w:color w:val="auto"/>
              </w:rPr>
              <w:t>Cash Flows from Investing Activities:</w:t>
            </w: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47"/>
        </w:trPr>
        <w:tc>
          <w:tcPr>
            <w:tcW w:w="3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marketable investment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(280,810)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(280,810)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(96,462)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(96,462)</w:t>
            </w:r>
          </w:p>
        </w:tc>
      </w:tr>
      <w:tr>
        <w:trPr>
          <w:trHeight w:val="220"/>
        </w:trPr>
        <w:tc>
          <w:tcPr>
            <w:tcW w:w="3940" w:type="dxa"/>
            <w:vAlign w:val="bottom"/>
          </w:tcPr>
          <w:p>
            <w:pPr>
              <w:ind w:left="180"/>
              <w:spacing w:after="0"/>
              <w:rPr>
                <w:sz w:val="20"/>
                <w:szCs w:val="20"/>
                <w:color w:val="auto"/>
              </w:rPr>
            </w:pPr>
            <w:r>
              <w:rPr>
                <w:rFonts w:ascii="Arial" w:cs="Arial" w:eastAsia="Arial" w:hAnsi="Arial"/>
                <w:sz w:val="16"/>
                <w:szCs w:val="16"/>
                <w:color w:val="auto"/>
              </w:rPr>
              <w:t>Sales and maturities of marketable investment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3940" w:type="dxa"/>
            <w:vAlign w:val="bottom"/>
          </w:tcPr>
          <w:p>
            <w:pPr>
              <w:ind w:left="180"/>
              <w:spacing w:after="0"/>
              <w:rPr>
                <w:sz w:val="20"/>
                <w:szCs w:val="20"/>
                <w:color w:val="auto"/>
              </w:rPr>
            </w:pPr>
            <w:r>
              <w:rPr>
                <w:rFonts w:ascii="Arial" w:cs="Arial" w:eastAsia="Arial" w:hAnsi="Arial"/>
                <w:sz w:val="16"/>
                <w:szCs w:val="16"/>
                <w:color w:val="auto"/>
              </w:rPr>
              <w:t>securities</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213,913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213,913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104,423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104,423</w:t>
            </w:r>
          </w:p>
        </w:tc>
      </w:tr>
      <w:tr>
        <w:trPr>
          <w:trHeight w:val="33"/>
        </w:trPr>
        <w:tc>
          <w:tcPr>
            <w:tcW w:w="39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7"/>
              </w:rPr>
              <w:t>(50,217)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(175,778)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(63,920)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(130,169)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(187,305)</w:t>
            </w:r>
          </w:p>
        </w:tc>
      </w:tr>
      <w:tr>
        <w:trPr>
          <w:trHeight w:val="237"/>
        </w:trPr>
        <w:tc>
          <w:tcPr>
            <w:tcW w:w="3940" w:type="dxa"/>
            <w:vAlign w:val="bottom"/>
          </w:tcPr>
          <w:p>
            <w:pPr>
              <w:ind w:left="180"/>
              <w:spacing w:after="0"/>
              <w:rPr>
                <w:sz w:val="20"/>
                <w:szCs w:val="20"/>
                <w:color w:val="auto"/>
              </w:rPr>
            </w:pPr>
            <w:r>
              <w:rPr>
                <w:rFonts w:ascii="Arial" w:cs="Arial" w:eastAsia="Arial" w:hAnsi="Arial"/>
                <w:sz w:val="16"/>
                <w:szCs w:val="16"/>
                <w:color w:val="auto"/>
              </w:rPr>
              <w:t>Expenditures for externally marketed software</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(12,299)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(11,660)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(11,660)</w:t>
            </w:r>
          </w:p>
        </w:tc>
      </w:tr>
      <w:tr>
        <w:trPr>
          <w:trHeight w:val="3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unconsolidated entity</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180"/>
              <w:spacing w:after="0"/>
              <w:rPr>
                <w:sz w:val="20"/>
                <w:szCs w:val="20"/>
                <w:color w:val="auto"/>
              </w:rPr>
            </w:pPr>
            <w:r>
              <w:rPr>
                <w:rFonts w:ascii="Arial" w:cs="Arial" w:eastAsia="Arial" w:hAnsi="Arial"/>
                <w:sz w:val="16"/>
                <w:szCs w:val="16"/>
                <w:color w:val="auto"/>
              </w:rPr>
              <w:t>Change in restricted cash and cash equivalents</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(1,507)</w:t>
            </w:r>
          </w:p>
        </w:tc>
      </w:tr>
      <w:tr>
        <w:trPr>
          <w:trHeight w:val="3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 for EchoStar XXI launch services</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(11,875)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180"/>
              <w:spacing w:after="0"/>
              <w:rPr>
                <w:sz w:val="20"/>
                <w:szCs w:val="20"/>
                <w:color w:val="auto"/>
              </w:rPr>
            </w:pPr>
            <w:r>
              <w:rPr>
                <w:rFonts w:ascii="Arial" w:cs="Arial" w:eastAsia="Arial" w:hAnsi="Arial"/>
                <w:sz w:val="16"/>
                <w:szCs w:val="16"/>
                <w:color w:val="auto"/>
              </w:rPr>
              <w:t>Inter-group advances</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20,625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(20,625)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(15,616)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15,616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7"/>
        </w:trPr>
        <w:tc>
          <w:tcPr>
            <w:tcW w:w="3940" w:type="dxa"/>
            <w:vAlign w:val="bottom"/>
          </w:tcPr>
          <w:p>
            <w:pPr>
              <w:ind w:left="600"/>
              <w:spacing w:after="0"/>
              <w:rPr>
                <w:sz w:val="20"/>
                <w:szCs w:val="20"/>
                <w:color w:val="auto"/>
              </w:rPr>
            </w:pPr>
            <w:r>
              <w:rPr>
                <w:rFonts w:ascii="Arial" w:cs="Arial" w:eastAsia="Arial" w:hAnsi="Arial"/>
                <w:sz w:val="16"/>
                <w:szCs w:val="16"/>
                <w:color w:val="auto"/>
              </w:rPr>
              <w:t>Net cash flows from investing activities</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7"/>
              </w:rPr>
              <w:t>(50,217)</w:t>
            </w:r>
          </w:p>
        </w:tc>
        <w:tc>
          <w:tcPr>
            <w:tcW w:w="10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(249,444)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(15,221)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(314,882)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7"/>
              </w:rPr>
              <w:t>(63,920)</w:t>
            </w:r>
          </w:p>
        </w:tc>
        <w:tc>
          <w:tcPr>
            <w:tcW w:w="10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(151,000)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22,400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(192,520)</w:t>
            </w:r>
          </w:p>
        </w:tc>
      </w:tr>
      <w:tr>
        <w:trPr>
          <w:trHeight w:val="33"/>
        </w:trPr>
        <w:tc>
          <w:tcPr>
            <w:tcW w:w="3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20"/>
        </w:trPr>
        <w:tc>
          <w:tcPr>
            <w:tcW w:w="3940" w:type="dxa"/>
            <w:vAlign w:val="bottom"/>
          </w:tcPr>
          <w:p>
            <w:pPr>
              <w:ind w:left="180"/>
              <w:spacing w:after="0"/>
              <w:rPr>
                <w:sz w:val="20"/>
                <w:szCs w:val="20"/>
                <w:color w:val="auto"/>
              </w:rPr>
            </w:pPr>
            <w:r>
              <w:rPr>
                <w:rFonts w:ascii="Arial" w:cs="Arial" w:eastAsia="Arial" w:hAnsi="Arial"/>
                <w:sz w:val="16"/>
                <w:szCs w:val="16"/>
                <w:color w:val="auto"/>
                <w:w w:val="96"/>
              </w:rPr>
              <w:t>Repayment of 6 1/2% Senior Secured Notes Due 2019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6"/>
        </w:trPr>
        <w:tc>
          <w:tcPr>
            <w:tcW w:w="3940" w:type="dxa"/>
            <w:vAlign w:val="bottom"/>
          </w:tcPr>
          <w:p>
            <w:pPr>
              <w:ind w:left="340"/>
              <w:spacing w:after="0"/>
              <w:rPr>
                <w:sz w:val="20"/>
                <w:szCs w:val="20"/>
                <w:color w:val="auto"/>
              </w:rPr>
            </w:pPr>
            <w:r>
              <w:rPr>
                <w:rFonts w:ascii="Arial" w:cs="Arial" w:eastAsia="Arial" w:hAnsi="Arial"/>
                <w:sz w:val="16"/>
                <w:szCs w:val="16"/>
                <w:color w:val="auto"/>
              </w:rPr>
              <w:t>and related premium</w:t>
            </w:r>
          </w:p>
        </w:tc>
        <w:tc>
          <w:tcPr>
            <w:tcW w:w="10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(113,300)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(113,300)</w:t>
            </w:r>
          </w:p>
        </w:tc>
      </w:tr>
      <w:tr>
        <w:trPr>
          <w:trHeight w:val="3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0"/>
        </w:trPr>
        <w:tc>
          <w:tcPr>
            <w:tcW w:w="3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other long-term debt and capital lease</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obligations</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(16,199)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(23,722)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(23,722)</w:t>
            </w:r>
          </w:p>
        </w:tc>
      </w:tr>
      <w:tr>
        <w:trPr>
          <w:trHeight w:val="237"/>
        </w:trPr>
        <w:tc>
          <w:tcPr>
            <w:tcW w:w="3940" w:type="dxa"/>
            <w:vAlign w:val="bottom"/>
          </w:tcPr>
          <w:p>
            <w:pPr>
              <w:ind w:left="180"/>
              <w:spacing w:after="0"/>
              <w:rPr>
                <w:sz w:val="20"/>
                <w:szCs w:val="20"/>
                <w:color w:val="auto"/>
              </w:rPr>
            </w:pPr>
            <w:r>
              <w:rPr>
                <w:rFonts w:ascii="Arial" w:cs="Arial" w:eastAsia="Arial" w:hAnsi="Arial"/>
                <w:sz w:val="16"/>
                <w:szCs w:val="16"/>
                <w:color w:val="auto"/>
              </w:rPr>
              <w:t>Advances from affiliates</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4,934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4,934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Inter-group advances</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7"/>
              </w:rPr>
              <w:t>(20,625)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15,616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r>
      <w:tr>
        <w:trPr>
          <w:trHeight w:val="237"/>
        </w:trPr>
        <w:tc>
          <w:tcPr>
            <w:tcW w:w="3940" w:type="dxa"/>
            <w:vAlign w:val="bottom"/>
          </w:tcPr>
          <w:p>
            <w:pPr>
              <w:ind w:left="180"/>
              <w:spacing w:after="0"/>
              <w:rPr>
                <w:sz w:val="20"/>
                <w:szCs w:val="20"/>
                <w:color w:val="auto"/>
              </w:rPr>
            </w:pPr>
            <w:r>
              <w:rPr>
                <w:rFonts w:ascii="Arial" w:cs="Arial" w:eastAsia="Arial" w:hAnsi="Arial"/>
                <w:sz w:val="16"/>
                <w:szCs w:val="16"/>
                <w:color w:val="auto"/>
              </w:rPr>
              <w:t>Capital contributions from EchoStar</w:t>
            </w:r>
          </w:p>
        </w:tc>
        <w:tc>
          <w:tcPr>
            <w:tcW w:w="10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11,875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11,875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tcPr>
          <w:p>
            <w:pPr>
              <w:jc w:val="right"/>
              <w:ind w:right="38"/>
              <w:spacing w:after="0"/>
              <w:rPr>
                <w:sz w:val="20"/>
                <w:szCs w:val="20"/>
                <w:color w:val="auto"/>
              </w:rPr>
            </w:pPr>
            <w:r>
              <w:rPr>
                <w:rFonts w:ascii="Arial" w:cs="Arial" w:eastAsia="Arial" w:hAnsi="Arial"/>
                <w:sz w:val="16"/>
                <w:szCs w:val="16"/>
                <w:color w:val="auto"/>
              </w:rPr>
              <w:t>—</w:t>
            </w:r>
          </w:p>
        </w:tc>
      </w:tr>
      <w:tr>
        <w:trPr>
          <w:trHeight w:val="3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17"/>
        </w:trPr>
        <w:tc>
          <w:tcPr>
            <w:tcW w:w="3940" w:type="dxa"/>
            <w:vAlign w:val="bottom"/>
          </w:tcPr>
          <w:p>
            <w:pPr>
              <w:ind w:left="600"/>
              <w:spacing w:after="0"/>
              <w:rPr>
                <w:sz w:val="20"/>
                <w:szCs w:val="20"/>
                <w:color w:val="auto"/>
              </w:rPr>
            </w:pPr>
            <w:r>
              <w:rPr>
                <w:rFonts w:ascii="Arial" w:cs="Arial" w:eastAsia="Arial" w:hAnsi="Arial"/>
                <w:sz w:val="16"/>
                <w:szCs w:val="16"/>
                <w:color w:val="auto"/>
              </w:rPr>
              <w:t>Net cash flows from financing activities</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7"/>
              </w:rPr>
              <w:t>(20,625)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20,625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15,616</w:t>
            </w:r>
          </w:p>
        </w:tc>
        <w:tc>
          <w:tcPr>
            <w:tcW w:w="100" w:type="dxa"/>
            <w:vAlign w:val="bottom"/>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(137,731)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(137,731)</w:t>
            </w:r>
          </w:p>
        </w:tc>
      </w:tr>
      <w:tr>
        <w:trPr>
          <w:trHeight w:val="33"/>
        </w:trPr>
        <w:tc>
          <w:tcPr>
            <w:tcW w:w="39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0"/>
        </w:trPr>
        <w:tc>
          <w:tcPr>
            <w:tcW w:w="39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Effect of exchange rates on cash and cash</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9"/>
        </w:trPr>
        <w:tc>
          <w:tcPr>
            <w:tcW w:w="39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equivalents</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17"/>
        </w:trPr>
        <w:tc>
          <w:tcPr>
            <w:tcW w:w="39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(33,202)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(33,202)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(76,903)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(76,903)</w:t>
            </w:r>
          </w:p>
        </w:tc>
      </w:tr>
      <w:tr>
        <w:trPr>
          <w:trHeight w:val="33"/>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382,990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382,990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225,557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225,557</w:t>
            </w:r>
          </w:p>
        </w:tc>
      </w:tr>
      <w:tr>
        <w:trPr>
          <w:trHeight w:val="217"/>
        </w:trPr>
        <w:tc>
          <w:tcPr>
            <w:tcW w:w="3940" w:type="dxa"/>
            <w:vAlign w:val="bottom"/>
          </w:tcPr>
          <w:p>
            <w:pPr>
              <w:ind w:left="180"/>
              <w:spacing w:after="0"/>
              <w:rPr>
                <w:sz w:val="20"/>
                <w:szCs w:val="20"/>
                <w:color w:val="auto"/>
              </w:rPr>
            </w:pPr>
            <w:r>
              <w:rPr>
                <w:rFonts w:ascii="Arial" w:cs="Arial" w:eastAsia="Arial" w:hAnsi="Arial"/>
                <w:sz w:val="16"/>
                <w:szCs w:val="16"/>
                <w:color w:val="auto"/>
              </w:rPr>
              <w:t>Cash and cash equivalents,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349,788</w:t>
            </w:r>
          </w:p>
        </w:tc>
        <w:tc>
          <w:tcPr>
            <w:tcW w:w="10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349,788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148,654</w:t>
            </w:r>
          </w:p>
        </w:tc>
        <w:tc>
          <w:tcPr>
            <w:tcW w:w="10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148,654</w:t>
            </w:r>
          </w:p>
        </w:tc>
      </w:tr>
      <w:tr>
        <w:trPr>
          <w:trHeight w:val="33"/>
        </w:trPr>
        <w:tc>
          <w:tcPr>
            <w:tcW w:w="3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Business Description</w:t>
      </w:r>
    </w:p>
    <w:p>
      <w:pPr>
        <w:spacing w:after="0" w:line="25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Hughes Retail Group is generally comprised of our business of providing satellite broadband internet services to residential retail subscribers in the United States, including the assets and liabilities primarily associated with the operation of the business; and the business operations, revenue, billings, operating and other direct and indirect support activities to provide services to the business and Hughes retail subscribers. The Hughes Retail Group also includes any proceeds associated with a sale or transfer of the Hughes Retail Group or any assets of the Hughes Retail Group, and any other assets acquired by or for the account of the Hughes Retail Group or otherwise attributed, contributed, allocated or transferred to the Hughes Retail Group from time to time. The HSSC Group consists of all other operations of HSS, including all existing and future businesses other than the Hughes Retail Group. HSS has adopted a policy statement (the “Policy Statement”) as described in Note 2 below, which sets forth management and allocation policies for purposes of attributing all of the business and operations of HSS to either the Hughes Retail Group or the HSSC Group (each as fully defined in the Policy Statement and collectively, the “Groups”).</w:t>
      </w:r>
    </w:p>
    <w:p>
      <w:pPr>
        <w:spacing w:after="0" w:line="19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Basis of Presentation</w:t>
      </w:r>
    </w:p>
    <w:p>
      <w:pPr>
        <w:spacing w:after="0" w:line="2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overall objective of the attributed financial information is to present HSS’ attributed amounts reported in its condensed consolidated financial statements to the Hughes Retail Group and the HSSC Group. The Policy Statement contains specific provisions that determine how certain assets, liabilities, revenue and expenses are attributed to the Groups. The Policy Statement does not explicitly address the attribution of all amounts reported in our condensed consolidated financial statements; accordingly, management applies judgment in attributing certain amounts based on its assessment of the activities of the Groups and the guiding principles set forth in the Policy Statement.</w:t>
      </w:r>
    </w:p>
    <w:p>
      <w:pPr>
        <w:spacing w:after="0" w:line="18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Set forth below is an overview of the Policy Statement and additional discussion about how we have attributed amounts in our condensed consolidated financial statements to the Groups.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Statement</w:t>
      </w:r>
    </w:p>
    <w:p>
      <w:pPr>
        <w:spacing w:after="0" w:line="22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 accordance with the Policy Statement, all existing and future retail subscribers in the United States, including related customer contracts, are attributed to the Hughes Retail Group. Assets and liabilities that are directly related to the Hughes Retail Group are attributed to the Hughes Retail Group, including certain accounts receivable, inventory, property and equipment, deferred subscriber acquisition costs, intangible assets and tax related assets and liabilities. To the extent practicable, costs and expenses are attributed without markup to the Hughes Retail Group or the HSSC Group based on specific identification. Common or shared costs, including corporate overhead, are allocated between the Hughes Retail Group and the HSSC Group using objective methods and criteria that reflect the relative usage of the corresponding functions or services. Where resources are shared by the Groups and determinations based on use alone are not practicable, we use other methods and criteria that we believe are fair and result in a reasonable estimate of the costs associated with operation, utilization, and maintenance of such resources to each Group. Such methods and criteria may include allocations based on revenue, operating costs, square footage, headcount or management estimates. Under the documents governing the Tracking Stock, any change in our management’s allocation methodologies requires the consent of the holders of a majority of the outstanding shares of the Tracking Stock, but does not require the consent of our common shareholders.</w:t>
      </w:r>
    </w:p>
    <w:p>
      <w:pPr>
        <w:spacing w:after="0" w:line="18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Hughes Retail Group utilizes broadband satellite capacity that is operated and maintained by the HSSC Group. The Policy Statement provides for a monthly charge to the Hughes Retail Group for its utilization of such capacity based on the number of retail subscribers and revenue per month. In addition, the Policy Statement establishes pricing for the Hughes Retail Group purchases of customer rental equipment from the HSSC Group based on cost plus a fixed margin percentage. Income taxes incurred by HSS and its subsidiaries that include operations of the Hughes Retail Group are allocated between the HSSC Group and the Hughes Retail Group based primarily on the relative amounts of earnings or loss attributable to each Group.</w:t>
      </w:r>
    </w:p>
    <w:p>
      <w:pPr>
        <w:spacing w:after="0" w:line="1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various attributions, allocations and inter-group charges provided for in the Policy Statement generally do not affect the amounts reported in HSS’ condensed consolidated financial statements, except for effects on the attribution of equity and net income or loss between the holders of Tracking Stock and HSS’ common shareholders. The Policy Statement also does not significantly affect the way that the Hughes segment management assesses operating performance and allocates resources. In addition, our chief operating decision maker reviews the Hughes Retail Group financial information only to the extent such information is included in our periodic filings with the SEC. Therefore we do not consider the Hughes Retail Group to be a separate operating segment.</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64"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Attributions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Assets attributed to the Hughes Retail Group based on specific identification consist primarily of trade accounts receivable from retail broadband subscribers, property and equipment (primarily customer rental equipment) used solely in the retail business, and deferred subscriber acquisition costs included in other noncurrent assets. Goodwill and other intangible assets (primarily customer relationships, developed technology and trademarks), which were recognized in connection with our acquisition of Hughes Communications, Inc. in June 2011, were attributed to the Hughes Retail Group based on an analysis of information for the retail business that was available at the acquisition date.</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attribution to the Hughes Retail Group has been made for certain significant assets that it shares with the HSSC Group, including regulatory authorizations and property and equipment (such as satellites and related terrestrial facilities), because those assets are operated and maintained by the HSSC Group and it is not practicable to allocate the asset carrying amounts between the Groups. However, the Hughes Retail Group has the right to use such assets and is charged for its use of such assets in accordance with the Policy Statement.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Liabilities attributed to the Hughes Retail Group based on specific identification consist primarily of customer prepayments and deferred revenue related to retail subscribers and deferred tax liabilities related to assets and liabilities that have been attributed to the Hughes Retail Group. Except to a limited extent, it is not practicable to attribute accounts payable and accrued liabilities to the Hughes Retail Group because those amounts arise from centralized processes managed by the HSSC Group. The Hughes Retail Group generally incurs inter-group payables to all other operations in connection with such centralized processes. As provided in the Policy Statement, none of our long-term debt is attributed to the Hughes Retail Group; however, interest is charged on all inter-group payables.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Expense Attributions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Hughes Retail Group revenue relates to services and equipment provided to retail broadband subscribers and is readily identifiable based on specific identification.</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Expenses attributed to the Hughes Retail Group based on specific identification include depreciation of property and equipment and amortization of intangible assets that are attributed to the Hughes Retail Group. Certain other operating expenses, such as compensation of employees that work exclusively in the retail business, are also attributed to the Hughes Retail Group based on specific identification. A substantial portion of the Hughes Retail Group cost of sales is based on the specific inter-group pricing provisions of the Policy Statement, including a monthly charge per retail subscriber and charges for customer rental equipment at cost plus a fixed margin percentage. The Hughes Retail Group operating expenses also reflect allocations of corporate overhead and other expenses incurred by HSS.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Attributions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Hughes Retail Group participates in HSS’ centralized cash management system and does not maintain separate cash accounts. Under the centralized cash management system, net advances of cash to or from the Hughes Retail Group are reflected in an inter-group receivable or payable account, which bears interest at the same rate earned by HSS on its cash and marketable investment securities portfolio. There is no allocation of HSS’ long-term debt or related interest costs to the Hughes Retail Group.</w:t>
      </w:r>
    </w:p>
    <w:p>
      <w:pPr>
        <w:spacing w:after="0" w:line="187"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Cash receipts from retail broadband subscribers and payments of certain expenses attributed to the Hughes Retail Group on a specific identification basis generally are reflected in the attributed statements of cash flows in the period the cash is received or paid. It is not practicable to determine the timing of related cash disbursements under the centralized cash management system for other costs and expenses attributed to the Hughes Retail Group. The accompanying statements of cash flows generally presents cash flows related to such transactions when they are recognized on an accrual basis in an inter-group receivable or payable account. Periodic changes in inter-group receivables or payables generally are indicative of amounts received or paid by the HSSC Group on behalf of the Hughes Retail Group and are reported in the accompanying attributed statements of cash flows as investing activity for the Group with a net receivable balance or as financing activity for the Group with a net payable balance.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Property and Equipment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for the Hughes Retail Group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Depreciable Life</w:t>
            </w:r>
          </w:p>
        </w:tc>
        <w:tc>
          <w:tcPr>
            <w:tcW w:w="28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88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(In Years)</w:t>
            </w:r>
          </w:p>
        </w:tc>
        <w:tc>
          <w:tcPr>
            <w:tcW w:w="28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 2016</w:t>
            </w:r>
          </w:p>
        </w:tc>
        <w:tc>
          <w:tcPr>
            <w:tcW w:w="20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 2015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20" w:type="dxa"/>
            <w:vAlign w:val="bottom"/>
            <w:gridSpan w:val="4"/>
          </w:tcPr>
          <w:p>
            <w:pPr>
              <w:jc w:val="right"/>
              <w:ind w:right="133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rental equipment</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584,086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(480,330)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(421,589)</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162,497</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Depreciation expense associated with the Hughes Retail Group property and equipment, net of retirements, was $29.3 million and $29.9 million for the three months ended June 30, 2016 and 2015, respectively, and $58.7 million and $59.3 million for the six months ended June 30, 2016 and 2015, respectively.</w:t>
      </w:r>
    </w:p>
    <w:p>
      <w:pPr>
        <w:spacing w:after="0" w:line="1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Goodwill and Other Intangible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Goodwill is assigned to reporting units of our operating segments. A portion of the Hughes segment goodwill was attributed to the Hughes Retail Group as if the Hughes Retail Group had been a separate reporting unit at June 8, 2011, the date EchoStar completed the acquisition of Hughes Communications, Inc. Approximately $260.0 million of the $504.2 million Hughes segment goodwill was attributed to the Hughes Retail Group.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for the Hughes Retail Group consisted of the following:</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As of</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2016</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2015</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Carrying</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Carrying</w:t>
            </w:r>
          </w:p>
        </w:tc>
      </w:tr>
      <w:tr>
        <w:trPr>
          <w:trHeight w:val="234"/>
        </w:trPr>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30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Amount</w:t>
            </w:r>
          </w:p>
        </w:tc>
      </w:tr>
      <w:tr>
        <w:trPr>
          <w:trHeight w:val="27"/>
        </w:trPr>
        <w:tc>
          <w:tcPr>
            <w:tcW w:w="2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8"/>
                <w:szCs w:val="18"/>
                <w:color w:val="auto"/>
                <w:w w:val="90"/>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15,440</w:t>
            </w:r>
          </w:p>
        </w:tc>
      </w:tr>
      <w:tr>
        <w:trPr>
          <w:trHeight w:val="243"/>
        </w:trPr>
        <w:tc>
          <w:tcPr>
            <w:tcW w:w="2860" w:type="dxa"/>
            <w:vAlign w:val="bottom"/>
          </w:tcPr>
          <w:p>
            <w:pPr>
              <w:ind w:left="40"/>
              <w:spacing w:after="0"/>
              <w:rPr>
                <w:sz w:val="20"/>
                <w:szCs w:val="20"/>
                <w:color w:val="auto"/>
              </w:rPr>
            </w:pPr>
            <w:r>
              <w:rPr>
                <w:rFonts w:ascii="Arial" w:cs="Arial" w:eastAsia="Arial" w:hAnsi="Arial"/>
                <w:sz w:val="18"/>
                <w:szCs w:val="18"/>
                <w:color w:val="auto"/>
              </w:rPr>
              <w:t>Technology-based</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3,590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(17,951)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5,549</w:t>
            </w:r>
          </w:p>
        </w:tc>
      </w:tr>
      <w:tr>
        <w:trPr>
          <w:trHeight w:val="27"/>
        </w:trPr>
        <w:tc>
          <w:tcPr>
            <w:tcW w:w="2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portfolio</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10,499</w:t>
            </w:r>
          </w:p>
        </w:tc>
      </w:tr>
      <w:tr>
        <w:trPr>
          <w:trHeight w:val="237"/>
        </w:trPr>
        <w:tc>
          <w:tcPr>
            <w:tcW w:w="2860" w:type="dxa"/>
            <w:vAlign w:val="bottom"/>
          </w:tcPr>
          <w:p>
            <w:pPr>
              <w:ind w:left="180"/>
              <w:spacing w:after="0"/>
              <w:rPr>
                <w:sz w:val="20"/>
                <w:szCs w:val="20"/>
                <w:color w:val="auto"/>
              </w:rPr>
            </w:pPr>
            <w:r>
              <w:rPr>
                <w:rFonts w:ascii="Arial" w:cs="Arial" w:eastAsia="Arial" w:hAnsi="Arial"/>
                <w:sz w:val="18"/>
                <w:szCs w:val="18"/>
                <w:color w:val="auto"/>
              </w:rPr>
              <w:t>Total other intangible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(158,775)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23,445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182,220</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(150,732)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31,488</w:t>
            </w:r>
          </w:p>
        </w:tc>
      </w:tr>
      <w:tr>
        <w:trPr>
          <w:trHeight w:val="27"/>
        </w:trPr>
        <w:tc>
          <w:tcPr>
            <w:tcW w:w="2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Customer relationships are amortized predominantly in relation to the expected contribution of cash flow to the business over the life of the intangible asset. Other intangible assets are amortized on a straight-line basis over the periods the assets are expected to contribute to our cash flows. Amortization expense was $4.0 million and $4.9 million for the three months ended June 30, 2016 and 2015, respectively, and $8.0 million and $9.8 million for the six months ended June 30, 2016 and 2015, respectively.</w:t>
      </w:r>
    </w:p>
    <w:p>
      <w:pPr>
        <w:spacing w:after="0" w:line="18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Income Taxes</w:t>
      </w:r>
    </w:p>
    <w:p>
      <w:pPr>
        <w:spacing w:after="0" w:line="2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establish a provision for income taxes currently payable or receivable and for income tax amounts deferred to future periods based upon a separate return allocation method which results in income tax expense that approximates the expense that would result if the Hughes Retail Group was a stand-alone entity. Deferred tax assets and liabilities are recorded for the estimated future tax effects of differences that exist between the financial reporting carrying amount and tax bases of assets and liabilities. Deferred tax assets are offset by valuation allowances when we determine it is more likely than not that such deferred tax assets will not be realized in the foreseeable future.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NOTES TO CONDENSED ATTRIBUTED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Equity/ Attributed Net Assets</w:t>
      </w:r>
    </w:p>
    <w:p>
      <w:pPr>
        <w:spacing w:after="0" w:line="2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reported amounts of equity/attributed net assets for the Hughes Retail Group and the HSSC Group represent the excess of attributed assets over attributed liabilities for the respective Groups. The HSSC Group equity reflects EchoStar’s aggregate 71.89% economic interest in the net assets of the Hughes Retail Group, which comprises DISH Network’s 51.89% economic interest in the Hughes Retail Group represented by EchoStar Tracking Stock and EchoStar’s 20.0% retained interest in the Hughes Retail Group.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Hughes Retail Group equity/attributed net assets consisted of attributed paid-in capital and accumulated earnings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As of</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600" w:type="dxa"/>
            <w:vAlign w:val="bottom"/>
          </w:tcPr>
          <w:p>
            <w:pPr>
              <w:jc w:val="right"/>
              <w:ind w:right="35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80" w:type="dxa"/>
            <w:vAlign w:val="bottom"/>
            <w:gridSpan w:val="4"/>
          </w:tcPr>
          <w:p>
            <w:pPr>
              <w:jc w:val="right"/>
              <w:ind w:right="129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Attributed paid-in-capital</w:t>
            </w:r>
          </w:p>
        </w:tc>
        <w:tc>
          <w:tcPr>
            <w:tcW w:w="30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456,122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456,122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Attributed accumulated earnings (deficit):</w:t>
            </w:r>
          </w:p>
        </w:tc>
        <w:tc>
          <w:tcPr>
            <w:tcW w:w="2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Periods prior to March 1, 2014</w:t>
            </w:r>
          </w:p>
        </w:tc>
        <w:tc>
          <w:tcPr>
            <w:tcW w:w="2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33,395</w:t>
            </w:r>
          </w:p>
        </w:tc>
        <w:tc>
          <w:tcPr>
            <w:tcW w:w="0" w:type="dxa"/>
            <w:vAlign w:val="bottom"/>
          </w:tcPr>
          <w:p>
            <w:pPr>
              <w:spacing w:after="0"/>
              <w:rPr>
                <w:sz w:val="1"/>
                <w:szCs w:val="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Periods beginning March 1, 2014</w:t>
            </w:r>
          </w:p>
        </w:tc>
        <w:tc>
          <w:tcPr>
            <w:tcW w:w="2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(47,414)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(43,819)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Total equity/ attributed net assets</w:t>
            </w:r>
          </w:p>
        </w:tc>
        <w:tc>
          <w:tcPr>
            <w:tcW w:w="27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442,103</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445,698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720" w:type="dxa"/>
            <w:vAlign w:val="bottom"/>
            <w:vMerge w:val="restart"/>
          </w:tcPr>
          <w:p>
            <w:pPr>
              <w:jc w:val="right"/>
              <w:ind w:right="1230"/>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72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00"/>
      </w:cols>
      <w:pgMar w:left="240" w:top="12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Roman"/>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lowerRoman"/>
      <w:start w:val="3"/>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lowerRoman"/>
      <w:start w:val="3"/>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upperLetter"/>
      <w:start w:val="8"/>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2019-12-29T10:52:12Z</dcterms:created>
  <dcterms:modified xsi:type="dcterms:W3CDTF">2019-12-29T10:52:12Z</dcterms:modified>
</cp:coreProperties>
</file>