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07"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75" w:lineRule="exact"/>
        <w:rPr>
          <w:sz w:val="24"/>
          <w:szCs w:val="24"/>
          <w:color w:val="auto"/>
        </w:rPr>
      </w:pPr>
    </w:p>
    <w:p>
      <w:pPr>
        <w:ind w:left="2860" w:right="2319" w:hanging="2810"/>
        <w:spacing w:after="0" w:line="400" w:lineRule="auto"/>
        <w:tabs>
          <w:tab w:leader="none" w:pos="247"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5" w:lineRule="exact"/>
        <w:rPr>
          <w:sz w:val="24"/>
          <w:szCs w:val="24"/>
          <w:color w:val="auto"/>
        </w:rPr>
      </w:pPr>
    </w:p>
    <w:p>
      <w:pPr>
        <w:ind w:left="240" w:hanging="190"/>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23" w:lineRule="exact"/>
        <w:rPr>
          <w:sz w:val="24"/>
          <w:szCs w:val="24"/>
          <w:color w:val="auto"/>
        </w:rPr>
      </w:pPr>
    </w:p>
    <w:p>
      <w:pPr>
        <w:ind w:left="2160"/>
        <w:spacing w:after="0"/>
        <w:tabs>
          <w:tab w:leader="none" w:pos="5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001-33807</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456"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4180" w:type="dxa"/>
            <w:vAlign w:val="bottom"/>
          </w:tcPr>
          <w:p>
            <w:pPr>
              <w:jc w:val="center"/>
              <w:ind w:right="857"/>
              <w:spacing w:after="0"/>
              <w:rPr>
                <w:sz w:val="20"/>
                <w:szCs w:val="20"/>
                <w:color w:val="auto"/>
              </w:rPr>
            </w:pPr>
            <w:r>
              <w:rPr>
                <w:rFonts w:ascii="Arial" w:cs="Arial" w:eastAsia="Arial" w:hAnsi="Arial"/>
                <w:sz w:val="13"/>
                <w:szCs w:val="13"/>
                <w:b w:val="1"/>
                <w:bCs w:val="1"/>
                <w:color w:val="auto"/>
                <w:w w:val="99"/>
              </w:rPr>
              <w:t>Nevada</w:t>
            </w:r>
          </w:p>
        </w:tc>
        <w:tc>
          <w:tcPr>
            <w:tcW w:w="2860" w:type="dxa"/>
            <w:vAlign w:val="bottom"/>
          </w:tcPr>
          <w:p>
            <w:pPr>
              <w:jc w:val="right"/>
              <w:ind w:right="577"/>
              <w:spacing w:after="0"/>
              <w:rPr>
                <w:sz w:val="20"/>
                <w:szCs w:val="20"/>
                <w:color w:val="auto"/>
              </w:rPr>
            </w:pPr>
            <w:r>
              <w:rPr>
                <w:rFonts w:ascii="Arial" w:cs="Arial" w:eastAsia="Arial" w:hAnsi="Arial"/>
                <w:sz w:val="13"/>
                <w:szCs w:val="13"/>
                <w:b w:val="1"/>
                <w:bCs w:val="1"/>
                <w:color w:val="auto"/>
              </w:rPr>
              <w:t>26-1232727</w:t>
            </w: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39"/>
        </w:trPr>
        <w:tc>
          <w:tcPr>
            <w:tcW w:w="4180" w:type="dxa"/>
            <w:vAlign w:val="bottom"/>
          </w:tcPr>
          <w:p>
            <w:pPr>
              <w:jc w:val="center"/>
              <w:ind w:right="877"/>
              <w:spacing w:after="0"/>
              <w:rPr>
                <w:sz w:val="20"/>
                <w:szCs w:val="20"/>
                <w:color w:val="auto"/>
              </w:rPr>
            </w:pPr>
            <w:r>
              <w:rPr>
                <w:rFonts w:ascii="Arial" w:cs="Arial" w:eastAsia="Arial" w:hAnsi="Arial"/>
                <w:sz w:val="13"/>
                <w:szCs w:val="13"/>
                <w:b w:val="1"/>
                <w:bCs w:val="1"/>
                <w:color w:val="auto"/>
                <w:w w:val="97"/>
              </w:rPr>
              <w:t>9601 South Meridian Boulevard</w:t>
            </w:r>
          </w:p>
        </w:tc>
        <w:tc>
          <w:tcPr>
            <w:tcW w:w="286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auto"/>
              </w:rPr>
              <w:t>80112</w:t>
            </w:r>
          </w:p>
        </w:tc>
        <w:tc>
          <w:tcPr>
            <w:tcW w:w="0" w:type="dxa"/>
            <w:vAlign w:val="bottom"/>
          </w:tcPr>
          <w:p>
            <w:pPr>
              <w:spacing w:after="0"/>
              <w:rPr>
                <w:sz w:val="1"/>
                <w:szCs w:val="1"/>
                <w:color w:val="auto"/>
              </w:rPr>
            </w:pPr>
          </w:p>
        </w:tc>
      </w:tr>
      <w:tr>
        <w:trPr>
          <w:trHeight w:val="135"/>
        </w:trPr>
        <w:tc>
          <w:tcPr>
            <w:tcW w:w="418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7"/>
              </w:rPr>
              <w:t>Englewood, Colorado</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7"/>
              </w:rPr>
              <w:t>(Address of principal executive offices)</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(303) 723-1000</w:t>
      </w: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Title of each class</w:t>
            </w:r>
          </w:p>
        </w:tc>
        <w:tc>
          <w:tcPr>
            <w:tcW w:w="2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Trading</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Symbol(s)</w:t>
            </w:r>
          </w:p>
        </w:tc>
        <w:tc>
          <w:tcPr>
            <w:tcW w:w="3500" w:type="dxa"/>
            <w:vAlign w:val="bottom"/>
          </w:tcPr>
          <w:p>
            <w:pPr>
              <w:spacing w:after="0"/>
              <w:rPr>
                <w:sz w:val="13"/>
                <w:szCs w:val="13"/>
                <w:color w:val="auto"/>
              </w:rPr>
            </w:pPr>
          </w:p>
        </w:tc>
      </w:tr>
      <w:tr>
        <w:trPr>
          <w:trHeight w:val="159"/>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Class A common stock, $0.001 par value</w:t>
            </w:r>
          </w:p>
        </w:tc>
        <w:tc>
          <w:tcPr>
            <w:tcW w:w="180" w:type="dxa"/>
            <w:vAlign w:val="bottom"/>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SATS</w:t>
            </w:r>
          </w:p>
        </w:tc>
        <w:tc>
          <w:tcPr>
            <w:tcW w:w="2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86" w:lineRule="exact"/>
        <w:rPr>
          <w:sz w:val="24"/>
          <w:szCs w:val="24"/>
          <w:color w:val="auto"/>
        </w:rPr>
      </w:pPr>
    </w:p>
    <w:p>
      <w:pPr>
        <w:jc w:val="both"/>
        <w:ind w:left="60" w:right="59" w:hanging="12"/>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87" w:lineRule="exact"/>
        <w:rPr>
          <w:sz w:val="24"/>
          <w:szCs w:val="24"/>
          <w:color w:val="auto"/>
        </w:rPr>
      </w:pPr>
    </w:p>
    <w:p>
      <w:pPr>
        <w:ind w:left="60" w:right="399" w:hanging="8"/>
        <w:spacing w:after="0" w:line="25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60" w:right="259" w:hanging="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40" w:lineRule="exact"/>
        <w:rPr>
          <w:sz w:val="24"/>
          <w:szCs w:val="24"/>
          <w:color w:val="auto"/>
        </w:rPr>
      </w:pPr>
    </w:p>
    <w:p>
      <w:pPr>
        <w:ind w:left="15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820" w:space="60"/>
            <w:col w:w="2580" w:space="720"/>
            <w:col w:w="900" w:space="80"/>
            <w:col w:w="1859"/>
          </w:cols>
          <w:pgMar w:left="1440" w:top="661" w:right="1440" w:bottom="1440" w:gutter="0" w:footer="0" w:header="0"/>
          <w:type w:val="continuous"/>
        </w:sectPr>
      </w:pPr>
    </w:p>
    <w:p>
      <w:pPr>
        <w:spacing w:after="0" w:line="29"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780" w:space="60"/>
            <w:col w:w="2320" w:space="720"/>
            <w:col w:w="1500" w:space="80"/>
            <w:col w:w="1559"/>
          </w:cols>
          <w:pgMar w:left="1440" w:top="661" w:right="1440" w:bottom="1440" w:gutter="0" w:footer="0" w:header="0"/>
          <w:type w:val="continuous"/>
        </w:sectPr>
      </w:pPr>
    </w:p>
    <w:p>
      <w:pPr>
        <w:spacing w:after="0" w:line="29" w:lineRule="exact"/>
        <w:rPr>
          <w:sz w:val="24"/>
          <w:szCs w:val="24"/>
          <w:color w:val="auto"/>
        </w:rPr>
      </w:pPr>
    </w:p>
    <w:p>
      <w:pPr>
        <w:ind w:left="58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52" w:lineRule="exact"/>
        <w:rPr>
          <w:sz w:val="24"/>
          <w:szCs w:val="24"/>
          <w:color w:val="auto"/>
        </w:rPr>
      </w:pPr>
    </w:p>
    <w:p>
      <w:pPr>
        <w:sectPr>
          <w:pgSz w:w="11900" w:h="16838" w:orient="portrait"/>
          <w:cols w:equalWidth="0" w:num="2">
            <w:col w:w="7380" w:space="80"/>
            <w:col w:w="1559"/>
          </w:cols>
          <w:pgMar w:left="1440" w:top="661" w:right="1440" w:bottom="1440" w:gutter="0" w:footer="0" w:header="0"/>
          <w:type w:val="continuous"/>
        </w:sectPr>
      </w:pPr>
    </w:p>
    <w:p>
      <w:pPr>
        <w:ind w:left="60" w:right="339" w:hanging="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left="60" w:right="159" w:hanging="8"/>
        <w:spacing w:after="0" w:line="243" w:lineRule="auto"/>
        <w:rPr>
          <w:sz w:val="20"/>
          <w:szCs w:val="20"/>
          <w:color w:val="auto"/>
        </w:rPr>
      </w:pPr>
      <w:r>
        <w:rPr>
          <w:rFonts w:ascii="Arial" w:cs="Arial" w:eastAsia="Arial" w:hAnsi="Arial"/>
          <w:sz w:val="13"/>
          <w:szCs w:val="13"/>
          <w:color w:val="auto"/>
        </w:rPr>
        <w:t>As of July 24, 2025, the registrant’s outstanding common stock consisted of 156,367,964 shares of Class A common stock and 131,348,468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60" w:type="dxa"/>
            <w:vAlign w:val="bottom"/>
            <w:gridSpan w:val="12"/>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PART I — FINANCIAL INFORMATION</w:t>
            </w:r>
          </w:p>
        </w:tc>
        <w:tc>
          <w:tcPr>
            <w:tcW w:w="2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Disclosure Regarding Forward-Looking Statements</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Financial Statements</w:t>
            </w:r>
          </w:p>
        </w:tc>
        <w:tc>
          <w:tcPr>
            <w:tcW w:w="338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Consolidated Balance Sheets</w:t>
            </w:r>
          </w:p>
        </w:tc>
        <w:tc>
          <w:tcPr>
            <w:tcW w:w="4120" w:type="dxa"/>
            <w:vAlign w:val="bottom"/>
            <w:gridSpan w:val="11"/>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Condensed Consolidated Statements of Cash Flows</w:t>
            </w:r>
          </w:p>
        </w:tc>
        <w:tc>
          <w:tcPr>
            <w:tcW w:w="328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980" w:type="dxa"/>
            <w:vAlign w:val="bottom"/>
            <w:gridSpan w:val="8"/>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6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6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6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00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2800" w:type="dxa"/>
            <w:vAlign w:val="bottom"/>
            <w:tcBorders>
              <w:top w:val="single" w:sz="8" w:color="0000EE"/>
            </w:tcBorders>
            <w:gridSpan w:val="7"/>
          </w:tcPr>
          <w:p>
            <w:pPr>
              <w:spacing w:after="0"/>
              <w:rPr>
                <w:sz w:val="24"/>
                <w:szCs w:val="24"/>
                <w:color w:val="auto"/>
              </w:rPr>
            </w:pPr>
          </w:p>
        </w:tc>
        <w:tc>
          <w:tcPr>
            <w:tcW w:w="2660" w:type="dxa"/>
            <w:vAlign w:val="bottom"/>
            <w:gridSpan w:val="6"/>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6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986"/>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jc w:val="both"/>
        <w:ind w:left="60" w:right="259" w:hanging="7"/>
        <w:spacing w:after="0" w:line="247" w:lineRule="auto"/>
        <w:rPr>
          <w:sz w:val="20"/>
          <w:szCs w:val="20"/>
          <w:color w:val="auto"/>
        </w:rPr>
      </w:pPr>
      <w:r>
        <w:rPr>
          <w:rFonts w:ascii="Arial" w:cs="Arial" w:eastAsia="Arial" w:hAnsi="Arial"/>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wholly-owned, indirect subsidiary of DISH Network, and its subsidiaries.</w:t>
      </w:r>
    </w:p>
    <w:p>
      <w:pPr>
        <w:spacing w:after="0" w:line="174" w:lineRule="exact"/>
        <w:rPr>
          <w:sz w:val="20"/>
          <w:szCs w:val="20"/>
          <w:color w:val="auto"/>
        </w:rPr>
      </w:pPr>
    </w:p>
    <w:p>
      <w:pPr>
        <w:ind w:left="60" w:right="139" w:hanging="7"/>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Relating to the Pending FCC Review</w:t>
      </w:r>
    </w:p>
    <w:p>
      <w:pPr>
        <w:spacing w:after="0" w:line="198" w:lineRule="exact"/>
        <w:rPr>
          <w:sz w:val="20"/>
          <w:szCs w:val="20"/>
          <w:color w:val="auto"/>
        </w:rPr>
      </w:pPr>
    </w:p>
    <w:p>
      <w:pPr>
        <w:ind w:left="720" w:right="27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 response to the uncertainty created by the FCC inquiries, we may take one or more significant actions in order to protect our interest in our Wireless Licenses and other assets, which actions could negatively impact your investment.</w:t>
      </w:r>
    </w:p>
    <w:p>
      <w:pPr>
        <w:spacing w:after="0" w:line="157" w:lineRule="exact"/>
        <w:rPr>
          <w:rFonts w:ascii="Times New Roman" w:cs="Times New Roman" w:eastAsia="Times New Roman" w:hAnsi="Times New Roman"/>
          <w:sz w:val="18"/>
          <w:szCs w:val="18"/>
          <w:color w:val="auto"/>
        </w:rPr>
      </w:pPr>
    </w:p>
    <w:p>
      <w:pPr>
        <w:ind w:left="720" w:right="559" w:hanging="319"/>
        <w:spacing w:after="0" w:line="270"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FCC’s review of our compliance with network build-out requirements could lead to the loss or impairment of certain of our existing spectrum licenses.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198" w:lineRule="exact"/>
        <w:rPr>
          <w:sz w:val="20"/>
          <w:szCs w:val="20"/>
          <w:color w:val="auto"/>
        </w:rPr>
      </w:pPr>
    </w:p>
    <w:p>
      <w:pPr>
        <w:ind w:left="720" w:right="1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63"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40" w:lineRule="exact"/>
        <w:rPr>
          <w:rFonts w:ascii="Times New Roman" w:cs="Times New Roman" w:eastAsia="Times New Roman" w:hAnsi="Times New Roman"/>
          <w:sz w:val="18"/>
          <w:szCs w:val="18"/>
          <w:color w:val="auto"/>
        </w:rPr>
      </w:pPr>
    </w:p>
    <w:p>
      <w:pPr>
        <w:ind w:left="720" w:right="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117" w:lineRule="exact"/>
        <w:rPr>
          <w:rFonts w:ascii="Times New Roman" w:cs="Times New Roman" w:eastAsia="Times New Roman" w:hAnsi="Times New Roman"/>
          <w:sz w:val="17"/>
          <w:szCs w:val="17"/>
          <w:color w:val="auto"/>
        </w:rPr>
      </w:pPr>
    </w:p>
    <w:p>
      <w:pPr>
        <w:ind w:left="720" w:right="79" w:hanging="319"/>
        <w:spacing w:after="0" w:line="243"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in part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41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partially rely on to provide wireless services to our customers, and they may seek to limit, reduce or terminate our network access to the extent that it becomes competitively advantageous to do so.</w:t>
      </w:r>
    </w:p>
    <w:p>
      <w:pPr>
        <w:spacing w:after="0" w:line="157"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198" w:lineRule="exact"/>
        <w:rPr>
          <w:sz w:val="20"/>
          <w:szCs w:val="20"/>
          <w:color w:val="auto"/>
        </w:rPr>
      </w:pPr>
    </w:p>
    <w:p>
      <w:pPr>
        <w:ind w:left="720" w:right="15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40"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57"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57"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57" w:lineRule="exact"/>
        <w:rPr>
          <w:rFonts w:ascii="Times New Roman" w:cs="Times New Roman" w:eastAsia="Times New Roman" w:hAnsi="Times New Roman"/>
          <w:sz w:val="18"/>
          <w:szCs w:val="18"/>
          <w:color w:val="auto"/>
        </w:rPr>
      </w:pPr>
    </w:p>
    <w:p>
      <w:pPr>
        <w:ind w:left="720" w:right="21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trade policies, including, but not limited to, tariffs and other restrictions, could increase, among other things, our costs, disrupt our supply chain and negatively affect our business, operations and financial condition.</w:t>
      </w:r>
    </w:p>
    <w:p>
      <w:pPr>
        <w:spacing w:after="0" w:line="157" w:lineRule="exact"/>
        <w:rPr>
          <w:rFonts w:ascii="Times New Roman" w:cs="Times New Roman" w:eastAsia="Times New Roman" w:hAnsi="Times New Roman"/>
          <w:sz w:val="18"/>
          <w:szCs w:val="18"/>
          <w:color w:val="auto"/>
        </w:rPr>
      </w:pPr>
    </w:p>
    <w:p>
      <w:pPr>
        <w:ind w:left="720" w:right="123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198" w:lineRule="exact"/>
        <w:rPr>
          <w:sz w:val="20"/>
          <w:szCs w:val="20"/>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57"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198" w:lineRule="exact"/>
        <w:rPr>
          <w:sz w:val="20"/>
          <w:szCs w:val="20"/>
          <w:color w:val="auto"/>
        </w:rPr>
      </w:pPr>
    </w:p>
    <w:p>
      <w:pPr>
        <w:ind w:left="720" w:right="6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154" w:lineRule="exact"/>
        <w:rPr>
          <w:rFonts w:ascii="Times New Roman" w:cs="Times New Roman" w:eastAsia="Times New Roman" w:hAnsi="Times New Roman"/>
          <w:sz w:val="18"/>
          <w:szCs w:val="18"/>
          <w:color w:val="auto"/>
        </w:rPr>
      </w:pPr>
    </w:p>
    <w:p>
      <w:pPr>
        <w:ind w:left="720" w:right="779" w:hanging="319"/>
        <w:spacing w:after="0" w:line="300" w:lineRule="auto"/>
        <w:tabs>
          <w:tab w:leader="none" w:pos="72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15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12" w:lineRule="exact"/>
        <w:rPr>
          <w:sz w:val="20"/>
          <w:szCs w:val="20"/>
          <w:color w:val="auto"/>
        </w:rPr>
      </w:pPr>
    </w:p>
    <w:p>
      <w:pPr>
        <w:ind w:left="720" w:right="99" w:hanging="319"/>
        <w:spacing w:after="0" w:line="246"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76"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12" w:lineRule="exact"/>
        <w:rPr>
          <w:sz w:val="20"/>
          <w:szCs w:val="20"/>
          <w:color w:val="auto"/>
        </w:rPr>
      </w:pPr>
    </w:p>
    <w:p>
      <w:pPr>
        <w:ind w:left="720" w:right="15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70" w:lineRule="exact"/>
        <w:rPr>
          <w:rFonts w:ascii="Times New Roman" w:cs="Times New Roman" w:eastAsia="Times New Roman" w:hAnsi="Times New Roman"/>
          <w:sz w:val="18"/>
          <w:szCs w:val="18"/>
          <w:color w:val="auto"/>
        </w:rPr>
      </w:pPr>
    </w:p>
    <w:p>
      <w:pPr>
        <w:ind w:left="720" w:right="279" w:hanging="319"/>
        <w:spacing w:after="0" w:line="300" w:lineRule="auto"/>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131" w:lineRule="exact"/>
        <w:rPr>
          <w:rFonts w:ascii="Times New Roman" w:cs="Times New Roman" w:eastAsia="Times New Roman" w:hAnsi="Times New Roman"/>
          <w:sz w:val="17"/>
          <w:szCs w:val="17"/>
          <w:color w:val="auto"/>
        </w:rPr>
      </w:pPr>
    </w:p>
    <w:p>
      <w:pPr>
        <w:ind w:left="720" w:right="39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76"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154" w:lineRule="exact"/>
        <w:rPr>
          <w:rFonts w:ascii="Times New Roman" w:cs="Times New Roman" w:eastAsia="Times New Roman" w:hAnsi="Times New Roman"/>
          <w:sz w:val="18"/>
          <w:szCs w:val="18"/>
          <w:color w:val="auto"/>
        </w:rPr>
      </w:pPr>
    </w:p>
    <w:p>
      <w:pPr>
        <w:ind w:left="720" w:right="17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or at all, to fund current obligations, to continue investing in our business and to finance acquisitions and other strategic transactions.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are controlled by one principal stockholder who is our Chairman.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12" w:lineRule="exact"/>
        <w:rPr>
          <w:sz w:val="20"/>
          <w:szCs w:val="20"/>
          <w:color w:val="auto"/>
        </w:rPr>
      </w:pPr>
    </w:p>
    <w:p>
      <w:pPr>
        <w:ind w:left="720" w:right="3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54" w:lineRule="exact"/>
        <w:rPr>
          <w:sz w:val="20"/>
          <w:szCs w:val="20"/>
          <w:color w:val="auto"/>
        </w:rPr>
      </w:pPr>
    </w:p>
    <w:p>
      <w:pPr>
        <w:jc w:val="both"/>
        <w:ind w:left="60" w:right="59" w:hanging="7"/>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Quarterly Report on Form 10-Q and in Part I, Item 1A of our most recent Annual Report on Form 10-K (the “10-K”) filed with the Securities and Exchange Commission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7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1120"/>
              <w:spacing w:after="0"/>
              <w:rPr>
                <w:sz w:val="20"/>
                <w:szCs w:val="20"/>
                <w:color w:val="auto"/>
              </w:rPr>
            </w:pPr>
            <w:r>
              <w:rPr>
                <w:rFonts w:ascii="Arial" w:cs="Arial" w:eastAsia="Arial" w:hAnsi="Arial"/>
                <w:sz w:val="13"/>
                <w:szCs w:val="13"/>
                <w:b w:val="1"/>
                <w:bCs w:val="1"/>
                <w:color w:val="auto"/>
                <w:w w:val="92"/>
              </w:rPr>
              <w:t>As of</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ind w:left="200"/>
              <w:spacing w:after="0" w:line="117"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240" w:type="dxa"/>
            <w:vAlign w:val="bottom"/>
          </w:tcPr>
          <w:p>
            <w:pPr>
              <w:jc w:val="right"/>
              <w:ind w:right="237"/>
              <w:spacing w:after="0" w:line="117"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2025</w:t>
            </w:r>
          </w:p>
        </w:tc>
        <w:tc>
          <w:tcPr>
            <w:tcW w:w="2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Assets: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2,345,085</w:t>
            </w:r>
          </w:p>
        </w:tc>
        <w:tc>
          <w:tcPr>
            <w:tcW w:w="26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4,305,393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restricted cash, cash equivalents and marketable investment securities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184,012</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150,898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Marketable investment securities</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1,988,001</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1,242,036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6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Trade accounts receivable, net of allowance for credit losses of $98,231 and $82,628,</w:t>
            </w: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respectively</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1,158,592</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1,198,731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Inventory</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375,118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455,197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Prepaids and other assets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771,171</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655,233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94,247</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88,255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6,916,226</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8,095,743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Noncurrent Assets: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Restricted cash, cash equivalents and marketable investment securities</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176,004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169,627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Property and equipment, net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8,773,656</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9,187,132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Regulatory authorizations, net</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40,029,923</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39,442,166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investments, net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191,792</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202,327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Operating lease assets</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3,218,062</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3,260,768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Intangible assets, net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66,903</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Other noncurrent assets, net</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509,831</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505,985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noncurrent assets</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52,966,171</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52,842,944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assets</w:t>
            </w:r>
          </w:p>
        </w:tc>
        <w:tc>
          <w:tcPr>
            <w:tcW w:w="260" w:type="dxa"/>
            <w:vAlign w:val="bottom"/>
            <w:tcBorders>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59,882,397</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60,938,687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57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760" w:type="dxa"/>
            <w:vAlign w:val="bottom"/>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Trade accounts payable</w:t>
            </w:r>
          </w:p>
        </w:tc>
        <w:tc>
          <w:tcPr>
            <w:tcW w:w="2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745,587</w:t>
            </w:r>
          </w:p>
        </w:tc>
        <w:tc>
          <w:tcPr>
            <w:tcW w:w="260" w:type="dxa"/>
            <w:vAlign w:val="bottom"/>
          </w:tcPr>
          <w:p>
            <w:pPr>
              <w:spacing w:after="0"/>
              <w:rPr>
                <w:sz w:val="11"/>
                <w:szCs w:val="11"/>
                <w:color w:val="auto"/>
              </w:rPr>
            </w:pPr>
          </w:p>
        </w:tc>
        <w:tc>
          <w:tcPr>
            <w:tcW w:w="200" w:type="dxa"/>
            <w:vAlign w:val="bottom"/>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740,984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revenue and other</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638,989</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650,940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Accrued programming</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1,251,114</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1,339,072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interest</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308,917</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352,499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Other accrued expenses and liabilities</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1,675,958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1,804,516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Current portion of debt, finance lease and other obligations (Note 9)</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1,053,230</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943,029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5,673,795</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5,831,040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Long-Term Obligations, Net of Current Portion:</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debt, finance lease and other obligations, net of current portion (Note 9)</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25,401,688</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25,660,288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Deferred tax liabilities, net</w:t>
            </w:r>
          </w:p>
        </w:tc>
        <w:tc>
          <w:tcPr>
            <w:tcW w:w="26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4,809,572</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4,988,653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Operating lease liabilities</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3,178,737</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3,211,407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Long-term deferred revenue and other long-term liabilities</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1,027,111</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1,002,074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long-term obligations, net of current portion</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34,417,108</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34,862,422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liabilities</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40,090,903</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40,693,462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10)</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Stockholders’ Equity (Deficit):</w:t>
            </w: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6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Class A common stock, $0.001 par value, 1,600,000,000 shares authorized, 156,299,276</w:t>
            </w:r>
          </w:p>
        </w:tc>
        <w:tc>
          <w:tcPr>
            <w:tcW w:w="2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and 155,048,676 shares issued and outstanding, respectively</w:t>
            </w:r>
          </w:p>
        </w:tc>
        <w:tc>
          <w:tcPr>
            <w:tcW w:w="26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60" w:type="dxa"/>
            <w:vAlign w:val="bottom"/>
          </w:tcPr>
          <w:p>
            <w:pPr>
              <w:ind w:left="120"/>
              <w:spacing w:after="0" w:line="117" w:lineRule="exact"/>
              <w:rPr>
                <w:sz w:val="20"/>
                <w:szCs w:val="20"/>
                <w:color w:val="auto"/>
              </w:rPr>
            </w:pPr>
            <w:r>
              <w:rPr>
                <w:rFonts w:ascii="Arial" w:cs="Arial" w:eastAsia="Arial" w:hAnsi="Arial"/>
                <w:sz w:val="13"/>
                <w:szCs w:val="13"/>
                <w:color w:val="auto"/>
              </w:rPr>
              <w:t>Class B common stock, $0.001 par value, 800,000,000 shares authorized, 131,348,468</w:t>
            </w: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60" w:type="dxa"/>
            <w:vAlign w:val="bottom"/>
          </w:tcPr>
          <w:p>
            <w:pPr>
              <w:ind w:left="120"/>
              <w:spacing w:after="0"/>
              <w:rPr>
                <w:sz w:val="20"/>
                <w:szCs w:val="20"/>
                <w:color w:val="auto"/>
              </w:rPr>
            </w:pPr>
            <w:r>
              <w:rPr>
                <w:rFonts w:ascii="Arial" w:cs="Arial" w:eastAsia="Arial" w:hAnsi="Arial"/>
                <w:sz w:val="13"/>
                <w:szCs w:val="13"/>
                <w:color w:val="auto"/>
              </w:rPr>
              <w:t>shares issued and outstanding</w:t>
            </w:r>
          </w:p>
        </w:tc>
        <w:tc>
          <w:tcPr>
            <w:tcW w:w="2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131</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8,809,264</w:t>
            </w: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8,768,360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tcPr>
          <w:p>
            <w:pPr>
              <w:ind w:left="12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260" w:type="dxa"/>
            <w:vAlign w:val="bottom"/>
          </w:tcPr>
          <w:p>
            <w:pPr>
              <w:spacing w:after="0"/>
              <w:rPr>
                <w:sz w:val="11"/>
                <w:szCs w:val="11"/>
                <w:color w:val="auto"/>
              </w:rPr>
            </w:pPr>
          </w:p>
        </w:tc>
        <w:tc>
          <w:tcPr>
            <w:tcW w:w="14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(183,181)</w:t>
            </w:r>
          </w:p>
        </w:tc>
        <w:tc>
          <w:tcPr>
            <w:tcW w:w="200" w:type="dxa"/>
            <w:vAlign w:val="bottom"/>
          </w:tcPr>
          <w:p>
            <w:pPr>
              <w:spacing w:after="0"/>
              <w:rPr>
                <w:sz w:val="11"/>
                <w:szCs w:val="11"/>
                <w:color w:val="auto"/>
              </w:rPr>
            </w:pP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(195,711)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earnings (deficit)</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11,109,636</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11,618,437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EchoStar stockholders’ equity (deficit)</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19,736,006</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20,191,372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shd w:val="clear" w:color="auto" w:fill="CCEEFF"/>
          </w:tcPr>
          <w:p>
            <w:pPr>
              <w:ind w:left="120"/>
              <w:spacing w:after="0" w:line="129" w:lineRule="exact"/>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55,488</w:t>
            </w:r>
          </w:p>
        </w:tc>
        <w:tc>
          <w:tcPr>
            <w:tcW w:w="2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53,853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6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stockholders’ equity (deficit)</w:t>
            </w:r>
          </w:p>
        </w:tc>
        <w:tc>
          <w:tcPr>
            <w:tcW w:w="2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19,791,494</w:t>
            </w:r>
          </w:p>
        </w:tc>
        <w:tc>
          <w:tcPr>
            <w:tcW w:w="2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20,245,225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6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liabilities and stockholders’ equity (deficit)</w:t>
            </w:r>
          </w:p>
        </w:tc>
        <w:tc>
          <w:tcPr>
            <w:tcW w:w="260" w:type="dxa"/>
            <w:vAlign w:val="bottom"/>
            <w:tcBorders>
              <w:bottom w:val="single" w:sz="8" w:color="auto"/>
            </w:tcBorders>
            <w:shd w:val="clear" w:color="auto" w:fill="CCEEFF"/>
          </w:tcPr>
          <w:p>
            <w:pPr>
              <w:jc w:val="right"/>
              <w:ind w:right="117"/>
              <w:spacing w:after="0" w:line="129" w:lineRule="exact"/>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59,882,397</w:t>
            </w:r>
          </w:p>
        </w:tc>
        <w:tc>
          <w:tcPr>
            <w:tcW w:w="2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60,938,687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9"/>
              </w:rPr>
              <w:t>For the Three Months Ended</w:t>
            </w:r>
          </w:p>
        </w:tc>
        <w:tc>
          <w:tcPr>
            <w:tcW w:w="20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Revenue:</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Service revenue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3,540,107</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3,742,086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7,146,263</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7,561,755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Equipment sales and other revenue</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184,852</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210,665</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448,454</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405,839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revenue</w:t>
            </w: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3,724,959</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3,952,751</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7,594,717</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7,967,594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Costs and Expenses (exclusive of depreciation and amortization):</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Cost of services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2,461,631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2,507,478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4,893,829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5,064,660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Cost of sales - equipment and other</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354,187</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408,093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793,695</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771,176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629,494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595,024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1,227,345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1,219,446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493,055</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507,525</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981,388</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992,925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costs and expenses</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3,938,367</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4,018,120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7,896,257</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8,048,207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Operating income (loss)</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(213,408)</w:t>
            </w: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(65,369)</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(301,540)</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(80,613)</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Other Income (Expense):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income</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65,369</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13,929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130,898</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44,391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Interest expense, net of amounts capitalized (Note 2)</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(279,232)</w:t>
            </w: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(81,166)</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(565,287)</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(180,574)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net (Note 5)</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35,137</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(91,498)</w:t>
            </w: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76,527</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(117,608)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other income (expense)</w:t>
            </w: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(178,726)</w:t>
            </w:r>
          </w:p>
        </w:tc>
        <w:tc>
          <w:tcPr>
            <w:tcW w:w="16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(158,735)</w:t>
            </w:r>
          </w:p>
        </w:tc>
        <w:tc>
          <w:tcPr>
            <w:tcW w:w="16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(357,862)</w:t>
            </w:r>
          </w:p>
        </w:tc>
        <w:tc>
          <w:tcPr>
            <w:tcW w:w="160" w:type="dxa"/>
            <w:vAlign w:val="bottom"/>
            <w:tcBorders>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(253,791)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Income (loss) before income taxes</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(392,134)</w:t>
            </w: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(224,104)</w:t>
            </w:r>
          </w:p>
        </w:tc>
        <w:tc>
          <w:tcPr>
            <w:tcW w:w="20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(659,402)</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(334,404)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tax (provision) benefit, net</w:t>
            </w: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85,290</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16,646</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149,277</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18,571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3"/>
                <w:szCs w:val="13"/>
                <w:color w:val="auto"/>
              </w:rPr>
              <w:t>(306,844)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(207,458)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(510,125)</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(315,833)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8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Less: Net income (loss) attributable to noncontrolling interests, net of</w:t>
            </w: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(712)</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(1,867)</w:t>
            </w: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(1,324)</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280" w:type="dxa"/>
            <w:vAlign w:val="bottom"/>
          </w:tcPr>
          <w:p>
            <w:pPr>
              <w:ind w:left="20"/>
              <w:spacing w:after="0" w:line="129" w:lineRule="exact"/>
              <w:rPr>
                <w:sz w:val="20"/>
                <w:szCs w:val="20"/>
                <w:color w:val="auto"/>
              </w:rPr>
            </w:pPr>
            <w:r>
              <w:rPr>
                <w:rFonts w:ascii="Arial" w:cs="Arial" w:eastAsia="Arial" w:hAnsi="Arial"/>
                <w:sz w:val="13"/>
                <w:szCs w:val="13"/>
                <w:color w:val="auto"/>
              </w:rPr>
              <w:t>Net income (loss) attributable to EchoStar</w:t>
            </w: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(306,132)</w:t>
            </w:r>
          </w:p>
        </w:tc>
        <w:tc>
          <w:tcPr>
            <w:tcW w:w="1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(205,591)</w:t>
            </w:r>
          </w:p>
        </w:tc>
        <w:tc>
          <w:tcPr>
            <w:tcW w:w="16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(508,801)</w:t>
            </w:r>
          </w:p>
        </w:tc>
        <w:tc>
          <w:tcPr>
            <w:tcW w:w="1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(312,967)</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02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0287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p>
      <w:pPr>
        <w:spacing w:after="0" w:line="117" w:lineRule="exact"/>
        <w:rPr>
          <w:sz w:val="20"/>
          <w:szCs w:val="20"/>
          <w:color w:val="auto"/>
        </w:rPr>
      </w:pPr>
    </w:p>
    <w:p>
      <w:pPr>
        <w:ind w:left="60"/>
        <w:spacing w:after="0" w:line="237" w:lineRule="auto"/>
        <w:rPr>
          <w:sz w:val="20"/>
          <w:szCs w:val="20"/>
          <w:color w:val="auto"/>
        </w:rPr>
      </w:pPr>
      <w:r>
        <w:rPr>
          <w:rFonts w:ascii="Arial" w:cs="Arial" w:eastAsia="Arial" w:hAnsi="Arial"/>
          <w:sz w:val="13"/>
          <w:szCs w:val="13"/>
          <w:b w:val="1"/>
          <w:bCs w:val="1"/>
          <w:color w:val="auto"/>
        </w:rPr>
        <w:t>Weighted-average common shares outstanding - Class A and B common stock:</w:t>
      </w:r>
    </w:p>
    <w:p>
      <w:pPr>
        <w:ind w:left="60"/>
        <w:spacing w:after="0"/>
        <w:rPr>
          <w:sz w:val="20"/>
          <w:szCs w:val="20"/>
          <w:color w:val="auto"/>
        </w:rPr>
      </w:pPr>
      <w:r>
        <w:rPr>
          <w:rFonts w:ascii="Arial" w:cs="Arial" w:eastAsia="Arial" w:hAnsi="Arial"/>
          <w:sz w:val="13"/>
          <w:szCs w:val="13"/>
          <w:color w:val="auto"/>
        </w:rPr>
        <w:t>Basic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Diluted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287,505</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271,592</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287,012</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271,555</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287,505</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271,592</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287,012</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271,555</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-222250</wp:posOffset>
            </wp:positionV>
            <wp:extent cx="5648960" cy="93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9398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40" w:space="480"/>
            <w:col w:w="469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15"/>
        </w:trPr>
        <w:tc>
          <w:tcPr>
            <w:tcW w:w="4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Earnings per share - Class A and B common stock:</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Basic net income (loss) per share attributable to EchoStar</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(1.06)</w:t>
            </w: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(0.76)</w:t>
            </w:r>
          </w:p>
        </w:tc>
        <w:tc>
          <w:tcPr>
            <w:tcW w:w="3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(1.77)</w:t>
            </w:r>
          </w:p>
        </w:tc>
        <w:tc>
          <w:tcPr>
            <w:tcW w:w="3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Diluted net income (loss) per share attributable to EchoStar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8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(1.06)</w:t>
            </w:r>
          </w:p>
        </w:tc>
        <w:tc>
          <w:tcPr>
            <w:tcW w:w="160" w:type="dxa"/>
            <w:vAlign w:val="bottom"/>
            <w:tcBorders>
              <w:bottom w:val="single" w:sz="8" w:color="CCEEFF"/>
            </w:tcBorders>
            <w:vMerge w:val="continue"/>
          </w:tcPr>
          <w:p>
            <w:pPr>
              <w:spacing w:after="0"/>
              <w:rPr>
                <w:sz w:val="13"/>
                <w:szCs w:val="13"/>
                <w:color w:val="auto"/>
              </w:rPr>
            </w:pPr>
          </w:p>
        </w:tc>
        <w:tc>
          <w:tcPr>
            <w:tcW w:w="280" w:type="dxa"/>
            <w:vAlign w:val="bottom"/>
            <w:tcBorders>
              <w:bottom w:val="single" w:sz="8" w:color="auto"/>
            </w:tcBorders>
          </w:tcPr>
          <w:p>
            <w:pPr>
              <w:jc w:val="right"/>
              <w:ind w:right="137"/>
              <w:spacing w:after="0" w:line="116"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(0.76)</w:t>
            </w:r>
          </w:p>
        </w:tc>
        <w:tc>
          <w:tcPr>
            <w:tcW w:w="16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jc w:val="right"/>
              <w:ind w:right="157"/>
              <w:spacing w:after="0" w:line="116"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(1.77)</w:t>
            </w:r>
          </w:p>
        </w:tc>
        <w:tc>
          <w:tcPr>
            <w:tcW w:w="160" w:type="dxa"/>
            <w:vAlign w:val="bottom"/>
            <w:tcBorders>
              <w:bottom w:val="single" w:sz="8" w:color="CCEEFF"/>
            </w:tcBorders>
            <w:vMerge w:val="continue"/>
          </w:tcPr>
          <w:p>
            <w:pPr>
              <w:spacing w:after="0"/>
              <w:rPr>
                <w:sz w:val="13"/>
                <w:szCs w:val="13"/>
                <w:color w:val="auto"/>
              </w:rPr>
            </w:pPr>
          </w:p>
        </w:tc>
        <w:tc>
          <w:tcPr>
            <w:tcW w:w="300" w:type="dxa"/>
            <w:vAlign w:val="bottom"/>
            <w:tcBorders>
              <w:bottom w:val="single" w:sz="8" w:color="auto"/>
            </w:tcBorders>
          </w:tcPr>
          <w:p>
            <w:pPr>
              <w:jc w:val="right"/>
              <w:ind w:right="157"/>
              <w:spacing w:after="0" w:line="116"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(1.15)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4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Comprehensive Income (Loss):</w:t>
            </w: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(306,844)</w:t>
            </w: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(207,458)</w:t>
            </w:r>
          </w:p>
        </w:tc>
        <w:tc>
          <w:tcPr>
            <w:tcW w:w="3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(510,125)</w:t>
            </w:r>
          </w:p>
        </w:tc>
        <w:tc>
          <w:tcPr>
            <w:tcW w:w="3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(315,833)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Pr>
          <w:p>
            <w:pPr>
              <w:ind w:left="20"/>
              <w:spacing w:after="0" w:line="129" w:lineRule="exact"/>
              <w:rPr>
                <w:sz w:val="20"/>
                <w:szCs w:val="20"/>
                <w:color w:val="auto"/>
              </w:rPr>
            </w:pPr>
            <w:r>
              <w:rPr>
                <w:rFonts w:ascii="Arial" w:cs="Arial" w:eastAsia="Arial" w:hAnsi="Arial"/>
                <w:sz w:val="13"/>
                <w:szCs w:val="13"/>
                <w:i w:val="1"/>
                <w:iCs w:val="1"/>
                <w:color w:val="auto"/>
              </w:rPr>
              <w:t>Other comprehensive income (loss):</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Foreign currency translation adjustments</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(17,695)</w:t>
            </w: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15,485</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(23,286)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20"/>
              <w:spacing w:after="0" w:line="135" w:lineRule="exact"/>
              <w:rPr>
                <w:sz w:val="20"/>
                <w:szCs w:val="20"/>
                <w:color w:val="auto"/>
              </w:rPr>
            </w:pPr>
            <w:r>
              <w:rPr>
                <w:rFonts w:ascii="Arial" w:cs="Arial" w:eastAsia="Arial" w:hAnsi="Arial"/>
                <w:sz w:val="13"/>
                <w:szCs w:val="13"/>
                <w:color w:val="auto"/>
              </w:rPr>
              <w:t>Unrealized holding gains (losses) on available-for-sale debt securities</w:t>
            </w:r>
          </w:p>
        </w:tc>
        <w:tc>
          <w:tcPr>
            <w:tcW w:w="2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(236)</w:t>
            </w: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w:t>
            </w:r>
          </w:p>
        </w:tc>
        <w:tc>
          <w:tcPr>
            <w:tcW w:w="3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(1,282)</w:t>
            </w:r>
          </w:p>
        </w:tc>
        <w:tc>
          <w:tcPr>
            <w:tcW w:w="3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8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Recognition of previously unrealized (gains) losses on available-for-</w:t>
            </w: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 securities included in net income (loss)</w:t>
            </w:r>
          </w:p>
        </w:tc>
        <w:tc>
          <w:tcPr>
            <w:tcW w:w="2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(129)</w:t>
            </w: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1,128</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120"/>
              <w:spacing w:after="0" w:line="135" w:lineRule="exact"/>
              <w:rPr>
                <w:sz w:val="20"/>
                <w:szCs w:val="20"/>
                <w:color w:val="auto"/>
              </w:rPr>
            </w:pPr>
            <w:r>
              <w:rPr>
                <w:rFonts w:ascii="Arial" w:cs="Arial" w:eastAsia="Arial" w:hAnsi="Arial"/>
                <w:sz w:val="13"/>
                <w:szCs w:val="13"/>
                <w:color w:val="auto"/>
              </w:rPr>
              <w:t>Deferred income tax (expense) benefit, net</w:t>
            </w:r>
          </w:p>
        </w:tc>
        <w:tc>
          <w:tcPr>
            <w:tcW w:w="2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w:t>
            </w: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w:t>
            </w:r>
          </w:p>
        </w:tc>
        <w:tc>
          <w:tcPr>
            <w:tcW w:w="3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158</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5,841</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(17,744)</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15,489</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80" w:type="dxa"/>
            <w:vAlign w:val="bottom"/>
          </w:tcPr>
          <w:p>
            <w:pPr>
              <w:ind w:left="20"/>
              <w:spacing w:after="0" w:line="129" w:lineRule="exact"/>
              <w:rPr>
                <w:sz w:val="20"/>
                <w:szCs w:val="20"/>
                <w:color w:val="auto"/>
              </w:rPr>
            </w:pPr>
            <w:r>
              <w:rPr>
                <w:rFonts w:ascii="Arial" w:cs="Arial" w:eastAsia="Arial" w:hAnsi="Arial"/>
                <w:sz w:val="13"/>
                <w:szCs w:val="13"/>
                <w:color w:val="auto"/>
              </w:rPr>
              <w:t>Comprehensive income (loss)</w:t>
            </w:r>
          </w:p>
        </w:tc>
        <w:tc>
          <w:tcPr>
            <w:tcW w:w="2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(301,003)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Arial" w:cs="Arial" w:eastAsia="Arial" w:hAnsi="Arial"/>
                <w:sz w:val="13"/>
                <w:szCs w:val="13"/>
                <w:color w:val="auto"/>
              </w:rPr>
              <w:t>(225,202)</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(494,636)</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(339,244)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8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Less: Comprehensive income (loss) attributable to noncontrolling</w:t>
            </w:r>
          </w:p>
        </w:tc>
        <w:tc>
          <w:tcPr>
            <w:tcW w:w="2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interests, net of tax</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(5,089)</w:t>
            </w: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1,635</w:t>
            </w: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80" w:type="dxa"/>
            <w:vAlign w:val="bottom"/>
          </w:tcPr>
          <w:p>
            <w:pPr>
              <w:ind w:left="20"/>
              <w:spacing w:after="0" w:line="129" w:lineRule="exact"/>
              <w:rPr>
                <w:sz w:val="20"/>
                <w:szCs w:val="20"/>
                <w:color w:val="auto"/>
              </w:rPr>
            </w:pPr>
            <w:r>
              <w:rPr>
                <w:rFonts w:ascii="Arial" w:cs="Arial" w:eastAsia="Arial" w:hAnsi="Arial"/>
                <w:sz w:val="13"/>
                <w:szCs w:val="13"/>
                <w:color w:val="auto"/>
              </w:rPr>
              <w:t>Comprehensive income (loss) attributable to EchoStar</w:t>
            </w:r>
          </w:p>
        </w:tc>
        <w:tc>
          <w:tcPr>
            <w:tcW w:w="2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(301,448)</w:t>
            </w:r>
          </w:p>
        </w:tc>
        <w:tc>
          <w:tcPr>
            <w:tcW w:w="1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(220,113)</w:t>
            </w:r>
          </w:p>
        </w:tc>
        <w:tc>
          <w:tcPr>
            <w:tcW w:w="1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(496,271)</w:t>
            </w:r>
          </w:p>
        </w:tc>
        <w:tc>
          <w:tcPr>
            <w:tcW w:w="1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(332,037)</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5"/>
        </w:trPr>
        <w:tc>
          <w:tcPr>
            <w:tcW w:w="258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Class A and B</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Redeemable</w:t>
            </w:r>
          </w:p>
        </w:tc>
      </w:tr>
      <w:tr>
        <w:trPr>
          <w:trHeight w:val="135"/>
        </w:trPr>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Common</w:t>
            </w: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9"/>
              </w:rPr>
              <w:t>Paid-In</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7"/>
              </w:rPr>
              <w:t>Earnings</w:t>
            </w: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Noncontrolling</w:t>
            </w:r>
          </w:p>
        </w:tc>
      </w:tr>
      <w:tr>
        <w:trPr>
          <w:trHeight w:val="145"/>
        </w:trPr>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Stock</w:t>
            </w:r>
          </w:p>
        </w:tc>
        <w:tc>
          <w:tcPr>
            <w:tcW w:w="8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Capital</w:t>
            </w:r>
          </w:p>
        </w:tc>
        <w:tc>
          <w:tcPr>
            <w:tcW w:w="10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Income (Loss)</w:t>
            </w:r>
          </w:p>
        </w:tc>
        <w:tc>
          <w:tcPr>
            <w:tcW w:w="8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2"/>
                <w:szCs w:val="12"/>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2"/>
                <w:szCs w:val="12"/>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Interests</w:t>
            </w:r>
          </w:p>
        </w:tc>
      </w:tr>
      <w:tr>
        <w:trPr>
          <w:trHeight w:val="129"/>
        </w:trPr>
        <w:tc>
          <w:tcPr>
            <w:tcW w:w="25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$ 8,301,979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(160,056)</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11,737,983</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69,733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6"/>
              </w:rPr>
              <w:t>19,949,910</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438,382</w:t>
            </w:r>
          </w:p>
        </w:tc>
        <w:tc>
          <w:tcPr>
            <w:tcW w:w="20" w:type="dxa"/>
            <w:vAlign w:val="bottom"/>
          </w:tcPr>
          <w:p>
            <w:pPr>
              <w:spacing w:after="0"/>
              <w:rPr>
                <w:sz w:val="11"/>
                <w:szCs w:val="11"/>
                <w:color w:val="auto"/>
              </w:rPr>
            </w:pPr>
          </w:p>
        </w:tc>
      </w:tr>
      <w:tr>
        <w:trPr>
          <w:trHeight w:val="128"/>
        </w:trPr>
        <w:tc>
          <w:tcPr>
            <w:tcW w:w="258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2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(160)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(160)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9,058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9,058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(4,548)</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(1,119)</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(5,667)</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7"/>
        </w:trPr>
        <w:tc>
          <w:tcPr>
            <w:tcW w:w="25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Purchase of SNR Management's ownership</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in SNR HoldCo</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(441,998)</w:t>
            </w:r>
          </w:p>
        </w:tc>
        <w:tc>
          <w:tcPr>
            <w:tcW w:w="20" w:type="dxa"/>
            <w:vAlign w:val="bottom"/>
          </w:tcPr>
          <w:p>
            <w:pPr>
              <w:spacing w:after="0"/>
              <w:rPr>
                <w:sz w:val="12"/>
                <w:szCs w:val="12"/>
                <w:color w:val="auto"/>
              </w:rPr>
            </w:pPr>
          </w:p>
        </w:tc>
      </w:tr>
      <w:tr>
        <w:trPr>
          <w:trHeight w:val="127"/>
        </w:trPr>
        <w:tc>
          <w:tcPr>
            <w:tcW w:w="258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58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2"/>
                <w:szCs w:val="12"/>
                <w:color w:val="auto"/>
              </w:rPr>
              <w:t>(4,615)</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(4,615)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3,616</w:t>
            </w:r>
          </w:p>
        </w:tc>
        <w:tc>
          <w:tcPr>
            <w:tcW w:w="20" w:type="dxa"/>
            <w:vAlign w:val="bottom"/>
          </w:tcPr>
          <w:p>
            <w:pPr>
              <w:spacing w:after="0"/>
              <w:rPr>
                <w:sz w:val="12"/>
                <w:szCs w:val="12"/>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(107,376)</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(107,376)</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8"/>
        </w:trPr>
        <w:tc>
          <w:tcPr>
            <w:tcW w:w="25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2024</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271</w:t>
            </w:r>
          </w:p>
        </w:tc>
        <w:tc>
          <w:tcPr>
            <w:tcW w:w="12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7"/>
              </w:rPr>
              <w:t>$ 8,310,877</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(164,604)</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9"/>
              </w:rPr>
              <w:t>11,630,607</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63,999</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6"/>
              </w:rPr>
              <w:t>19,841,150</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8"/>
        </w:trPr>
        <w:tc>
          <w:tcPr>
            <w:tcW w:w="25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1,992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2"/>
                <w:szCs w:val="12"/>
                <w:color w:val="auto"/>
              </w:rPr>
              <w:t>Sale of Assets to CONX, net of deferred taxes</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3,376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3,376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10,635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10,635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(14,522)</w:t>
            </w:r>
          </w:p>
        </w:tc>
        <w:tc>
          <w:tcPr>
            <w:tcW w:w="8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(3,222)</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(17,744)</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7"/>
        </w:trPr>
        <w:tc>
          <w:tcPr>
            <w:tcW w:w="25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3"/>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(1,867)</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(1,867)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35"/>
        </w:trPr>
        <w:tc>
          <w:tcPr>
            <w:tcW w:w="258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(205,591)</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(205,591)</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28"/>
        </w:trPr>
        <w:tc>
          <w:tcPr>
            <w:tcW w:w="25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June 30, 2024</w:t>
            </w: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$ 8,326,880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(179,126)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11,425,016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58,910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6"/>
              </w:rPr>
              <w:t>19,631,951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Accumulated</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308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Class A and B</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8"/>
              </w:rPr>
              <w:t>Additional</w:t>
            </w:r>
          </w:p>
        </w:tc>
        <w:tc>
          <w:tcPr>
            <w:tcW w:w="8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3"/>
              </w:rPr>
              <w:t>Other</w:t>
            </w:r>
          </w:p>
        </w:tc>
        <w:tc>
          <w:tcPr>
            <w:tcW w:w="6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8"/>
              </w:rPr>
              <w:t>Accumulated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3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Common</w:t>
            </w: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Paid-In</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6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7"/>
              </w:rPr>
              <w:t>Earnings</w:t>
            </w:r>
          </w:p>
        </w:tc>
        <w:tc>
          <w:tcPr>
            <w:tcW w:w="9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45"/>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Stock</w:t>
            </w:r>
          </w:p>
        </w:tc>
        <w:tc>
          <w:tcPr>
            <w:tcW w:w="10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Capital</w:t>
            </w:r>
          </w:p>
        </w:tc>
        <w:tc>
          <w:tcPr>
            <w:tcW w:w="10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8"/>
              </w:rPr>
              <w:t>Income (Loss)</w:t>
            </w:r>
          </w:p>
        </w:tc>
        <w:tc>
          <w:tcPr>
            <w:tcW w:w="6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12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Interests</w:t>
            </w:r>
          </w:p>
        </w:tc>
        <w:tc>
          <w:tcPr>
            <w:tcW w:w="200" w:type="dxa"/>
            <w:vAlign w:val="bottom"/>
          </w:tcPr>
          <w:p>
            <w:pPr>
              <w:spacing w:after="0"/>
              <w:rPr>
                <w:sz w:val="12"/>
                <w:szCs w:val="12"/>
                <w:color w:val="auto"/>
              </w:rPr>
            </w:pPr>
          </w:p>
        </w:tc>
        <w:tc>
          <w:tcPr>
            <w:tcW w:w="720" w:type="dxa"/>
            <w:vAlign w:val="bottom"/>
          </w:tcPr>
          <w:p>
            <w:pPr>
              <w:jc w:val="right"/>
              <w:ind w:right="262"/>
              <w:spacing w:after="0"/>
              <w:rPr>
                <w:sz w:val="20"/>
                <w:szCs w:val="20"/>
                <w:color w:val="auto"/>
              </w:rPr>
            </w:pPr>
            <w:r>
              <w:rPr>
                <w:rFonts w:ascii="Arial" w:cs="Arial" w:eastAsia="Arial" w:hAnsi="Arial"/>
                <w:sz w:val="12"/>
                <w:szCs w:val="12"/>
                <w:b w:val="1"/>
                <w:bCs w:val="1"/>
                <w:color w:val="auto"/>
              </w:rPr>
              <w:t>Total</w:t>
            </w:r>
          </w:p>
        </w:tc>
      </w:tr>
      <w:tr>
        <w:trPr>
          <w:trHeight w:val="129"/>
        </w:trPr>
        <w:tc>
          <w:tcPr>
            <w:tcW w:w="30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2024</w:t>
            </w: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286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8,768,360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(195,711)</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11,618,437</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53,853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62"/>
              <w:spacing w:after="0" w:line="12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20,245,225</w:t>
            </w:r>
          </w:p>
        </w:tc>
      </w:tr>
      <w:tr>
        <w:trPr>
          <w:trHeight w:val="128"/>
        </w:trPr>
        <w:tc>
          <w:tcPr>
            <w:tcW w:w="308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2,534</w:t>
            </w: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7,609</w:t>
            </w: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2"/>
                <w:szCs w:val="12"/>
                <w:color w:val="auto"/>
              </w:rPr>
              <w:t>7,846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1,802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9,648</w:t>
            </w: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noncontrolling interests</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(612)</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(612)</w:t>
            </w: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(202,669)</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(202,669)</w:t>
            </w: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955</w:t>
            </w:r>
          </w:p>
        </w:tc>
      </w:tr>
      <w:tr>
        <w:trPr>
          <w:trHeight w:val="128"/>
        </w:trPr>
        <w:tc>
          <w:tcPr>
            <w:tcW w:w="30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2025</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286</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8,779,458</w:t>
            </w:r>
          </w:p>
        </w:tc>
        <w:tc>
          <w:tcPr>
            <w:tcW w:w="14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(187,865)</w:t>
            </w:r>
          </w:p>
        </w:tc>
        <w:tc>
          <w:tcPr>
            <w:tcW w:w="14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11,415,768</w:t>
            </w:r>
          </w:p>
        </w:tc>
        <w:tc>
          <w:tcPr>
            <w:tcW w:w="1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55,043</w:t>
            </w:r>
          </w:p>
        </w:tc>
        <w:tc>
          <w:tcPr>
            <w:tcW w:w="120" w:type="dxa"/>
            <w:vAlign w:val="bottom"/>
            <w:tcBorders>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20,062,690</w:t>
            </w:r>
          </w:p>
        </w:tc>
      </w:tr>
      <w:tr>
        <w:trPr>
          <w:trHeight w:val="129"/>
        </w:trPr>
        <w:tc>
          <w:tcPr>
            <w:tcW w:w="308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21,292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21,293</w:t>
            </w: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8,514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8,514</w:t>
            </w: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4,684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1,157</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5,841</w:t>
            </w:r>
          </w:p>
        </w:tc>
      </w:tr>
      <w:tr>
        <w:trPr>
          <w:trHeight w:val="135"/>
        </w:trPr>
        <w:tc>
          <w:tcPr>
            <w:tcW w:w="308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noncontrolling interests</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(712)</w:t>
            </w: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(712)</w:t>
            </w:r>
          </w:p>
        </w:tc>
      </w:tr>
      <w:tr>
        <w:trPr>
          <w:trHeight w:val="135"/>
        </w:trPr>
        <w:tc>
          <w:tcPr>
            <w:tcW w:w="308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(306,132)</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(306,132)</w:t>
            </w:r>
          </w:p>
        </w:tc>
      </w:tr>
      <w:tr>
        <w:trPr>
          <w:trHeight w:val="128"/>
        </w:trPr>
        <w:tc>
          <w:tcPr>
            <w:tcW w:w="30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Balance, June 30, 2025</w:t>
            </w: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287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8,809,264</w:t>
            </w:r>
          </w:p>
        </w:tc>
        <w:tc>
          <w:tcPr>
            <w:tcW w:w="1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(183,181)</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11,109,636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55,488</w:t>
            </w:r>
          </w:p>
        </w:tc>
        <w:tc>
          <w:tcPr>
            <w:tcW w:w="120" w:type="dxa"/>
            <w:vAlign w:val="bottom"/>
          </w:tcPr>
          <w:p>
            <w:pPr>
              <w:spacing w:after="0"/>
              <w:rPr>
                <w:sz w:val="11"/>
                <w:szCs w:val="11"/>
                <w:color w:val="auto"/>
              </w:rPr>
            </w:pPr>
          </w:p>
        </w:tc>
        <w:tc>
          <w:tcPr>
            <w:tcW w:w="200" w:type="dxa"/>
            <w:vAlign w:val="bottom"/>
            <w:tcBorders>
              <w:top w:val="single" w:sz="8" w:color="auto"/>
              <w:bottom w:val="single" w:sz="8" w:color="auto"/>
            </w:tcBorders>
          </w:tcPr>
          <w:p>
            <w:pPr>
              <w:jc w:val="right"/>
              <w:ind w:right="62"/>
              <w:spacing w:after="0" w:line="129" w:lineRule="exact"/>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19,791,494</w:t>
            </w:r>
          </w:p>
        </w:tc>
      </w:tr>
      <w:tr>
        <w:trPr>
          <w:trHeight w:val="20"/>
        </w:trPr>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32" w:lineRule="exact"/>
        <w:rPr>
          <w:sz w:val="20"/>
          <w:szCs w:val="20"/>
          <w:color w:val="auto"/>
        </w:rPr>
      </w:pPr>
    </w:p>
    <w:p>
      <w:pPr>
        <w:jc w:val="center"/>
        <w:ind w:left="6480"/>
        <w:spacing w:after="0"/>
        <w:rPr>
          <w:sz w:val="20"/>
          <w:szCs w:val="20"/>
          <w:color w:val="auto"/>
        </w:rPr>
      </w:pPr>
      <w:r>
        <w:rPr>
          <w:rFonts w:ascii="Arial" w:cs="Arial" w:eastAsia="Arial" w:hAnsi="Arial"/>
          <w:sz w:val="13"/>
          <w:szCs w:val="13"/>
          <w:b w:val="1"/>
          <w:bCs w:val="1"/>
          <w:color w:val="auto"/>
        </w:rPr>
        <w:t>For the Six Months Ended</w:t>
      </w:r>
    </w:p>
    <w:p>
      <w:pPr>
        <w:jc w:val="center"/>
        <w:ind w:left="6520"/>
        <w:spacing w:after="0" w:line="226" w:lineRule="auto"/>
        <w:rPr>
          <w:sz w:val="20"/>
          <w:szCs w:val="20"/>
          <w:color w:val="auto"/>
        </w:rPr>
      </w:pPr>
      <w:r>
        <w:rPr>
          <w:rFonts w:ascii="Arial" w:cs="Arial" w:eastAsia="Arial" w:hAnsi="Arial"/>
          <w:sz w:val="13"/>
          <w:szCs w:val="13"/>
          <w:b w:val="1"/>
          <w:bCs w:val="1"/>
          <w:color w:val="auto"/>
        </w:rPr>
        <w:t>June 30,</w:t>
      </w:r>
    </w:p>
    <w:tbl>
      <w:tblPr>
        <w:tblLayout w:type="fixed"/>
        <w:tblInd w:w="40" w:type="dxa"/>
        <w:tblCellMar>
          <w:top w:w="0" w:type="dxa"/>
          <w:left w:w="0" w:type="dxa"/>
          <w:bottom w:w="0" w:type="dxa"/>
          <w:right w:w="0" w:type="dxa"/>
        </w:tblCellMar>
      </w:tblPr>
      <w:tr>
        <w:trPr>
          <w:trHeight w:val="142"/>
        </w:trPr>
        <w:tc>
          <w:tcPr>
            <w:tcW w:w="6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3"/>
                <w:szCs w:val="13"/>
                <w:b w:val="1"/>
                <w:bCs w:val="1"/>
                <w:color w:val="auto"/>
              </w:rPr>
              <w:t>2025</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(510,125)</w:t>
            </w:r>
          </w:p>
        </w:tc>
        <w:tc>
          <w:tcPr>
            <w:tcW w:w="2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(315,833)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Adjustments to reconcile net income (loss) to net cash flows from operating activities: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981,388</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992,925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Realized and unrealized losses (gains) on investments, impairments and other</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(64,831)</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49,312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Non-cash, stock-based compensation</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16,123</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19,693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Deferred tax expense (benefit)</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(174,719)</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(35,300)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Changes in allowance for credit losses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15,603</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33,108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Change in long-term deferred revenue and other long-term liabilities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420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8,139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net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115,365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125,969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Changes in operating assets and operating liabilities, net</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(164,957)</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52,971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operating activities</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214,267</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930,984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Purchases of marketable investment securities</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(2,247,724)</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Sales and maturities of marketable investment securities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1,526,245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501,512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Purchases of property and equipment (Note 7)</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(551,600)</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(866,922)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Capitalized interest related to regulatory authorizations (Note 2)</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(573,785)</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(481,807)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Purchases of regulatory authorizations, including deposits</w:t>
            </w:r>
          </w:p>
        </w:tc>
        <w:tc>
          <w:tcPr>
            <w:tcW w:w="240" w:type="dxa"/>
            <w:vAlign w:val="bottom"/>
          </w:tcPr>
          <w:p>
            <w:pPr>
              <w:spacing w:after="0"/>
              <w:rPr>
                <w:sz w:val="11"/>
                <w:szCs w:val="11"/>
                <w:color w:val="auto"/>
              </w:rPr>
            </w:pPr>
          </w:p>
        </w:tc>
        <w:tc>
          <w:tcPr>
            <w:tcW w:w="10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Sale of assets to CONX (Note 13)</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Sale of Fiber business</w:t>
            </w: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47,207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Other, net</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(64)</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(4,716)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Net cash flows from investing activities</w:t>
            </w: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(1,799,721)</w:t>
            </w:r>
          </w:p>
        </w:tc>
        <w:tc>
          <w:tcPr>
            <w:tcW w:w="22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(848,165)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Repayment of long-term debt, finance lease and other obligations</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(46,272)</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(52,758)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Redemption and repurchases of term loans, convertible and senior notes</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(456,049)</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(951,170)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Proceeds from issuance of convertible and senior notes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Debt issuance costs and debt (discount) premium</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(946)</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Early debt extinguishment gains (losses) of convertible and senior notes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11,465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6540" w:type="dxa"/>
            <w:vAlign w:val="bottom"/>
          </w:tcPr>
          <w:p>
            <w:pPr>
              <w:ind w:left="20"/>
              <w:spacing w:after="0" w:line="117" w:lineRule="exact"/>
              <w:rPr>
                <w:sz w:val="20"/>
                <w:szCs w:val="20"/>
                <w:color w:val="auto"/>
              </w:rPr>
            </w:pPr>
            <w:r>
              <w:rPr>
                <w:rFonts w:ascii="Arial" w:cs="Arial" w:eastAsia="Arial" w:hAnsi="Arial"/>
                <w:sz w:val="13"/>
                <w:szCs w:val="13"/>
                <w:color w:val="auto"/>
              </w:rPr>
              <w:t>Net proceeds from Class A common stock options exercised and stock issued under the Employee Stock</w:t>
            </w: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20"/>
              <w:spacing w:after="0"/>
              <w:rPr>
                <w:sz w:val="20"/>
                <w:szCs w:val="20"/>
                <w:color w:val="auto"/>
              </w:rPr>
            </w:pPr>
            <w:r>
              <w:rPr>
                <w:rFonts w:ascii="Arial" w:cs="Arial" w:eastAsia="Arial" w:hAnsi="Arial"/>
                <w:sz w:val="13"/>
                <w:szCs w:val="13"/>
                <w:color w:val="auto"/>
              </w:rPr>
              <w:t>Purchase Plan</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6,994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Purchase of SNR Management's ownership interest in SNR HoldCo</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ind w:left="20"/>
              <w:spacing w:after="0" w:line="135" w:lineRule="exact"/>
              <w:rPr>
                <w:sz w:val="20"/>
                <w:szCs w:val="20"/>
                <w:color w:val="auto"/>
              </w:rPr>
            </w:pPr>
            <w:r>
              <w:rPr>
                <w:rFonts w:ascii="Arial" w:cs="Arial" w:eastAsia="Arial" w:hAnsi="Arial"/>
                <w:sz w:val="13"/>
                <w:szCs w:val="13"/>
                <w:color w:val="auto"/>
              </w:rPr>
              <w:t>Other, net</w:t>
            </w:r>
          </w:p>
        </w:tc>
        <w:tc>
          <w:tcPr>
            <w:tcW w:w="240" w:type="dxa"/>
            <w:vAlign w:val="bottom"/>
          </w:tcPr>
          <w:p>
            <w:pPr>
              <w:spacing w:after="0"/>
              <w:rPr>
                <w:sz w:val="11"/>
                <w:szCs w:val="11"/>
                <w:color w:val="auto"/>
              </w:rPr>
            </w:pPr>
          </w:p>
        </w:tc>
        <w:tc>
          <w:tcPr>
            <w:tcW w:w="10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(31,189)</w:t>
            </w:r>
          </w:p>
        </w:tc>
        <w:tc>
          <w:tcPr>
            <w:tcW w:w="2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Net cash flows from financing activities</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(365,997)</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(1,444,092)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Effect of exchange rates on cash and cash equivalents</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2,965</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Net increase (decrease) in cash, cash equivalents, restricted cash and cash equivalents</w:t>
            </w:r>
          </w:p>
        </w:tc>
        <w:tc>
          <w:tcPr>
            <w:tcW w:w="2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(1,948,486)</w:t>
            </w: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(1,364,974)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5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Cash, cash equivalents, restricted cash and cash equivalents, beginning of period (Note 5)</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4,593,804</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1,911,601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Cash, cash equivalents, restricted cash and cash equivalents, end of period (Note 5)</w:t>
            </w:r>
          </w:p>
        </w:tc>
        <w:tc>
          <w:tcPr>
            <w:tcW w:w="24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2,645,318</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546,627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60" w:right="5159" w:hanging="10"/>
        <w:spacing w:after="0" w:line="469" w:lineRule="auto"/>
        <w:tabs>
          <w:tab w:leader="none" w:pos="708"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 Principal Business</w:t>
      </w:r>
    </w:p>
    <w:p>
      <w:pPr>
        <w:spacing w:after="0" w:line="1"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EchoStar Corporation is a premier provider of technology, networking services, television entertainment and connectivity, offering consumer, enterprise, operator, and government solutions worldwide under its EchoStar®, Boost Mobile®, Sling TV ®, DISH® TV, Hughes®, HughesNet®, HughesON™ and JUPITER™ brands. 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currently operate three primary business segments.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Developments</w:t>
      </w:r>
    </w:p>
    <w:p>
      <w:pPr>
        <w:spacing w:after="0" w:line="198"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22222"/>
        </w:rPr>
        <w:t>received a letter from the Federal Communications Commission (the “FCC”) on May 9, 2025, indicating that</w:t>
      </w:r>
      <w:r>
        <w:rPr>
          <w:rFonts w:ascii="Arial" w:cs="Arial" w:eastAsia="Arial" w:hAnsi="Arial"/>
          <w:sz w:val="18"/>
          <w:szCs w:val="18"/>
          <w:color w:val="auto"/>
        </w:rPr>
        <w:t xml:space="preserve"> </w:t>
      </w:r>
      <w:r>
        <w:rPr>
          <w:rFonts w:ascii="Arial" w:cs="Arial" w:eastAsia="Arial" w:hAnsi="Arial"/>
          <w:sz w:val="18"/>
          <w:szCs w:val="18"/>
          <w:color w:val="222222"/>
        </w:rPr>
        <w:t xml:space="preserve">the FCC was beginning a review of our compliance with certain obligations to provide 5G broadband service and raising certain questions regarding the September 2024 build-out extension granted by the FCC and mobile-satellite service (“MSS”) utilization in the 2 GHz band (the “Letter”). We responded to the FCC’s subsequent public notices with filings on May 27, 2025 and June 6, 2025. </w:t>
      </w:r>
      <w:r>
        <w:rPr>
          <w:rFonts w:ascii="Arial" w:cs="Arial" w:eastAsia="Arial" w:hAnsi="Arial"/>
          <w:sz w:val="18"/>
          <w:szCs w:val="18"/>
          <w:color w:val="000000"/>
        </w:rPr>
        <w:t>On June 11, 2025, our Chairman met</w:t>
      </w:r>
      <w:r>
        <w:rPr>
          <w:rFonts w:ascii="Arial" w:cs="Arial" w:eastAsia="Arial" w:hAnsi="Arial"/>
          <w:sz w:val="18"/>
          <w:szCs w:val="18"/>
          <w:color w:val="222222"/>
        </w:rPr>
        <w:t xml:space="preserve"> </w:t>
      </w:r>
      <w:r>
        <w:rPr>
          <w:rFonts w:ascii="Arial" w:cs="Arial" w:eastAsia="Arial" w:hAnsi="Arial"/>
          <w:sz w:val="18"/>
          <w:szCs w:val="18"/>
          <w:color w:val="000000"/>
        </w:rPr>
        <w:t>with the FCC; during this meeting we explained that any reconsideration of the September 2024 grant of our construction deadline extensions, any after-the-fact change to the criteria upon which our build-out is judged, or any decision to upend the 2 GHz band’s sharing rules would threaten the viability of our current operations and future plans. While no resolution has been achieved yet, and it is possible that no such resolution will ultimately be achieved, we continue to explore an acceptable resolution of the FCC’s stated concerns in a manner that minimizes disruption to our businesses and lifts the regulatory uncertainty created by the inquiries. The FCC review has introduced the possibility of reversing prior FCC grants of authority to us.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See Note 9 for further details. We remain focused on resolving the FCC’s stated concerns. We continue to progress wide-ranging efforts to explore alternative or complementary pathways that could, if successfully implemented, resolve the FCC’s stated concerns in a manner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left="60" w:right="279" w:hanging="7"/>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 xml:space="preserve">Our cash and cash equivalents and marketable investment securities totaled $4.333 billion as of June 30, 2025 (“Cash on Hand”). As reflected in the condensed consolidated financial statements as of June 30, 2025, we have $2.0 billion of debt maturing in July 2026 and $1.377 billion of debt maturing in August 2026. In addition, the re-auction of certain AWS-3 licenses previously awarded to Northstar Wireless and SNR Wireless has been designated as Auction 113 and the FCC is required to initiate Auction 113 by June 23, 2026. We cannot predict with any degree of certainty the outcome of Auction 113, however, we may be required to make a maximum payment up to approximately $2.921 billion for the Northstar Re-Auction Payment and SNR Re-Auction Payment. See Note 10 </w:t>
      </w:r>
      <w:r>
        <w:rPr>
          <w:rFonts w:ascii="Arial" w:cs="Arial" w:eastAsia="Arial" w:hAnsi="Arial"/>
          <w:sz w:val="18"/>
          <w:szCs w:val="18"/>
          <w:color w:val="0A0A0A"/>
        </w:rPr>
        <w:t>for definitions and further details.</w:t>
      </w:r>
    </w:p>
    <w:p>
      <w:pPr>
        <w:spacing w:after="0" w:line="167"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Because we do not currently have the necessary Cash on Hand and/or projected future cash flows or committed financing to fund our obligations for at least twelve months from the issuance of these condensed consolidated financial statements, substantial doubt exists about our ability to continue as a going concern. To address our capital needs, we are in active discussions with funding sources to raise additional capital and/or restructure our outstanding debt. We cannot provide assurances that we will be successful in obtaining such new financing and/or restructuring the existing debt obligations necessary for us to have sufficient liquidity.</w:t>
      </w:r>
    </w:p>
    <w:p>
      <w:pPr>
        <w:spacing w:after="0" w:line="152" w:lineRule="exact"/>
        <w:rPr>
          <w:sz w:val="20"/>
          <w:szCs w:val="20"/>
          <w:color w:val="auto"/>
        </w:rPr>
      </w:pPr>
    </w:p>
    <w:p>
      <w:pPr>
        <w:ind w:left="60" w:right="719"/>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639" w:hanging="7"/>
        <w:spacing w:after="0" w:line="271" w:lineRule="auto"/>
        <w:rPr>
          <w:sz w:val="20"/>
          <w:szCs w:val="20"/>
          <w:color w:val="auto"/>
        </w:rPr>
      </w:pPr>
      <w:r>
        <w:rPr>
          <w:rFonts w:ascii="Arial" w:cs="Arial" w:eastAsia="Arial" w:hAnsi="Arial"/>
          <w:sz w:val="18"/>
          <w:szCs w:val="18"/>
          <w:color w:val="auto"/>
        </w:rPr>
        <w:t>We currently operate three primary business segments: (1) Pay-TV; (2) Wireless; and (3) Broadband and Satellite Services.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59" w:hanging="7"/>
        <w:spacing w:after="0"/>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w:t>
      </w:r>
    </w:p>
    <w:p>
      <w:pPr>
        <w:spacing w:after="0" w:line="171" w:lineRule="exact"/>
        <w:rPr>
          <w:sz w:val="20"/>
          <w:szCs w:val="20"/>
          <w:color w:val="auto"/>
        </w:rPr>
      </w:pPr>
    </w:p>
    <w:p>
      <w:pPr>
        <w:ind w:left="60" w:right="279" w:hanging="7"/>
        <w:spacing w:after="0" w:line="247" w:lineRule="auto"/>
        <w:rPr>
          <w:sz w:val="20"/>
          <w:szCs w:val="20"/>
          <w:color w:val="auto"/>
        </w:rPr>
      </w:pPr>
      <w:r>
        <w:rPr>
          <w:rFonts w:ascii="Arial" w:cs="Arial" w:eastAsia="Arial" w:hAnsi="Arial"/>
          <w:sz w:val="18"/>
          <w:szCs w:val="18"/>
          <w:color w:val="auto"/>
        </w:rPr>
        <w:t>The SLING branded pay-TV services consist of, among other things, multichannel, live-linear and on-demand streaming over-the-top (“OTT”) Internet-based domestic, international, Latino and Freestream video programming services (“SLING TV”). As of June 30, 2025, we had 7.108 million Pay-TV subscribers in the United States, including 5.323 million DISH TV subscribers and 1.785 million SLING TV subscribers.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w:t>
      </w:r>
    </w:p>
    <w:p>
      <w:pPr>
        <w:spacing w:after="0" w:line="196"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Our Wireless segment provides wireless communication services (“Wireless” services) and products. We currently offer our Wireless services for 5G voice over new radio (“5G VoNR”) to over 223 million Americans and for 5G broadband service to over 269 million Americans, as well as a competitive portfolio of wireless devices. We offer nationwide Wireless services to subscribers primarily under our Boost Mobile® and Gen Mobile® brands.</w:t>
      </w:r>
    </w:p>
    <w:p>
      <w:pPr>
        <w:spacing w:after="0" w:line="163" w:lineRule="exact"/>
        <w:rPr>
          <w:sz w:val="20"/>
          <w:szCs w:val="20"/>
          <w:color w:val="auto"/>
        </w:rPr>
      </w:pPr>
    </w:p>
    <w:p>
      <w:pPr>
        <w:ind w:left="60" w:right="339" w:hanging="7"/>
        <w:spacing w:after="0" w:line="244" w:lineRule="auto"/>
        <w:rPr>
          <w:sz w:val="20"/>
          <w:szCs w:val="20"/>
          <w:color w:val="auto"/>
        </w:rPr>
      </w:pPr>
      <w:r>
        <w:rPr>
          <w:rFonts w:ascii="Arial" w:cs="Arial" w:eastAsia="Arial" w:hAnsi="Arial"/>
          <w:sz w:val="18"/>
          <w:szCs w:val="18"/>
          <w:color w:val="auto"/>
        </w:rPr>
        <w:t>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w:t>
      </w:r>
    </w:p>
    <w:p>
      <w:pPr>
        <w:spacing w:after="0" w:line="163" w:lineRule="exact"/>
        <w:rPr>
          <w:sz w:val="20"/>
          <w:szCs w:val="20"/>
          <w:color w:val="auto"/>
        </w:rPr>
      </w:pPr>
    </w:p>
    <w:p>
      <w:pPr>
        <w:ind w:left="60" w:right="239" w:hanging="7"/>
        <w:spacing w:after="0"/>
        <w:rPr>
          <w:sz w:val="20"/>
          <w:szCs w:val="20"/>
          <w:color w:val="auto"/>
        </w:rPr>
      </w:pPr>
      <w:r>
        <w:rPr>
          <w:rFonts w:ascii="Arial" w:cs="Arial" w:eastAsia="Arial" w:hAnsi="Arial"/>
          <w:sz w:val="18"/>
          <w:szCs w:val="18"/>
          <w:color w:val="auto"/>
        </w:rPr>
        <w:t xml:space="preserve">We are currently activating Boost Mobile subscribers with compatible devices onto our 5G Network in markets where we have reached </w:t>
      </w:r>
      <w:r>
        <w:rPr>
          <w:rFonts w:ascii="Arial" w:cs="Arial" w:eastAsia="Arial" w:hAnsi="Arial"/>
          <w:sz w:val="18"/>
          <w:szCs w:val="18"/>
          <w:color w:val="0A0A0A"/>
        </w:rPr>
        <w:t>5G VoNR</w:t>
      </w:r>
      <w:r>
        <w:rPr>
          <w:rFonts w:ascii="Arial" w:cs="Arial" w:eastAsia="Arial" w:hAnsi="Arial"/>
          <w:sz w:val="18"/>
          <w:szCs w:val="18"/>
          <w:color w:val="auto"/>
        </w:rPr>
        <w:t xml:space="preserve">. We currently offer a broad range of premium wireless devices on our 5G Network, including the Apple iPhone 15 and newer generation iPhones, as well as a wide selection of Samsung, Motorola and other premium devices. We have deployed </w:t>
      </w:r>
      <w:r>
        <w:rPr>
          <w:rFonts w:ascii="Arial" w:cs="Arial" w:eastAsia="Arial" w:hAnsi="Arial"/>
          <w:sz w:val="18"/>
          <w:szCs w:val="18"/>
          <w:color w:val="0A0A0A"/>
        </w:rPr>
        <w:t>5G VoNR covering over 223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in part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the amended Master Network Services Agreement (“MNSA”) and Network Services Agreement (the “NSA”), respectively. As of June 30, 2025, we had 7.357 million Wireless subscribers.</w:t>
      </w:r>
    </w:p>
    <w:p>
      <w:pPr>
        <w:spacing w:after="0" w:line="171" w:lineRule="exact"/>
        <w:rPr>
          <w:sz w:val="20"/>
          <w:szCs w:val="20"/>
          <w:color w:val="auto"/>
        </w:rPr>
      </w:pPr>
    </w:p>
    <w:p>
      <w:pPr>
        <w:ind w:left="60" w:right="239" w:hanging="7"/>
        <w:spacing w:after="0" w:line="242"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and Note 10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w:t>
      </w:r>
    </w:p>
    <w:p>
      <w:pPr>
        <w:spacing w:after="0" w:line="165"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for further information.</w:t>
      </w:r>
    </w:p>
    <w:p>
      <w:pPr>
        <w:spacing w:after="0" w:line="16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t>
      </w:r>
      <w:r>
        <w:rPr>
          <w:rFonts w:ascii="Arial" w:cs="Arial" w:eastAsia="Arial" w:hAnsi="Arial"/>
          <w:sz w:val="18"/>
          <w:szCs w:val="18"/>
          <w:color w:val="0A0A0A"/>
        </w:rPr>
        <w:t>In September 2024, the FCC conditionally granted our requests to extend the 5G</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w:t>
      </w:r>
      <w:r>
        <w:rPr>
          <w:rFonts w:ascii="Arial" w:cs="Arial" w:eastAsia="Arial" w:hAnsi="Arial"/>
          <w:sz w:val="18"/>
          <w:szCs w:val="18"/>
          <w:color w:val="0A0A0A"/>
        </w:rPr>
        <w:t xml:space="preserve"> </w:t>
      </w:r>
      <w:r>
        <w:rPr>
          <w:rFonts w:ascii="Arial" w:cs="Arial" w:eastAsia="Arial" w:hAnsi="Arial"/>
          <w:sz w:val="18"/>
          <w:szCs w:val="18"/>
          <w:color w:val="222222"/>
        </w:rPr>
        <w:t>January 10, 2025 filing to 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 Extension Request, the final deployment deadlines</w:t>
      </w:r>
      <w:r>
        <w:rPr>
          <w:rFonts w:ascii="Arial" w:cs="Arial" w:eastAsia="Arial" w:hAnsi="Arial"/>
          <w:sz w:val="18"/>
          <w:szCs w:val="18"/>
          <w:color w:val="222222"/>
        </w:rPr>
        <w:t xml:space="preserve"> </w:t>
      </w:r>
      <w:r>
        <w:rPr>
          <w:rFonts w:ascii="Arial" w:cs="Arial" w:eastAsia="Arial" w:hAnsi="Arial"/>
          <w:sz w:val="18"/>
          <w:szCs w:val="18"/>
          <w:color w:val="000000"/>
        </w:rPr>
        <w:t xml:space="preserve">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10 </w:t>
      </w:r>
      <w:r>
        <w:rPr>
          <w:rFonts w:ascii="Arial" w:cs="Arial" w:eastAsia="Arial" w:hAnsi="Arial"/>
          <w:sz w:val="18"/>
          <w:szCs w:val="18"/>
          <w:color w:val="0A0A0A"/>
        </w:rPr>
        <w:t xml:space="preserve">for definitions and further details. Also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will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 Revenue in our satellite services business depends largely on our ability to make continuous use of our available satellite capacity on behalf of existing customers and our ability to enter into commercial relationships with new customers. As of June 30, 2025, we had 819,000 Broadband subscribers.</w:t>
      </w:r>
    </w:p>
    <w:p>
      <w:pPr>
        <w:spacing w:after="0" w:line="172"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2024. Certain prior period amounts have been reclassified to conform to the current period presentation.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variable interest entities (“VIEs”) where we have been determined to be the primary beneficiary. The portion of equity in a subsidiary not attributable, directly or indirectly, to us are recorded as noncontrolling interests or redeemable noncontrolling interests. See below for further information.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119" w:hanging="7"/>
        <w:spacing w:after="0" w:line="243" w:lineRule="auto"/>
        <w:rPr>
          <w:sz w:val="20"/>
          <w:szCs w:val="20"/>
          <w:color w:val="auto"/>
        </w:rPr>
      </w:pPr>
      <w:r>
        <w:rPr>
          <w:rFonts w:ascii="Arial" w:cs="Arial" w:eastAsia="Arial" w:hAnsi="Arial"/>
          <w:sz w:val="18"/>
          <w:szCs w:val="18"/>
          <w:b w:val="1"/>
          <w:bCs w:val="1"/>
          <w:i w:val="1"/>
          <w:iCs w:val="1"/>
          <w:color w:val="auto"/>
        </w:rPr>
        <w:t>SNR Wireless</w:t>
      </w:r>
      <w:r>
        <w:rPr>
          <w:rFonts w:ascii="Arial" w:cs="Arial" w:eastAsia="Arial" w:hAnsi="Arial"/>
          <w:sz w:val="18"/>
          <w:szCs w:val="18"/>
          <w:color w:val="auto"/>
        </w:rPr>
        <w:t>. SNR Wireless LicenseCo, LLC (“SNR Wireless”) is a wholly-owned subsidiary of SNR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LLC (“SNR HoldCo”), which is an entity wholly-owned by us and, prior to February 16, 2024, by us and SNR Wireless Management, LLC (“SNR Management”). On February 16, 2024, the FCC consented to the sale of SNR Management’s ownership interests in SNR HoldCo, which was purchased by our direct wholly-owned subsidiary EchoStar SNR HoldCo L.L.C. for a total of approximately $442 million. This purchase resulted in the elimination of all of our redeemable noncontrolling interest as it related to SNR HoldCo as of the purchase date and we continue to consolidate the SNR Entities as wholly-owned subsidiaries.</w:t>
      </w:r>
    </w:p>
    <w:p>
      <w:pPr>
        <w:spacing w:after="0" w:line="167" w:lineRule="exact"/>
        <w:rPr>
          <w:sz w:val="20"/>
          <w:szCs w:val="20"/>
          <w:color w:val="auto"/>
        </w:rPr>
      </w:pPr>
    </w:p>
    <w:p>
      <w:pPr>
        <w:ind w:left="60" w:right="23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including embedded derivatives, fair value of options granted under our stock-based compensation plans, fair value of assets and liabilities acquired in business combinations, inputs or outputs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estimates of the timing of future cash flows used to pay principal on certain debt obligations, estimated credit risk underlying installment receivables, nonrefundable upfront fees, independent third-party retailer incentives, programming expenses subscriber lives and likelihood of certain contingent events. 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substantially all activities related to the project are suspended.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99"/>
        <w:spacing w:after="0" w:line="266" w:lineRule="auto"/>
        <w:rPr>
          <w:sz w:val="20"/>
          <w:szCs w:val="20"/>
          <w:color w:val="auto"/>
        </w:rPr>
      </w:pPr>
      <w:r>
        <w:rPr>
          <w:rFonts w:ascii="Arial" w:cs="Arial" w:eastAsia="Arial" w:hAnsi="Arial"/>
          <w:sz w:val="17"/>
          <w:szCs w:val="17"/>
          <w:color w:val="auto"/>
        </w:rPr>
        <w:t>We are currently commercializing our 5G Network. As a result, the interest expense is being capitalized based on the carrying amount of the 5G Network qualifying assets and the capitalization rate applied to those assets. As the qualifying assets, including markets within certain bands of wireless spectrum licenses, have been placed into service with the deployment of our 5G Network, we no longer capitalize interest on those assets.</w:t>
      </w:r>
    </w:p>
    <w:p>
      <w:pPr>
        <w:spacing w:after="0" w:line="14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 xml:space="preserve">Capitalized interest totaled $309 million and $267 million for the three months ended June 30, 2025 and 2024, respectively, and $626 million and $525 million for the six months ended </w:t>
      </w:r>
      <w:r>
        <w:rPr>
          <w:rFonts w:ascii="Arial" w:cs="Arial" w:eastAsia="Arial" w:hAnsi="Arial"/>
          <w:sz w:val="18"/>
          <w:szCs w:val="18"/>
          <w:color w:val="222222"/>
        </w:rPr>
        <w:t>June 30, 2025</w:t>
      </w:r>
      <w:r>
        <w:rPr>
          <w:rFonts w:ascii="Arial" w:cs="Arial" w:eastAsia="Arial" w:hAnsi="Arial"/>
          <w:sz w:val="18"/>
          <w:szCs w:val="18"/>
          <w:color w:val="auto"/>
        </w:rPr>
        <w:t xml:space="preserve"> and 2024, respectively, which reduced “Interest expense, net of amounts capitalized” on our Condensed Consolidated Statements of Operations and Comprehensive Income (Loss). The carrying amount of the 5G Network qualifying assets remained consistent during the three and six months ended June 30, 2025 and 2024. The change in capitalized interest primarily resulted from the increase in the capitalization rate as a result of our financing transactions during the third and fourth quarters of 2024.</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hanging="7"/>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99" w:hanging="319"/>
        <w:spacing w:after="0" w:line="242" w:lineRule="auto"/>
        <w:tabs>
          <w:tab w:leader="none" w:pos="77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As of June 30, 2025 and December 31, 2024, the carrying amount for cash and cash equivalents, trade accounts receivable (net of allowance for credit losses) and current liabilities (excluding the “Current portion of debt, finance lease and other obligations”) was equal to or approximated fair value due to their short-term nature or proximity to current market rates.</w:t>
      </w:r>
    </w:p>
    <w:p>
      <w:pPr>
        <w:spacing w:after="0" w:line="160"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 and derivative instruments.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59" w:hanging="7"/>
        <w:spacing w:after="0"/>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non-publicly traded debt are based on, among other things, available trade information, valuations performed by a third-party,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The non-publicly traded debt is categorized within Level 3 of the fair value hierarchy. See Note 9 for the fair value of our debt.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color w:val="auto"/>
        </w:rPr>
        <w:t xml:space="preserve">We recognize advertising expense when incurred as a component of “Selling, general and administrative expenses” on our Condensed Consolidated Statements of Operations and Comprehensive Income (Loss). Advertising expenses totaled $ 217 million and $164 million for the three months ended June 30, 2025 and 2024, respectively. Advertising expenses totaled $426 million and $328 million for the six months ended </w:t>
      </w:r>
      <w:r>
        <w:rPr>
          <w:rFonts w:ascii="Arial" w:cs="Arial" w:eastAsia="Arial" w:hAnsi="Arial"/>
          <w:sz w:val="18"/>
          <w:szCs w:val="18"/>
          <w:color w:val="222222"/>
        </w:rPr>
        <w:t>June</w:t>
      </w:r>
      <w:r>
        <w:rPr>
          <w:rFonts w:ascii="Arial" w:cs="Arial" w:eastAsia="Arial" w:hAnsi="Arial"/>
          <w:sz w:val="18"/>
          <w:szCs w:val="18"/>
          <w:color w:val="auto"/>
        </w:rPr>
        <w:t xml:space="preserve"> </w:t>
      </w:r>
      <w:r>
        <w:rPr>
          <w:rFonts w:ascii="Arial" w:cs="Arial" w:eastAsia="Arial" w:hAnsi="Arial"/>
          <w:sz w:val="18"/>
          <w:szCs w:val="18"/>
          <w:color w:val="222222"/>
        </w:rPr>
        <w:t xml:space="preserve">30, 2025 </w:t>
      </w:r>
      <w:r>
        <w:rPr>
          <w:rFonts w:ascii="Arial" w:cs="Arial" w:eastAsia="Arial" w:hAnsi="Arial"/>
          <w:sz w:val="18"/>
          <w:szCs w:val="18"/>
          <w:color w:val="000000"/>
        </w:rPr>
        <w:t>and 2024,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 xml:space="preserve">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$16 million and $29 million for the three months ended June 30, 2025 and 2024, respectively. Research and development costs totaled $34 million and $54 million for the six months ended </w:t>
      </w:r>
      <w:r>
        <w:rPr>
          <w:rFonts w:ascii="Arial" w:cs="Arial" w:eastAsia="Arial" w:hAnsi="Arial"/>
          <w:sz w:val="18"/>
          <w:szCs w:val="18"/>
          <w:color w:val="222222"/>
        </w:rPr>
        <w:t>June 30, 2025</w:t>
      </w:r>
      <w:r>
        <w:rPr>
          <w:rFonts w:ascii="Arial" w:cs="Arial" w:eastAsia="Arial" w:hAnsi="Arial"/>
          <w:sz w:val="18"/>
          <w:szCs w:val="18"/>
          <w:color w:val="auto"/>
        </w:rPr>
        <w:t xml:space="preserve"> and 2024, respectively.</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Not Yet Adopted</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14, 2023, the FASB issued ASU 2023-9,</w:t>
      </w:r>
      <w:r>
        <w:rPr>
          <w:rFonts w:ascii="Arial" w:cs="Arial" w:eastAsia="Arial" w:hAnsi="Arial"/>
          <w:sz w:val="18"/>
          <w:szCs w:val="18"/>
          <w:i w:val="1"/>
          <w:iCs w:val="1"/>
          <w:color w:val="auto"/>
        </w:rPr>
        <w:t xml:space="preserve"> Income Taxes (Topic 740): Improvements to Income Tax Disclosures </w:t>
      </w:r>
      <w:r>
        <w:rPr>
          <w:rFonts w:ascii="Arial" w:cs="Arial" w:eastAsia="Arial" w:hAnsi="Arial"/>
          <w:sz w:val="18"/>
          <w:szCs w:val="18"/>
          <w:color w:val="auto"/>
        </w:rPr>
        <w:t>(“ASU 2023-09”), which will enhance income tax disclosures.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requires among other items disaggregated information in a reporting entity’s rate reconciliation table, clarification on uncertain tax positions and the related financial statement impact as well as information on income taxes paid on a disaggregated basis. This standard is effective for fiscal years beginning after December 15, 2024. We plan to adopt the standard when it becomes effective for us beginning in our fiscal year 2025 annual financial statements, and the adoption of the standard will impact certain of our income tax disclosures.</w:t>
      </w:r>
    </w:p>
    <w:p>
      <w:pPr>
        <w:spacing w:after="0" w:line="167" w:lineRule="exact"/>
        <w:rPr>
          <w:sz w:val="20"/>
          <w:szCs w:val="20"/>
          <w:color w:val="auto"/>
        </w:rPr>
      </w:pPr>
    </w:p>
    <w:p>
      <w:pPr>
        <w:ind w:left="60" w:right="59"/>
        <w:spacing w:after="0"/>
        <w:rPr>
          <w:sz w:val="20"/>
          <w:szCs w:val="20"/>
          <w:color w:val="auto"/>
        </w:rPr>
      </w:pP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On November 5, 2024, the FASB issued ASU 2024-03,</w:t>
      </w:r>
      <w:r>
        <w:rPr>
          <w:rFonts w:ascii="Arial" w:cs="Arial" w:eastAsia="Arial" w:hAnsi="Arial"/>
          <w:sz w:val="18"/>
          <w:szCs w:val="18"/>
          <w:i w:val="1"/>
          <w:iCs w:val="1"/>
          <w:color w:val="auto"/>
        </w:rPr>
        <w:t xml:space="preserve"> Income Statement – Reporting Comprehensive Income – Expense Disaggregation Disclosures (Subtopic 220-40) </w:t>
      </w:r>
      <w:r>
        <w:rPr>
          <w:rFonts w:ascii="Arial" w:cs="Arial" w:eastAsia="Arial" w:hAnsi="Arial"/>
          <w:sz w:val="18"/>
          <w:szCs w:val="18"/>
          <w:color w:val="auto"/>
        </w:rPr>
        <w:t>(“ASU 2024-03”), which will enhance financial statement reporting by providing additional information about specific expense categories, including purchases of inventory, employee compensation, depreciation, and amortization. This standard will be effective for fiscal years beginning after December 15, 2026, and interim periods beginning after December 15, 2027. Early adoption is permitted. We are evaluating the impact the adoption of ASU 2024-03 will have on our condensed consolidated financial statements, related disclosures and control environment.</w:t>
      </w:r>
    </w:p>
    <w:p>
      <w:pPr>
        <w:spacing w:after="0" w:line="167" w:lineRule="exact"/>
        <w:rPr>
          <w:sz w:val="20"/>
          <w:szCs w:val="20"/>
          <w:color w:val="auto"/>
        </w:rPr>
      </w:pPr>
    </w:p>
    <w:p>
      <w:pPr>
        <w:ind w:left="700" w:hanging="6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Income (Loss) Per Share</w:t>
      </w:r>
    </w:p>
    <w:p>
      <w:pPr>
        <w:spacing w:after="0" w:line="198"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Existing DISH Convertible Notes and EchoStar Convertible Notes, as defined in Note 9, (together the “Convertible Notes,”)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319" w:hanging="7"/>
        <w:spacing w:after="0" w:line="254" w:lineRule="auto"/>
        <w:rPr>
          <w:sz w:val="20"/>
          <w:szCs w:val="20"/>
          <w:color w:val="auto"/>
        </w:rPr>
      </w:pPr>
      <w:r>
        <w:rPr>
          <w:rFonts w:ascii="Arial" w:cs="Arial" w:eastAsia="Arial" w:hAnsi="Arial"/>
          <w:sz w:val="18"/>
          <w:szCs w:val="18"/>
          <w:color w:val="auto"/>
        </w:rPr>
        <w:t>The following table presents EPS amounts for all periods and the basic and diluted weighted-average shares outstanding used in the calculation.</w:t>
      </w: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40" w:type="dxa"/>
            <w:vAlign w:val="bottom"/>
            <w:gridSpan w:val="6"/>
          </w:tcPr>
          <w:p>
            <w:pPr>
              <w:jc w:val="right"/>
              <w:spacing w:after="0" w:line="175" w:lineRule="exact"/>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5"/>
                <w:szCs w:val="15"/>
                <w:color w:val="auto"/>
              </w:rPr>
            </w:pPr>
          </w:p>
        </w:tc>
        <w:tc>
          <w:tcPr>
            <w:tcW w:w="2100" w:type="dxa"/>
            <w:vAlign w:val="bottom"/>
            <w:gridSpan w:val="5"/>
          </w:tcPr>
          <w:p>
            <w:pPr>
              <w:jc w:val="right"/>
              <w:spacing w:after="0" w:line="175" w:lineRule="exact"/>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0" w:type="dxa"/>
            <w:vAlign w:val="bottom"/>
            <w:gridSpan w:val="9"/>
          </w:tcPr>
          <w:p>
            <w:pPr>
              <w:jc w:val="right"/>
              <w:spacing w:after="0" w:line="169" w:lineRule="exact"/>
              <w:rPr>
                <w:sz w:val="20"/>
                <w:szCs w:val="20"/>
                <w:color w:val="auto"/>
              </w:rPr>
            </w:pPr>
            <w:r>
              <w:rPr>
                <w:rFonts w:ascii="Arial" w:cs="Arial" w:eastAsia="Arial" w:hAnsi="Arial"/>
                <w:sz w:val="16"/>
                <w:szCs w:val="16"/>
                <w:color w:val="auto"/>
              </w:rPr>
              <w:t>(In thousands, except per share amounts)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(306,844)</w:t>
            </w:r>
          </w:p>
        </w:tc>
        <w:tc>
          <w:tcPr>
            <w:tcW w:w="4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(207,458)</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(510,125)</w:t>
            </w: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(315,833)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tcPr>
          <w:p>
            <w:pPr>
              <w:ind w:left="10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interests, net of tax</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Basic</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(306,132)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(205,591)</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(508,801)</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(312,967)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Interest on dilutive Convertible Notes, net of tax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Diluted</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(306,132)</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(205,591)</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(508,801)</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Weighted-average  common  shares  outstanding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Class A and B common stock:</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Basic (2)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287,505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271,592</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287,012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271,555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impact of Convertible Notes (1)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Dilutive impact of stock awards outstanding (1)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Diluted</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287,505</w:t>
            </w:r>
          </w:p>
        </w:tc>
        <w:tc>
          <w:tcPr>
            <w:tcW w:w="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271,592</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287,012</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271,555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Basic net income (loss) per share attributable to EchoStar</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(1.06)</w:t>
            </w:r>
          </w:p>
        </w:tc>
        <w:tc>
          <w:tcPr>
            <w:tcW w:w="4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(0.76)</w:t>
            </w:r>
          </w:p>
        </w:tc>
        <w:tc>
          <w:tcPr>
            <w:tcW w:w="36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(1.77)</w:t>
            </w:r>
          </w:p>
        </w:tc>
        <w:tc>
          <w:tcPr>
            <w:tcW w:w="42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Diluted net income (loss) per share attributable to</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48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360" w:type="dxa"/>
            <w:vAlign w:val="bottom"/>
            <w:gridSpan w:val="2"/>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42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99" w:hanging="330"/>
        <w:spacing w:after="0" w:line="253"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 the three and six months ended June 30, 2025 and 2024, the interest on dilutive Convertible Notes and the dilutive impact of weighted-average shares of Class A common stock were excluded from the computation of “Diluted net income (loss) per share attributable to EchoStar” because the effect would have been anti-dilutive as a result of the net loss attributable to EchoStar in the period. As of June 30, 2025 and 2024, our Convertible Notes may be converted into 58 million shares and 33 million shares, respectively.</w:t>
      </w:r>
    </w:p>
    <w:p>
      <w:pPr>
        <w:ind w:left="380" w:right="139" w:hanging="330"/>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On November 12, 2024, we issued and sold </w:t>
      </w:r>
      <w:r>
        <w:rPr>
          <w:rFonts w:ascii="Arial" w:cs="Arial" w:eastAsia="Arial" w:hAnsi="Arial"/>
          <w:sz w:val="18"/>
          <w:szCs w:val="18"/>
          <w:color w:val="222222"/>
        </w:rPr>
        <w:t>14.265 million shares of our Class A Common Stock to certain</w:t>
      </w:r>
      <w:r>
        <w:rPr>
          <w:rFonts w:ascii="Arial" w:cs="Arial" w:eastAsia="Arial" w:hAnsi="Arial"/>
          <w:sz w:val="18"/>
          <w:szCs w:val="18"/>
          <w:color w:val="auto"/>
        </w:rPr>
        <w:t xml:space="preserve"> </w:t>
      </w:r>
      <w:r>
        <w:rPr>
          <w:rFonts w:ascii="Arial" w:cs="Arial" w:eastAsia="Arial" w:hAnsi="Arial"/>
          <w:sz w:val="18"/>
          <w:szCs w:val="18"/>
          <w:color w:val="222222"/>
        </w:rPr>
        <w:t>PIPE investors</w:t>
      </w:r>
      <w:r>
        <w:rPr>
          <w:rFonts w:ascii="Arial" w:cs="Arial" w:eastAsia="Arial" w:hAnsi="Arial"/>
          <w:sz w:val="18"/>
          <w:szCs w:val="18"/>
          <w:color w:val="000000"/>
        </w:rPr>
        <w:t>.</w:t>
      </w:r>
    </w:p>
    <w:p>
      <w:pPr>
        <w:spacing w:after="0" w:line="158"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is at price ranges of approximately $185.75 to $ 245.33 per share, subject to certain adjustments. As a consequence, the following are not included in the diluted EPS calculation.</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June 30,</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ind w:left="280"/>
              <w:spacing w:after="0" w:line="169"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4"/>
                <w:szCs w:val="14"/>
                <w:color w:val="auto"/>
              </w:rPr>
            </w:pP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Anti-dilutive stock awards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3,724</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9,762</w:t>
            </w:r>
          </w:p>
        </w:tc>
      </w:tr>
      <w:tr>
        <w:trPr>
          <w:trHeight w:val="189"/>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Performance/market based options</w:t>
            </w:r>
          </w:p>
        </w:tc>
        <w:tc>
          <w:tcPr>
            <w:tcW w:w="580" w:type="dxa"/>
            <w:vAlign w:val="bottom"/>
          </w:tcPr>
          <w:p>
            <w:pPr>
              <w:jc w:val="right"/>
              <w:spacing w:after="0"/>
              <w:rPr>
                <w:sz w:val="20"/>
                <w:szCs w:val="20"/>
                <w:color w:val="auto"/>
              </w:rPr>
            </w:pPr>
            <w:r>
              <w:rPr>
                <w:rFonts w:ascii="Arial" w:cs="Arial" w:eastAsia="Arial" w:hAnsi="Arial"/>
                <w:sz w:val="16"/>
                <w:szCs w:val="16"/>
                <w:color w:val="auto"/>
              </w:rPr>
              <w:t>4,257</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4,421</w:t>
            </w: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Common stock warrants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16,151</w:t>
            </w:r>
          </w:p>
        </w:tc>
      </w:tr>
      <w:tr>
        <w:trPr>
          <w:trHeight w:val="183"/>
        </w:trPr>
        <w:tc>
          <w:tcPr>
            <w:tcW w:w="536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9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24,132</w:t>
            </w:r>
          </w:p>
        </w:tc>
        <w:tc>
          <w:tcPr>
            <w:tcW w:w="400" w:type="dxa"/>
            <w:vAlign w:val="bottom"/>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30,334</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98" w:lineRule="exact"/>
        <w:rPr>
          <w:sz w:val="20"/>
          <w:szCs w:val="20"/>
          <w:color w:val="auto"/>
        </w:rPr>
      </w:pPr>
    </w:p>
    <w:p>
      <w:pPr>
        <w:ind w:left="60" w:right="959" w:hanging="7"/>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158" w:lineRule="exact"/>
        <w:rPr>
          <w:sz w:val="20"/>
          <w:szCs w:val="20"/>
          <w:color w:val="auto"/>
        </w:rPr>
      </w:pPr>
    </w:p>
    <w:p>
      <w:pPr>
        <w:jc w:val="center"/>
        <w:ind w:left="604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169"/>
        </w:trPr>
        <w:tc>
          <w:tcPr>
            <w:tcW w:w="6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840" w:type="dxa"/>
            <w:vAlign w:val="bottom"/>
          </w:tcPr>
          <w:p>
            <w:pPr>
              <w:spacing w:after="0"/>
              <w:rPr>
                <w:sz w:val="14"/>
                <w:szCs w:val="14"/>
                <w:color w:val="auto"/>
              </w:rPr>
            </w:pP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1,012,699</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681,737</w:t>
            </w: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Interest paid in kind on long-term debt (1)</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125,559</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15,014</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(22,843)</w:t>
            </w:r>
          </w:p>
        </w:tc>
      </w:tr>
      <w:tr>
        <w:trPr>
          <w:trHeight w:val="189"/>
        </w:trPr>
        <w:tc>
          <w:tcPr>
            <w:tcW w:w="6120" w:type="dxa"/>
            <w:vAlign w:val="bottom"/>
          </w:tcPr>
          <w:p>
            <w:pPr>
              <w:ind w:left="20"/>
              <w:spacing w:after="0"/>
              <w:rPr>
                <w:sz w:val="20"/>
                <w:szCs w:val="20"/>
                <w:color w:val="auto"/>
              </w:rPr>
            </w:pPr>
            <w:r>
              <w:rPr>
                <w:rFonts w:ascii="Arial" w:cs="Arial" w:eastAsia="Arial" w:hAnsi="Arial"/>
                <w:sz w:val="16"/>
                <w:szCs w:val="16"/>
                <w:color w:val="auto"/>
              </w:rPr>
              <w:t>Total capitalized interest (2)</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625,918</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524,696</w:t>
            </w:r>
          </w:p>
        </w:tc>
      </w:tr>
      <w:tr>
        <w:trPr>
          <w:trHeight w:val="189"/>
        </w:trPr>
        <w:tc>
          <w:tcPr>
            <w:tcW w:w="6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113,152</w:t>
            </w: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147,464</w:t>
            </w:r>
          </w:p>
        </w:tc>
      </w:tr>
      <w:tr>
        <w:trPr>
          <w:trHeight w:val="215"/>
        </w:trPr>
        <w:tc>
          <w:tcPr>
            <w:tcW w:w="612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9 for further information.</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2 for further information.</w:t>
      </w:r>
    </w:p>
    <w:p>
      <w:pPr>
        <w:spacing w:after="0" w:line="194" w:lineRule="exact"/>
        <w:rPr>
          <w:sz w:val="20"/>
          <w:szCs w:val="20"/>
          <w:color w:val="auto"/>
        </w:rPr>
      </w:pPr>
    </w:p>
    <w:p>
      <w:pPr>
        <w:ind w:left="700" w:right="1139" w:hanging="650"/>
        <w:spacing w:after="0" w:line="281" w:lineRule="auto"/>
        <w:tabs>
          <w:tab w:leader="none" w:pos="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23"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7"/>
              </w:rPr>
              <w:t>As of</w:t>
            </w: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5"/>
          </w:tcPr>
          <w:p>
            <w:pPr>
              <w:jc w:val="right"/>
              <w:ind w:right="115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Current marketable investment securities:</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Strategic - available-for-sale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17,552</w:t>
            </w: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6"/>
                <w:szCs w:val="16"/>
                <w:color w:val="auto"/>
              </w:rPr>
              <w:t>Strategic - trading/equity</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52,113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26,454</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1,918,336</w:t>
            </w: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1,215,531</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260" w:type="dxa"/>
            <w:vAlign w:val="bottom"/>
          </w:tcPr>
          <w:p>
            <w:pPr>
              <w:spacing w:after="0"/>
              <w:rPr>
                <w:sz w:val="15"/>
                <w:szCs w:val="15"/>
                <w:color w:val="auto"/>
              </w:rPr>
            </w:pPr>
          </w:p>
        </w:tc>
        <w:tc>
          <w:tcPr>
            <w:tcW w:w="1260" w:type="dxa"/>
            <w:vAlign w:val="bottom"/>
          </w:tcPr>
          <w:p>
            <w:pPr>
              <w:jc w:val="right"/>
              <w:spacing w:after="0" w:line="183" w:lineRule="exact"/>
              <w:rPr>
                <w:sz w:val="20"/>
                <w:szCs w:val="20"/>
                <w:color w:val="auto"/>
              </w:rPr>
            </w:pPr>
            <w:r>
              <w:rPr>
                <w:rFonts w:ascii="Arial" w:cs="Arial" w:eastAsia="Arial" w:hAnsi="Arial"/>
                <w:sz w:val="16"/>
                <w:szCs w:val="16"/>
                <w:color w:val="auto"/>
              </w:rPr>
              <w:t>1,988,001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1,242,036</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marketable investment securities (1)</w:t>
            </w:r>
          </w:p>
        </w:tc>
        <w:tc>
          <w:tcPr>
            <w:tcW w:w="2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59,783</w:t>
            </w:r>
          </w:p>
        </w:tc>
        <w:tc>
          <w:tcPr>
            <w:tcW w:w="20" w:type="dxa"/>
            <w:vAlign w:val="bottom"/>
            <w:tcBorders>
              <w:bottom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32,114</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2,047,784</w:t>
            </w: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1,274,150</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 and cash equivalents (1)</w:t>
            </w: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300,233</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288,411</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net:</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84,843</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83,423</w:t>
            </w:r>
          </w:p>
        </w:tc>
        <w:tc>
          <w:tcPr>
            <w:tcW w:w="0" w:type="dxa"/>
            <w:vAlign w:val="bottom"/>
          </w:tcPr>
          <w:p>
            <w:pPr>
              <w:spacing w:after="0"/>
              <w:rPr>
                <w:sz w:val="1"/>
                <w:szCs w:val="1"/>
                <w:color w:val="auto"/>
              </w:rPr>
            </w:pPr>
          </w:p>
        </w:tc>
      </w:tr>
      <w:tr>
        <w:trPr>
          <w:trHeight w:val="189"/>
        </w:trPr>
        <w:tc>
          <w:tcPr>
            <w:tcW w:w="5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investments</w:t>
            </w: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106,949</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118,904</w:t>
            </w:r>
          </w:p>
        </w:tc>
        <w:tc>
          <w:tcPr>
            <w:tcW w:w="0" w:type="dxa"/>
            <w:vAlign w:val="bottom"/>
          </w:tcPr>
          <w:p>
            <w:pPr>
              <w:spacing w:after="0"/>
              <w:rPr>
                <w:sz w:val="1"/>
                <w:szCs w:val="1"/>
                <w:color w:val="auto"/>
              </w:rPr>
            </w:pPr>
          </w:p>
        </w:tc>
      </w:tr>
      <w:tr>
        <w:trPr>
          <w:trHeight w:val="183"/>
        </w:trPr>
        <w:tc>
          <w:tcPr>
            <w:tcW w:w="54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2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191,792</w:t>
            </w:r>
          </w:p>
        </w:tc>
        <w:tc>
          <w:tcPr>
            <w:tcW w:w="20" w:type="dxa"/>
            <w:vAlign w:val="bottom"/>
            <w:tcBorders>
              <w:bottom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202,327</w:t>
            </w:r>
          </w:p>
        </w:tc>
        <w:tc>
          <w:tcPr>
            <w:tcW w:w="0" w:type="dxa"/>
            <w:vAlign w:val="bottom"/>
          </w:tcPr>
          <w:p>
            <w:pPr>
              <w:spacing w:after="0"/>
              <w:rPr>
                <w:sz w:val="1"/>
                <w:szCs w:val="1"/>
                <w:color w:val="auto"/>
              </w:rPr>
            </w:pPr>
          </w:p>
        </w:tc>
      </w:tr>
      <w:tr>
        <w:trPr>
          <w:trHeight w:val="182"/>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26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2,539,809</w:t>
            </w:r>
          </w:p>
        </w:tc>
        <w:tc>
          <w:tcPr>
            <w:tcW w:w="5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1,764,888</w:t>
            </w:r>
          </w:p>
        </w:tc>
        <w:tc>
          <w:tcPr>
            <w:tcW w:w="0" w:type="dxa"/>
            <w:vAlign w:val="bottom"/>
          </w:tcPr>
          <w:p>
            <w:pPr>
              <w:spacing w:after="0"/>
              <w:rPr>
                <w:sz w:val="1"/>
                <w:szCs w:val="1"/>
                <w:color w:val="auto"/>
              </w:rPr>
            </w:pPr>
          </w:p>
        </w:tc>
      </w:tr>
      <w:tr>
        <w:trPr>
          <w:trHeight w:val="190"/>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equivalents, and other investments, net</w:t>
            </w:r>
          </w:p>
        </w:tc>
        <w:tc>
          <w:tcPr>
            <w:tcW w:w="260" w:type="dxa"/>
            <w:vAlign w:val="bottom"/>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560" w:type="dxa"/>
            <w:vAlign w:val="bottom"/>
            <w:gridSpan w:val="3"/>
            <w:vMerge w:val="continue"/>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279" w:hanging="330"/>
        <w:spacing w:after="0" w:line="247" w:lineRule="auto"/>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“Current restricted cash, cash equivalents and marketable investment securities” and “Restricted cash, cash equivalents and marketable investment securities” on our Condensed Consolidated Balance Sheets and discussed below.</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June 30, 2025,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As of June 30, 2025 and December 31, 2024, our restricted marketable investment securities, together with our restricted cash and cash equivalents, included amounts required as collateral for our letters of credit, surety bonds and trusts.</w:t>
      </w:r>
    </w:p>
    <w:p>
      <w:pPr>
        <w:spacing w:after="0" w:line="155" w:lineRule="exact"/>
        <w:rPr>
          <w:sz w:val="20"/>
          <w:szCs w:val="20"/>
          <w:color w:val="auto"/>
        </w:rPr>
      </w:pPr>
    </w:p>
    <w:p>
      <w:pPr>
        <w:ind w:left="60" w:right="259"/>
        <w:spacing w:after="0"/>
        <w:rPr>
          <w:sz w:val="20"/>
          <w:szCs w:val="20"/>
          <w:color w:val="auto"/>
        </w:rPr>
      </w:pPr>
      <w:r>
        <w:rPr>
          <w:rFonts w:ascii="Arial" w:cs="Arial" w:eastAsia="Arial" w:hAnsi="Arial"/>
          <w:sz w:val="18"/>
          <w:szCs w:val="18"/>
          <w:i w:val="1"/>
          <w:iCs w:val="1"/>
          <w:color w:val="auto"/>
        </w:rPr>
        <w:t xml:space="preserve">Current restricted cash, cash equivalents and marketable investment securities. </w:t>
      </w:r>
      <w:r>
        <w:rPr>
          <w:rFonts w:ascii="Arial" w:cs="Arial" w:eastAsia="Arial" w:hAnsi="Arial"/>
          <w:sz w:val="18"/>
          <w:szCs w:val="18"/>
          <w:color w:val="auto"/>
        </w:rPr>
        <w:t>As of June 30, 2025 and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we had $184 million and $151 million, respectively, included in “Current restricted cash, cash equivalents and marketable investment securities” on our Condensed Consolidated Balance Sheets that primarily consists of funds received by our subsidiary, DISH DBS Issuer LLC (“DBS SubscriberCo”), from subscriber payments and certain other revenue, which are required to be restricted per the terms of the debt issued by DBS SubscriberCo. DBS SubscriberCo holds certain DISH TV subscribers and their related subscription and equipment agreements which collateralizes certain debt obligations.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6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w:t>
      </w:r>
    </w:p>
    <w:p>
      <w:pPr>
        <w:spacing w:after="0" w:line="16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i w:val="1"/>
          <w:iCs w:val="1"/>
          <w:color w:val="auto"/>
        </w:rPr>
        <w:t xml:space="preserve">TerreStar Solutions, Inc. </w:t>
      </w:r>
      <w:r>
        <w:rPr>
          <w:rFonts w:ascii="Arial" w:cs="Arial" w:eastAsia="Arial" w:hAnsi="Arial"/>
          <w:sz w:val="18"/>
          <w:szCs w:val="18"/>
          <w:color w:val="auto"/>
        </w:rPr>
        <w:t>We own a 33% interest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TSI’s wireless communications system is based on a satellite and ground-based technology, which provides communication services in hard-to -reach areas and provides a nationwide interoperable, survivable and critical communications infrastructure. TSI also holds and leases certain 2 GHz wireless spectrum licenses in Canada.</w:t>
      </w:r>
    </w:p>
    <w:p>
      <w:pPr>
        <w:spacing w:after="0" w:line="163"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i w:val="1"/>
          <w:iCs w:val="1"/>
          <w:color w:val="auto"/>
        </w:rPr>
        <w:t xml:space="preserve">Deluxe/EchoStar LLC. </w:t>
      </w:r>
      <w:r>
        <w:rPr>
          <w:rFonts w:ascii="Arial" w:cs="Arial" w:eastAsia="Arial" w:hAnsi="Arial"/>
          <w:sz w:val="18"/>
          <w:szCs w:val="18"/>
          <w:color w:val="auto"/>
        </w:rPr>
        <w:t>We own 50% of Deluxe/EchoStar LLC (“Deluxe”), a joint venture that we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to build an advanced digital cinema satellite distribution network targeting delivery to digitally equipped theaters in the U.S. and Canada.</w:t>
      </w:r>
    </w:p>
    <w:p>
      <w:pPr>
        <w:spacing w:after="0" w:line="15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i w:val="1"/>
          <w:iCs w:val="1"/>
          <w:color w:val="auto"/>
        </w:rPr>
        <w:t>Broadband Connectivity Solutions (Restricted) Limited</w:t>
      </w:r>
      <w:r>
        <w:rPr>
          <w:rFonts w:ascii="Arial" w:cs="Arial" w:eastAsia="Arial" w:hAnsi="Arial"/>
          <w:sz w:val="18"/>
          <w:szCs w:val="18"/>
          <w:color w:val="auto"/>
        </w:rPr>
        <w:t>. We own 20% of Broadband Connectivity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Limited (together with its subsidiaries, “BCS”), a joint venture that we entered into in 2018 to provide commercial Ka-band satellite broadband services across Africa, the Middle East and southwest Asia operating over Yahsat’s Al Yah 2 and Al Yah 3 Ka-band satellites. The Al Yah 3 Ka-band satellite is no longer in service.</w:t>
      </w:r>
    </w:p>
    <w:p>
      <w:pPr>
        <w:spacing w:after="0" w:line="163"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3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w:t>
            </w: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5"/>
          </w:tcPr>
          <w:p>
            <w:pPr>
              <w:ind w:left="300"/>
              <w:spacing w:after="0" w:line="135" w:lineRule="exact"/>
              <w:rPr>
                <w:sz w:val="20"/>
                <w:szCs w:val="20"/>
                <w:color w:val="auto"/>
              </w:rPr>
            </w:pPr>
            <w:r>
              <w:rPr>
                <w:rFonts w:ascii="Arial" w:cs="Arial" w:eastAsia="Arial" w:hAnsi="Arial"/>
                <w:sz w:val="13"/>
                <w:szCs w:val="13"/>
                <w:b w:val="1"/>
                <w:bCs w:val="1"/>
                <w:color w:val="auto"/>
              </w:rPr>
              <w:t>June 30, 2025</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5"/>
          </w:tcPr>
          <w:p>
            <w:pPr>
              <w:ind w:left="160"/>
              <w:spacing w:after="0" w:line="135" w:lineRule="exact"/>
              <w:rPr>
                <w:sz w:val="20"/>
                <w:szCs w:val="20"/>
                <w:color w:val="auto"/>
              </w:rPr>
            </w:pPr>
            <w:r>
              <w:rPr>
                <w:rFonts w:ascii="Arial" w:cs="Arial" w:eastAsia="Arial" w:hAnsi="Arial"/>
                <w:sz w:val="13"/>
                <w:szCs w:val="13"/>
                <w:b w:val="1"/>
                <w:bCs w:val="1"/>
                <w:color w:val="auto"/>
              </w:rPr>
              <w:t>December 31, 2024</w:t>
            </w: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1</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3</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b w:val="1"/>
                <w:bCs w:val="1"/>
                <w:color w:val="auto"/>
                <w:w w:val="90"/>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
              <w:spacing w:after="0" w:line="129" w:lineRule="exact"/>
              <w:rPr>
                <w:sz w:val="20"/>
                <w:szCs w:val="20"/>
                <w:color w:val="auto"/>
              </w:rPr>
            </w:pPr>
            <w:r>
              <w:rPr>
                <w:rFonts w:ascii="Arial" w:cs="Arial" w:eastAsia="Arial" w:hAnsi="Arial"/>
                <w:sz w:val="13"/>
                <w:szCs w:val="13"/>
                <w:b w:val="1"/>
                <w:bCs w:val="1"/>
                <w:color w:val="auto"/>
                <w:w w:val="95"/>
              </w:rPr>
              <w:t>Level 3</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7"/>
              <w:spacing w:after="0" w:line="12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2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and cash equivalents</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right"/>
              <w:ind w:right="237"/>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40" w:type="dxa"/>
            <w:vAlign w:val="bottom"/>
          </w:tcPr>
          <w:p>
            <w:pPr>
              <w:ind w:left="20"/>
              <w:spacing w:after="0"/>
              <w:rPr>
                <w:sz w:val="20"/>
                <w:szCs w:val="20"/>
                <w:color w:val="auto"/>
              </w:rPr>
            </w:pPr>
            <w:r>
              <w:rPr>
                <w:rFonts w:ascii="Arial" w:cs="Arial" w:eastAsia="Arial" w:hAnsi="Arial"/>
                <w:sz w:val="13"/>
                <w:szCs w:val="13"/>
                <w:b w:val="1"/>
                <w:bCs w:val="1"/>
                <w:color w:val="auto"/>
              </w:rPr>
              <w:t>(including restricted):</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588,499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588,499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594,654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594,654</w:t>
            </w: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Arial" w:cs="Arial" w:eastAsia="Arial" w:hAnsi="Arial"/>
                <w:sz w:val="13"/>
                <w:szCs w:val="13"/>
                <w:color w:val="auto"/>
              </w:rPr>
              <w:t>Cash equivalents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261,837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6"/>
              </w:rPr>
              <w:t>1,794,982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2,056,819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255,118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6"/>
              </w:rPr>
              <w:t>3,744,032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3,999,150</w:t>
            </w: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850,336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1,794,982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2,645,318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849,772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3,744,032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4,593,804</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340" w:type="dxa"/>
            <w:vAlign w:val="bottom"/>
            <w:shd w:val="clear" w:color="auto" w:fill="CCEEFF"/>
          </w:tcPr>
          <w:p>
            <w:pPr>
              <w:ind w:left="20"/>
              <w:spacing w:after="0" w:line="117" w:lineRule="exact"/>
              <w:rPr>
                <w:sz w:val="20"/>
                <w:szCs w:val="20"/>
                <w:color w:val="auto"/>
              </w:rPr>
            </w:pPr>
            <w:r>
              <w:rPr>
                <w:rFonts w:ascii="Arial" w:cs="Arial" w:eastAsia="Arial" w:hAnsi="Arial"/>
                <w:sz w:val="13"/>
                <w:szCs w:val="13"/>
                <w:b w:val="1"/>
                <w:bCs w:val="1"/>
                <w:color w:val="auto"/>
              </w:rPr>
              <w:t>Debt securities (including</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restricted):</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Arial" w:cs="Arial" w:eastAsia="Arial" w:hAnsi="Arial"/>
                <w:sz w:val="13"/>
                <w:szCs w:val="13"/>
                <w:color w:val="auto"/>
              </w:rPr>
              <w:t>U.S. Treasury and agency securities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10,466</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10,466</w:t>
            </w:r>
          </w:p>
        </w:tc>
        <w:tc>
          <w:tcPr>
            <w:tcW w:w="14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8,163</w:t>
            </w:r>
          </w:p>
        </w:tc>
        <w:tc>
          <w:tcPr>
            <w:tcW w:w="140" w:type="dxa"/>
            <w:vAlign w:val="bottom"/>
          </w:tcPr>
          <w:p>
            <w:pPr>
              <w:spacing w:after="0"/>
              <w:rPr>
                <w:sz w:val="11"/>
                <w:szCs w:val="11"/>
                <w:color w:val="auto"/>
              </w:rPr>
            </w:pP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Commercial paper</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846,840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846,840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596,568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596,568</w:t>
            </w:r>
          </w:p>
        </w:tc>
        <w:tc>
          <w:tcPr>
            <w:tcW w:w="0" w:type="dxa"/>
            <w:vAlign w:val="bottom"/>
          </w:tcPr>
          <w:p>
            <w:pPr>
              <w:spacing w:after="0"/>
              <w:rPr>
                <w:sz w:val="1"/>
                <w:szCs w:val="1"/>
                <w:color w:val="auto"/>
              </w:rPr>
            </w:pPr>
          </w:p>
        </w:tc>
      </w:tr>
      <w:tr>
        <w:trPr>
          <w:trHeight w:val="135"/>
        </w:trPr>
        <w:tc>
          <w:tcPr>
            <w:tcW w:w="2340" w:type="dxa"/>
            <w:vAlign w:val="bottom"/>
          </w:tcPr>
          <w:p>
            <w:pPr>
              <w:ind w:left="120"/>
              <w:spacing w:after="0" w:line="135" w:lineRule="exact"/>
              <w:rPr>
                <w:sz w:val="20"/>
                <w:szCs w:val="20"/>
                <w:color w:val="auto"/>
              </w:rPr>
            </w:pPr>
            <w:r>
              <w:rPr>
                <w:rFonts w:ascii="Arial" w:cs="Arial" w:eastAsia="Arial" w:hAnsi="Arial"/>
                <w:sz w:val="13"/>
                <w:szCs w:val="13"/>
                <w:color w:val="auto"/>
              </w:rPr>
              <w:t>Corporate securities</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w w:val="96"/>
              </w:rPr>
              <w:t>1,119,826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1,119,826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629,115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629,115</w:t>
            </w:r>
          </w:p>
        </w:tc>
        <w:tc>
          <w:tcPr>
            <w:tcW w:w="0" w:type="dxa"/>
            <w:vAlign w:val="bottom"/>
          </w:tcPr>
          <w:p>
            <w:pPr>
              <w:spacing w:after="0"/>
              <w:rPr>
                <w:sz w:val="1"/>
                <w:szCs w:val="1"/>
                <w:color w:val="auto"/>
              </w:rPr>
            </w:pPr>
          </w:p>
        </w:tc>
      </w:tr>
      <w:tr>
        <w:trPr>
          <w:trHeight w:val="135"/>
        </w:trPr>
        <w:tc>
          <w:tcPr>
            <w:tcW w:w="23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18,488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18,539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13,799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13,850</w:t>
            </w: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Equity securities</w:t>
            </w:r>
          </w:p>
        </w:tc>
        <w:tc>
          <w:tcPr>
            <w:tcW w:w="8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52,113</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52,113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26,454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26,454</w:t>
            </w:r>
          </w:p>
        </w:tc>
        <w:tc>
          <w:tcPr>
            <w:tcW w:w="0" w:type="dxa"/>
            <w:vAlign w:val="bottom"/>
          </w:tcPr>
          <w:p>
            <w:pPr>
              <w:spacing w:after="0"/>
              <w:rPr>
                <w:sz w:val="1"/>
                <w:szCs w:val="1"/>
                <w:color w:val="auto"/>
              </w:rPr>
            </w:pPr>
          </w:p>
        </w:tc>
      </w:tr>
      <w:tr>
        <w:trPr>
          <w:trHeight w:val="128"/>
        </w:trPr>
        <w:tc>
          <w:tcPr>
            <w:tcW w:w="23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62,579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1,985,154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2,047,784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34,617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6"/>
              </w:rPr>
              <w:t>1,239,482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1,274,150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199" w:hanging="7"/>
        <w:spacing w:after="0" w:line="247" w:lineRule="auto"/>
        <w:rPr>
          <w:sz w:val="20"/>
          <w:szCs w:val="20"/>
          <w:color w:val="auto"/>
        </w:rPr>
      </w:pPr>
      <w:r>
        <w:rPr>
          <w:rFonts w:ascii="Arial" w:cs="Arial" w:eastAsia="Arial" w:hAnsi="Arial"/>
          <w:sz w:val="18"/>
          <w:szCs w:val="18"/>
          <w:color w:val="auto"/>
        </w:rPr>
        <w:t>As of June 30, 2025, restricted and non-restricted marketable investment securities included debt securities of $1.061 billion with contractual maturities within one year and $934 million with contractual maturities extending longer than one year through and including five years. Actual maturities may differ from contractual maturities as a result of our ability to sell these securities prior to maturity.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net:</w:t>
            </w:r>
          </w:p>
        </w:tc>
        <w:tc>
          <w:tcPr>
            <w:tcW w:w="18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4"/>
          </w:tcPr>
          <w:p>
            <w:pPr>
              <w:jc w:val="right"/>
              <w:ind w:right="51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Marketable and non-marketable investment securities -</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realized and unrealized gains (losses) and impairments</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(8,377)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(25,417)</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(49,312)</w:t>
            </w: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Gains (losses) related to early redemption of debt</w:t>
            </w:r>
          </w:p>
        </w:tc>
        <w:tc>
          <w:tcPr>
            <w:tcW w:w="2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11,465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currency transaction gains (losses)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3,429</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(2,702)</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5,678</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(3,329)</w:t>
            </w: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Equity in earnings (losses) of affiliates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2,539</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(66,397)</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4,183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(69,183)</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Sale of Fiber business gains (losses)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37,441</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37,441</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3,018</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4,216</w:t>
            </w:r>
          </w:p>
        </w:tc>
        <w:tc>
          <w:tcPr>
            <w:tcW w:w="0" w:type="dxa"/>
            <w:vAlign w:val="bottom"/>
          </w:tcPr>
          <w:p>
            <w:pPr>
              <w:spacing w:after="0"/>
              <w:rPr>
                <w:sz w:val="1"/>
                <w:szCs w:val="1"/>
                <w:color w:val="auto"/>
              </w:rPr>
            </w:pPr>
          </w:p>
        </w:tc>
      </w:tr>
      <w:tr>
        <w:trPr>
          <w:trHeight w:val="182"/>
        </w:trPr>
        <w:tc>
          <w:tcPr>
            <w:tcW w:w="438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35,137</w:t>
            </w: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(91,498)</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76,527</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(117,608)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52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390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8"/>
        </w:trPr>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2024</w:t>
            </w:r>
          </w:p>
        </w:tc>
      </w:tr>
      <w:tr>
        <w:trPr>
          <w:trHeight w:val="169"/>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440" w:type="dxa"/>
            <w:vAlign w:val="bottom"/>
          </w:tcPr>
          <w:p>
            <w:pPr>
              <w:spacing w:after="0"/>
              <w:rPr>
                <w:sz w:val="14"/>
                <w:szCs w:val="14"/>
                <w:color w:val="auto"/>
              </w:rPr>
            </w:pPr>
          </w:p>
        </w:tc>
      </w:tr>
      <w:tr>
        <w:trPr>
          <w:trHeight w:val="18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38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271,034</w:t>
            </w:r>
          </w:p>
        </w:tc>
        <w:tc>
          <w:tcPr>
            <w:tcW w:w="76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353,401</w:t>
            </w: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61,386</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58,028</w:t>
            </w:r>
          </w:p>
        </w:tc>
      </w:tr>
      <w:tr>
        <w:trPr>
          <w:trHeight w:val="18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w:t>
            </w:r>
          </w:p>
        </w:tc>
      </w:tr>
      <w:tr>
        <w:trPr>
          <w:trHeight w:val="189"/>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38,571</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33,658</w:t>
            </w:r>
          </w:p>
        </w:tc>
      </w:tr>
      <w:tr>
        <w:trPr>
          <w:trHeight w:val="183"/>
        </w:trPr>
        <w:tc>
          <w:tcPr>
            <w:tcW w:w="390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375,118</w:t>
            </w: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455,197</w:t>
            </w: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Depreciable</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22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8"/>
              </w:rPr>
              <w:t>Life</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right"/>
              <w:ind w:right="560"/>
              <w:spacing w:after="0" w:line="175"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c>
          <w:tcPr>
            <w:tcW w:w="1180" w:type="dxa"/>
            <w:vAlign w:val="bottom"/>
          </w:tcPr>
          <w:p>
            <w:pPr>
              <w:jc w:val="right"/>
              <w:ind w:right="1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r>
      <w:tr>
        <w:trPr>
          <w:trHeight w:val="203"/>
        </w:trPr>
        <w:tc>
          <w:tcPr>
            <w:tcW w:w="22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8"/>
              </w:rPr>
              <w:t>(In Years)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r>
      <w:tr>
        <w:trPr>
          <w:trHeight w:val="169"/>
        </w:trPr>
        <w:tc>
          <w:tcPr>
            <w:tcW w:w="22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0" w:type="dxa"/>
            <w:vAlign w:val="bottom"/>
            <w:gridSpan w:val="4"/>
          </w:tcPr>
          <w:p>
            <w:pPr>
              <w:jc w:val="right"/>
              <w:ind w:right="79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1,700,328</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1,784,801</w:t>
            </w:r>
          </w:p>
        </w:tc>
        <w:tc>
          <w:tcPr>
            <w:tcW w:w="20" w:type="dxa"/>
            <w:vAlign w:val="bottom"/>
          </w:tcPr>
          <w:p>
            <w:pPr>
              <w:spacing w:after="0"/>
              <w:rPr>
                <w:sz w:val="16"/>
                <w:szCs w:val="16"/>
                <w:color w:val="auto"/>
              </w:rPr>
            </w:pPr>
          </w:p>
        </w:tc>
      </w:tr>
      <w:tr>
        <w:trPr>
          <w:trHeight w:val="189"/>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Satellites</w:t>
            </w: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3,865,200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3,872,664</w:t>
            </w:r>
          </w:p>
        </w:tc>
        <w:tc>
          <w:tcPr>
            <w:tcW w:w="20" w:type="dxa"/>
            <w:vAlign w:val="bottom"/>
          </w:tcPr>
          <w:p>
            <w:pPr>
              <w:spacing w:after="0"/>
              <w:rPr>
                <w:sz w:val="16"/>
                <w:szCs w:val="16"/>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356,275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344,972</w:t>
            </w:r>
          </w:p>
        </w:tc>
        <w:tc>
          <w:tcPr>
            <w:tcW w:w="20" w:type="dxa"/>
            <w:vAlign w:val="bottom"/>
          </w:tcPr>
          <w:p>
            <w:pPr>
              <w:spacing w:after="0"/>
              <w:rPr>
                <w:sz w:val="16"/>
                <w:szCs w:val="16"/>
                <w:color w:val="auto"/>
              </w:rPr>
            </w:pPr>
          </w:p>
        </w:tc>
      </w:tr>
      <w:tr>
        <w:trPr>
          <w:trHeight w:val="189"/>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Furniture, fixtures, equipment and other</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1,690,032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1,686,992</w:t>
            </w:r>
          </w:p>
        </w:tc>
        <w:tc>
          <w:tcPr>
            <w:tcW w:w="20" w:type="dxa"/>
            <w:vAlign w:val="bottom"/>
          </w:tcPr>
          <w:p>
            <w:pPr>
              <w:spacing w:after="0"/>
              <w:rPr>
                <w:sz w:val="16"/>
                <w:szCs w:val="16"/>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equipment (1)</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5,672,959</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5,382,706</w:t>
            </w:r>
          </w:p>
        </w:tc>
        <w:tc>
          <w:tcPr>
            <w:tcW w:w="20" w:type="dxa"/>
            <w:vAlign w:val="bottom"/>
          </w:tcPr>
          <w:p>
            <w:pPr>
              <w:spacing w:after="0"/>
              <w:rPr>
                <w:sz w:val="16"/>
                <w:szCs w:val="16"/>
                <w:color w:val="auto"/>
              </w:rPr>
            </w:pPr>
          </w:p>
        </w:tc>
      </w:tr>
      <w:tr>
        <w:trPr>
          <w:trHeight w:val="189"/>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Software and computer equipment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jc w:val="center"/>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2,390,532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2,216,007</w:t>
            </w:r>
          </w:p>
        </w:tc>
        <w:tc>
          <w:tcPr>
            <w:tcW w:w="20" w:type="dxa"/>
            <w:vAlign w:val="bottom"/>
          </w:tcPr>
          <w:p>
            <w:pPr>
              <w:spacing w:after="0"/>
              <w:rPr>
                <w:sz w:val="16"/>
                <w:szCs w:val="16"/>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Buildings and improvements</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517,014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513,419</w:t>
            </w:r>
          </w:p>
        </w:tc>
        <w:tc>
          <w:tcPr>
            <w:tcW w:w="20" w:type="dxa"/>
            <w:vAlign w:val="bottom"/>
          </w:tcPr>
          <w:p>
            <w:pPr>
              <w:spacing w:after="0"/>
              <w:rPr>
                <w:sz w:val="16"/>
                <w:szCs w:val="16"/>
                <w:color w:val="auto"/>
              </w:rPr>
            </w:pPr>
          </w:p>
        </w:tc>
      </w:tr>
      <w:tr>
        <w:trPr>
          <w:trHeight w:val="189"/>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43,000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42,842</w:t>
            </w:r>
          </w:p>
        </w:tc>
        <w:tc>
          <w:tcPr>
            <w:tcW w:w="20" w:type="dxa"/>
            <w:vAlign w:val="bottom"/>
          </w:tcPr>
          <w:p>
            <w:pPr>
              <w:spacing w:after="0"/>
              <w:rPr>
                <w:sz w:val="16"/>
                <w:szCs w:val="16"/>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1,535,975</w:t>
            </w: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1,570,275</w:t>
            </w:r>
          </w:p>
        </w:tc>
        <w:tc>
          <w:tcPr>
            <w:tcW w:w="20" w:type="dxa"/>
            <w:vAlign w:val="bottom"/>
          </w:tcPr>
          <w:p>
            <w:pPr>
              <w:spacing w:after="0"/>
              <w:rPr>
                <w:sz w:val="16"/>
                <w:szCs w:val="16"/>
                <w:color w:val="auto"/>
              </w:rPr>
            </w:pPr>
          </w:p>
        </w:tc>
      </w:tr>
      <w:tr>
        <w:trPr>
          <w:trHeight w:val="183"/>
        </w:trPr>
        <w:tc>
          <w:tcPr>
            <w:tcW w:w="48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17,771,315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line="183" w:lineRule="exact"/>
              <w:rPr>
                <w:sz w:val="20"/>
                <w:szCs w:val="20"/>
                <w:color w:val="auto"/>
              </w:rPr>
            </w:pPr>
            <w:r>
              <w:rPr>
                <w:rFonts w:ascii="Arial" w:cs="Arial" w:eastAsia="Arial" w:hAnsi="Arial"/>
                <w:sz w:val="16"/>
                <w:szCs w:val="16"/>
                <w:color w:val="auto"/>
              </w:rPr>
              <w:t>17,414,678</w:t>
            </w:r>
          </w:p>
        </w:tc>
        <w:tc>
          <w:tcPr>
            <w:tcW w:w="20" w:type="dxa"/>
            <w:vAlign w:val="bottom"/>
          </w:tcPr>
          <w:p>
            <w:pPr>
              <w:spacing w:after="0"/>
              <w:rPr>
                <w:sz w:val="15"/>
                <w:szCs w:val="15"/>
                <w:color w:val="auto"/>
              </w:rPr>
            </w:pPr>
          </w:p>
        </w:tc>
      </w:tr>
      <w:tr>
        <w:trPr>
          <w:trHeight w:val="18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(8,997,659)</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(8,227,546)</w:t>
            </w:r>
          </w:p>
        </w:tc>
        <w:tc>
          <w:tcPr>
            <w:tcW w:w="20" w:type="dxa"/>
            <w:vAlign w:val="bottom"/>
          </w:tcPr>
          <w:p>
            <w:pPr>
              <w:spacing w:after="0"/>
              <w:rPr>
                <w:sz w:val="16"/>
                <w:szCs w:val="16"/>
                <w:color w:val="auto"/>
              </w:rPr>
            </w:pPr>
          </w:p>
        </w:tc>
      </w:tr>
      <w:tr>
        <w:trPr>
          <w:trHeight w:val="183"/>
        </w:trPr>
        <w:tc>
          <w:tcPr>
            <w:tcW w:w="482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 (2)</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8,773,656</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9,187,132</w:t>
            </w:r>
          </w:p>
        </w:tc>
        <w:tc>
          <w:tcPr>
            <w:tcW w:w="20" w:type="dxa"/>
            <w:vAlign w:val="bottom"/>
          </w:tcPr>
          <w:p>
            <w:pPr>
              <w:spacing w:after="0"/>
              <w:rPr>
                <w:sz w:val="15"/>
                <w:szCs w:val="15"/>
                <w:color w:val="auto"/>
              </w:rPr>
            </w:pPr>
          </w:p>
        </w:tc>
      </w:tr>
      <w:tr>
        <w:trPr>
          <w:trHeight w:val="20"/>
        </w:trPr>
        <w:tc>
          <w:tcPr>
            <w:tcW w:w="2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5G Network assets acquired under finance lease agreements.</w:t>
      </w:r>
    </w:p>
    <w:p>
      <w:pPr>
        <w:spacing w:after="0" w:line="13" w:lineRule="exact"/>
        <w:rPr>
          <w:rFonts w:ascii="Arial" w:cs="Arial" w:eastAsia="Arial" w:hAnsi="Arial"/>
          <w:sz w:val="18"/>
          <w:szCs w:val="18"/>
          <w:color w:val="auto"/>
        </w:rPr>
      </w:pPr>
    </w:p>
    <w:p>
      <w:pPr>
        <w:ind w:left="380" w:right="439" w:hanging="330"/>
        <w:spacing w:after="0" w:line="250" w:lineRule="auto"/>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of June 30, 2025 and December 31, 2024, there were no refunds and other receipts of purchases of property and equipment.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6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189"/>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7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57,810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121,022</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130,945</w:t>
            </w: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64,283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75,323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130,263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150,901</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fixtures, equipment and other</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75,420</w:t>
            </w: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5G Network equipment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216,782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179,473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424,914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346,294</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108,187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95,866</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216,160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184,553</w:t>
            </w:r>
          </w:p>
        </w:tc>
      </w:tr>
      <w:tr>
        <w:trPr>
          <w:trHeight w:val="18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and other amortization expense</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13,895</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49,978</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27,758</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104,812</w:t>
            </w:r>
          </w:p>
        </w:tc>
      </w:tr>
      <w:tr>
        <w:trPr>
          <w:trHeight w:val="183"/>
        </w:trPr>
        <w:tc>
          <w:tcPr>
            <w:tcW w:w="39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493,055</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507,525</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981,388</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992,925</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equipment and software, and amortization of development costs of externally marketed software.</w:t>
      </w:r>
    </w:p>
    <w:p>
      <w:pPr>
        <w:spacing w:after="0" w:line="160"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Activity relating to our asset retirement obligations, included in “Long-term deferred revenue and other long-term liabilities” on our Condensed Consolidated Balance Sheets, was as follows: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36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40" w:type="dxa"/>
            <w:vAlign w:val="bottom"/>
            <w:tcBorders>
              <w:bottom w:val="single" w:sz="8" w:color="auto"/>
            </w:tcBorders>
          </w:tcPr>
          <w:p>
            <w:pPr>
              <w:spacing w:after="0"/>
              <w:rPr>
                <w:sz w:val="18"/>
                <w:szCs w:val="18"/>
                <w:color w:val="auto"/>
              </w:rPr>
            </w:pPr>
          </w:p>
        </w:tc>
      </w:tr>
      <w:tr>
        <w:trPr>
          <w:trHeight w:val="189"/>
        </w:trPr>
        <w:tc>
          <w:tcPr>
            <w:tcW w:w="3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r>
      <w:tr>
        <w:trPr>
          <w:trHeight w:val="169"/>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4"/>
          </w:tcPr>
          <w:p>
            <w:pPr>
              <w:jc w:val="right"/>
              <w:ind w:right="659"/>
              <w:spacing w:after="0" w:line="169"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338,506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289,059</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327,031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r>
      <w:tr>
        <w:trPr>
          <w:trHeight w:val="189"/>
        </w:trPr>
        <w:tc>
          <w:tcPr>
            <w:tcW w:w="360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1,188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4,651</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4,885</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8,959</w:t>
            </w:r>
          </w:p>
        </w:tc>
      </w:tr>
      <w:tr>
        <w:trPr>
          <w:trHeight w:val="18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8,026</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3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15,804</w:t>
            </w:r>
          </w:p>
        </w:tc>
        <w:tc>
          <w:tcPr>
            <w:tcW w:w="2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13,229</w:t>
            </w:r>
          </w:p>
        </w:tc>
      </w:tr>
      <w:tr>
        <w:trPr>
          <w:trHeight w:val="183"/>
        </w:trPr>
        <w:tc>
          <w:tcPr>
            <w:tcW w:w="36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347,720</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300,475</w:t>
            </w:r>
          </w:p>
        </w:tc>
        <w:tc>
          <w:tcPr>
            <w:tcW w:w="30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347,720</w:t>
            </w:r>
          </w:p>
        </w:tc>
        <w:tc>
          <w:tcPr>
            <w:tcW w:w="220" w:type="dxa"/>
            <w:vAlign w:val="bottom"/>
          </w:tcPr>
          <w:p>
            <w:pPr>
              <w:spacing w:after="0"/>
              <w:rPr>
                <w:sz w:val="15"/>
                <w:szCs w:val="15"/>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300,475</w:t>
            </w: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hanging="7"/>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$209 million and $216 million as of June 30, 2025 and December 31, 2024, respectively.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Pay-TV Segment</w:t>
      </w:r>
    </w:p>
    <w:p>
      <w:pPr>
        <w:spacing w:after="0" w:line="196" w:lineRule="exact"/>
        <w:rPr>
          <w:sz w:val="20"/>
          <w:szCs w:val="20"/>
          <w:color w:val="auto"/>
        </w:rPr>
      </w:pPr>
    </w:p>
    <w:p>
      <w:pPr>
        <w:ind w:left="60" w:right="319" w:hanging="7"/>
        <w:spacing w:after="0" w:line="253" w:lineRule="auto"/>
        <w:rPr>
          <w:sz w:val="20"/>
          <w:szCs w:val="20"/>
          <w:color w:val="auto"/>
        </w:rPr>
      </w:pPr>
      <w:r>
        <w:rPr>
          <w:rFonts w:ascii="Arial" w:cs="Arial" w:eastAsia="Arial" w:hAnsi="Arial"/>
          <w:sz w:val="18"/>
          <w:szCs w:val="18"/>
          <w:color w:val="auto"/>
        </w:rPr>
        <w:t xml:space="preserve">Our Pay-TV segment currently utilizes eight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seven of which we own and depreciate over their estimated useful life. We also lease one satellite from a third party, Nimiq 5, which is accounted for as an operating lease.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2025, our Pay-TV segment satellite fleet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Degree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Launch</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Orbital</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Location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February 2006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 (1)</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2010</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119</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November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June 2016</w:t>
            </w:r>
          </w:p>
        </w:tc>
        <w:tc>
          <w:tcPr>
            <w:tcW w:w="1040" w:type="dxa"/>
            <w:vAlign w:val="bottom"/>
          </w:tcPr>
          <w:p>
            <w:pPr>
              <w:jc w:val="center"/>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XXV</w:t>
            </w:r>
          </w:p>
        </w:tc>
        <w:tc>
          <w:tcPr>
            <w:tcW w:w="1980" w:type="dxa"/>
            <w:vAlign w:val="bottom"/>
          </w:tcPr>
          <w:p>
            <w:pPr>
              <w:jc w:val="cente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XXVI</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2028</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Nimiq 5</w:t>
            </w:r>
          </w:p>
        </w:tc>
        <w:tc>
          <w:tcPr>
            <w:tcW w:w="2240" w:type="dxa"/>
            <w:vAlign w:val="bottom"/>
            <w:gridSpan w:val="2"/>
          </w:tcPr>
          <w:p>
            <w:pPr>
              <w:jc w:val="center"/>
              <w:ind w:right="280"/>
              <w:spacing w:after="0"/>
              <w:rPr>
                <w:sz w:val="20"/>
                <w:szCs w:val="20"/>
                <w:color w:val="auto"/>
              </w:rPr>
            </w:pPr>
            <w:r>
              <w:rPr>
                <w:rFonts w:ascii="Arial" w:cs="Arial" w:eastAsia="Arial" w:hAnsi="Arial"/>
                <w:sz w:val="16"/>
                <w:szCs w:val="16"/>
                <w:color w:val="auto"/>
              </w:rPr>
              <w:t>September 2009</w:t>
            </w:r>
          </w:p>
        </w:tc>
        <w:tc>
          <w:tcPr>
            <w:tcW w:w="1040" w:type="dxa"/>
            <w:vAlign w:val="bottom"/>
          </w:tcPr>
          <w:p>
            <w:pPr>
              <w:jc w:val="center"/>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October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right="339" w:hanging="330"/>
        <w:spacing w:after="0" w:line="271"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April 2025, the EchoStar XV satellite began the process of relocating from the 61.5 degree orbital location to the 119 degree orbital location. The relocation process was completed in July 2025.</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April 2025, we no longer lease the Anik F3 satellite.</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Satellites Under Construction</w:t>
      </w:r>
    </w:p>
    <w:p>
      <w:pPr>
        <w:spacing w:after="0" w:line="196"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i w:val="1"/>
          <w:iCs w:val="1"/>
          <w:color w:val="auto"/>
        </w:rPr>
        <w:t xml:space="preserve">EchoStar XXV. </w:t>
      </w:r>
      <w:r>
        <w:rPr>
          <w:rFonts w:ascii="Arial" w:cs="Arial" w:eastAsia="Arial" w:hAnsi="Arial"/>
          <w:sz w:val="18"/>
          <w:szCs w:val="18"/>
          <w:color w:val="auto"/>
        </w:rPr>
        <w:t>On March 20, 2023,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i w:val="1"/>
          <w:iCs w:val="1"/>
          <w:color w:val="auto"/>
        </w:rPr>
        <w:t xml:space="preserve">EchoStar XXVI. </w:t>
      </w:r>
      <w:r>
        <w:rPr>
          <w:rFonts w:ascii="Arial" w:cs="Arial" w:eastAsia="Arial" w:hAnsi="Arial"/>
          <w:sz w:val="18"/>
          <w:szCs w:val="18"/>
          <w:color w:val="auto"/>
        </w:rPr>
        <w:t>On May 15, 2025,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XXVI, a DBS satellite that is capable of providing service to the CONUS and is intended to be used at the 119 degree orbital location. EchoStar XXVI is expected to be launched during 2028.</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Broadband and Satellite Services Segment</w:t>
      </w:r>
    </w:p>
    <w:p>
      <w:pPr>
        <w:spacing w:after="0" w:line="196"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color w:val="auto"/>
        </w:rPr>
        <w:t xml:space="preserve">Our Broadband and Satellite Services segment currently utilizes seven satellites in </w:t>
      </w:r>
      <w:r>
        <w:rPr>
          <w:rFonts w:ascii="Arial" w:cs="Arial" w:eastAsia="Arial" w:hAnsi="Arial"/>
          <w:sz w:val="18"/>
          <w:szCs w:val="18"/>
          <w:color w:val="222222"/>
        </w:rPr>
        <w:t>geosynchronous</w:t>
      </w:r>
      <w:r>
        <w:rPr>
          <w:rFonts w:ascii="Arial" w:cs="Arial" w:eastAsia="Arial" w:hAnsi="Arial"/>
          <w:sz w:val="18"/>
          <w:szCs w:val="18"/>
          <w:color w:val="auto"/>
        </w:rPr>
        <w:t xml:space="preserve"> orbit approximately 22,300 miles above the equator, four of which we own and depreciate over their estimated useful life. We also lease three satellites from third parties, which are accounted for as finance leases and are depreciated over their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2025, our Broadband and Satellite Services segment satellite fleet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Degree</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Launch</w:t>
            </w: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Orbital</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Date</w:t>
            </w: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Location</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tcBorders>
              <w:top w:val="single" w:sz="8" w:color="auto"/>
            </w:tcBorders>
          </w:tcPr>
          <w:p>
            <w:pPr>
              <w:spacing w:after="0"/>
              <w:rPr>
                <w:sz w:val="15"/>
                <w:szCs w:val="15"/>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XVII</w:t>
            </w: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July 2012</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107</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XIX</w:t>
            </w:r>
          </w:p>
        </w:tc>
        <w:tc>
          <w:tcPr>
            <w:tcW w:w="2260" w:type="dxa"/>
            <w:vAlign w:val="bottom"/>
            <w:gridSpan w:val="2"/>
          </w:tcPr>
          <w:p>
            <w:pPr>
              <w:jc w:val="center"/>
              <w:ind w:right="260"/>
              <w:spacing w:after="0"/>
              <w:rPr>
                <w:sz w:val="20"/>
                <w:szCs w:val="20"/>
                <w:color w:val="auto"/>
              </w:rPr>
            </w:pPr>
            <w:r>
              <w:rPr>
                <w:rFonts w:ascii="Arial" w:cs="Arial" w:eastAsia="Arial" w:hAnsi="Arial"/>
                <w:sz w:val="16"/>
                <w:szCs w:val="16"/>
                <w:color w:val="auto"/>
              </w:rPr>
              <w:t>December 2016</w:t>
            </w:r>
          </w:p>
        </w:tc>
        <w:tc>
          <w:tcPr>
            <w:tcW w:w="1020" w:type="dxa"/>
            <w:vAlign w:val="bottom"/>
          </w:tcPr>
          <w:p>
            <w:pPr>
              <w:jc w:val="center"/>
              <w:spacing w:after="0"/>
              <w:rPr>
                <w:sz w:val="20"/>
                <w:szCs w:val="20"/>
                <w:color w:val="auto"/>
              </w:rPr>
            </w:pPr>
            <w:r>
              <w:rPr>
                <w:rFonts w:ascii="Arial" w:cs="Arial" w:eastAsia="Arial" w:hAnsi="Arial"/>
                <w:sz w:val="16"/>
                <w:szCs w:val="16"/>
                <w:color w:val="auto"/>
              </w:rPr>
              <w:t>97.1</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w:t>
            </w:r>
          </w:p>
        </w:tc>
        <w:tc>
          <w:tcPr>
            <w:tcW w:w="22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June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10.25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XXIV</w:t>
            </w: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rPr>
              <w:t>July 2023</w:t>
            </w:r>
          </w:p>
        </w:tc>
        <w:tc>
          <w:tcPr>
            <w:tcW w:w="1020" w:type="dxa"/>
            <w:vAlign w:val="bottom"/>
          </w:tcPr>
          <w:p>
            <w:pPr>
              <w:jc w:val="center"/>
              <w:spacing w:after="0"/>
              <w:rPr>
                <w:sz w:val="20"/>
                <w:szCs w:val="20"/>
                <w:color w:val="auto"/>
              </w:rPr>
            </w:pPr>
            <w:r>
              <w:rPr>
                <w:rFonts w:ascii="Arial" w:cs="Arial" w:eastAsia="Arial" w:hAnsi="Arial"/>
                <w:sz w:val="16"/>
                <w:szCs w:val="16"/>
                <w:color w:val="auto"/>
              </w:rPr>
              <w:t>95.2</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189"/>
        </w:trPr>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Eutelsat 65 West A</w:t>
            </w: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March 2016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July 2031</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Telesat T19V</w:t>
            </w:r>
          </w:p>
        </w:tc>
        <w:tc>
          <w:tcPr>
            <w:tcW w:w="2260" w:type="dxa"/>
            <w:vAlign w:val="bottom"/>
            <w:gridSpan w:val="2"/>
          </w:tcPr>
          <w:p>
            <w:pPr>
              <w:jc w:val="center"/>
              <w:ind w:right="280"/>
              <w:spacing w:after="0"/>
              <w:rPr>
                <w:sz w:val="20"/>
                <w:szCs w:val="20"/>
                <w:color w:val="auto"/>
              </w:rPr>
            </w:pPr>
            <w:r>
              <w:rPr>
                <w:rFonts w:ascii="Arial" w:cs="Arial" w:eastAsia="Arial" w:hAnsi="Arial"/>
                <w:sz w:val="16"/>
                <w:szCs w:val="16"/>
                <w:color w:val="auto"/>
              </w:rPr>
              <w:t>July 2018</w:t>
            </w:r>
          </w:p>
        </w:tc>
        <w:tc>
          <w:tcPr>
            <w:tcW w:w="1020" w:type="dxa"/>
            <w:vAlign w:val="bottom"/>
          </w:tcPr>
          <w:p>
            <w:pPr>
              <w:jc w:val="center"/>
              <w:spacing w:after="0"/>
              <w:rPr>
                <w:sz w:val="20"/>
                <w:szCs w:val="20"/>
                <w:color w:val="auto"/>
              </w:rPr>
            </w:pPr>
            <w:r>
              <w:rPr>
                <w:rFonts w:ascii="Arial" w:cs="Arial" w:eastAsia="Arial" w:hAnsi="Arial"/>
                <w:sz w:val="16"/>
                <w:szCs w:val="16"/>
                <w:color w:val="auto"/>
              </w:rPr>
              <w:t>63</w:t>
            </w:r>
          </w:p>
        </w:tc>
        <w:tc>
          <w:tcPr>
            <w:tcW w:w="30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6"/>
                <w:szCs w:val="16"/>
                <w:color w:val="auto"/>
              </w:rPr>
              <w:t>August 2033</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105/SES-11</w:t>
            </w:r>
          </w:p>
        </w:tc>
        <w:tc>
          <w:tcPr>
            <w:tcW w:w="226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color w:val="auto"/>
              </w:rPr>
              <w:t>October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300" w:type="dxa"/>
            <w:vAlign w:val="bottom"/>
            <w:shd w:val="clear" w:color="auto" w:fill="CCEEFF"/>
          </w:tcPr>
          <w:p>
            <w:pPr>
              <w:spacing w:after="0"/>
              <w:rPr>
                <w:sz w:val="16"/>
                <w:szCs w:val="16"/>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November 2030</w:t>
            </w:r>
          </w:p>
        </w:tc>
      </w:tr>
    </w:tbl>
    <w:p>
      <w:pPr>
        <w:spacing w:after="0" w:line="184"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In addition to the satellites listed above, during 2025 we have launched and will continue to launch, certain low earth orbit satellites in connection with additional business opportunities.</w:t>
      </w:r>
    </w:p>
    <w:p>
      <w:pPr>
        <w:spacing w:after="0" w:line="140"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As of June 2025, all commercial traffic on the Al Yah 3 satellite had been transferred to other satellites in our fleet and the Al Yah 3 satellite is no longer operational and is no longer in service.</w:t>
      </w:r>
    </w:p>
    <w:p>
      <w:pPr>
        <w:spacing w:after="0" w:line="140"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In addition, all commercial traffic on the EchoStar IX satellite has been transferred to other satellites in our fleet and the EchoStar IX satellite is no longer in service. During the second quarter of 2025, we began the disposal process for the EchoStar IX satellite and the disposal process is expected to be completed in the third quarter of 2025.</w:t>
      </w:r>
    </w:p>
    <w:p>
      <w:pPr>
        <w:spacing w:after="0" w:line="174"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with a weighted average remaining lease term of 1.3 to 9.3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Our Eutelsat 65 West A, Telesat T19V and EchoStar 105/SES-11 satellites are accounted for as finance leases within our Broadband and Satellite Services segment. Through the third quarter of 2024, our Nimiq 5 satellite was accounted for as finance lease within our Pay-TV segment. However, during October 2024, we extended the Nimiq 5 lease and as a result it is currently accounted for as an operating lease. In addition, through the first quarter of 2025, our Anik F3 satellite was accounted for as an operating lease within our Pay-TV segment and as of April 2025 we no longer lease this satellite. Substantially all of our remaining leases are accounted for as operating leases.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5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r>
      <w:tr>
        <w:trPr>
          <w:trHeight w:val="169"/>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166,505</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155,484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333,862</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322,490</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 (1)</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8,341</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3220" w:type="dxa"/>
            <w:vAlign w:val="bottom"/>
            <w:gridSpan w:val="2"/>
          </w:tcPr>
          <w:p>
            <w:pPr>
              <w:ind w:left="120"/>
              <w:spacing w:after="0"/>
              <w:rPr>
                <w:sz w:val="20"/>
                <w:szCs w:val="20"/>
                <w:color w:val="auto"/>
              </w:rPr>
            </w:pPr>
            <w:r>
              <w:rPr>
                <w:rFonts w:ascii="Arial" w:cs="Arial" w:eastAsia="Arial" w:hAnsi="Arial"/>
                <w:sz w:val="16"/>
                <w:szCs w:val="16"/>
                <w:color w:val="auto"/>
              </w:rPr>
              <w:t>Amortization of right-of-use assets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13,238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14,210</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26,469</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32,678</w:t>
            </w:r>
          </w:p>
        </w:tc>
      </w:tr>
      <w:tr>
        <w:trPr>
          <w:trHeight w:val="189"/>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2,844</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w:t>
            </w:r>
          </w:p>
        </w:tc>
      </w:tr>
      <w:tr>
        <w:trPr>
          <w:trHeight w:val="183"/>
        </w:trPr>
        <w:tc>
          <w:tcPr>
            <w:tcW w:w="32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14,580</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16,607</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29,313</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37,867</w:t>
            </w:r>
          </w:p>
        </w:tc>
      </w:tr>
      <w:tr>
        <w:trPr>
          <w:trHeight w:val="183"/>
        </w:trPr>
        <w:tc>
          <w:tcPr>
            <w:tcW w:w="32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184,136</w:t>
            </w: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173,119</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371,516</w:t>
            </w: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362,408</w:t>
            </w:r>
          </w:p>
        </w:tc>
      </w:tr>
      <w:tr>
        <w:trPr>
          <w:trHeight w:val="20"/>
        </w:trPr>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Leases that have terms of 12 months or less.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169"/>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4"/>
                <w:szCs w:val="14"/>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284,667</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238,574</w:t>
            </w: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w:t>
            </w: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11,406</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29,627</w:t>
            </w:r>
          </w:p>
        </w:tc>
      </w:tr>
      <w:tr>
        <w:trPr>
          <w:trHeight w:val="189"/>
        </w:trPr>
        <w:tc>
          <w:tcPr>
            <w:tcW w:w="5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110,400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313,628</w:t>
            </w:r>
          </w:p>
        </w:tc>
      </w:tr>
      <w:tr>
        <w:trPr>
          <w:trHeight w:val="215"/>
        </w:trPr>
        <w:tc>
          <w:tcPr>
            <w:tcW w:w="58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tcPr>
          <w:p>
            <w:pPr>
              <w:spacing w:after="0"/>
              <w:rPr>
                <w:sz w:val="18"/>
                <w:szCs w:val="18"/>
                <w:color w:val="auto"/>
              </w:rPr>
            </w:pPr>
          </w:p>
        </w:tc>
        <w:tc>
          <w:tcPr>
            <w:tcW w:w="3440" w:type="dxa"/>
            <w:vAlign w:val="bottom"/>
            <w:gridSpan w:val="5"/>
          </w:tcPr>
          <w:p>
            <w:pPr>
              <w:jc w:val="right"/>
              <w:ind w:right="127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3,218,062</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3,260,768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565,684</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3,178,737</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3,211,407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3,744,421</w:t>
            </w: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3,739,949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477,377</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466,074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(267,697)</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(235,001)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209,680</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231,073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34,088</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30,381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21,705</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55,793</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years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 years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lease liabilities as of June 30, 2025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6"/>
                <w:szCs w:val="16"/>
                <w:b w:val="1"/>
                <w:bCs w:val="1"/>
                <w:color w:val="auto"/>
              </w:rPr>
              <w:t>Maturities of Lease Liabilities</w:t>
            </w:r>
          </w:p>
        </w:tc>
        <w:tc>
          <w:tcPr>
            <w:tcW w:w="900" w:type="dxa"/>
            <w:vAlign w:val="bottom"/>
            <w:tcBorders>
              <w:bottom w:val="single" w:sz="8" w:color="auto"/>
            </w:tcBorders>
          </w:tcPr>
          <w:p>
            <w:pPr>
              <w:spacing w:after="0"/>
              <w:rPr>
                <w:sz w:val="18"/>
                <w:szCs w:val="18"/>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5"/>
                <w:szCs w:val="15"/>
                <w:color w:val="auto"/>
              </w:rPr>
            </w:pPr>
          </w:p>
        </w:tc>
        <w:tc>
          <w:tcPr>
            <w:tcW w:w="13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rPr>
              <w:t>Finance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6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Leases</w:t>
            </w:r>
          </w:p>
        </w:tc>
        <w:tc>
          <w:tcPr>
            <w:tcW w:w="1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Leases</w:t>
            </w:r>
          </w:p>
        </w:tc>
        <w:tc>
          <w:tcPr>
            <w:tcW w:w="36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83"/>
        </w:trPr>
        <w:tc>
          <w:tcPr>
            <w:tcW w:w="4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2025 (remaining six months)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300,553</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21,672</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322,225</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617,416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36,588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654,004</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619,052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2,574</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621,626</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577,897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577,897</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558,768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558,768</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3,106,518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3,106,518</w:t>
            </w: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5,780,204</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60,834</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5,841,038</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(2,035,783)</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(5,041)</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(2,040,824)</w:t>
            </w: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3,744,421</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55,793</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3,800,214</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(565,684)</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(34,088)</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(599,772)</w:t>
            </w:r>
          </w:p>
        </w:tc>
      </w:tr>
      <w:tr>
        <w:trPr>
          <w:trHeight w:val="183"/>
        </w:trPr>
        <w:tc>
          <w:tcPr>
            <w:tcW w:w="466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3,178,737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21,705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3,200,442</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lease satellite capacity, communications equipment and real estate to certain of our customers.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420" w:type="dxa"/>
            <w:vAlign w:val="bottom"/>
          </w:tcPr>
          <w:p>
            <w:pPr>
              <w:spacing w:after="0"/>
              <w:rPr>
                <w:sz w:val="16"/>
                <w:szCs w:val="16"/>
                <w:color w:val="auto"/>
              </w:rPr>
            </w:pPr>
          </w:p>
        </w:tc>
        <w:tc>
          <w:tcPr>
            <w:tcW w:w="24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189"/>
        </w:trPr>
        <w:tc>
          <w:tcPr>
            <w:tcW w:w="2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r>
      <w:tr>
        <w:trPr>
          <w:trHeight w:val="169"/>
        </w:trPr>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revenue:</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880" w:type="dxa"/>
            <w:vAlign w:val="bottom"/>
          </w:tcPr>
          <w:p>
            <w:pPr>
              <w:ind w:left="120"/>
              <w:spacing w:after="0"/>
              <w:rPr>
                <w:sz w:val="20"/>
                <w:szCs w:val="20"/>
                <w:color w:val="auto"/>
              </w:rPr>
            </w:pPr>
            <w:r>
              <w:rPr>
                <w:rFonts w:ascii="Arial" w:cs="Arial" w:eastAsia="Arial" w:hAnsi="Arial"/>
                <w:sz w:val="16"/>
                <w:szCs w:val="16"/>
                <w:color w:val="auto"/>
              </w:rPr>
              <w:t>Sales-type lease revenue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1,787</w:t>
            </w:r>
          </w:p>
        </w:tc>
        <w:tc>
          <w:tcPr>
            <w:tcW w:w="28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1,539</w:t>
            </w:r>
          </w:p>
        </w:tc>
        <w:tc>
          <w:tcPr>
            <w:tcW w:w="260" w:type="dxa"/>
            <w:vAlign w:val="bottom"/>
          </w:tcPr>
          <w:p>
            <w:pPr>
              <w:spacing w:after="0"/>
              <w:rPr>
                <w:sz w:val="16"/>
                <w:szCs w:val="16"/>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3,984</w:t>
            </w:r>
          </w:p>
        </w:tc>
        <w:tc>
          <w:tcPr>
            <w:tcW w:w="26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2,623</w:t>
            </w:r>
          </w:p>
        </w:tc>
      </w:tr>
      <w:tr>
        <w:trPr>
          <w:trHeight w:val="189"/>
        </w:trPr>
        <w:tc>
          <w:tcPr>
            <w:tcW w:w="2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revenue</w:t>
            </w: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2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3,830</w:t>
            </w:r>
          </w:p>
        </w:tc>
        <w:tc>
          <w:tcPr>
            <w:tcW w:w="2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4,415</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9,484</w:t>
            </w:r>
          </w:p>
        </w:tc>
      </w:tr>
      <w:tr>
        <w:trPr>
          <w:trHeight w:val="182"/>
        </w:trPr>
        <w:tc>
          <w:tcPr>
            <w:tcW w:w="2880" w:type="dxa"/>
            <w:vAlign w:val="bottom"/>
          </w:tcPr>
          <w:p>
            <w:pPr>
              <w:ind w:left="20"/>
              <w:spacing w:after="0" w:line="183" w:lineRule="exact"/>
              <w:rPr>
                <w:sz w:val="20"/>
                <w:szCs w:val="20"/>
                <w:color w:val="auto"/>
              </w:rPr>
            </w:pPr>
            <w:r>
              <w:rPr>
                <w:rFonts w:ascii="Arial" w:cs="Arial" w:eastAsia="Arial" w:hAnsi="Arial"/>
                <w:sz w:val="16"/>
                <w:szCs w:val="16"/>
                <w:color w:val="auto"/>
              </w:rPr>
              <w:t>Total lease revenue</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3,801</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5,369</w:t>
            </w:r>
          </w:p>
        </w:tc>
        <w:tc>
          <w:tcPr>
            <w:tcW w:w="260" w:type="dxa"/>
            <w:vAlign w:val="bottom"/>
          </w:tcPr>
          <w:p>
            <w:pPr>
              <w:spacing w:after="0"/>
              <w:rPr>
                <w:sz w:val="15"/>
                <w:szCs w:val="15"/>
                <w:color w:val="auto"/>
              </w:rPr>
            </w:pPr>
          </w:p>
        </w:tc>
        <w:tc>
          <w:tcPr>
            <w:tcW w:w="4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8,399</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12,107</w:t>
            </w:r>
          </w:p>
        </w:tc>
      </w:tr>
      <w:tr>
        <w:trPr>
          <w:trHeight w:val="20"/>
        </w:trPr>
        <w:tc>
          <w:tcPr>
            <w:tcW w:w="2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59" w:hanging="7"/>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$23 million and $26 million as of June 30, 2025 and December 31, 2024,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June 30, 2025:</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5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2025 (remaining six months)</w:t>
            </w:r>
          </w:p>
        </w:tc>
        <w:tc>
          <w:tcPr>
            <w:tcW w:w="4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2026</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7,271</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3,669</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3,128</w:t>
            </w:r>
          </w:p>
        </w:tc>
      </w:tr>
      <w:tr>
        <w:trPr>
          <w:trHeight w:val="189"/>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2,028</w:t>
            </w: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 to be received</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27,450</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700" w:hanging="650"/>
        <w:spacing w:after="0"/>
        <w:tabs>
          <w:tab w:leader="none" w:pos="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Debt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carrying amount and fair value of our debt facilities as of June 30, 2025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2024:</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w w:val="92"/>
              </w:rPr>
              <w:t>As of</w:t>
            </w:r>
          </w:p>
        </w:tc>
        <w:tc>
          <w:tcPr>
            <w:tcW w:w="8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4"/>
          </w:tcPr>
          <w:p>
            <w:pPr>
              <w:jc w:val="right"/>
              <w:ind w:right="517"/>
              <w:spacing w:after="0" w:line="135" w:lineRule="exact"/>
              <w:rPr>
                <w:sz w:val="20"/>
                <w:szCs w:val="20"/>
                <w:color w:val="auto"/>
              </w:rPr>
            </w:pPr>
            <w:r>
              <w:rPr>
                <w:rFonts w:ascii="Arial" w:cs="Arial" w:eastAsia="Arial" w:hAnsi="Arial"/>
                <w:sz w:val="13"/>
                <w:szCs w:val="13"/>
                <w:b w:val="1"/>
                <w:bCs w:val="1"/>
                <w:color w:val="auto"/>
              </w:rPr>
              <w:t>June 30, 2025</w:t>
            </w:r>
          </w:p>
        </w:tc>
        <w:tc>
          <w:tcPr>
            <w:tcW w:w="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jc w:val="right"/>
              <w:ind w:right="437"/>
              <w:spacing w:after="0" w:line="135" w:lineRule="exact"/>
              <w:rPr>
                <w:sz w:val="20"/>
                <w:szCs w:val="20"/>
                <w:color w:val="auto"/>
              </w:rPr>
            </w:pPr>
            <w:r>
              <w:rPr>
                <w:rFonts w:ascii="Arial" w:cs="Arial" w:eastAsia="Arial" w:hAnsi="Arial"/>
                <w:sz w:val="13"/>
                <w:szCs w:val="13"/>
                <w:b w:val="1"/>
                <w:bCs w:val="1"/>
                <w:color w:val="auto"/>
              </w:rPr>
              <w:t>December 31, 2024</w:t>
            </w:r>
          </w:p>
        </w:tc>
        <w:tc>
          <w:tcPr>
            <w:tcW w:w="0" w:type="dxa"/>
            <w:vAlign w:val="bottom"/>
          </w:tcPr>
          <w:p>
            <w:pPr>
              <w:spacing w:after="0"/>
              <w:rPr>
                <w:sz w:val="1"/>
                <w:szCs w:val="1"/>
                <w:color w:val="auto"/>
              </w:rPr>
            </w:pPr>
          </w:p>
        </w:tc>
      </w:tr>
      <w:tr>
        <w:trPr>
          <w:trHeight w:val="111"/>
        </w:trPr>
        <w:tc>
          <w:tcPr>
            <w:tcW w:w="100" w:type="dxa"/>
            <w:vAlign w:val="bottom"/>
          </w:tcPr>
          <w:p>
            <w:pPr>
              <w:spacing w:after="0"/>
              <w:rPr>
                <w:sz w:val="9"/>
                <w:szCs w:val="9"/>
                <w:color w:val="auto"/>
              </w:rPr>
            </w:pPr>
          </w:p>
        </w:tc>
        <w:tc>
          <w:tcPr>
            <w:tcW w:w="2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Issuer</w:t>
            </w:r>
          </w:p>
        </w:tc>
        <w:tc>
          <w:tcPr>
            <w:tcW w:w="16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ind w:left="80"/>
              <w:spacing w:after="0" w:line="111"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9"/>
                <w:szCs w:val="9"/>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9"/>
              </w:rPr>
              <w:t>Fair Value</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gridSpan w:val="2"/>
          </w:tcPr>
          <w:p>
            <w:pPr>
              <w:ind w:left="60"/>
              <w:spacing w:after="0" w:line="111" w:lineRule="exact"/>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9"/>
                <w:szCs w:val="9"/>
                <w:color w:val="auto"/>
              </w:rPr>
            </w:pPr>
          </w:p>
        </w:tc>
        <w:tc>
          <w:tcPr>
            <w:tcW w:w="8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53"/>
        </w:trPr>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60" w:type="dxa"/>
            <w:vAlign w:val="bottom"/>
            <w:gridSpan w:val="5"/>
          </w:tcPr>
          <w:p>
            <w:pPr>
              <w:jc w:val="right"/>
              <w:ind w:right="577"/>
              <w:spacing w:after="0" w:line="115" w:lineRule="exact"/>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0% Convertible Notes due 2025</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DISH</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138,403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125,717</w:t>
            </w:r>
          </w:p>
        </w:tc>
        <w:tc>
          <w:tcPr>
            <w:tcW w:w="38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138,403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124,916</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Term Loan due 2025 (1)</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DBS SubscriberCo</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166,667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166,667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7</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3/4% Senior Notes due 2026</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4"/>
              </w:rPr>
              <w:t>DDBS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1,779,660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1,678,640</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1/4% Senior Secured Notes due 2026 (2)</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4"/>
              </w:rPr>
              <w:t>HSSC</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627,283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560,063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750,000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686,475</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6</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5/8% Senior Notes due 2026</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4"/>
              </w:rPr>
              <w:t>HSSC</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548,625</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595,725</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3</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3/8% Convertible Notes due 2026</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DISH</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37,987</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45,209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38,495</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1/4% Senior Secured Notes due 2026</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4"/>
              </w:rPr>
              <w:t>DDBS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2,502,500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2,750,000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2,507,780</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11 3/4% Senior Secured Notes due 2027</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DISH</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3,605,000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3,500,000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3,708,460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7</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3/8% Senior Notes due 2028</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4"/>
              </w:rPr>
              <w:t>DDBS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722,500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715,680</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2028</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4"/>
              </w:rPr>
              <w:t>DDBS</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2,175,000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2,500,000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2,143,350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5</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1/8% Senior Notes due 2029</w:t>
            </w:r>
          </w:p>
        </w:tc>
        <w:tc>
          <w:tcPr>
            <w:tcW w:w="14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4"/>
              </w:rPr>
              <w:t>DDBS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987,480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1,500,000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959,610</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Term Loan due 2029 (3)</w:t>
            </w:r>
          </w:p>
        </w:tc>
        <w:tc>
          <w:tcPr>
            <w:tcW w:w="14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DBS SubscriberCo</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1,761,313</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1,800,000</w:t>
            </w:r>
          </w:p>
        </w:tc>
        <w:tc>
          <w:tcPr>
            <w:tcW w:w="0" w:type="dxa"/>
            <w:vAlign w:val="bottom"/>
          </w:tcPr>
          <w:p>
            <w:pPr>
              <w:spacing w:after="0"/>
              <w:rPr>
                <w:sz w:val="1"/>
                <w:szCs w:val="1"/>
                <w:color w:val="auto"/>
              </w:rPr>
            </w:pPr>
          </w:p>
        </w:tc>
      </w:tr>
      <w:tr>
        <w:trPr>
          <w:trHeight w:val="117"/>
        </w:trPr>
        <w:tc>
          <w:tcPr>
            <w:tcW w:w="3160" w:type="dxa"/>
            <w:vAlign w:val="bottom"/>
            <w:gridSpan w:val="3"/>
            <w:shd w:val="clear" w:color="auto" w:fill="CCEEFF"/>
          </w:tcPr>
          <w:p>
            <w:pPr>
              <w:ind w:left="20"/>
              <w:spacing w:after="0" w:line="117" w:lineRule="exact"/>
              <w:rPr>
                <w:sz w:val="20"/>
                <w:szCs w:val="20"/>
                <w:color w:val="auto"/>
              </w:rPr>
            </w:pPr>
            <w:r>
              <w:rPr>
                <w:rFonts w:ascii="Arial" w:cs="Arial" w:eastAsia="Arial" w:hAnsi="Arial"/>
                <w:sz w:val="13"/>
                <w:szCs w:val="13"/>
                <w:color w:val="auto"/>
                <w:w w:val="96"/>
              </w:rPr>
              <w:t>Mandatorily Redeemable Preferred Shares due 2029 (3)</w:t>
            </w:r>
          </w:p>
        </w:tc>
        <w:tc>
          <w:tcPr>
            <w:tcW w:w="1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9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7"/>
              </w:rPr>
              <w:t>DBS SubscriberCo</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193,519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135"/>
        </w:trPr>
        <w:tc>
          <w:tcPr>
            <w:tcW w:w="316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10 3/4% Senior Secured Notes due 2029 (5)</w:t>
            </w: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4"/>
              </w:rPr>
              <w:t>SATS</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5,506,000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5,664,298</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5,356,000</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5,763,110</w:t>
            </w:r>
          </w:p>
        </w:tc>
        <w:tc>
          <w:tcPr>
            <w:tcW w:w="0" w:type="dxa"/>
            <w:vAlign w:val="bottom"/>
          </w:tcPr>
          <w:p>
            <w:pPr>
              <w:spacing w:after="0"/>
              <w:rPr>
                <w:sz w:val="1"/>
                <w:szCs w:val="1"/>
                <w:color w:val="auto"/>
              </w:rPr>
            </w:pPr>
          </w:p>
        </w:tc>
      </w:tr>
      <w:tr>
        <w:trPr>
          <w:trHeight w:val="135"/>
        </w:trPr>
        <w:tc>
          <w:tcPr>
            <w:tcW w:w="1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w w:val="82"/>
              </w:rPr>
              <w:t>3</w:t>
            </w:r>
          </w:p>
        </w:tc>
        <w:tc>
          <w:tcPr>
            <w:tcW w:w="306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7/8% Convertible Secured Notes due 2030 (6)</w:t>
            </w:r>
          </w:p>
        </w:tc>
        <w:tc>
          <w:tcPr>
            <w:tcW w:w="142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4"/>
              </w:rPr>
              <w:t>SATS</w:t>
            </w: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1,946,856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2,297,290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1,906,229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2,029,715</w:t>
            </w:r>
          </w:p>
        </w:tc>
        <w:tc>
          <w:tcPr>
            <w:tcW w:w="0" w:type="dxa"/>
            <w:vAlign w:val="bottom"/>
          </w:tcPr>
          <w:p>
            <w:pPr>
              <w:spacing w:after="0"/>
              <w:rPr>
                <w:sz w:val="1"/>
                <w:szCs w:val="1"/>
                <w:color w:val="auto"/>
              </w:rPr>
            </w:pPr>
          </w:p>
        </w:tc>
      </w:tr>
      <w:tr>
        <w:trPr>
          <w:trHeight w:val="135"/>
        </w:trPr>
        <w:tc>
          <w:tcPr>
            <w:tcW w:w="100" w:type="dxa"/>
            <w:vAlign w:val="bottom"/>
          </w:tcPr>
          <w:p>
            <w:pPr>
              <w:ind w:left="20"/>
              <w:spacing w:after="0" w:line="135" w:lineRule="exact"/>
              <w:rPr>
                <w:sz w:val="20"/>
                <w:szCs w:val="20"/>
                <w:color w:val="auto"/>
              </w:rPr>
            </w:pPr>
            <w:r>
              <w:rPr>
                <w:rFonts w:ascii="Arial" w:cs="Arial" w:eastAsia="Arial" w:hAnsi="Arial"/>
                <w:sz w:val="13"/>
                <w:szCs w:val="13"/>
                <w:color w:val="auto"/>
                <w:w w:val="82"/>
              </w:rPr>
              <w:t>6</w:t>
            </w:r>
          </w:p>
        </w:tc>
        <w:tc>
          <w:tcPr>
            <w:tcW w:w="306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3/4% Senior Secured Notes due 2030 (7)</w:t>
            </w:r>
          </w:p>
        </w:tc>
        <w:tc>
          <w:tcPr>
            <w:tcW w:w="1420" w:type="dxa"/>
            <w:vAlign w:val="bottom"/>
            <w:gridSpan w:val="2"/>
          </w:tcPr>
          <w:p>
            <w:pPr>
              <w:jc w:val="center"/>
              <w:ind w:right="140"/>
              <w:spacing w:after="0" w:line="135" w:lineRule="exact"/>
              <w:rPr>
                <w:sz w:val="20"/>
                <w:szCs w:val="20"/>
                <w:color w:val="auto"/>
              </w:rPr>
            </w:pPr>
            <w:r>
              <w:rPr>
                <w:rFonts w:ascii="Arial" w:cs="Arial" w:eastAsia="Arial" w:hAnsi="Arial"/>
                <w:sz w:val="13"/>
                <w:szCs w:val="13"/>
                <w:color w:val="auto"/>
                <w:w w:val="94"/>
              </w:rPr>
              <w:t>SATS</w:t>
            </w: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2,372,670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2,185,229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2,287,738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3"/>
                <w:szCs w:val="13"/>
                <w:color w:val="auto"/>
              </w:rPr>
              <w:t>2,070,952</w:t>
            </w:r>
          </w:p>
        </w:tc>
        <w:tc>
          <w:tcPr>
            <w:tcW w:w="0" w:type="dxa"/>
            <w:vAlign w:val="bottom"/>
          </w:tcPr>
          <w:p>
            <w:pPr>
              <w:spacing w:after="0"/>
              <w:rPr>
                <w:sz w:val="1"/>
                <w:szCs w:val="1"/>
                <w:color w:val="auto"/>
              </w:rPr>
            </w:pPr>
          </w:p>
        </w:tc>
      </w:tr>
      <w:tr>
        <w:trPr>
          <w:trHeight w:val="135"/>
        </w:trPr>
        <w:tc>
          <w:tcPr>
            <w:tcW w:w="316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Other notes payable</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80,201</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80,201</w:t>
            </w:r>
          </w:p>
        </w:tc>
        <w:tc>
          <w:tcPr>
            <w:tcW w:w="4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108,072</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108,072</w:t>
            </w:r>
          </w:p>
        </w:tc>
        <w:tc>
          <w:tcPr>
            <w:tcW w:w="0" w:type="dxa"/>
            <w:vAlign w:val="bottom"/>
          </w:tcPr>
          <w:p>
            <w:pPr>
              <w:spacing w:after="0"/>
              <w:rPr>
                <w:sz w:val="1"/>
                <w:szCs w:val="1"/>
                <w:color w:val="auto"/>
              </w:rPr>
            </w:pPr>
          </w:p>
        </w:tc>
      </w:tr>
      <w:tr>
        <w:trPr>
          <w:trHeight w:val="168"/>
        </w:trPr>
        <w:tc>
          <w:tcPr>
            <w:tcW w:w="316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Subtotal</w:t>
            </w:r>
          </w:p>
        </w:tc>
        <w:tc>
          <w:tcPr>
            <w:tcW w:w="12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26,883,289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25,393,049</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27,091,651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25,630,980</w:t>
            </w:r>
          </w:p>
        </w:tc>
        <w:tc>
          <w:tcPr>
            <w:tcW w:w="0" w:type="dxa"/>
            <w:vAlign w:val="bottom"/>
          </w:tcPr>
          <w:p>
            <w:pPr>
              <w:spacing w:after="0"/>
              <w:rPr>
                <w:sz w:val="1"/>
                <w:szCs w:val="1"/>
                <w:color w:val="auto"/>
              </w:rPr>
            </w:pPr>
          </w:p>
        </w:tc>
      </w:tr>
      <w:tr>
        <w:trPr>
          <w:trHeight w:val="71"/>
        </w:trPr>
        <w:tc>
          <w:tcPr>
            <w:tcW w:w="3160" w:type="dxa"/>
            <w:vAlign w:val="bottom"/>
            <w:gridSpan w:val="3"/>
            <w:shd w:val="clear" w:color="auto" w:fill="CCEEFF"/>
          </w:tcPr>
          <w:p>
            <w:pPr>
              <w:ind w:left="20"/>
              <w:spacing w:after="0" w:line="71" w:lineRule="exact"/>
              <w:rPr>
                <w:sz w:val="20"/>
                <w:szCs w:val="20"/>
                <w:color w:val="auto"/>
              </w:rPr>
            </w:pPr>
            <w:r>
              <w:rPr>
                <w:rFonts w:ascii="Arial" w:cs="Arial" w:eastAsia="Arial" w:hAnsi="Arial"/>
                <w:sz w:val="8"/>
                <w:szCs w:val="8"/>
                <w:color w:val="auto"/>
              </w:rPr>
              <w:t>Unamortized deferred financing costs and other debt</w:t>
            </w:r>
          </w:p>
        </w:tc>
        <w:tc>
          <w:tcPr>
            <w:tcW w:w="12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discounts, net</w:t>
            </w: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(484,164)</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(555,533)</w:t>
            </w: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60" w:type="dxa"/>
            <w:vAlign w:val="bottom"/>
            <w:tcBorders>
              <w:bottom w:val="single" w:sz="8" w:color="CCEEFF"/>
            </w:tcBorders>
            <w:gridSpan w:val="3"/>
          </w:tcPr>
          <w:p>
            <w:pPr>
              <w:ind w:left="20"/>
              <w:spacing w:after="0" w:line="135" w:lineRule="exact"/>
              <w:rPr>
                <w:sz w:val="20"/>
                <w:szCs w:val="20"/>
                <w:color w:val="auto"/>
              </w:rPr>
            </w:pPr>
            <w:r>
              <w:rPr>
                <w:rFonts w:ascii="Arial" w:cs="Arial" w:eastAsia="Arial" w:hAnsi="Arial"/>
                <w:sz w:val="13"/>
                <w:szCs w:val="13"/>
                <w:color w:val="auto"/>
              </w:rPr>
              <w:t>Finance lease obligations (8)</w:t>
            </w: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55,793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67,199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16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w:t>
            </w:r>
          </w:p>
        </w:tc>
        <w:tc>
          <w:tcPr>
            <w:tcW w:w="1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26,454,918</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26,603,317</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60" w:type="dxa"/>
            <w:vAlign w:val="bottom"/>
            <w:tcBorders>
              <w:bottom w:val="single" w:sz="8" w:color="CCEEFF"/>
            </w:tcBorders>
            <w:gridSpan w:val="3"/>
          </w:tcPr>
          <w:p>
            <w:pPr>
              <w:ind w:left="20"/>
              <w:spacing w:after="0" w:line="135" w:lineRule="exact"/>
              <w:rPr>
                <w:sz w:val="20"/>
                <w:szCs w:val="20"/>
                <w:color w:val="auto"/>
              </w:rPr>
            </w:pPr>
            <w:r>
              <w:rPr>
                <w:rFonts w:ascii="Arial" w:cs="Arial" w:eastAsia="Arial" w:hAnsi="Arial"/>
                <w:sz w:val="13"/>
                <w:szCs w:val="13"/>
                <w:color w:val="auto"/>
              </w:rPr>
              <w:t>Less: current portion (3)</w:t>
            </w:r>
          </w:p>
        </w:tc>
        <w:tc>
          <w:tcPr>
            <w:tcW w:w="12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(1,053,230)</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(943,029)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160" w:type="dxa"/>
            <w:vAlign w:val="bottom"/>
            <w:gridSpan w:val="3"/>
            <w:shd w:val="clear" w:color="auto" w:fill="CCEEFF"/>
          </w:tcPr>
          <w:p>
            <w:pPr>
              <w:ind w:left="20"/>
              <w:spacing w:after="0" w:line="97" w:lineRule="exact"/>
              <w:rPr>
                <w:sz w:val="20"/>
                <w:szCs w:val="20"/>
                <w:color w:val="auto"/>
              </w:rPr>
            </w:pPr>
            <w:r>
              <w:rPr>
                <w:rFonts w:ascii="Arial" w:cs="Arial" w:eastAsia="Arial" w:hAnsi="Arial"/>
                <w:sz w:val="10"/>
                <w:szCs w:val="10"/>
                <w:b w:val="1"/>
                <w:bCs w:val="1"/>
                <w:color w:val="auto"/>
              </w:rPr>
              <w:t>Total debt, finance lease and other obligations, net</w:t>
            </w:r>
          </w:p>
        </w:tc>
        <w:tc>
          <w:tcPr>
            <w:tcW w:w="1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0" w:type="dxa"/>
            <w:vAlign w:val="bottom"/>
            <w:vMerge w:val="restart"/>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25,401,688</w:t>
            </w:r>
          </w:p>
        </w:tc>
        <w:tc>
          <w:tcPr>
            <w:tcW w:w="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25,660,288</w:t>
            </w: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160" w:type="dxa"/>
            <w:vAlign w:val="bottom"/>
            <w:gridSpan w:val="3"/>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of current portion</w:t>
            </w:r>
          </w:p>
        </w:tc>
        <w:tc>
          <w:tcPr>
            <w:tcW w:w="1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gridSpan w:val="3"/>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79" w:hanging="330"/>
        <w:spacing w:after="0" w:line="241"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three and six months ended June 30, 2025, we redeemed approximately $166 million and $333 million, respectively, of our Term Loan due 2025. The remaining balance of approximately $167 million is paid monthly and the final payment is due September 30, 2025.</w:t>
      </w:r>
    </w:p>
    <w:p>
      <w:pPr>
        <w:spacing w:after="0" w:line="1" w:lineRule="exact"/>
        <w:rPr>
          <w:rFonts w:ascii="Arial" w:cs="Arial" w:eastAsia="Arial" w:hAnsi="Arial"/>
          <w:sz w:val="18"/>
          <w:szCs w:val="18"/>
          <w:color w:val="auto"/>
        </w:rPr>
      </w:pPr>
    </w:p>
    <w:p>
      <w:pPr>
        <w:jc w:val="both"/>
        <w:ind w:left="380" w:right="47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six months ended June 30, 2025, we repurchased approximately $123 million of our 5 1/4% Senior Secured Notes due 2026 in open market trades. The remaining balance of approximately $627 million matures on August 1, 2026. See Note 5 for further information.</w:t>
      </w:r>
    </w:p>
    <w:p>
      <w:pPr>
        <w:spacing w:after="0" w:line="2" w:lineRule="exact"/>
        <w:rPr>
          <w:rFonts w:ascii="Arial" w:cs="Arial" w:eastAsia="Arial" w:hAnsi="Arial"/>
          <w:sz w:val="18"/>
          <w:szCs w:val="18"/>
          <w:color w:val="auto"/>
        </w:rPr>
      </w:pPr>
    </w:p>
    <w:p>
      <w:pPr>
        <w:ind w:left="380" w:right="7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A portion of the principal balance of these instruments is classified as “Current portion of debt, finance lease and other obligations” due to payment terms upon which </w:t>
      </w:r>
      <w:r>
        <w:rPr>
          <w:rFonts w:ascii="Arial" w:cs="Arial" w:eastAsia="Arial" w:hAnsi="Arial"/>
          <w:sz w:val="18"/>
          <w:szCs w:val="18"/>
          <w:color w:val="222222"/>
        </w:rPr>
        <w:t>we will pay a portion of</w:t>
      </w:r>
      <w:r>
        <w:rPr>
          <w:rFonts w:ascii="Arial" w:cs="Arial" w:eastAsia="Arial" w:hAnsi="Arial"/>
          <w:sz w:val="18"/>
          <w:szCs w:val="18"/>
          <w:color w:val="auto"/>
        </w:rPr>
        <w:t xml:space="preserve"> principal balance based on the </w:t>
      </w:r>
      <w:r>
        <w:rPr>
          <w:rFonts w:ascii="Arial" w:cs="Arial" w:eastAsia="Arial" w:hAnsi="Arial"/>
          <w:sz w:val="18"/>
          <w:szCs w:val="18"/>
          <w:color w:val="222222"/>
        </w:rPr>
        <w:t>variable cash flows for certain Pay-TV business metrics which are an estimate and could change</w:t>
      </w:r>
      <w:r>
        <w:rPr>
          <w:rFonts w:ascii="Arial" w:cs="Arial" w:eastAsia="Arial" w:hAnsi="Arial"/>
          <w:sz w:val="18"/>
          <w:szCs w:val="18"/>
          <w:color w:val="auto"/>
        </w:rPr>
        <w:t xml:space="preserve"> </w:t>
      </w:r>
      <w:r>
        <w:rPr>
          <w:rFonts w:ascii="Arial" w:cs="Arial" w:eastAsia="Arial" w:hAnsi="Arial"/>
          <w:sz w:val="18"/>
          <w:szCs w:val="18"/>
          <w:color w:val="222222"/>
        </w:rPr>
        <w:t>significantly based on actual performance.</w:t>
      </w:r>
    </w:p>
    <w:p>
      <w:pPr>
        <w:spacing w:after="0" w:line="2" w:lineRule="exact"/>
        <w:rPr>
          <w:rFonts w:ascii="Arial" w:cs="Arial" w:eastAsia="Arial" w:hAnsi="Arial"/>
          <w:sz w:val="18"/>
          <w:szCs w:val="18"/>
          <w:color w:val="auto"/>
        </w:rPr>
      </w:pPr>
    </w:p>
    <w:p>
      <w:pPr>
        <w:ind w:left="380" w:right="89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Due to the June 30, 2029 mandatory redemption feature of this instrument, it is considered a debt instrument.</w:t>
      </w:r>
    </w:p>
    <w:p>
      <w:pPr>
        <w:spacing w:after="0" w:line="1" w:lineRule="exact"/>
        <w:rPr>
          <w:rFonts w:ascii="Arial" w:cs="Arial" w:eastAsia="Arial" w:hAnsi="Arial"/>
          <w:sz w:val="18"/>
          <w:szCs w:val="18"/>
          <w:color w:val="auto"/>
        </w:rPr>
      </w:pPr>
    </w:p>
    <w:p>
      <w:pPr>
        <w:ind w:left="380" w:right="35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May 8, 2025, we issued an additional $150 million aggregate principal amount of our 10 3/4% Senior Secured Notes due November 30, 2029.</w:t>
      </w:r>
    </w:p>
    <w:p>
      <w:pPr>
        <w:spacing w:after="0" w:line="1" w:lineRule="exact"/>
        <w:rPr>
          <w:rFonts w:ascii="Arial" w:cs="Arial" w:eastAsia="Arial" w:hAnsi="Arial"/>
          <w:sz w:val="18"/>
          <w:szCs w:val="18"/>
          <w:color w:val="auto"/>
        </w:rPr>
      </w:pPr>
    </w:p>
    <w:p>
      <w:pPr>
        <w:ind w:left="380" w:right="39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three months ended June 30, 2025, we elected to make our semi-annual interest payment of approximately $41 million in kind.</w:t>
      </w:r>
    </w:p>
    <w:p>
      <w:pPr>
        <w:spacing w:after="0" w:line="1" w:lineRule="exact"/>
        <w:rPr>
          <w:rFonts w:ascii="Arial" w:cs="Arial" w:eastAsia="Arial" w:hAnsi="Arial"/>
          <w:sz w:val="18"/>
          <w:szCs w:val="18"/>
          <w:color w:val="auto"/>
        </w:rPr>
      </w:pPr>
    </w:p>
    <w:p>
      <w:pPr>
        <w:ind w:left="380" w:right="399" w:hanging="330"/>
        <w:spacing w:after="0" w:line="234" w:lineRule="auto"/>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the three months ended June 30, 2025, we elected to make our semi-annual interest payment of approximately $85 million in kind.</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 We estimated the fair value of our non-publicly traded debt based on, among other things, available trade information and/or valuations performed by a third-party (Level 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Notes and Convertible Notes</w:t>
      </w:r>
    </w:p>
    <w:p>
      <w:pPr>
        <w:spacing w:after="0" w:line="196" w:lineRule="exact"/>
        <w:rPr>
          <w:sz w:val="20"/>
          <w:szCs w:val="20"/>
          <w:color w:val="auto"/>
        </w:rPr>
      </w:pPr>
    </w:p>
    <w:p>
      <w:pPr>
        <w:ind w:left="60" w:right="639"/>
        <w:spacing w:after="0" w:line="271" w:lineRule="auto"/>
        <w:rPr>
          <w:sz w:val="20"/>
          <w:szCs w:val="20"/>
          <w:color w:val="auto"/>
        </w:rPr>
      </w:pPr>
      <w:r>
        <w:rPr>
          <w:rFonts w:ascii="Arial" w:cs="Arial" w:eastAsia="Arial" w:hAnsi="Arial"/>
          <w:sz w:val="18"/>
          <w:szCs w:val="18"/>
          <w:color w:val="auto"/>
        </w:rPr>
        <w:t>The below summaries are not complete and are qualified in entirety by reference to the full and complete text of the applicable indentures.</w:t>
      </w:r>
    </w:p>
    <w:p>
      <w:pPr>
        <w:spacing w:after="0" w:line="140" w:lineRule="exact"/>
        <w:rPr>
          <w:sz w:val="20"/>
          <w:szCs w:val="20"/>
          <w:color w:val="auto"/>
        </w:rPr>
      </w:pPr>
    </w:p>
    <w:p>
      <w:pPr>
        <w:ind w:left="60" w:right="3139"/>
        <w:spacing w:after="0" w:line="469" w:lineRule="auto"/>
        <w:rPr>
          <w:sz w:val="20"/>
          <w:szCs w:val="20"/>
          <w:color w:val="auto"/>
        </w:rPr>
      </w:pPr>
      <w:r>
        <w:rPr>
          <w:rFonts w:ascii="Arial" w:cs="Arial" w:eastAsia="Arial" w:hAnsi="Arial"/>
          <w:sz w:val="18"/>
          <w:szCs w:val="18"/>
          <w:b w:val="1"/>
          <w:bCs w:val="1"/>
          <w:color w:val="auto"/>
        </w:rPr>
        <w:t xml:space="preserve">EchoStar Senior Secured Notes and Convertible Secured Notes </w:t>
      </w:r>
      <w:r>
        <w:rPr>
          <w:rFonts w:ascii="Arial" w:cs="Arial" w:eastAsia="Arial" w:hAnsi="Arial"/>
          <w:sz w:val="18"/>
          <w:szCs w:val="18"/>
          <w:color w:val="auto"/>
        </w:rPr>
        <w:t>The EchoStar Senior Secured Notes and Convertible Secured Notes are:</w:t>
      </w:r>
    </w:p>
    <w:p>
      <w:pPr>
        <w:spacing w:after="0" w:line="1" w:lineRule="exact"/>
        <w:rPr>
          <w:sz w:val="20"/>
          <w:szCs w:val="20"/>
          <w:color w:val="auto"/>
        </w:rPr>
      </w:pPr>
    </w:p>
    <w:p>
      <w:pPr>
        <w:ind w:left="720" w:right="499" w:hanging="319"/>
        <w:spacing w:after="0" w:line="24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senior unsecured obligations of EchoStar and guaranteed by the Spectrum Assets Guarantors (as defined below) and the Equity Pledge Guarantors (as defined below) on a senior secured basis;</w:t>
      </w:r>
    </w:p>
    <w:p>
      <w:pPr>
        <w:spacing w:after="0" w:line="1" w:lineRule="exact"/>
        <w:rPr>
          <w:rFonts w:ascii="Times New Roman" w:cs="Times New Roman" w:eastAsia="Times New Roman" w:hAnsi="Times New Roman"/>
          <w:sz w:val="18"/>
          <w:szCs w:val="18"/>
          <w:color w:val="auto"/>
        </w:rPr>
      </w:pPr>
    </w:p>
    <w:p>
      <w:pPr>
        <w:ind w:left="720" w:right="11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secured equally and ratably with certain other secured indebtedness on a first-priority basis, subject to permitted liens, certain exceptions, and the first lien intercreditor agreement, by: (i) a lien on all licenses, authorizations and permits issued from time to time by the FCC for use of the AWS-3 Spectrum and for the use of the AWS-4 Spectrum (the “Spectrum Assets”) held by certain of our subsidiaries that hold any Spectrum Assets (each, a “Spectrum Assets Guarantor”); (ii) the proceeds of any Spectrum Assets sale; (iii) other wireless licenses (valued by third-party) of similar value which can be substituted for the Spectrum Assets; and (iv) a lien on the equity interests held by an entity that directly owns any equity interests in any Spectrum Assets Guarantor (each, a “Equity Pledge Guarantor”);</w:t>
      </w:r>
    </w:p>
    <w:p>
      <w:pPr>
        <w:spacing w:after="0" w:line="5"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without giving effect to collateral arrangements, with all of our and the Spectrum Assets Guarantors’ or Equity Pledge Guarantors’ existing and future senior indebtedness;</w:t>
      </w:r>
    </w:p>
    <w:p>
      <w:pPr>
        <w:spacing w:after="0" w:line="1" w:lineRule="exact"/>
        <w:rPr>
          <w:rFonts w:ascii="Times New Roman" w:cs="Times New Roman" w:eastAsia="Times New Roman" w:hAnsi="Times New Roman"/>
          <w:sz w:val="18"/>
          <w:szCs w:val="18"/>
          <w:color w:val="auto"/>
        </w:rPr>
      </w:pPr>
    </w:p>
    <w:p>
      <w:pPr>
        <w:ind w:left="720" w:right="179" w:hanging="319"/>
        <w:spacing w:after="0" w:line="238"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of our and the Spectrum Assets Guarantors or Equity Pledge Guarantors’ subordinated existing and future indebtedness and effectively senior to any of the Spectrum Assets Guarantors or Equity Pledge Guarantors unsecured indebtedness and indebtedness secured by junior liens on the collateral to the extent of the value of the collateral and effectively junior to all the existing and future obligations of any of our subsidiaries that are not Spectrum Assets Guarantors or Equity Pledge Guarantors.</w:t>
      </w:r>
    </w:p>
    <w:p>
      <w:pPr>
        <w:spacing w:after="0" w:line="167"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The indentures related to our EchoStar Senior Secured Notes and Convertible Secured Notes contain restrictive covenants that, among other things, impose limitations on the ability of EchoStar and the Spectrum Assets Guarantors and the Equity Pledge Guarantors to:</w:t>
      </w:r>
    </w:p>
    <w:p>
      <w:pPr>
        <w:spacing w:after="0" w:line="155" w:lineRule="exact"/>
        <w:rPr>
          <w:sz w:val="20"/>
          <w:szCs w:val="20"/>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incur or guarantee additional debt;</w:t>
      </w:r>
    </w:p>
    <w:p>
      <w:pPr>
        <w:spacing w:after="0" w:line="26"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make certain investments and other restricted payments;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create liens;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enter into transactions with affiliates;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merge or consolidate with another company;</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or sell assets;</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allow to exist certain restrictions on paying dividends or other payments;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engage in new activities (applicable to guarantors).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Pursuant to the related indenture, we were required to appoint independent appraisers to determine the aggregate Appraised Value (as defined in the related indenture) of the Spectrum Assets within 60 days following the issue date of the EchoStar Senior Secured Notes and Convertible Secured Notes. Based on the independent appraisals and in accordance with the definition of “Appraised Value” in the related indenture, the Initial Appraisal (as defined in the related indenture) was determined to be $33.1 billion, with a LTV Ratio (as defined in the related indenture) of approximately 0.3 to 1.00.</w:t>
      </w:r>
    </w:p>
    <w:p>
      <w:pPr>
        <w:spacing w:after="0" w:line="165"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We will also be required to obtain a forfeiture appraisal of the Spectrum Assets (the “Spectrum Assets Forfeiture Appraisal”) within 60 days of the forfeiture date if wireless spectrum licenses that form part of the Spectrum Assets accounting for more than 10% of the aggregate MHz-POPs of all such licenses constituting the Spectrum Assets are forfeited to the FCC as a result of our failure to meet its build-out milestones with respect to such forfeited licenses.</w:t>
      </w:r>
    </w:p>
    <w:p>
      <w:pPr>
        <w:spacing w:after="0" w:line="163"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If the loan-to-value ratio with respect to the Spectrum Assets as of the date of the Spectrum Assets Forfeiture Appraisal is greater than 0.375 to 1.00, then within 60 days following the date of the delivery of the Spectrum Assets Forfeiture Appraisal, we will be required to add additional Spectrum Assets Guarantors and/or pledge (or cause to be pledged) cash or additional wireless spectrum licenses as Spectrum Assets to comply with the required loan-to-value ratio of 0.375 to 1.00.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10 3/4% Senior Secured Notes due 2029</w:t>
      </w:r>
    </w:p>
    <w:p>
      <w:pPr>
        <w:spacing w:after="0" w:line="196"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 xml:space="preserve">On November 12, 2024 and on May 8, 2025, we issued $5.356 billion and $150 million, respectively, aggregate principal amount of our 10 3/4% Senior Secured Notes due November 30, 2029. Interest accrues at an annual rate of 10 3/4% and is payable semi-annually in cash, in arrears on May 30 and November 30 of each year, which commenced on May 30, 2025. </w:t>
      </w:r>
      <w:r>
        <w:rPr>
          <w:rFonts w:ascii="Arial" w:cs="Arial" w:eastAsia="Arial" w:hAnsi="Arial"/>
          <w:sz w:val="18"/>
          <w:szCs w:val="18"/>
          <w:color w:val="222222"/>
        </w:rPr>
        <w:t>We elected not to make the approximately $326 million cash interest</w:t>
      </w:r>
      <w:r>
        <w:rPr>
          <w:rFonts w:ascii="Arial" w:cs="Arial" w:eastAsia="Arial" w:hAnsi="Arial"/>
          <w:sz w:val="18"/>
          <w:szCs w:val="18"/>
          <w:color w:val="auto"/>
        </w:rPr>
        <w:t xml:space="preserve"> </w:t>
      </w:r>
      <w:r>
        <w:rPr>
          <w:rFonts w:ascii="Arial" w:cs="Arial" w:eastAsia="Arial" w:hAnsi="Arial"/>
          <w:sz w:val="18"/>
          <w:szCs w:val="18"/>
          <w:color w:val="222222"/>
        </w:rPr>
        <w:t>payment due on May 30, 2025 (the “</w:t>
      </w:r>
      <w:r>
        <w:rPr>
          <w:rFonts w:ascii="Arial" w:cs="Arial" w:eastAsia="Arial" w:hAnsi="Arial"/>
          <w:sz w:val="18"/>
          <w:szCs w:val="18"/>
          <w:color w:val="000000"/>
        </w:rPr>
        <w:t>10 3/4%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10 3/4%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10 3/4%</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May 30,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7/8% Convertible Secured Notes due 2030</w:t>
      </w:r>
    </w:p>
    <w:p>
      <w:pPr>
        <w:spacing w:after="0" w:line="196"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November 12, 2024, we issued $1.906 billion aggregate principal amount of our 3 7/8% Convertible Secured Notes due November 30, 2030 (“Convertible Notes due 2030”). Interest accrues at an annual rate of 3 7/8% and is payable semi-annually in arrears on May 30 and November 30 of each year, commencing on May 30, 2025. Interest payments are, at our option, payable in cash or in kind for the first four interest payment periods; provided that no payment in kind interest may be paid for any interest period if the payment of interest on the 6 3/4% Senior Secured Notes due 2030 or certain other indebtedness during such period is made in cash. Interest payments from and including the fifth interest payment period (which will be payable on May 30, 2027) and thereafter must be paid in cash.</w:t>
      </w:r>
    </w:p>
    <w:p>
      <w:pPr>
        <w:spacing w:after="0" w:line="167" w:lineRule="exact"/>
        <w:rPr>
          <w:sz w:val="20"/>
          <w:szCs w:val="20"/>
          <w:color w:val="auto"/>
        </w:rPr>
      </w:pPr>
    </w:p>
    <w:p>
      <w:pPr>
        <w:jc w:val="both"/>
        <w:ind w:left="60" w:right="279"/>
        <w:spacing w:after="0" w:line="253" w:lineRule="auto"/>
        <w:rPr>
          <w:sz w:val="20"/>
          <w:szCs w:val="20"/>
          <w:color w:val="auto"/>
        </w:rPr>
      </w:pPr>
      <w:r>
        <w:rPr>
          <w:rFonts w:ascii="Arial" w:cs="Arial" w:eastAsia="Arial" w:hAnsi="Arial"/>
          <w:sz w:val="18"/>
          <w:szCs w:val="18"/>
          <w:color w:val="auto"/>
        </w:rPr>
        <w:t>We may not redeem the Convertible Notes due 2030 prior to November 30, 2027. The Convertible Notes due 2030 are redeemable, in whole or in part, at any time on or after November 30, 2027 at the redemption prices and subject to the conversion rights and other conditions specified in the related indenture.</w:t>
      </w:r>
    </w:p>
    <w:p>
      <w:pPr>
        <w:spacing w:after="0" w:line="155"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color w:val="auto"/>
        </w:rPr>
        <w:t>If a “fundamental change” (as defined in the related indenture) occurs prior to the maturity date of the Convertible Notes due 2030, holders may require us to repurchase for cash all or part of their Convertible Notes due 2030 at a specified make-whole price equal to 100% of the principal amount of such Convertible Notes due 2030, plus accrued and unpaid interest to, but not including, the fundamental change repurchase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319"/>
        <w:spacing w:after="0"/>
        <w:rPr>
          <w:sz w:val="20"/>
          <w:szCs w:val="20"/>
          <w:color w:val="auto"/>
        </w:rPr>
      </w:pPr>
      <w:r>
        <w:rPr>
          <w:rFonts w:ascii="Arial" w:cs="Arial" w:eastAsia="Arial" w:hAnsi="Arial"/>
          <w:sz w:val="18"/>
          <w:szCs w:val="18"/>
          <w:color w:val="auto"/>
        </w:rPr>
        <w:t>Subject to the terms of the related indenture, the Convertible Notes due 2030 may be converted at an initial conversion rate of 29.73507 shares of our Class A common stock per $1,000 principal amount of Convertible Notes due 2030 (equivalent to an initial conversion price of approximately $33.63 per share of our Class A common stock) (the “Initial Conversion Rate”), at any time on or after May 30, 2030 through the second scheduled trading day preceding the maturity date. Holders of the Convertible Notes due 2030 will also have the right to convert the Convertible Notes due 2030 at the Initial Conversion Rate prior to May 30, 2030, but only upon the occurrence of specified events described in the related indenture.</w:t>
      </w:r>
    </w:p>
    <w:p>
      <w:pPr>
        <w:spacing w:after="0" w:line="171" w:lineRule="exact"/>
        <w:rPr>
          <w:sz w:val="20"/>
          <w:szCs w:val="20"/>
          <w:color w:val="auto"/>
        </w:rPr>
      </w:pPr>
    </w:p>
    <w:p>
      <w:pPr>
        <w:ind w:left="60" w:right="179"/>
        <w:spacing w:after="0" w:line="253" w:lineRule="auto"/>
        <w:rPr>
          <w:sz w:val="20"/>
          <w:szCs w:val="20"/>
          <w:color w:val="auto"/>
        </w:rPr>
      </w:pPr>
      <w:r>
        <w:rPr>
          <w:rFonts w:ascii="Arial" w:cs="Arial" w:eastAsia="Arial" w:hAnsi="Arial"/>
          <w:sz w:val="18"/>
          <w:szCs w:val="18"/>
          <w:color w:val="auto"/>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22222"/>
        </w:rPr>
        <w:t>Existing DISH 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0% Convertible Notes due 2025</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A portion of these notes were tendered for exchange and cancelled and an aggregate principal amount of $138 million remains outstanding. These notes will not bear interest, and the principal amount of the Notes will not increase over time.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319" w:hanging="12"/>
        <w:spacing w:after="0"/>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our Class A common stock per $1,000 principal amount of the Convertible Notes due 2025 (equivalent to an initial conversion price of approximately $116.74 per share of our Class A common stock) (the “Initial Conversion Rate”), at any time on or after July 15, 2025 through the second scheduled trading day preceding the maturity date. Holders of the Convertible Notes due 2025 also had the right to convert the Convertible Notes due 2025 at the Initial Conversion Rate prior to July 15, 2025, but only upon the occurrence of specified events described in the related indenture.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79" w:hanging="12"/>
        <w:spacing w:after="0" w:line="253" w:lineRule="auto"/>
        <w:rPr>
          <w:sz w:val="20"/>
          <w:szCs w:val="20"/>
          <w:color w:val="auto"/>
        </w:rPr>
      </w:pPr>
      <w:r>
        <w:rPr>
          <w:rFonts w:ascii="Arial" w:cs="Arial" w:eastAsia="Arial" w:hAnsi="Arial"/>
          <w:sz w:val="18"/>
          <w:szCs w:val="18"/>
          <w:color w:val="auto"/>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3 3/8% Convertible Notes due 2026</w:t>
      </w:r>
    </w:p>
    <w:p>
      <w:pPr>
        <w:spacing w:after="0" w:line="196" w:lineRule="exact"/>
        <w:rPr>
          <w:sz w:val="20"/>
          <w:szCs w:val="20"/>
          <w:color w:val="auto"/>
        </w:rPr>
      </w:pPr>
    </w:p>
    <w:p>
      <w:pPr>
        <w:ind w:left="60" w:right="59" w:hanging="12"/>
        <w:spacing w:after="0" w:line="247"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A portion of these notes were tendered for exchange and cancelled and an aggregate principal amount of $45 million remains outstanding. Interest accrues at an annual rate of 3 3/8% and is payable semi-annually in cash, in arrears on February 15 and August 15 of each year.</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98" w:lineRule="exact"/>
        <w:rPr>
          <w:sz w:val="20"/>
          <w:szCs w:val="20"/>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259" w:hanging="7"/>
        <w:spacing w:after="0"/>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w:t>
      </w:r>
    </w:p>
    <w:p>
      <w:pPr>
        <w:spacing w:after="0" w:line="171" w:lineRule="exact"/>
        <w:rPr>
          <w:sz w:val="20"/>
          <w:szCs w:val="20"/>
          <w:color w:val="auto"/>
        </w:rPr>
      </w:pPr>
    </w:p>
    <w:p>
      <w:pPr>
        <w:ind w:left="60" w:right="179" w:hanging="7"/>
        <w:spacing w:after="0" w:line="253" w:lineRule="auto"/>
        <w:rPr>
          <w:sz w:val="20"/>
          <w:szCs w:val="20"/>
          <w:color w:val="auto"/>
        </w:rPr>
      </w:pPr>
      <w:r>
        <w:rPr>
          <w:rFonts w:ascii="Arial" w:cs="Arial" w:eastAsia="Arial" w:hAnsi="Arial"/>
          <w:sz w:val="18"/>
          <w:szCs w:val="18"/>
          <w:color w:val="auto"/>
        </w:rPr>
        <w:t>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Unsecured Senior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 3/4% Senior Notes due 2026</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On June 13, 2016, we issued $2.0 billion aggregate principal amount of our ten-year 7 3/4% Senior Notes due July 1, 2026. Interest accrues at an annual rate of 7 3/4% and is payable semi-annually in cash, in arrears on January 1 and July 1 of each year. </w:t>
      </w:r>
      <w:r>
        <w:rPr>
          <w:rFonts w:ascii="Arial" w:cs="Arial" w:eastAsia="Arial" w:hAnsi="Arial"/>
          <w:sz w:val="18"/>
          <w:szCs w:val="18"/>
          <w:color w:val="222222"/>
        </w:rPr>
        <w:t>We elected not to make the approximately $78 million cash interest payment</w:t>
      </w:r>
      <w:r>
        <w:rPr>
          <w:rFonts w:ascii="Arial" w:cs="Arial" w:eastAsia="Arial" w:hAnsi="Arial"/>
          <w:sz w:val="18"/>
          <w:szCs w:val="18"/>
          <w:color w:val="auto"/>
        </w:rPr>
        <w:t xml:space="preserve"> </w:t>
      </w:r>
      <w:r>
        <w:rPr>
          <w:rFonts w:ascii="Arial" w:cs="Arial" w:eastAsia="Arial" w:hAnsi="Arial"/>
          <w:sz w:val="18"/>
          <w:szCs w:val="18"/>
          <w:color w:val="222222"/>
        </w:rPr>
        <w:t>due on July 1, 2025 (the “</w:t>
      </w:r>
      <w:r>
        <w:rPr>
          <w:rFonts w:ascii="Arial" w:cs="Arial" w:eastAsia="Arial" w:hAnsi="Arial"/>
          <w:sz w:val="18"/>
          <w:szCs w:val="18"/>
          <w:color w:val="000000"/>
        </w:rPr>
        <w:t>7 3/4%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7 3/4%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July 30, 2025, we made the scheduled </w:t>
      </w:r>
      <w:r>
        <w:rPr>
          <w:rFonts w:ascii="Arial" w:cs="Arial" w:eastAsia="Arial" w:hAnsi="Arial"/>
          <w:sz w:val="18"/>
          <w:szCs w:val="18"/>
          <w:color w:val="000000"/>
        </w:rPr>
        <w:t>7 3/4%</w:t>
      </w:r>
      <w:r>
        <w:rPr>
          <w:rFonts w:ascii="Arial" w:cs="Arial" w:eastAsia="Arial" w:hAnsi="Arial"/>
          <w:sz w:val="18"/>
          <w:szCs w:val="18"/>
          <w:color w:val="222222"/>
        </w:rPr>
        <w:t xml:space="preserve"> Interest Payment originally due July 1, 2025</w:t>
      </w:r>
      <w:r>
        <w:rPr>
          <w:rFonts w:ascii="Arial" w:cs="Arial" w:eastAsia="Arial" w:hAnsi="Arial"/>
          <w:sz w:val="18"/>
          <w:szCs w:val="18"/>
          <w:color w:val="000000"/>
        </w:rPr>
        <w:t>,</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7 3/8% Senior Notes due 2028</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July 1, 2020, we issued $1.0 billion aggregate principal amount of our 7 3/8% Senior Notes due July 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2028. Interest accrues at an annual rate of 7 3/8% and is payable semi-annually in cash, in arrears on</w:t>
      </w:r>
    </w:p>
    <w:p>
      <w:pPr>
        <w:ind w:left="60"/>
        <w:spacing w:after="0"/>
        <w:rPr>
          <w:sz w:val="20"/>
          <w:szCs w:val="20"/>
          <w:color w:val="auto"/>
        </w:rPr>
      </w:pPr>
      <w:r>
        <w:rPr>
          <w:rFonts w:ascii="Arial" w:cs="Arial" w:eastAsia="Arial" w:hAnsi="Arial"/>
          <w:sz w:val="17"/>
          <w:szCs w:val="17"/>
          <w:color w:val="auto"/>
        </w:rPr>
        <w:t>January 1 and July 1 of each year. We elected not to make the approximately $37 million cash interest payment</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due on July 1, 2025 (the “7 3/8% Interest Payment”). </w:t>
      </w:r>
      <w:r>
        <w:rPr>
          <w:rFonts w:ascii="Arial" w:cs="Arial" w:eastAsia="Arial" w:hAnsi="Arial"/>
          <w:sz w:val="18"/>
          <w:szCs w:val="18"/>
          <w:color w:val="222222"/>
        </w:rPr>
        <w:t>Under the related indenture, such non-payment is a</w:t>
      </w:r>
    </w:p>
    <w:p>
      <w:pPr>
        <w:ind w:left="60"/>
        <w:spacing w:after="0" w:line="234" w:lineRule="auto"/>
        <w:rPr>
          <w:sz w:val="20"/>
          <w:szCs w:val="20"/>
          <w:color w:val="auto"/>
        </w:rPr>
      </w:pPr>
      <w:r>
        <w:rPr>
          <w:rFonts w:ascii="Arial" w:cs="Arial" w:eastAsia="Arial" w:hAnsi="Arial"/>
          <w:sz w:val="18"/>
          <w:szCs w:val="18"/>
          <w:color w:val="222222"/>
        </w:rPr>
        <w:t xml:space="preserve">default and we had a 30-day grace period to make the </w:t>
      </w:r>
      <w:r>
        <w:rPr>
          <w:rFonts w:ascii="Arial" w:cs="Arial" w:eastAsia="Arial" w:hAnsi="Arial"/>
          <w:sz w:val="18"/>
          <w:szCs w:val="18"/>
          <w:color w:val="000000"/>
        </w:rPr>
        <w:t>7 3/8% Interest Payment</w:t>
      </w:r>
      <w:r>
        <w:rPr>
          <w:rFonts w:ascii="Arial" w:cs="Arial" w:eastAsia="Arial" w:hAnsi="Arial"/>
          <w:sz w:val="18"/>
          <w:szCs w:val="18"/>
          <w:color w:val="222222"/>
        </w:rPr>
        <w:t xml:space="preserve"> before such non-payment</w:t>
      </w:r>
    </w:p>
    <w:p>
      <w:pPr>
        <w:ind w:left="60"/>
        <w:spacing w:after="0" w:line="235" w:lineRule="auto"/>
        <w:rPr>
          <w:sz w:val="20"/>
          <w:szCs w:val="20"/>
          <w:color w:val="auto"/>
        </w:rPr>
      </w:pPr>
      <w:r>
        <w:rPr>
          <w:rFonts w:ascii="Arial" w:cs="Arial" w:eastAsia="Arial" w:hAnsi="Arial"/>
          <w:sz w:val="18"/>
          <w:szCs w:val="18"/>
          <w:color w:val="222222"/>
        </w:rPr>
        <w:t>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On July 30, 2025, we made the</w:t>
      </w:r>
    </w:p>
    <w:p>
      <w:pPr>
        <w:ind w:left="60"/>
        <w:spacing w:after="0" w:line="235" w:lineRule="auto"/>
        <w:rPr>
          <w:sz w:val="20"/>
          <w:szCs w:val="20"/>
          <w:color w:val="auto"/>
        </w:rPr>
      </w:pPr>
      <w:r>
        <w:rPr>
          <w:rFonts w:ascii="Arial" w:cs="Arial" w:eastAsia="Arial" w:hAnsi="Arial"/>
          <w:sz w:val="18"/>
          <w:szCs w:val="18"/>
          <w:color w:val="222222"/>
        </w:rPr>
        <w:t xml:space="preserve">scheduled </w:t>
      </w:r>
      <w:r>
        <w:rPr>
          <w:rFonts w:ascii="Arial" w:cs="Arial" w:eastAsia="Arial" w:hAnsi="Arial"/>
          <w:sz w:val="18"/>
          <w:szCs w:val="18"/>
          <w:color w:val="000000"/>
        </w:rPr>
        <w:t>7 3/8% Interest Payment</w:t>
      </w:r>
      <w:r>
        <w:rPr>
          <w:rFonts w:ascii="Arial" w:cs="Arial" w:eastAsia="Arial" w:hAnsi="Arial"/>
          <w:sz w:val="18"/>
          <w:szCs w:val="18"/>
          <w:color w:val="222222"/>
        </w:rPr>
        <w:t xml:space="preserve"> originally due July 1, 2025</w:t>
      </w:r>
      <w:r>
        <w:rPr>
          <w:rFonts w:ascii="Arial" w:cs="Arial" w:eastAsia="Arial" w:hAnsi="Arial"/>
          <w:sz w:val="18"/>
          <w:szCs w:val="18"/>
          <w:color w:val="000000"/>
        </w:rPr>
        <w:t>,</w:t>
      </w:r>
      <w:r>
        <w:rPr>
          <w:rFonts w:ascii="Arial" w:cs="Arial" w:eastAsia="Arial" w:hAnsi="Arial"/>
          <w:sz w:val="18"/>
          <w:szCs w:val="18"/>
          <w:color w:val="222222"/>
        </w:rPr>
        <w:t xml:space="preserve"> including interest on the defaulted interest,</w:t>
      </w:r>
    </w:p>
    <w:p>
      <w:pPr>
        <w:ind w:left="60"/>
        <w:spacing w:after="0"/>
        <w:rPr>
          <w:sz w:val="20"/>
          <w:szCs w:val="20"/>
          <w:color w:val="auto"/>
        </w:rPr>
      </w:pPr>
      <w:r>
        <w:rPr>
          <w:rFonts w:ascii="Arial" w:cs="Arial" w:eastAsia="Arial" w:hAnsi="Arial"/>
          <w:sz w:val="18"/>
          <w:szCs w:val="18"/>
          <w:color w:val="222222"/>
        </w:rPr>
        <w:t>within the applicable 30-day grace period to make such interest payment</w:t>
      </w:r>
      <w:r>
        <w:rPr>
          <w:rFonts w:ascii="Arial" w:cs="Arial" w:eastAsia="Arial" w:hAnsi="Arial"/>
          <w:sz w:val="18"/>
          <w:szCs w:val="18"/>
          <w:color w:val="000000"/>
        </w:rPr>
        <w: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1/8% Senior Notes due 2029</w:t>
      </w:r>
    </w:p>
    <w:p>
      <w:pPr>
        <w:spacing w:after="0" w:line="19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 xml:space="preserve">On May 24, 2021, we issued $1.5 billion aggregate principal amount of our 5 1/8% Senior Notes due June 1, 2029. Interest accrues at an annual rate of 5 1/8% and is payable semi-annually in cash, in arrears on June 1 and December 1 of each year. We elected not to make the approximately $38 million cash interest payment due on June 2, 2025 (the “5 1/8% Interest Payment”). Under the related indenture, such non-payment is a default and we had a 30-day </w:t>
      </w:r>
      <w:r>
        <w:rPr>
          <w:rFonts w:ascii="Arial" w:cs="Arial" w:eastAsia="Arial" w:hAnsi="Arial"/>
          <w:sz w:val="18"/>
          <w:szCs w:val="18"/>
          <w:color w:val="222222"/>
        </w:rPr>
        <w:t>grace period to make the</w:t>
      </w:r>
      <w:r>
        <w:rPr>
          <w:rFonts w:ascii="Arial" w:cs="Arial" w:eastAsia="Arial" w:hAnsi="Arial"/>
          <w:sz w:val="18"/>
          <w:szCs w:val="18"/>
          <w:color w:val="auto"/>
        </w:rPr>
        <w:t xml:space="preserve"> 5 1/8% </w:t>
      </w:r>
      <w:r>
        <w:rPr>
          <w:rFonts w:ascii="Arial" w:cs="Arial" w:eastAsia="Arial" w:hAnsi="Arial"/>
          <w:sz w:val="18"/>
          <w:szCs w:val="18"/>
          <w:color w:val="222222"/>
        </w:rPr>
        <w:t>Interest Payment before such non-payment would have</w:t>
      </w:r>
      <w:r>
        <w:rPr>
          <w:rFonts w:ascii="Arial" w:cs="Arial" w:eastAsia="Arial" w:hAnsi="Arial"/>
          <w:sz w:val="18"/>
          <w:szCs w:val="18"/>
          <w:color w:val="auto"/>
        </w:rPr>
        <w:t xml:space="preserve"> </w:t>
      </w:r>
      <w:r>
        <w:rPr>
          <w:rFonts w:ascii="Arial" w:cs="Arial" w:eastAsia="Arial" w:hAnsi="Arial"/>
          <w:sz w:val="18"/>
          <w:szCs w:val="18"/>
          <w:color w:val="222222"/>
        </w:rPr>
        <w:t>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w:t>
      </w:r>
      <w:r>
        <w:rPr>
          <w:rFonts w:ascii="Arial" w:cs="Arial" w:eastAsia="Arial" w:hAnsi="Arial"/>
          <w:sz w:val="18"/>
          <w:szCs w:val="18"/>
          <w:color w:val="222222"/>
        </w:rPr>
        <w:t xml:space="preserve"> </w:t>
      </w:r>
      <w:r>
        <w:rPr>
          <w:rFonts w:ascii="Arial" w:cs="Arial" w:eastAsia="Arial" w:hAnsi="Arial"/>
          <w:sz w:val="18"/>
          <w:szCs w:val="18"/>
          <w:color w:val="000000"/>
        </w:rPr>
        <w:t xml:space="preserve">1/8% </w:t>
      </w:r>
      <w:r>
        <w:rPr>
          <w:rFonts w:ascii="Arial" w:cs="Arial" w:eastAsia="Arial" w:hAnsi="Arial"/>
          <w:sz w:val="18"/>
          <w:szCs w:val="18"/>
          <w:color w:val="222222"/>
        </w:rPr>
        <w:t>Interest Payment originally due</w:t>
      </w:r>
      <w:r>
        <w:rPr>
          <w:rFonts w:ascii="Arial" w:cs="Arial" w:eastAsia="Arial" w:hAnsi="Arial"/>
          <w:sz w:val="18"/>
          <w:szCs w:val="18"/>
          <w:color w:val="000000"/>
        </w:rPr>
        <w:t xml:space="preserve"> June 2, 2025, </w:t>
      </w:r>
      <w:r>
        <w:rPr>
          <w:rFonts w:ascii="Arial" w:cs="Arial" w:eastAsia="Arial" w:hAnsi="Arial"/>
          <w:sz w:val="18"/>
          <w:szCs w:val="18"/>
          <w:color w:val="222222"/>
        </w:rPr>
        <w:t>including interest on the defaulted interest, within the</w:t>
      </w:r>
      <w:r>
        <w:rPr>
          <w:rFonts w:ascii="Arial" w:cs="Arial" w:eastAsia="Arial" w:hAnsi="Arial"/>
          <w:sz w:val="18"/>
          <w:szCs w:val="18"/>
          <w:color w:val="000000"/>
        </w:rPr>
        <w:t xml:space="preserve"> </w:t>
      </w:r>
      <w:r>
        <w:rPr>
          <w:rFonts w:ascii="Arial" w:cs="Arial" w:eastAsia="Arial" w:hAnsi="Arial"/>
          <w:sz w:val="18"/>
          <w:szCs w:val="18"/>
          <w:color w:val="222222"/>
        </w:rPr>
        <w:t>applicable 30-day grace period to make such interest payment</w:t>
      </w:r>
      <w:r>
        <w:rPr>
          <w:rFonts w:ascii="Arial" w:cs="Arial" w:eastAsia="Arial" w:hAnsi="Arial"/>
          <w:sz w:val="18"/>
          <w:szCs w:val="18"/>
          <w:color w:val="000000"/>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DISH DBS Senior Secured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1/4% Senior Secured Notes due 2026</w:t>
      </w:r>
    </w:p>
    <w:p>
      <w:pPr>
        <w:spacing w:after="0" w:line="19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 xml:space="preserve">On November 26, 2021, we issued $2.750 billion aggregate principal amount of our 5 1/4% Senior Secured Notes due December 1, 2026. Interest accrues at an annual rate of 5 1/4% and is payable semi-annually in cash, in arrears on June 1 and December 1 of each year. </w:t>
      </w:r>
      <w:r>
        <w:rPr>
          <w:rFonts w:ascii="Arial" w:cs="Arial" w:eastAsia="Arial" w:hAnsi="Arial"/>
          <w:sz w:val="18"/>
          <w:szCs w:val="18"/>
          <w:color w:val="222222"/>
        </w:rPr>
        <w:t>We elected not to make the approximately $72 million</w:t>
      </w:r>
      <w:r>
        <w:rPr>
          <w:rFonts w:ascii="Arial" w:cs="Arial" w:eastAsia="Arial" w:hAnsi="Arial"/>
          <w:sz w:val="18"/>
          <w:szCs w:val="18"/>
          <w:color w:val="auto"/>
        </w:rPr>
        <w:t xml:space="preserve"> </w:t>
      </w:r>
      <w:r>
        <w:rPr>
          <w:rFonts w:ascii="Arial" w:cs="Arial" w:eastAsia="Arial" w:hAnsi="Arial"/>
          <w:sz w:val="18"/>
          <w:szCs w:val="18"/>
          <w:color w:val="222222"/>
        </w:rPr>
        <w:t>cash interest payment due on June 2, 2025 (the “</w:t>
      </w:r>
      <w:r>
        <w:rPr>
          <w:rFonts w:ascii="Arial" w:cs="Arial" w:eastAsia="Arial" w:hAnsi="Arial"/>
          <w:sz w:val="18"/>
          <w:szCs w:val="18"/>
          <w:color w:val="000000"/>
        </w:rPr>
        <w:t>5 1/4%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5 1/4%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 1/4%</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June 2,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3/4% Senior Secured Notes due 2028</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November 26, 2021, we issued $2.5 billion aggregate principal amount of our 5 3/4% Senior Secured Notes due December 1, 2028. Interest accrues at an annual rate of 5 3/4% and is payable semi-annually in cash, in arrears on June 1 and December 1 of each year. W</w:t>
      </w:r>
      <w:r>
        <w:rPr>
          <w:rFonts w:ascii="Arial" w:cs="Arial" w:eastAsia="Arial" w:hAnsi="Arial"/>
          <w:sz w:val="18"/>
          <w:szCs w:val="18"/>
          <w:color w:val="222222"/>
        </w:rPr>
        <w:t>e elected not to make the approximately $72 million</w:t>
      </w:r>
      <w:r>
        <w:rPr>
          <w:rFonts w:ascii="Arial" w:cs="Arial" w:eastAsia="Arial" w:hAnsi="Arial"/>
          <w:sz w:val="18"/>
          <w:szCs w:val="18"/>
          <w:color w:val="auto"/>
        </w:rPr>
        <w:t xml:space="preserve"> </w:t>
      </w:r>
      <w:r>
        <w:rPr>
          <w:rFonts w:ascii="Arial" w:cs="Arial" w:eastAsia="Arial" w:hAnsi="Arial"/>
          <w:sz w:val="18"/>
          <w:szCs w:val="18"/>
          <w:color w:val="222222"/>
        </w:rPr>
        <w:t>cash interest payment due on June 2, 2025 (the “</w:t>
      </w:r>
      <w:r>
        <w:rPr>
          <w:rFonts w:ascii="Arial" w:cs="Arial" w:eastAsia="Arial" w:hAnsi="Arial"/>
          <w:sz w:val="18"/>
          <w:szCs w:val="18"/>
          <w:color w:val="000000"/>
        </w:rPr>
        <w:t>5 3/4%</w:t>
      </w:r>
      <w:r>
        <w:rPr>
          <w:rFonts w:ascii="Arial" w:cs="Arial" w:eastAsia="Arial" w:hAnsi="Arial"/>
          <w:sz w:val="18"/>
          <w:szCs w:val="18"/>
          <w:color w:val="222222"/>
        </w:rPr>
        <w:t xml:space="preserve"> Interest Payment”). Under the related indenture, such non-payment is a default and we had a 30-day grace period to make the </w:t>
      </w:r>
      <w:r>
        <w:rPr>
          <w:rFonts w:ascii="Arial" w:cs="Arial" w:eastAsia="Arial" w:hAnsi="Arial"/>
          <w:sz w:val="18"/>
          <w:szCs w:val="18"/>
          <w:color w:val="000000"/>
        </w:rPr>
        <w:t>5 3/4%</w:t>
      </w:r>
      <w:r>
        <w:rPr>
          <w:rFonts w:ascii="Arial" w:cs="Arial" w:eastAsia="Arial" w:hAnsi="Arial"/>
          <w:sz w:val="18"/>
          <w:szCs w:val="18"/>
          <w:color w:val="222222"/>
        </w:rPr>
        <w:t xml:space="preserve"> Interest Payment before such non-payment would have been an Event of Default</w:t>
      </w:r>
      <w:r>
        <w:rPr>
          <w:rFonts w:ascii="Arial" w:cs="Arial" w:eastAsia="Arial" w:hAnsi="Arial"/>
          <w:sz w:val="18"/>
          <w:szCs w:val="18"/>
          <w:color w:val="000000"/>
        </w:rPr>
        <w:t>, as defined in the related indenture</w:t>
      </w:r>
      <w:r>
        <w:rPr>
          <w:rFonts w:ascii="Arial" w:cs="Arial" w:eastAsia="Arial" w:hAnsi="Arial"/>
          <w:sz w:val="18"/>
          <w:szCs w:val="18"/>
          <w:color w:val="222222"/>
        </w:rPr>
        <w:t xml:space="preserve">. On June 27, 2025, we made the scheduled </w:t>
      </w:r>
      <w:r>
        <w:rPr>
          <w:rFonts w:ascii="Arial" w:cs="Arial" w:eastAsia="Arial" w:hAnsi="Arial"/>
          <w:sz w:val="18"/>
          <w:szCs w:val="18"/>
          <w:color w:val="000000"/>
        </w:rPr>
        <w:t>5 3/4%</w:t>
      </w:r>
      <w:r>
        <w:rPr>
          <w:rFonts w:ascii="Arial" w:cs="Arial" w:eastAsia="Arial" w:hAnsi="Arial"/>
          <w:sz w:val="18"/>
          <w:szCs w:val="18"/>
          <w:color w:val="222222"/>
        </w:rPr>
        <w:t xml:space="preserve"> Interest Payment originally due </w:t>
      </w:r>
      <w:r>
        <w:rPr>
          <w:rFonts w:ascii="Arial" w:cs="Arial" w:eastAsia="Arial" w:hAnsi="Arial"/>
          <w:sz w:val="18"/>
          <w:szCs w:val="18"/>
          <w:color w:val="000000"/>
        </w:rPr>
        <w:t>June 2, 2025,</w:t>
      </w:r>
      <w:r>
        <w:rPr>
          <w:rFonts w:ascii="Arial" w:cs="Arial" w:eastAsia="Arial" w:hAnsi="Arial"/>
          <w:sz w:val="18"/>
          <w:szCs w:val="18"/>
          <w:color w:val="222222"/>
        </w:rPr>
        <w:t xml:space="preserve"> including interest on the defaulted interest, within the applicable 30-day grace period to make such interest payment</w:t>
      </w:r>
      <w:r>
        <w:rPr>
          <w:rFonts w:ascii="Arial" w:cs="Arial" w:eastAsia="Arial" w:hAnsi="Arial"/>
          <w:sz w:val="18"/>
          <w:szCs w:val="18"/>
          <w:color w:val="000000"/>
        </w:rPr>
        <w: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DISH 2021 Intercompany Loan</w:t>
      </w:r>
    </w:p>
    <w:p>
      <w:pPr>
        <w:spacing w:after="0" w:line="196"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“DISH DBS Senior Secured Notes”) issued on November 26, 2021 were used by DISH DBS to make an intercompany loan to DISH Network pursuant to a Loan and Security Agreement dated November 26, 2021 (together with potential future advances to DISH Network, the “DISH 2021 Intercompany Loan”) between DISH DBS and DISH Network in order to finance the purchase of wireless spectrum licenses and for general corporate purposes, including our 5G Network deployment.</w:t>
      </w:r>
    </w:p>
    <w:p>
      <w:pPr>
        <w:spacing w:after="0" w:line="165"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color w:val="auto"/>
        </w:rPr>
        <w:t>The DISH 2021 Intercompany Loan matures in two tranches, with the first tranche maturing on December 1, 2026 (the “DISH 2021 Intercompany Loan 2026 Tranche”) and the second tranche maturing on December 1, 2028 (the “DISH 2021 Intercompany Loan 2028 Tranche”). DISH DBS may make additional advances to DISH Network under the DISH 2021 Intercompany Loan, and on February 11, 2022, DISH DBS advanced an additional $1.5 billion to DISH Network under the DISH 2021 Intercompany Loan 2026 Tranche.</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Interest accrues and is payable semiannually, and interest payments with respect to the DISH 2021 Intercompany Loan were, at our option, payable in kind for the first two years from the issuance date of November 2021. In the third year post issuance date, a minimum of 50% of each interest payment due with respect to each tranche of the DISH 2021 Intercompany Loan were required to be paid in cash. Currently and prospectively, interest payments must be paid in cash. Interest accrues: (a) when paid in cash, at a fixed rate of 0.25% per annum in excess of the interest rate applicable to, in the case of the DISH 2021 Intercompany Loan 2026 Tranche, the 5 1/4% Senior Secured Notes due 2026, and in the case of the DISH 2021 Intercompany Loan 2028 Tranche, the 5 3/4% Senior Secured Notes due 2028 (each, the “Cash Accrual Rate” with respect to the applicable tranche); and (b) when paid in kind, at a rate of 0.50% per annum in excess of the Cash Accrual Rate for the applicable tranche.</w:t>
      </w:r>
    </w:p>
    <w:p>
      <w:pPr>
        <w:spacing w:after="0" w:line="166" w:lineRule="exact"/>
        <w:rPr>
          <w:sz w:val="20"/>
          <w:szCs w:val="20"/>
          <w:color w:val="auto"/>
        </w:rPr>
      </w:pPr>
    </w:p>
    <w:p>
      <w:pPr>
        <w:ind w:left="60" w:right="119" w:hanging="7"/>
        <w:spacing w:after="0" w:line="271" w:lineRule="auto"/>
        <w:rPr>
          <w:sz w:val="20"/>
          <w:szCs w:val="20"/>
          <w:color w:val="auto"/>
        </w:rPr>
      </w:pPr>
      <w:r>
        <w:rPr>
          <w:rFonts w:ascii="Arial" w:cs="Arial" w:eastAsia="Arial" w:hAnsi="Arial"/>
          <w:sz w:val="18"/>
          <w:szCs w:val="18"/>
          <w:color w:val="auto"/>
        </w:rPr>
        <w:t>As of June 30, 2025, the total DISH 2021 Intercompany Loan amount outstanding plus interest paid in kind was $7.612 billion.</w:t>
      </w:r>
    </w:p>
    <w:p>
      <w:pPr>
        <w:spacing w:after="0" w:line="140"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i w:val="1"/>
          <w:iCs w:val="1"/>
          <w:color w:val="auto"/>
        </w:rPr>
        <w:t xml:space="preserve">DISH 2021 Intercompany Loan 2026 Tranche. </w:t>
      </w:r>
      <w:r>
        <w:rPr>
          <w:rFonts w:ascii="Arial" w:cs="Arial" w:eastAsia="Arial" w:hAnsi="Arial"/>
          <w:sz w:val="18"/>
          <w:szCs w:val="18"/>
          <w:color w:val="auto"/>
        </w:rPr>
        <w:t>In January 2024, we completed a series of assignments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transfer of the receivable in respect to the DISH 2021 Intercompany Loan 2026 Tranche of $4.7 billion from DISH DBS to EchoStar Intercompany Receivable Company L.L.C., our direct wholly-owned subsidiary, such that amounts owed in respect of the DISH 2021 Intercompany Loan 2026 Tranche will now be paid by DISH Network to EchoStar Intercompany Receivable Company L.L.C. As of June 30, 2025, the total DISH 2021 Intercompany Loan 2026 Tranche amount outstanding plus interest paid in kind was $4.767 billion.</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DISH 2021 Intercompany Loan was initially secured by interest in the wireless spectrum licenses for the 3.45-3.55 GHz Licenses up to the total loan amount outstanding including interest paid in kind. Pursuant to the terms of the DISH 2021 Intercompany Loan, under certain circumstances, DISH Network wireless spectrum licenses (valued based upon a third-party valuation) may be substituted for the collateral. During the first quarter of 2025, we exercised our right to exchange certain of the 3.45-3.55 GHz Licenses for certain other previously unencumbered wireless spectrum licenses of equal or greater value based upon the most recent third-party valuation. The DISH 2021 Intercompany Loan is not included as collateral for the DISH DBS Senior Secured Notes, and the DISH DBS Senior Secured Notes are subordinated to DISH DBS’s existing and certain future unsecured notes with respect to certain realizations under the DISH 2021 Intercompany Loan and any collateral pledged as security for the DISH 2021 Intercompany Loan.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Q2 2024 Intercompany Loan</w:t>
      </w:r>
    </w:p>
    <w:p>
      <w:pPr>
        <w:spacing w:after="0" w:line="196" w:lineRule="exact"/>
        <w:rPr>
          <w:sz w:val="20"/>
          <w:szCs w:val="20"/>
          <w:color w:val="auto"/>
        </w:rPr>
      </w:pPr>
    </w:p>
    <w:p>
      <w:pPr>
        <w:ind w:left="60" w:right="79" w:hanging="12"/>
        <w:spacing w:after="0" w:line="242" w:lineRule="auto"/>
        <w:rPr>
          <w:sz w:val="20"/>
          <w:szCs w:val="20"/>
          <w:color w:val="auto"/>
        </w:rPr>
      </w:pPr>
      <w:r>
        <w:rPr>
          <w:rFonts w:ascii="Arial" w:cs="Arial" w:eastAsia="Arial" w:hAnsi="Arial"/>
          <w:sz w:val="18"/>
          <w:szCs w:val="18"/>
          <w:color w:val="auto"/>
        </w:rPr>
        <w:t>In June 2024, DISH Network entered into an intercompany loan with DISH DBS (the “DISH Q2 2024 Intercompany Loan”) for an initial principal amount of $1.508 billion. The DISH Q2 2024 Intercompany Loan matures on August 13, 2028. Interest accrues and is payable monthly and interest payments are payable in kind. The interest rate with respect to the DISH Q2 2024 Intercompany Loan is at a variable rate. As of June 30, 2025, the total DISH Q2 2024 Intercompany Loan amount outstanding plus interest paid in kind was $1.631 billion.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Q3 2024 Intercompany Loan</w:t>
      </w:r>
    </w:p>
    <w:p>
      <w:pPr>
        <w:spacing w:after="0" w:line="196" w:lineRule="exact"/>
        <w:rPr>
          <w:sz w:val="20"/>
          <w:szCs w:val="20"/>
          <w:color w:val="auto"/>
        </w:rPr>
      </w:pPr>
    </w:p>
    <w:p>
      <w:pPr>
        <w:ind w:left="60" w:right="79" w:hanging="12"/>
        <w:spacing w:after="0" w:line="242" w:lineRule="auto"/>
        <w:rPr>
          <w:sz w:val="20"/>
          <w:szCs w:val="20"/>
          <w:color w:val="auto"/>
        </w:rPr>
      </w:pPr>
      <w:r>
        <w:rPr>
          <w:rFonts w:ascii="Arial" w:cs="Arial" w:eastAsia="Arial" w:hAnsi="Arial"/>
          <w:sz w:val="18"/>
          <w:szCs w:val="18"/>
          <w:color w:val="auto"/>
        </w:rPr>
        <w:t>In September 2024, DISH Network entered into an intercompany loan with DISH DBS (the “DISH Q3 2024 Intercompany Loan”) for an initial principal amount of $481 million. The DISH Q3 2024 Intercompany Loan matures on November 13, 2028. Interest accrues and is payable monthly and interest payments are payable in kind. The interest rate with respect to the DISH Q3 2024 Intercompany Loan is at a variable rate. As of June 30, 2025, the total DISH Q3 2024 Intercompany Loan amount outstanding plus interest paid in kind was $510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2024 Intercompany Loan</w:t>
      </w:r>
    </w:p>
    <w:p>
      <w:pPr>
        <w:spacing w:after="0" w:line="196" w:lineRule="exact"/>
        <w:rPr>
          <w:sz w:val="20"/>
          <w:szCs w:val="20"/>
          <w:color w:val="auto"/>
        </w:rPr>
      </w:pPr>
    </w:p>
    <w:p>
      <w:pPr>
        <w:jc w:val="both"/>
        <w:ind w:left="60" w:right="59" w:hanging="12"/>
        <w:spacing w:after="0"/>
        <w:rPr>
          <w:sz w:val="20"/>
          <w:szCs w:val="20"/>
          <w:color w:val="auto"/>
        </w:rPr>
      </w:pPr>
      <w:r>
        <w:rPr>
          <w:rFonts w:ascii="Arial" w:cs="Arial" w:eastAsia="Arial" w:hAnsi="Arial"/>
          <w:sz w:val="18"/>
          <w:szCs w:val="18"/>
          <w:color w:val="auto"/>
        </w:rPr>
        <w:t>In November 2024, EchoStar Financing L.L.C., our subsidiary, entered into an intercompany loan with DISH Wireless L.L.C., a subsidiary of DISH Network, for a borrowing principal amount of up to $4.500 billion (the “EchoStar 2024 Intercompany Loan”). The EchoStar 2024 Intercompany Loan matures on November 30, 2030. Interest accrues at an annual rate of 11.50% and is payable monthly. Interest payments are payable in kind. DISH Wireless L.L.C., at its option, may elect to repay the EchoStar 2024 Intercompany Loan amount outstanding prior to maturity in cash or assets at a redemption price equal to 100% of the principal amount. As of June 30, 2025, the total EchoStar 2024 Intercompany Loan amount outstanding plus interest paid in kind was $2.666 billion.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5G Network</w:t>
      </w:r>
    </w:p>
    <w:p>
      <w:pPr>
        <w:spacing w:after="0" w:line="198"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$10 billion of capitalized interest related to the carrying value of such licenses. See Note 2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Wireless Spectrum Licenses</w:t>
      </w:r>
    </w:p>
    <w:p>
      <w:pPr>
        <w:spacing w:after="0" w:line="198" w:lineRule="exact"/>
        <w:rPr>
          <w:sz w:val="20"/>
          <w:szCs w:val="20"/>
          <w:color w:val="auto"/>
        </w:rPr>
      </w:pPr>
    </w:p>
    <w:p>
      <w:pPr>
        <w:ind w:left="60" w:right="719" w:hanging="7"/>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w w:val="99"/>
              </w:rPr>
              <w:t>Build-Out Deadlines</w:t>
            </w:r>
          </w:p>
        </w:tc>
        <w:tc>
          <w:tcPr>
            <w:tcW w:w="1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60" w:type="dxa"/>
            <w:vAlign w:val="bottom"/>
            <w:tcBorders>
              <w:bottom w:val="single" w:sz="8" w:color="auto"/>
            </w:tcBorders>
            <w:gridSpan w:val="3"/>
          </w:tcPr>
          <w:p>
            <w:pPr>
              <w:ind w:left="1280"/>
              <w:spacing w:after="0" w:line="135" w:lineRule="exact"/>
              <w:rPr>
                <w:sz w:val="20"/>
                <w:szCs w:val="20"/>
                <w:color w:val="auto"/>
              </w:rPr>
            </w:pPr>
            <w:r>
              <w:rPr>
                <w:rFonts w:ascii="Arial" w:cs="Arial" w:eastAsia="Arial" w:hAnsi="Arial"/>
                <w:sz w:val="13"/>
                <w:szCs w:val="13"/>
                <w:b w:val="1"/>
                <w:bCs w:val="1"/>
                <w:color w:val="auto"/>
              </w:rPr>
              <w:t>Final</w:t>
            </w: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14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w w:val="96"/>
              </w:rPr>
              <w:t>Carrying Amount</w:t>
            </w:r>
          </w:p>
        </w:tc>
        <w:tc>
          <w:tcPr>
            <w:tcW w:w="160" w:type="dxa"/>
            <w:vAlign w:val="bottom"/>
          </w:tcPr>
          <w:p>
            <w:pPr>
              <w:spacing w:after="0"/>
              <w:rPr>
                <w:sz w:val="9"/>
                <w:szCs w:val="9"/>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6"/>
              </w:rPr>
              <w:t>Interim</w:t>
            </w:r>
          </w:p>
        </w:tc>
        <w:tc>
          <w:tcPr>
            <w:tcW w:w="1540" w:type="dxa"/>
            <w:vAlign w:val="bottom"/>
            <w:gridSpan w:val="2"/>
          </w:tcPr>
          <w:p>
            <w:pPr>
              <w:jc w:val="center"/>
              <w:ind w:right="160"/>
              <w:spacing w:after="0" w:line="111" w:lineRule="exact"/>
              <w:rPr>
                <w:sz w:val="20"/>
                <w:szCs w:val="20"/>
                <w:color w:val="auto"/>
              </w:rPr>
            </w:pPr>
            <w:r>
              <w:rPr>
                <w:rFonts w:ascii="Arial" w:cs="Arial" w:eastAsia="Arial" w:hAnsi="Arial"/>
                <w:sz w:val="12"/>
                <w:szCs w:val="12"/>
                <w:b w:val="1"/>
                <w:bCs w:val="1"/>
                <w:color w:val="auto"/>
              </w:rPr>
              <w:t>Accelerated License</w:t>
            </w:r>
          </w:p>
        </w:tc>
        <w:tc>
          <w:tcPr>
            <w:tcW w:w="1320" w:type="dxa"/>
            <w:vAlign w:val="bottom"/>
          </w:tcPr>
          <w:p>
            <w:pPr>
              <w:jc w:val="center"/>
              <w:spacing w:after="0" w:line="111" w:lineRule="exact"/>
              <w:rPr>
                <w:sz w:val="20"/>
                <w:szCs w:val="20"/>
                <w:color w:val="auto"/>
              </w:rPr>
            </w:pPr>
            <w:r>
              <w:rPr>
                <w:rFonts w:ascii="Arial" w:cs="Arial" w:eastAsia="Arial" w:hAnsi="Arial"/>
                <w:sz w:val="12"/>
                <w:szCs w:val="12"/>
                <w:b w:val="1"/>
                <w:bCs w:val="1"/>
                <w:color w:val="auto"/>
              </w:rPr>
              <w:t>Extension License</w:t>
            </w:r>
          </w:p>
        </w:tc>
        <w:tc>
          <w:tcPr>
            <w:tcW w:w="140" w:type="dxa"/>
            <w:vAlign w:val="bottom"/>
          </w:tcPr>
          <w:p>
            <w:pPr>
              <w:spacing w:after="0"/>
              <w:rPr>
                <w:sz w:val="9"/>
                <w:szCs w:val="9"/>
                <w:color w:val="auto"/>
              </w:rPr>
            </w:pPr>
          </w:p>
        </w:tc>
        <w:tc>
          <w:tcPr>
            <w:tcW w:w="17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Expiration Date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Areas</w:t>
            </w: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Areas</w:t>
            </w: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Owned:</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57"/>
              <w:spacing w:after="0"/>
              <w:rPr>
                <w:sz w:val="20"/>
                <w:szCs w:val="20"/>
                <w:color w:val="auto"/>
              </w:rPr>
            </w:pPr>
            <w:r>
              <w:rPr>
                <w:rFonts w:ascii="Arial" w:cs="Arial" w:eastAsia="Arial" w:hAnsi="Arial"/>
                <w:sz w:val="13"/>
                <w:szCs w:val="13"/>
                <w:color w:val="auto"/>
                <w:w w:val="96"/>
              </w:rPr>
              <w:t>(In thousands)</w:t>
            </w:r>
          </w:p>
        </w:tc>
        <w:tc>
          <w:tcPr>
            <w:tcW w:w="16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DBS Licenses (1)</w:t>
            </w:r>
          </w:p>
        </w:tc>
        <w:tc>
          <w:tcPr>
            <w:tcW w:w="2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677,409</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60"/>
              <w:spacing w:after="0" w:line="135" w:lineRule="exact"/>
              <w:rPr>
                <w:sz w:val="20"/>
                <w:szCs w:val="20"/>
                <w:color w:val="auto"/>
              </w:rPr>
            </w:pPr>
            <w:r>
              <w:rPr>
                <w:rFonts w:ascii="Arial" w:cs="Arial" w:eastAsia="Arial" w:hAnsi="Arial"/>
                <w:sz w:val="13"/>
                <w:szCs w:val="13"/>
                <w:color w:val="auto"/>
              </w:rPr>
              <w:t>700 MHz Licenses (2)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701,803</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December 31, 2024 (3)</w:t>
            </w: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June 14, 2025 (5)</w:t>
            </w:r>
          </w:p>
        </w:tc>
        <w:tc>
          <w:tcPr>
            <w:tcW w:w="1720" w:type="dxa"/>
            <w:vAlign w:val="bottom"/>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AWS-4 Licenses (2)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1,928,688</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7"/>
              </w:rPr>
              <w:t>December 31, 2024 (3)</w:t>
            </w:r>
          </w:p>
        </w:tc>
        <w:tc>
          <w:tcPr>
            <w:tcW w:w="14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June 14, 2025 (5)</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60"/>
              <w:spacing w:after="0" w:line="135" w:lineRule="exact"/>
              <w:rPr>
                <w:sz w:val="20"/>
                <w:szCs w:val="20"/>
                <w:color w:val="auto"/>
              </w:rPr>
            </w:pPr>
            <w:r>
              <w:rPr>
                <w:rFonts w:ascii="Arial" w:cs="Arial" w:eastAsia="Arial" w:hAnsi="Arial"/>
                <w:sz w:val="13"/>
                <w:szCs w:val="13"/>
                <w:color w:val="auto"/>
              </w:rPr>
              <w:t>H Block Licenses (2)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1,671,506</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December 31, 2024 (3)</w:t>
            </w: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6"/>
              </w:rPr>
              <w:t>June 14, 2025 (6)</w:t>
            </w:r>
          </w:p>
        </w:tc>
        <w:tc>
          <w:tcPr>
            <w:tcW w:w="1720" w:type="dxa"/>
            <w:vAlign w:val="bottom"/>
          </w:tcPr>
          <w:p>
            <w:pPr>
              <w:jc w:val="center"/>
              <w:spacing w:after="0" w:line="135" w:lineRule="exact"/>
              <w:rPr>
                <w:sz w:val="20"/>
                <w:szCs w:val="20"/>
                <w:color w:val="auto"/>
              </w:rPr>
            </w:pPr>
            <w:r>
              <w:rPr>
                <w:rFonts w:ascii="Arial" w:cs="Arial" w:eastAsia="Arial" w:hAnsi="Arial"/>
                <w:sz w:val="13"/>
                <w:szCs w:val="13"/>
                <w:color w:val="auto"/>
                <w:w w:val="95"/>
              </w:rPr>
              <w:t>June 2033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600 MHz Licenses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6,192,575</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7"/>
              </w:rPr>
              <w:t>December 31, 2024 (4)</w:t>
            </w:r>
          </w:p>
        </w:tc>
        <w:tc>
          <w:tcPr>
            <w:tcW w:w="14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June 14, 2025 (7)</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5"/>
              </w:rPr>
              <w:t>June 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60"/>
              <w:spacing w:after="0" w:line="135" w:lineRule="exact"/>
              <w:rPr>
                <w:sz w:val="20"/>
                <w:szCs w:val="20"/>
                <w:color w:val="auto"/>
              </w:rPr>
            </w:pPr>
            <w:r>
              <w:rPr>
                <w:rFonts w:ascii="Arial" w:cs="Arial" w:eastAsia="Arial" w:hAnsi="Arial"/>
                <w:sz w:val="13"/>
                <w:szCs w:val="13"/>
                <w:color w:val="auto"/>
              </w:rPr>
              <w:t>MVDDS Licenses (1)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24,000</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3"/>
                <w:szCs w:val="13"/>
                <w:color w:val="auto"/>
                <w:w w:val="96"/>
              </w:rPr>
              <w:t>July, August, September 2034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LMDS Licenses (1)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September 2028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60"/>
              <w:spacing w:after="0" w:line="135" w:lineRule="exact"/>
              <w:rPr>
                <w:sz w:val="20"/>
                <w:szCs w:val="20"/>
                <w:color w:val="auto"/>
              </w:rPr>
            </w:pPr>
            <w:r>
              <w:rPr>
                <w:rFonts w:ascii="Arial" w:cs="Arial" w:eastAsia="Arial" w:hAnsi="Arial"/>
                <w:sz w:val="13"/>
                <w:szCs w:val="13"/>
                <w:color w:val="auto"/>
              </w:rPr>
              <w:t>28 GHz Licenses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2,883</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October 2, 2029 (8)</w:t>
            </w:r>
          </w:p>
        </w:tc>
        <w:tc>
          <w:tcPr>
            <w:tcW w:w="1720" w:type="dxa"/>
            <w:vAlign w:val="bottom"/>
          </w:tcPr>
          <w:p>
            <w:pPr>
              <w:jc w:val="center"/>
              <w:spacing w:after="0" w:line="135" w:lineRule="exact"/>
              <w:rPr>
                <w:sz w:val="20"/>
                <w:szCs w:val="20"/>
                <w:color w:val="auto"/>
              </w:rPr>
            </w:pPr>
            <w:r>
              <w:rPr>
                <w:rFonts w:ascii="Arial" w:cs="Arial" w:eastAsia="Arial" w:hAnsi="Arial"/>
                <w:sz w:val="13"/>
                <w:szCs w:val="13"/>
                <w:color w:val="auto"/>
                <w:w w:val="96"/>
              </w:rPr>
              <w:t>October 2029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24 GHz Licenses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11,772</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5"/>
              </w:rPr>
              <w:t>December 11, 2029 (8)</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7"/>
              </w:rPr>
              <w:t>December 2029</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ind w:left="60"/>
              <w:spacing w:after="0" w:line="117" w:lineRule="exact"/>
              <w:rPr>
                <w:sz w:val="20"/>
                <w:szCs w:val="20"/>
                <w:color w:val="auto"/>
              </w:rPr>
            </w:pPr>
            <w:r>
              <w:rPr>
                <w:rFonts w:ascii="Arial" w:cs="Arial" w:eastAsia="Arial" w:hAnsi="Arial"/>
                <w:sz w:val="13"/>
                <w:szCs w:val="13"/>
                <w:color w:val="auto"/>
              </w:rPr>
              <w:t>37 GHz, 39 GHz and 47 GHz</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Licenses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202,392</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June 4, 2030 (8)</w:t>
            </w:r>
          </w:p>
        </w:tc>
        <w:tc>
          <w:tcPr>
            <w:tcW w:w="1720" w:type="dxa"/>
            <w:vAlign w:val="bottom"/>
          </w:tcPr>
          <w:p>
            <w:pPr>
              <w:jc w:val="center"/>
              <w:spacing w:after="0"/>
              <w:rPr>
                <w:sz w:val="20"/>
                <w:szCs w:val="20"/>
                <w:color w:val="auto"/>
              </w:rPr>
            </w:pPr>
            <w:r>
              <w:rPr>
                <w:rFonts w:ascii="Arial" w:cs="Arial" w:eastAsia="Arial" w:hAnsi="Arial"/>
                <w:sz w:val="13"/>
                <w:szCs w:val="13"/>
                <w:color w:val="auto"/>
                <w:w w:val="95"/>
              </w:rPr>
              <w:t>June 2030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3550-3650 MHz Licenses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912,200</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March 12, 2031 (8)</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March 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tcPr>
          <w:p>
            <w:pPr>
              <w:ind w:left="60"/>
              <w:spacing w:after="0" w:line="135" w:lineRule="exact"/>
              <w:rPr>
                <w:sz w:val="20"/>
                <w:szCs w:val="20"/>
                <w:color w:val="auto"/>
              </w:rPr>
            </w:pPr>
            <w:r>
              <w:rPr>
                <w:rFonts w:ascii="Arial" w:cs="Arial" w:eastAsia="Arial" w:hAnsi="Arial"/>
                <w:sz w:val="13"/>
                <w:szCs w:val="13"/>
                <w:color w:val="auto"/>
              </w:rPr>
              <w:t>3.7-3.98 GHz Licenses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2,969</w:t>
            </w:r>
          </w:p>
        </w:tc>
        <w:tc>
          <w:tcPr>
            <w:tcW w:w="1240" w:type="dxa"/>
            <w:vAlign w:val="bottom"/>
            <w:gridSpan w:val="3"/>
          </w:tcPr>
          <w:p>
            <w:pPr>
              <w:jc w:val="center"/>
              <w:spacing w:after="0" w:line="135" w:lineRule="exact"/>
              <w:rPr>
                <w:sz w:val="20"/>
                <w:szCs w:val="20"/>
                <w:color w:val="auto"/>
              </w:rPr>
            </w:pPr>
            <w:r>
              <w:rPr>
                <w:rFonts w:ascii="Arial" w:cs="Arial" w:eastAsia="Arial" w:hAnsi="Arial"/>
                <w:sz w:val="13"/>
                <w:szCs w:val="13"/>
                <w:color w:val="auto"/>
                <w:w w:val="94"/>
              </w:rPr>
              <w:t>July 23, 2029 (8)</w:t>
            </w: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7"/>
              </w:rPr>
              <w:t>July 23, 2033 (8)</w:t>
            </w:r>
          </w:p>
        </w:tc>
        <w:tc>
          <w:tcPr>
            <w:tcW w:w="1720" w:type="dxa"/>
            <w:vAlign w:val="bottom"/>
          </w:tcPr>
          <w:p>
            <w:pPr>
              <w:jc w:val="center"/>
              <w:spacing w:after="0" w:line="135" w:lineRule="exact"/>
              <w:rPr>
                <w:sz w:val="20"/>
                <w:szCs w:val="20"/>
                <w:color w:val="auto"/>
              </w:rPr>
            </w:pPr>
            <w:r>
              <w:rPr>
                <w:rFonts w:ascii="Arial" w:cs="Arial" w:eastAsia="Arial" w:hAnsi="Arial"/>
                <w:sz w:val="13"/>
                <w:szCs w:val="13"/>
                <w:color w:val="auto"/>
                <w:w w:val="96"/>
              </w:rPr>
              <w:t>July 2036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3.45–3.55 GHz Licenses</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7,329,093</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6"/>
              </w:rPr>
              <w:t>May 4, 2026 (9)</w:t>
            </w: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May 4, 2030 (9)</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8"/>
              </w:rPr>
              <w:t>May 2037</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00" w:type="dxa"/>
            <w:vAlign w:val="bottom"/>
          </w:tcPr>
          <w:p>
            <w:pPr>
              <w:ind w:left="60"/>
              <w:spacing w:after="0" w:line="117" w:lineRule="exact"/>
              <w:rPr>
                <w:sz w:val="20"/>
                <w:szCs w:val="20"/>
                <w:color w:val="auto"/>
              </w:rPr>
            </w:pPr>
            <w:r>
              <w:rPr>
                <w:rFonts w:ascii="Arial" w:cs="Arial" w:eastAsia="Arial" w:hAnsi="Arial"/>
                <w:sz w:val="13"/>
                <w:szCs w:val="13"/>
                <w:color w:val="auto"/>
              </w:rPr>
              <w:t>1695-1710 MHz, 1755-1780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20"/>
              <w:spacing w:after="0"/>
              <w:rPr>
                <w:sz w:val="20"/>
                <w:szCs w:val="20"/>
                <w:color w:val="auto"/>
              </w:rPr>
            </w:pPr>
            <w:r>
              <w:rPr>
                <w:rFonts w:ascii="Arial" w:cs="Arial" w:eastAsia="Arial" w:hAnsi="Arial"/>
                <w:sz w:val="13"/>
                <w:szCs w:val="13"/>
                <w:color w:val="auto"/>
              </w:rPr>
              <w:t>MHz and 2155-2180 MHz (2)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972</w:t>
            </w: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Arial" w:cs="Arial" w:eastAsia="Arial" w:hAnsi="Arial"/>
                <w:sz w:val="13"/>
                <w:szCs w:val="13"/>
                <w:color w:val="auto"/>
                <w:w w:val="96"/>
              </w:rPr>
              <w:t>March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AWS-3</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9,829,287</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jc w:val="center"/>
              <w:ind w:right="140"/>
              <w:spacing w:after="0" w:line="135" w:lineRule="exact"/>
              <w:rPr>
                <w:sz w:val="20"/>
                <w:szCs w:val="20"/>
                <w:color w:val="auto"/>
              </w:rPr>
            </w:pPr>
            <w:r>
              <w:rPr>
                <w:rFonts w:ascii="Arial" w:cs="Arial" w:eastAsia="Arial" w:hAnsi="Arial"/>
                <w:sz w:val="13"/>
                <w:szCs w:val="13"/>
                <w:color w:val="auto"/>
                <w:w w:val="96"/>
              </w:rPr>
              <w:t>December 31, 2024 (10)</w:t>
            </w:r>
          </w:p>
        </w:tc>
        <w:tc>
          <w:tcPr>
            <w:tcW w:w="146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5"/>
              </w:rPr>
              <w:t>October 25, 2025 (11)</w:t>
            </w:r>
          </w:p>
        </w:tc>
        <w:tc>
          <w:tcPr>
            <w:tcW w:w="17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6"/>
              </w:rPr>
              <w:t>October 2025 (11)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i w:val="1"/>
                <w:iCs w:val="1"/>
                <w:color w:val="auto"/>
              </w:rPr>
              <w:t>Subtotal</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29,487,549</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Capitalized Interest (12)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10,091,371</w:t>
            </w: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3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7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8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as of June 30, 2025</w:t>
            </w:r>
          </w:p>
        </w:tc>
        <w:tc>
          <w:tcPr>
            <w:tcW w:w="1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39,578,920</w:t>
            </w:r>
          </w:p>
        </w:tc>
        <w:tc>
          <w:tcPr>
            <w:tcW w:w="16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4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3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17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80" w:right="99" w:hanging="330"/>
        <w:spacing w:after="0" w:line="236"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In a January 10, 2025 filing to the FCC, we certified that we were offering </w:t>
      </w:r>
      <w:r>
        <w:rPr>
          <w:rFonts w:ascii="Arial" w:cs="Arial" w:eastAsia="Arial" w:hAnsi="Arial"/>
          <w:sz w:val="18"/>
          <w:szCs w:val="18"/>
          <w:color w:val="000000"/>
        </w:rPr>
        <w:t>5G broadband service for certain</w:t>
      </w:r>
      <w:r>
        <w:rPr>
          <w:rFonts w:ascii="Arial" w:cs="Arial" w:eastAsia="Arial" w:hAnsi="Arial"/>
          <w:sz w:val="18"/>
          <w:szCs w:val="18"/>
          <w:color w:val="222222"/>
        </w:rPr>
        <w:t xml:space="preserve"> </w:t>
      </w:r>
      <w:r>
        <w:rPr>
          <w:rFonts w:ascii="Arial" w:cs="Arial" w:eastAsia="Arial" w:hAnsi="Arial"/>
          <w:sz w:val="18"/>
          <w:szCs w:val="18"/>
          <w:color w:val="000000"/>
        </w:rPr>
        <w:t>of these license areas to at least 85% of the population in each Economic Area (which is a service area established by the FCC), and offering 5G broadband service for certain other licenses to at least 80% of the population in each Economic Area by this date (part of Commitments #2 and #3 of the September 2024 FCC Extension Request “Extension Request”). These licenses are set forth in Appendices A and D of the Extension Request. Under the Extension Request, if we successfully fulfill Commitments #2 and #3, the final construction deadline for the AWS-4 licenses, the AWS H Block licenses, and the Lower 700 MHz E Block licenses listed in Appendix G-1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6" w:lineRule="exact"/>
        <w:rPr>
          <w:rFonts w:ascii="Arial" w:cs="Arial" w:eastAsia="Arial" w:hAnsi="Arial"/>
          <w:sz w:val="18"/>
          <w:szCs w:val="18"/>
          <w:color w:val="auto"/>
        </w:rPr>
      </w:pPr>
    </w:p>
    <w:p>
      <w:pPr>
        <w:ind w:left="380" w:right="159" w:hanging="330"/>
        <w:spacing w:after="0" w:line="234"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 January 10, 2025 filing to the FCC, we certified that we were offering 5G broadband service for certain of these license areas to at least 85% of the population in each Partial Economic Area (which is a service area established by the FCC), and offering 5G broadband service for certain other licenses to at least 80% of the population in each Partial Economic Area by this date (part of Commitments #2 and #3 of the Extension Request). These licenses are set forth in Appendices B and E of the Extension Request. Under the Extension Request, if we successfully fulfill Commitments #2 and #3, the final construction deadline for the 600 MHz licenses listed in Appendix G-2 of the Extension Request shall be extended from June 14, 2025 to December 14, 2026. While the FCC has not yet updated the build-out deadlines in the Universal Licensing System, the licenses remain in effect based upon the submission of our build-out certifications. See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 for additional information.</w:t>
      </w:r>
    </w:p>
    <w:p>
      <w:pPr>
        <w:spacing w:after="0" w:line="6" w:lineRule="exact"/>
        <w:rPr>
          <w:rFonts w:ascii="Arial" w:cs="Arial" w:eastAsia="Arial" w:hAnsi="Arial"/>
          <w:sz w:val="18"/>
          <w:szCs w:val="18"/>
          <w:color w:val="auto"/>
        </w:rPr>
      </w:pPr>
    </w:p>
    <w:p>
      <w:pPr>
        <w:ind w:left="380" w:right="79" w:hanging="330"/>
        <w:spacing w:after="0" w:line="235" w:lineRule="auto"/>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222222"/>
        </w:rPr>
        <w:t xml:space="preserve">For the 700 MHz and AWS-4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70% of the population in each Economic Area (which is a service area established by the FCC) with respect to these licenses shall be extended to December 14, 2026. </w:t>
      </w:r>
      <w:r>
        <w:rPr>
          <w:rFonts w:ascii="Arial" w:cs="Arial" w:eastAsia="Arial" w:hAnsi="Arial"/>
          <w:sz w:val="18"/>
          <w:szCs w:val="18"/>
          <w:color w:val="000000"/>
        </w:rPr>
        <w:t>While the</w:t>
      </w:r>
      <w:r>
        <w:rPr>
          <w:rFonts w:ascii="Arial" w:cs="Arial" w:eastAsia="Arial" w:hAnsi="Arial"/>
          <w:sz w:val="18"/>
          <w:szCs w:val="18"/>
          <w:color w:val="222222"/>
        </w:rPr>
        <w:t xml:space="preserve"> </w:t>
      </w:r>
      <w:r>
        <w:rPr>
          <w:rFonts w:ascii="Arial" w:cs="Arial" w:eastAsia="Arial" w:hAnsi="Arial"/>
          <w:sz w:val="18"/>
          <w:szCs w:val="18"/>
          <w:color w:val="000000"/>
        </w:rPr>
        <w:t xml:space="preserve">FCC has not yet updated the build-out deadlines in the Universal Licensing System, the licenses remain in effect based upon the submission of our build-out certifications. </w:t>
      </w:r>
      <w:r>
        <w:rPr>
          <w:rFonts w:ascii="Arial" w:cs="Arial" w:eastAsia="Arial" w:hAnsi="Arial"/>
          <w:sz w:val="18"/>
          <w:szCs w:val="18"/>
          <w:color w:val="222222"/>
        </w:rPr>
        <w:t>Under the Extension Request, the final</w:t>
      </w:r>
      <w:r>
        <w:rPr>
          <w:rFonts w:ascii="Arial" w:cs="Arial" w:eastAsia="Arial" w:hAnsi="Arial"/>
          <w:sz w:val="18"/>
          <w:szCs w:val="18"/>
          <w:color w:val="000000"/>
        </w:rPr>
        <w:t xml:space="preserve"> </w:t>
      </w:r>
      <w:r>
        <w:rPr>
          <w:rFonts w:ascii="Arial" w:cs="Arial" w:eastAsia="Arial" w:hAnsi="Arial"/>
          <w:sz w:val="18"/>
          <w:szCs w:val="18"/>
          <w:color w:val="222222"/>
        </w:rPr>
        <w:t xml:space="preserve">construction deadline shall 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w:t>
      </w:r>
      <w:r>
        <w:rPr>
          <w:rFonts w:ascii="Arial" w:cs="Arial" w:eastAsia="Arial" w:hAnsi="Arial"/>
          <w:sz w:val="18"/>
          <w:szCs w:val="18"/>
          <w:color w:val="000000"/>
        </w:rPr>
        <w:t>In a March 17, 2025 filing to the FCC, we certified</w:t>
      </w:r>
      <w:r>
        <w:rPr>
          <w:rFonts w:ascii="Arial" w:cs="Arial" w:eastAsia="Arial" w:hAnsi="Arial"/>
          <w:sz w:val="18"/>
          <w:szCs w:val="18"/>
          <w:color w:val="222222"/>
        </w:rPr>
        <w:t xml:space="preserve"> </w:t>
      </w:r>
      <w:r>
        <w:rPr>
          <w:rFonts w:ascii="Arial" w:cs="Arial" w:eastAsia="Arial" w:hAnsi="Arial"/>
          <w:sz w:val="18"/>
          <w:szCs w:val="18"/>
          <w:color w:val="000000"/>
        </w:rPr>
        <w:t xml:space="preserve">that we have upgraded our deployed 5G sites to 3GPP Release 17. In a May 5, 2025 filing to the FCC, we certified that </w:t>
      </w:r>
      <w:r>
        <w:rPr>
          <w:rFonts w:ascii="Arial" w:cs="Arial" w:eastAsia="Arial" w:hAnsi="Arial"/>
          <w:sz w:val="18"/>
          <w:szCs w:val="18"/>
          <w:color w:val="222222"/>
        </w:rPr>
        <w:t>we have deployed at least 24,000 5G sites. In a June 17, 2025 filing to the FCC, we certified</w:t>
      </w:r>
      <w:r>
        <w:rPr>
          <w:rFonts w:ascii="Arial" w:cs="Arial" w:eastAsia="Arial" w:hAnsi="Arial"/>
          <w:sz w:val="18"/>
          <w:szCs w:val="18"/>
          <w:color w:val="000000"/>
        </w:rPr>
        <w:t xml:space="preserve"> </w:t>
      </w:r>
      <w:r>
        <w:rPr>
          <w:rFonts w:ascii="Arial" w:cs="Arial" w:eastAsia="Arial" w:hAnsi="Arial"/>
          <w:sz w:val="18"/>
          <w:szCs w:val="18"/>
          <w:color w:val="222222"/>
        </w:rPr>
        <w:t xml:space="preserve">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80" w:right="99" w:hanging="330"/>
        <w:spacing w:after="0" w:line="235"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 xml:space="preserve">For the H-Block licenses set forth in Appendix G-1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of the population in each Economic Area (which is a service area established by the FCC) with respect to these licenses shall be extended to December 14, 2026. </w:t>
      </w:r>
      <w:r>
        <w:rPr>
          <w:rFonts w:ascii="Arial" w:cs="Arial" w:eastAsia="Arial" w:hAnsi="Arial"/>
          <w:sz w:val="18"/>
          <w:szCs w:val="18"/>
          <w:color w:val="000000"/>
        </w:rPr>
        <w:t>While the FCC has not yet updated</w:t>
      </w:r>
      <w:r>
        <w:rPr>
          <w:rFonts w:ascii="Arial" w:cs="Arial" w:eastAsia="Arial" w:hAnsi="Arial"/>
          <w:sz w:val="18"/>
          <w:szCs w:val="18"/>
          <w:color w:val="222222"/>
        </w:rPr>
        <w:t xml:space="preserve"> </w:t>
      </w:r>
      <w:r>
        <w:rPr>
          <w:rFonts w:ascii="Arial" w:cs="Arial" w:eastAsia="Arial" w:hAnsi="Arial"/>
          <w:sz w:val="18"/>
          <w:szCs w:val="18"/>
          <w:color w:val="000000"/>
        </w:rPr>
        <w:t xml:space="preserve">the build-out deadlines in the Universal Licensing System, the licenses remain in effect based upon the submission of our build-out certifications. </w:t>
      </w:r>
      <w:r>
        <w:rPr>
          <w:rFonts w:ascii="Arial" w:cs="Arial" w:eastAsia="Arial" w:hAnsi="Arial"/>
          <w:sz w:val="18"/>
          <w:szCs w:val="18"/>
          <w:color w:val="222222"/>
        </w:rPr>
        <w:t>Under the Extension Request, the final construction deadline shall</w:t>
      </w:r>
      <w:r>
        <w:rPr>
          <w:rFonts w:ascii="Arial" w:cs="Arial" w:eastAsia="Arial" w:hAnsi="Arial"/>
          <w:sz w:val="18"/>
          <w:szCs w:val="18"/>
          <w:color w:val="000000"/>
        </w:rPr>
        <w:t xml:space="preserve"> </w:t>
      </w:r>
      <w:r>
        <w:rPr>
          <w:rFonts w:ascii="Arial" w:cs="Arial" w:eastAsia="Arial" w:hAnsi="Arial"/>
          <w:sz w:val="18"/>
          <w:szCs w:val="18"/>
          <w:color w:val="222222"/>
        </w:rPr>
        <w:t xml:space="preserve">be further extended to June 14, 2028, if: by December 31, 2024, we have offered 5G broadband service to, at least, 80% of the U.S. population; and, by June 14, 2025 (a) we have offered a low-cost 5G broadband plan and device to consumers nationwide; (b) we have deployed at least 24,000 5G sites; (c) we have upgraded our deployed 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5G broadband service to, at least, 80% of the U.S. population and (ii) we were offering a low-cost 5G broadband plan and device to consumers nationwide. </w:t>
      </w:r>
      <w:r>
        <w:rPr>
          <w:rFonts w:ascii="Arial" w:cs="Arial" w:eastAsia="Arial" w:hAnsi="Arial"/>
          <w:sz w:val="18"/>
          <w:szCs w:val="18"/>
          <w:color w:val="000000"/>
        </w:rPr>
        <w:t>In a March 17, 2025 filing to the FCC, we certified that we have upgraded our</w:t>
      </w:r>
      <w:r>
        <w:rPr>
          <w:rFonts w:ascii="Arial" w:cs="Arial" w:eastAsia="Arial" w:hAnsi="Arial"/>
          <w:sz w:val="18"/>
          <w:szCs w:val="18"/>
          <w:color w:val="222222"/>
        </w:rPr>
        <w:t xml:space="preserve"> </w:t>
      </w:r>
      <w:r>
        <w:rPr>
          <w:rFonts w:ascii="Arial" w:cs="Arial" w:eastAsia="Arial" w:hAnsi="Arial"/>
          <w:sz w:val="18"/>
          <w:szCs w:val="18"/>
          <w:color w:val="000000"/>
        </w:rPr>
        <w:t xml:space="preserve">deployed 5G sites to 3GPP Release 17. In a May 5, 2025 filing to the FCC, we certified that </w:t>
      </w:r>
      <w:r>
        <w:rPr>
          <w:rFonts w:ascii="Arial" w:cs="Arial" w:eastAsia="Arial" w:hAnsi="Arial"/>
          <w:sz w:val="18"/>
          <w:szCs w:val="18"/>
          <w:color w:val="222222"/>
        </w:rPr>
        <w:t>we have</w:t>
      </w:r>
      <w:r>
        <w:rPr>
          <w:rFonts w:ascii="Arial" w:cs="Arial" w:eastAsia="Arial" w:hAnsi="Arial"/>
          <w:sz w:val="18"/>
          <w:szCs w:val="18"/>
          <w:color w:val="000000"/>
        </w:rPr>
        <w:t xml:space="preserve"> </w:t>
      </w:r>
      <w:r>
        <w:rPr>
          <w:rFonts w:ascii="Arial" w:cs="Arial" w:eastAsia="Arial" w:hAnsi="Arial"/>
          <w:sz w:val="18"/>
          <w:szCs w:val="18"/>
          <w:color w:val="222222"/>
        </w:rPr>
        <w:t xml:space="preserve">deployed at least 24,000 5G sites. 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14" w:lineRule="exact"/>
        <w:rPr>
          <w:rFonts w:ascii="Arial" w:cs="Arial" w:eastAsia="Arial" w:hAnsi="Arial"/>
          <w:sz w:val="18"/>
          <w:szCs w:val="18"/>
          <w:color w:val="222222"/>
        </w:rPr>
      </w:pPr>
    </w:p>
    <w:p>
      <w:pPr>
        <w:ind w:left="380" w:right="99" w:hanging="330"/>
        <w:spacing w:after="0" w:line="234"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 xml:space="preserve">For the 600 MHz licenses set forth in Appendix G-2 of the Extension Request, we have certified to meeting the accelerated build-out obligations described in footnotes 3, 4 and 10 herein (thus fulfilling Commitments #2 and #3 of the Extension Request), and as a result the final deadline for us to offer 5G broadband service to at least 75% </w:t>
      </w:r>
      <w:r>
        <w:rPr>
          <w:rFonts w:ascii="Arial" w:cs="Arial" w:eastAsia="Arial" w:hAnsi="Arial"/>
          <w:sz w:val="18"/>
          <w:szCs w:val="18"/>
          <w:color w:val="000000"/>
        </w:rPr>
        <w:t>of the population in each Partial Economic Area (which is a service area established by the</w:t>
      </w:r>
      <w:r>
        <w:rPr>
          <w:rFonts w:ascii="Arial" w:cs="Arial" w:eastAsia="Arial" w:hAnsi="Arial"/>
          <w:sz w:val="18"/>
          <w:szCs w:val="18"/>
          <w:color w:val="222222"/>
        </w:rPr>
        <w:t xml:space="preserve"> </w:t>
      </w:r>
      <w:r>
        <w:rPr>
          <w:rFonts w:ascii="Arial" w:cs="Arial" w:eastAsia="Arial" w:hAnsi="Arial"/>
          <w:sz w:val="18"/>
          <w:szCs w:val="18"/>
          <w:color w:val="000000"/>
        </w:rPr>
        <w:t xml:space="preserve">FCC)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5G broadband service to, at least, </w:t>
      </w:r>
      <w:r>
        <w:rPr>
          <w:rFonts w:ascii="Arial" w:cs="Arial" w:eastAsia="Arial" w:hAnsi="Arial"/>
          <w:sz w:val="18"/>
          <w:szCs w:val="18"/>
          <w:color w:val="222222"/>
        </w:rPr>
        <w:t>80%</w:t>
      </w:r>
      <w:r>
        <w:rPr>
          <w:rFonts w:ascii="Arial" w:cs="Arial" w:eastAsia="Arial" w:hAnsi="Arial"/>
          <w:sz w:val="18"/>
          <w:szCs w:val="18"/>
          <w:color w:val="000000"/>
        </w:rPr>
        <w:t xml:space="preserve"> of the U.S. population; and, by June 14, 2025 (a) we have offered a low-cost 5G broadband plan and device to consumers nationwide; </w:t>
      </w:r>
      <w:r>
        <w:rPr>
          <w:rFonts w:ascii="Arial" w:cs="Arial" w:eastAsia="Arial" w:hAnsi="Arial"/>
          <w:sz w:val="18"/>
          <w:szCs w:val="18"/>
          <w:color w:val="222222"/>
        </w:rPr>
        <w:t>(b) we have deployed at least 24,000 5G</w:t>
      </w:r>
      <w:r>
        <w:rPr>
          <w:rFonts w:ascii="Arial" w:cs="Arial" w:eastAsia="Arial" w:hAnsi="Arial"/>
          <w:sz w:val="18"/>
          <w:szCs w:val="18"/>
          <w:color w:val="000000"/>
        </w:rPr>
        <w:t xml:space="preserve"> </w:t>
      </w:r>
      <w:r>
        <w:rPr>
          <w:rFonts w:ascii="Arial" w:cs="Arial" w:eastAsia="Arial" w:hAnsi="Arial"/>
          <w:sz w:val="18"/>
          <w:szCs w:val="18"/>
          <w:color w:val="222222"/>
        </w:rPr>
        <w:t xml:space="preserve">sites; (c) we have upgraded our deployed 5G sites to 3GPP Release 17; and (d) we have provisioned at least 75% of new subscribers with an EchoStar-certified 5G device on our MNO network if the subscriber is within the accelerated markets as set forth in Appendices A-F </w:t>
      </w:r>
      <w:r>
        <w:rPr>
          <w:rFonts w:ascii="Arial" w:cs="Arial" w:eastAsia="Arial" w:hAnsi="Arial"/>
          <w:sz w:val="18"/>
          <w:szCs w:val="18"/>
          <w:color w:val="000000"/>
        </w:rPr>
        <w:t>of the Extension Request. In a January 10,</w:t>
      </w:r>
      <w:r>
        <w:rPr>
          <w:rFonts w:ascii="Arial" w:cs="Arial" w:eastAsia="Arial" w:hAnsi="Arial"/>
          <w:sz w:val="18"/>
          <w:szCs w:val="18"/>
          <w:color w:val="222222"/>
        </w:rPr>
        <w:t xml:space="preserve"> </w:t>
      </w:r>
      <w:r>
        <w:rPr>
          <w:rFonts w:ascii="Arial" w:cs="Arial" w:eastAsia="Arial" w:hAnsi="Arial"/>
          <w:sz w:val="18"/>
          <w:szCs w:val="18"/>
          <w:color w:val="000000"/>
        </w:rPr>
        <w:t xml:space="preserve">2025 filing to the FCC, we certified that, as of December 31, 2024: (i) we were offering 5G broadband service to, at least, 80% of the U.S. population and (ii) we were offering a low-cost 5G broadband plan and device to consumers nationwide. In 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 have</w:t>
      </w:r>
      <w:r>
        <w:rPr>
          <w:rFonts w:ascii="Arial" w:cs="Arial" w:eastAsia="Arial" w:hAnsi="Arial"/>
          <w:sz w:val="18"/>
          <w:szCs w:val="18"/>
          <w:color w:val="000000"/>
        </w:rPr>
        <w:t xml:space="preserve"> </w:t>
      </w:r>
      <w:r>
        <w:rPr>
          <w:rFonts w:ascii="Arial" w:cs="Arial" w:eastAsia="Arial" w:hAnsi="Arial"/>
          <w:sz w:val="18"/>
          <w:szCs w:val="18"/>
          <w:color w:val="222222"/>
        </w:rPr>
        <w:t xml:space="preserve">deployed at least 24,000 5G sites. 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14" w:lineRule="exact"/>
        <w:rPr>
          <w:rFonts w:ascii="Arial" w:cs="Arial" w:eastAsia="Arial" w:hAnsi="Arial"/>
          <w:sz w:val="18"/>
          <w:szCs w:val="18"/>
          <w:color w:val="222222"/>
        </w:rPr>
      </w:pPr>
    </w:p>
    <w:p>
      <w:pPr>
        <w:ind w:left="380" w:hanging="330"/>
        <w:spacing w:after="0" w:line="234"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There are a variety of build-out options and associated build-out metrics associated with these licenses.</w:t>
      </w:r>
    </w:p>
    <w:p>
      <w:pPr>
        <w:ind w:left="380" w:right="139" w:hanging="330"/>
        <w:spacing w:after="0" w:line="242" w:lineRule="auto"/>
        <w:tabs>
          <w:tab w:leader="none" w:pos="380" w:val="left"/>
        </w:tabs>
        <w:numPr>
          <w:ilvl w:val="0"/>
          <w:numId w:val="35"/>
        </w:numPr>
        <w:rPr>
          <w:rFonts w:ascii="Arial" w:cs="Arial" w:eastAsia="Arial" w:hAnsi="Arial"/>
          <w:sz w:val="18"/>
          <w:szCs w:val="18"/>
          <w:color w:val="222222"/>
        </w:rPr>
      </w:pPr>
      <w:r>
        <w:rPr>
          <w:rFonts w:ascii="Arial" w:cs="Arial" w:eastAsia="Arial" w:hAnsi="Arial"/>
          <w:sz w:val="18"/>
          <w:szCs w:val="18"/>
          <w:color w:val="222222"/>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80" w:right="159" w:hanging="323"/>
        <w:spacing w:after="0" w:line="237" w:lineRule="auto"/>
        <w:rPr>
          <w:sz w:val="20"/>
          <w:szCs w:val="20"/>
          <w:color w:val="auto"/>
        </w:rPr>
      </w:pPr>
      <w:r>
        <w:rPr>
          <w:rFonts w:ascii="Arial" w:cs="Arial" w:eastAsia="Arial" w:hAnsi="Arial"/>
          <w:sz w:val="18"/>
          <w:szCs w:val="18"/>
          <w:color w:val="222222"/>
        </w:rPr>
        <w:t xml:space="preserve">(10)In a January 10, 2025 filing to the FCC, we certified that we were offering reliable signal coverage for certain of these license areas and offering service for certain accelerated licenses to at least 85% of the population of each license area and for certain other accelerated licenses to at least 80% of the population of each license area by this date (part of Commitments #2 and #3 the Extension Request). These accelerated licenses are set forth in Appendices C and F of the Extension Request. Under the Extension Request, if we successfully fulfill Commitment #2 and Commitment #3, the final construction deadlines for the AWS-3 licenses listed in Appendix G-3 of the Extension Request shall be extended from June 14, 2025 to December 14, 2026.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3" w:lineRule="exact"/>
        <w:rPr>
          <w:sz w:val="20"/>
          <w:szCs w:val="20"/>
          <w:color w:val="auto"/>
        </w:rPr>
      </w:pPr>
    </w:p>
    <w:p>
      <w:pPr>
        <w:ind w:left="380" w:right="99" w:hanging="330"/>
        <w:spacing w:after="0" w:line="234" w:lineRule="auto"/>
        <w:tabs>
          <w:tab w:leader="none" w:pos="380" w:val="left"/>
        </w:tabs>
        <w:numPr>
          <w:ilvl w:val="0"/>
          <w:numId w:val="36"/>
        </w:numPr>
        <w:rPr>
          <w:rFonts w:ascii="Arial" w:cs="Arial" w:eastAsia="Arial" w:hAnsi="Arial"/>
          <w:sz w:val="18"/>
          <w:szCs w:val="18"/>
          <w:color w:val="222222"/>
        </w:rPr>
      </w:pPr>
      <w:r>
        <w:rPr>
          <w:rFonts w:ascii="Arial" w:cs="Arial" w:eastAsia="Arial" w:hAnsi="Arial"/>
          <w:sz w:val="18"/>
          <w:szCs w:val="18"/>
          <w:color w:val="222222"/>
        </w:rPr>
        <w:t xml:space="preserve">For the AWS-3 licenses set forth in Appendix G-3 of the Extension Request, we have certified to meeting the accelerated build-out obligations described in footnotes 3, 4 and 10 herein (thus fulfilling Commitments #2 and #3 of the Extension Request), and as a result the final deadline for us to offer reliable signal coverage to at least 75% of the population in each license area with respect to these licenses shall be extended to December 14, 2026. While the FCC has not yet updated the build-out deadlines in the Universal Licensing System, the licenses remain in effect based upon the submission of our build-out certifications. Under the Extension Request, the final construction deadline shall be further extended to June 14, 2028, if: by December 31, 2024, we have offered reliable signal coverage to, at least, 80% </w:t>
      </w:r>
      <w:r>
        <w:rPr>
          <w:rFonts w:ascii="Arial" w:cs="Arial" w:eastAsia="Arial" w:hAnsi="Arial"/>
          <w:sz w:val="18"/>
          <w:szCs w:val="18"/>
          <w:color w:val="000000"/>
        </w:rPr>
        <w:t>of the</w:t>
      </w:r>
      <w:r>
        <w:rPr>
          <w:rFonts w:ascii="Arial" w:cs="Arial" w:eastAsia="Arial" w:hAnsi="Arial"/>
          <w:sz w:val="18"/>
          <w:szCs w:val="18"/>
          <w:color w:val="222222"/>
        </w:rPr>
        <w:t xml:space="preserve"> </w:t>
      </w:r>
      <w:r>
        <w:rPr>
          <w:rFonts w:ascii="Arial" w:cs="Arial" w:eastAsia="Arial" w:hAnsi="Arial"/>
          <w:sz w:val="18"/>
          <w:szCs w:val="18"/>
          <w:color w:val="000000"/>
        </w:rPr>
        <w:t xml:space="preserve">U.S. population; and, by June 14, 2025 (a) we have offered a low-cost 5G broadband plan and device to consumers nationwide; </w:t>
      </w:r>
      <w:r>
        <w:rPr>
          <w:rFonts w:ascii="Arial" w:cs="Arial" w:eastAsia="Arial" w:hAnsi="Arial"/>
          <w:sz w:val="18"/>
          <w:szCs w:val="18"/>
          <w:color w:val="222222"/>
        </w:rPr>
        <w:t>(b) we have deployed at least 24,000 5G sites; (c) we have upgraded our deployed</w:t>
      </w:r>
      <w:r>
        <w:rPr>
          <w:rFonts w:ascii="Arial" w:cs="Arial" w:eastAsia="Arial" w:hAnsi="Arial"/>
          <w:sz w:val="18"/>
          <w:szCs w:val="18"/>
          <w:color w:val="000000"/>
        </w:rPr>
        <w:t xml:space="preserve"> </w:t>
      </w:r>
      <w:r>
        <w:rPr>
          <w:rFonts w:ascii="Arial" w:cs="Arial" w:eastAsia="Arial" w:hAnsi="Arial"/>
          <w:sz w:val="18"/>
          <w:szCs w:val="18"/>
          <w:color w:val="222222"/>
        </w:rPr>
        <w:t xml:space="preserve">5G sites to 3GPP Release 17; and (d) we have provisioned at least 75% of new subscribers with an EchoStar-certified 5G device on our MNO network if the subscriber is within the accelerated markets as set forth in Appendices A-F of the Extension Request. In a January 10, 2025 filing to the FCC, we certified that, as of December 31, 2024: (i) we were offering reliable signal coverage to, at least, 80% of the U.S. population and (ii) we were offering a low-cost 5G broadband plan and device to consumers nationwide. </w:t>
      </w:r>
      <w:r>
        <w:rPr>
          <w:rFonts w:ascii="Arial" w:cs="Arial" w:eastAsia="Arial" w:hAnsi="Arial"/>
          <w:sz w:val="18"/>
          <w:szCs w:val="18"/>
          <w:color w:val="000000"/>
        </w:rPr>
        <w:t>In</w:t>
      </w:r>
      <w:r>
        <w:rPr>
          <w:rFonts w:ascii="Arial" w:cs="Arial" w:eastAsia="Arial" w:hAnsi="Arial"/>
          <w:sz w:val="18"/>
          <w:szCs w:val="18"/>
          <w:color w:val="222222"/>
        </w:rPr>
        <w:t xml:space="preserve"> </w:t>
      </w:r>
      <w:r>
        <w:rPr>
          <w:rFonts w:ascii="Arial" w:cs="Arial" w:eastAsia="Arial" w:hAnsi="Arial"/>
          <w:sz w:val="18"/>
          <w:szCs w:val="18"/>
          <w:color w:val="000000"/>
        </w:rPr>
        <w:t xml:space="preserve">a March 17, 2025 filing to the FCC, we certified that we have upgraded our deployed 5G sites to 3GPP Release 17. In a May 5, 2025 filing to the FCC, we certified that </w:t>
      </w:r>
      <w:r>
        <w:rPr>
          <w:rFonts w:ascii="Arial" w:cs="Arial" w:eastAsia="Arial" w:hAnsi="Arial"/>
          <w:sz w:val="18"/>
          <w:szCs w:val="18"/>
          <w:color w:val="222222"/>
        </w:rPr>
        <w:t>we have deployed at least 24,000 5G sites.</w:t>
      </w:r>
      <w:r>
        <w:rPr>
          <w:rFonts w:ascii="Arial" w:cs="Arial" w:eastAsia="Arial" w:hAnsi="Arial"/>
          <w:sz w:val="18"/>
          <w:szCs w:val="18"/>
          <w:color w:val="000000"/>
        </w:rPr>
        <w:t xml:space="preserve"> </w:t>
      </w:r>
      <w:r>
        <w:rPr>
          <w:rFonts w:ascii="Arial" w:cs="Arial" w:eastAsia="Arial" w:hAnsi="Arial"/>
          <w:sz w:val="18"/>
          <w:szCs w:val="18"/>
          <w:color w:val="222222"/>
        </w:rPr>
        <w:t xml:space="preserve">In a June 17, 2025 filing to the FCC, we certified that we have provisioned at least 75% of new subscribers with an EchoStar-certified 5G device on our MNO network if the subscriber is within the accelerated markets as set forth in Appendices A-F of the Extension Request. </w:t>
      </w:r>
      <w:r>
        <w:rPr>
          <w:rFonts w:ascii="Arial" w:cs="Arial" w:eastAsia="Arial" w:hAnsi="Arial"/>
          <w:sz w:val="18"/>
          <w:szCs w:val="18"/>
          <w:color w:val="000000"/>
        </w:rPr>
        <w:t>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w:t>
      </w:r>
      <w:r>
        <w:rPr>
          <w:rFonts w:ascii="Arial" w:cs="Arial" w:eastAsia="Arial" w:hAnsi="Arial"/>
          <w:sz w:val="18"/>
          <w:szCs w:val="18"/>
          <w:color w:val="222222"/>
        </w:rPr>
        <w:t xml:space="preserve"> </w:t>
      </w:r>
      <w:r>
        <w:rPr>
          <w:rFonts w:ascii="Arial" w:cs="Arial" w:eastAsia="Arial" w:hAnsi="Arial"/>
          <w:sz w:val="18"/>
          <w:szCs w:val="18"/>
          <w:color w:val="000000"/>
        </w:rPr>
        <w:t>additional information.</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222222"/>
        </w:rPr>
        <w:t>(12)See Note 2 for further information.</w:t>
      </w:r>
    </w:p>
    <w:p>
      <w:pPr>
        <w:spacing w:after="0" w:line="180" w:lineRule="exact"/>
        <w:rPr>
          <w:sz w:val="20"/>
          <w:szCs w:val="20"/>
          <w:color w:val="auto"/>
        </w:rPr>
      </w:pPr>
    </w:p>
    <w:p>
      <w:pPr>
        <w:ind w:left="60" w:right="299" w:hanging="12"/>
        <w:spacing w:after="0" w:line="266" w:lineRule="auto"/>
        <w:rPr>
          <w:sz w:val="20"/>
          <w:szCs w:val="20"/>
          <w:color w:val="auto"/>
        </w:rPr>
      </w:pPr>
      <w:r>
        <w:rPr>
          <w:rFonts w:ascii="Arial" w:cs="Arial" w:eastAsia="Arial" w:hAnsi="Arial"/>
          <w:sz w:val="17"/>
          <w:szCs w:val="17"/>
          <w:i w:val="1"/>
          <w:iCs w:val="1"/>
          <w:color w:val="auto"/>
        </w:rPr>
        <w:t xml:space="preserve">Commercialization of Our Wireless Spectrum Licenses and Related Assets. </w:t>
      </w:r>
      <w:r>
        <w:rPr>
          <w:rFonts w:ascii="Arial" w:cs="Arial" w:eastAsia="Arial" w:hAnsi="Arial"/>
          <w:sz w:val="17"/>
          <w:szCs w:val="17"/>
          <w:color w:val="auto"/>
        </w:rPr>
        <w:t>We currently offer our Wireless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services for 5G VoNR to over </w:t>
      </w:r>
      <w:r>
        <w:rPr>
          <w:rFonts w:ascii="Arial" w:cs="Arial" w:eastAsia="Arial" w:hAnsi="Arial"/>
          <w:sz w:val="17"/>
          <w:szCs w:val="17"/>
          <w:color w:val="0A0A0A"/>
        </w:rPr>
        <w:t>223 million Americans and</w:t>
      </w:r>
      <w:r>
        <w:rPr>
          <w:rFonts w:ascii="Arial" w:cs="Arial" w:eastAsia="Arial" w:hAnsi="Arial"/>
          <w:sz w:val="17"/>
          <w:szCs w:val="17"/>
          <w:color w:val="auto"/>
        </w:rPr>
        <w:t xml:space="preserve"> 5G broadband service </w:t>
      </w:r>
      <w:r>
        <w:rPr>
          <w:rFonts w:ascii="Arial" w:cs="Arial" w:eastAsia="Arial" w:hAnsi="Arial"/>
          <w:sz w:val="17"/>
          <w:szCs w:val="17"/>
          <w:color w:val="0A0A0A"/>
        </w:rPr>
        <w:t>covering over 269 million</w:t>
      </w:r>
      <w:r>
        <w:rPr>
          <w:rFonts w:ascii="Arial" w:cs="Arial" w:eastAsia="Arial" w:hAnsi="Arial"/>
          <w:sz w:val="17"/>
          <w:szCs w:val="17"/>
          <w:color w:val="auto"/>
        </w:rPr>
        <w:t xml:space="preserve"> </w:t>
      </w:r>
      <w:r>
        <w:rPr>
          <w:rFonts w:ascii="Arial" w:cs="Arial" w:eastAsia="Arial" w:hAnsi="Arial"/>
          <w:sz w:val="17"/>
          <w:szCs w:val="17"/>
          <w:color w:val="0A0A0A"/>
        </w:rPr>
        <w:t xml:space="preserve">Americans. </w:t>
      </w:r>
      <w:r>
        <w:rPr>
          <w:rFonts w:ascii="Arial" w:cs="Arial" w:eastAsia="Arial" w:hAnsi="Arial"/>
          <w:sz w:val="17"/>
          <w:szCs w:val="17"/>
          <w:color w:val="000000"/>
        </w:rPr>
        <w:t>We currently expect capital expenditures, excluding capitalized interest, for our 5G Network to be</w:t>
      </w:r>
      <w:r>
        <w:rPr>
          <w:rFonts w:ascii="Arial" w:cs="Arial" w:eastAsia="Arial" w:hAnsi="Arial"/>
          <w:sz w:val="17"/>
          <w:szCs w:val="17"/>
          <w:color w:val="0A0A0A"/>
        </w:rPr>
        <w:t xml:space="preserve"> </w:t>
      </w:r>
      <w:r>
        <w:rPr>
          <w:rFonts w:ascii="Arial" w:cs="Arial" w:eastAsia="Arial" w:hAnsi="Arial"/>
          <w:sz w:val="17"/>
          <w:szCs w:val="17"/>
          <w:color w:val="000000"/>
        </w:rPr>
        <w:t>approximately $10 billion, including amounts incurred to date since 2021. See Note 2 for further infor</w:t>
      </w:r>
      <w:r>
        <w:rPr>
          <w:rFonts w:ascii="Arial" w:cs="Arial" w:eastAsia="Arial" w:hAnsi="Arial"/>
          <w:sz w:val="17"/>
          <w:szCs w:val="17"/>
          <w:color w:val="0A0A0A"/>
        </w:rPr>
        <w:t>mation.</w:t>
      </w:r>
    </w:p>
    <w:p>
      <w:pPr>
        <w:spacing w:after="0" w:line="14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0A0A0A"/>
        </w:rPr>
        <w:t xml:space="preserve">In September 2024, the FCC conditionally granted our requests to extend the 5G 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 January 10, 2025 filing to the</w:t>
      </w:r>
      <w:r>
        <w:rPr>
          <w:rFonts w:ascii="Arial" w:cs="Arial" w:eastAsia="Arial" w:hAnsi="Arial"/>
          <w:sz w:val="18"/>
          <w:szCs w:val="18"/>
          <w:color w:val="0A0A0A"/>
        </w:rPr>
        <w:t xml:space="preserve"> </w:t>
      </w:r>
      <w:r>
        <w:rPr>
          <w:rFonts w:ascii="Arial" w:cs="Arial" w:eastAsia="Arial" w:hAnsi="Arial"/>
          <w:sz w:val="18"/>
          <w:szCs w:val="18"/>
          <w:color w:val="222222"/>
        </w:rPr>
        <w:t>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w:t>
      </w:r>
      <w:r>
        <w:rPr>
          <w:rFonts w:ascii="Arial" w:cs="Arial" w:eastAsia="Arial" w:hAnsi="Arial"/>
          <w:sz w:val="18"/>
          <w:szCs w:val="18"/>
          <w:color w:val="222222"/>
        </w:rPr>
        <w:t xml:space="preserve"> </w:t>
      </w:r>
      <w:r>
        <w:rPr>
          <w:rFonts w:ascii="Arial" w:cs="Arial" w:eastAsia="Arial" w:hAnsi="Arial"/>
          <w:sz w:val="18"/>
          <w:szCs w:val="18"/>
          <w:color w:val="000000"/>
        </w:rPr>
        <w:t xml:space="preserve">2024, </w:t>
      </w:r>
      <w:r>
        <w:rPr>
          <w:rFonts w:ascii="Arial" w:cs="Arial" w:eastAsia="Arial" w:hAnsi="Arial"/>
          <w:sz w:val="18"/>
          <w:szCs w:val="18"/>
          <w:color w:val="0A0A0A"/>
        </w:rPr>
        <w:t>as defined and detailed in the footnotes to the table above.</w:t>
      </w:r>
      <w:r>
        <w:rPr>
          <w:rFonts w:ascii="Arial" w:cs="Arial" w:eastAsia="Arial" w:hAnsi="Arial"/>
          <w:sz w:val="18"/>
          <w:szCs w:val="18"/>
          <w:color w:val="000000"/>
        </w:rPr>
        <w:t xml:space="preserve"> Thus, pursuant to the Extension Request, the final deployment deadlines for the licenses subject to the Extension Request (listed in Appendix G) shall be extended to December 14, 2026. While the FCC has not yet updated the build -out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as defined and detailed in the footnotes to the table above. </w:t>
      </w:r>
      <w:r>
        <w:rPr>
          <w:rFonts w:ascii="Arial" w:cs="Arial" w:eastAsia="Arial" w:hAnsi="Arial"/>
          <w:sz w:val="18"/>
          <w:szCs w:val="18"/>
          <w:color w:val="0A0A0A"/>
        </w:rPr>
        <w:t>S</w:t>
      </w:r>
      <w:r>
        <w:rPr>
          <w:rFonts w:ascii="Arial" w:cs="Arial" w:eastAsia="Arial" w:hAnsi="Arial"/>
          <w:sz w:val="18"/>
          <w:szCs w:val="18"/>
          <w:color w:val="000000"/>
        </w:rPr>
        <w:t>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jc w:val="both"/>
        <w:ind w:left="60" w:right="359" w:hanging="7"/>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See Note 2 for further information.</w:t>
      </w:r>
    </w:p>
    <w:p>
      <w:pPr>
        <w:spacing w:after="0" w:line="160"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155"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 Memorandum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59" w:hanging="7"/>
        <w:spacing w:after="0" w:line="236"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 In addition, we will be subject to a default payment with respect to the licenses for which Northstar Wireless did not pay the gross winning bids (the “Northstar Re-Auction Payment”). The Northstar Re-Auction Payment has two components. First, if the winning bids at re-auction are less than the winning bids of Northstar Wireless, we will be responsible for the difference between the two bids. The second component is an additional payment in the amount of fifteen percent (15%) of Northstar Wireless’s bid or the subsequent winning bids, whichever is less. The amount of the Northstar Re-Auction Payment will be offset by the $334 million interim payment Northstar Wireless has already made. For example, if the winning bids in a re-auction are $1, the Northstar Re-Auction Payment would be approximately $2.226 billion, which is calculated as the difference between $2.226 billion (the Northstar winning bid amounts) and $1 (the winning bids from re-auction), plus 15% of the $1 (the winning bids from re-auction), If the winning bids from re-auction or other award of the AWS-3 licenses retained by the FCC are greater than or equal to the winning bids of Northstar Wireless, the Northstar Re-Auction Payment would be approximately $334 million, calculated as fifteen percent (15%) of $2.226 billion (Northstar Wireless’s defaulted bids). In each case, the amount of the Northstar Re-Auction Payment would be offset by the $334 million interim payment Northstar already made, resulting in a maximum exposure of $1.892 billion. We cannot predict with any degree of certainty the outcome of any re-auction or the amount of any Northstar Re-Auction Payment. The re-auction of the AWS-3 licenses has been designated as Auction 113 and the FCC is required to initiate Auction 113 by June 23, 2026.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spacing w:after="0" w:line="236" w:lineRule="auto"/>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SNR Wireless and the FCC Wireless Bureau, SNR Wireless paid the gross winning bid amounts for 244 AWS-3 Licenses and notified the FCC that it would not be paying the gross winning bid amounts for 113 AWS-3 Licenses. As a result of the nonpayment of those gross winning bid amounts, the FCC retained those licenses. In addition, we will be subject to a default payment with respect to the licenses for which SNR Wireless did not pay the gross winning bids (the “SNR Re-Auction Payment”). The SNR Re-Auction Payment has two components. First, if the winning bids at re-auction are less than the winning bids of SNR Wireless, we will be responsible for the difference between the two bids. The second component is an additional payment in the amount of fifteen percent (15%) of SNR Wireless’s bid or the subsequent winning bids, whichever is less. The amount of the SNR Re-Auction Payment will be offset by the $182 million interim payment SNR Wireless has already made. For example, if the winning bids in a re-auction are $1, the SNR Re-Auction Payment would be approximately $1.211 billion, which is calculated as the difference between $ 1.211 billion (the SNR winning bid amounts) and $1 (the winning bids from re-auction), plus 15% of the $1 (the winning bids from re-auction). If the winning bids from re-auction of the AWS-3 licenses retained by the FCC are greater than or equal to the winning bids of SNR Wireless, the SNR Re-Auction Payment would be approximately $182 million, calculated as fifteen percent (15%) of $1.211 billion (SNR Wireless’s defaulted bids). In each case, the amount of the SNR Re-Auction Payment would be offset by the $182 million interim payment SNR already made, resulting in a maximum exposure of $1.029 billion. We cannot predict with any degree of certainty the outcome of any re-auction or the amount of any SNR Re-Auction Payment. The re-auction of the AWS-3 licenses has been designated as Auction 113 and the FCC is required to initiate Auction 113 by June 23, 2026.</w:t>
      </w:r>
    </w:p>
    <w:p>
      <w:pPr>
        <w:spacing w:after="0" w:line="182" w:lineRule="exact"/>
        <w:rPr>
          <w:sz w:val="20"/>
          <w:szCs w:val="20"/>
          <w:color w:val="auto"/>
        </w:rPr>
      </w:pPr>
    </w:p>
    <w:p>
      <w:pPr>
        <w:ind w:left="60" w:right="99" w:hanging="7"/>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(the “D.C. Circuit”) in </w:t>
      </w:r>
      <w:r>
        <w:rPr>
          <w:rFonts w:ascii="Arial" w:cs="Arial" w:eastAsia="Arial" w:hAnsi="Arial"/>
          <w:sz w:val="18"/>
          <w:szCs w:val="18"/>
          <w:i w:val="1"/>
          <w:iCs w:val="1"/>
          <w:color w:val="auto"/>
        </w:rPr>
        <w:t>SNR Wireless LicenseCo, LLC, et al. v. Federal Communications Commission</w:t>
      </w:r>
      <w:r>
        <w:rPr>
          <w:rFonts w:ascii="Arial" w:cs="Arial" w:eastAsia="Arial" w:hAnsi="Arial"/>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71" w:lineRule="exact"/>
        <w:rPr>
          <w:sz w:val="20"/>
          <w:szCs w:val="20"/>
          <w:color w:val="auto"/>
        </w:rPr>
      </w:pPr>
    </w:p>
    <w:p>
      <w:pPr>
        <w:ind w:left="60" w:right="139" w:hanging="7"/>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23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7"/>
          <w:szCs w:val="17"/>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63" w:lineRule="exact"/>
        <w:rPr>
          <w:sz w:val="20"/>
          <w:szCs w:val="20"/>
          <w:color w:val="auto"/>
        </w:rPr>
      </w:pPr>
    </w:p>
    <w:p>
      <w:pPr>
        <w:jc w:val="both"/>
        <w:ind w:left="60" w:right="139" w:hanging="7"/>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65"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was completed on November 27, 2024.</w:t>
      </w:r>
    </w:p>
    <w:p>
      <w:pPr>
        <w:spacing w:after="0" w:line="166"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159" w:hanging="7"/>
        <w:spacing w:after="0" w:line="237"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 On September 27, 2024, the Court granted DISH Network’s motion to dismiss the First Amended Consolidated Class Action Complaint as to eight of the eleven named plaintiffs and as to certain causes of action. On October 29, 2024, the Plaintiffs filed the operative Second Amended Consolidated Class Action Complaint, which deletes the allegations as to the dismissed plaintiffs and causes of action, leaving three named plaintiffs and causes of action for negligence, negligence per se, breach of implied contract, and declaratory judgment.</w:t>
      </w:r>
    </w:p>
    <w:p>
      <w:pPr>
        <w:spacing w:after="0" w:line="176"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Digital Broadcasting Solutions, LLC</w:t>
      </w:r>
    </w:p>
    <w:p>
      <w:pPr>
        <w:spacing w:after="0" w:line="196"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67"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 Patent</w:t>
      </w:r>
      <w:r>
        <w:rPr>
          <w:rFonts w:ascii="Arial" w:cs="Arial" w:eastAsia="Arial" w:hAnsi="Arial"/>
          <w:sz w:val="18"/>
          <w:szCs w:val="18"/>
          <w:color w:val="222222"/>
        </w:rPr>
        <w:t xml:space="preserve"> </w:t>
      </w:r>
      <w:r>
        <w:rPr>
          <w:rFonts w:ascii="Arial" w:cs="Arial" w:eastAsia="Arial" w:hAnsi="Arial"/>
          <w:sz w:val="18"/>
          <w:szCs w:val="18"/>
          <w:color w:val="000000"/>
        </w:rPr>
        <w:t xml:space="preserve">and Trademark Office challenging the validity of all claims of the 710 patent and the 122 patent and, on December 9, 2024, the United States Patent and Trademark Office issued final written decisions invalidating 38 of the 39 challenged claims. On January 13, 2025, Digital Broadcasting Solutions filed a notice of appeal of those final written decisions, and on February 7, 2025, DISH Network L.L.C. and DISH Technologies L.L.C. cross-appealed as to the single patent claim that wasn’t invalidated. Briefing is underway. </w:t>
      </w:r>
      <w:r>
        <w:rPr>
          <w:rFonts w:ascii="Arial" w:cs="Arial" w:eastAsia="Arial" w:hAnsi="Arial"/>
          <w:sz w:val="18"/>
          <w:szCs w:val="18"/>
          <w:color w:val="222222"/>
        </w:rPr>
        <w:t>The underlying case</w:t>
      </w:r>
      <w:r>
        <w:rPr>
          <w:rFonts w:ascii="Arial" w:cs="Arial" w:eastAsia="Arial" w:hAnsi="Arial"/>
          <w:sz w:val="18"/>
          <w:szCs w:val="18"/>
          <w:color w:val="000000"/>
        </w:rPr>
        <w:t xml:space="preserve"> </w:t>
      </w:r>
      <w:r>
        <w:rPr>
          <w:rFonts w:ascii="Arial" w:cs="Arial" w:eastAsia="Arial" w:hAnsi="Arial"/>
          <w:sz w:val="18"/>
          <w:szCs w:val="18"/>
          <w:color w:val="222222"/>
        </w:rPr>
        <w:t>has been stayed since May 9, 2024, pending resolution of the petitions before the United States Patent and Trademark Office and any related appeals</w:t>
      </w:r>
      <w:r>
        <w:rPr>
          <w:rFonts w:ascii="Arial" w:cs="Arial" w:eastAsia="Arial" w:hAnsi="Arial"/>
          <w:sz w:val="18"/>
          <w:szCs w:val="18"/>
          <w:color w:val="000000"/>
        </w:rPr>
        <w:t>.</w:t>
      </w:r>
    </w:p>
    <w:p>
      <w:pPr>
        <w:spacing w:after="0" w:line="167"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(first action)</w:t>
      </w:r>
    </w:p>
    <w:p>
      <w:pPr>
        <w:spacing w:after="0" w:line="196" w:lineRule="exact"/>
        <w:rPr>
          <w:sz w:val="20"/>
          <w:szCs w:val="20"/>
          <w:color w:val="auto"/>
        </w:rPr>
      </w:pPr>
    </w:p>
    <w:p>
      <w:pPr>
        <w:ind w:left="60" w:right="179" w:hanging="7"/>
        <w:spacing w:after="0" w:line="254" w:lineRule="auto"/>
        <w:rPr>
          <w:sz w:val="20"/>
          <w:szCs w:val="20"/>
          <w:color w:val="auto"/>
        </w:rPr>
      </w:pPr>
      <w:r>
        <w:rPr>
          <w:rFonts w:ascii="Arial" w:cs="Arial" w:eastAsia="Arial" w:hAnsi="Arial"/>
          <w:sz w:val="17"/>
          <w:szCs w:val="17"/>
          <w:color w:val="auto"/>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 entitled “Signal Selector and Combiner for Broadband Content Distribution”; U.S. Patent</w:t>
      </w:r>
    </w:p>
    <w:p>
      <w:pPr>
        <w:ind w:left="60" w:right="59"/>
        <w:spacing w:after="0" w:line="237" w:lineRule="auto"/>
        <w:rPr>
          <w:sz w:val="20"/>
          <w:szCs w:val="20"/>
          <w:color w:val="auto"/>
        </w:rPr>
      </w:pPr>
      <w:r>
        <w:rPr>
          <w:rFonts w:ascii="Arial" w:cs="Arial" w:eastAsia="Arial" w:hAnsi="Arial"/>
          <w:sz w:val="18"/>
          <w:szCs w:val="18"/>
          <w:color w:val="auto"/>
        </w:rPr>
        <w:t>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spacing w:after="0" w:line="171"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auto"/>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 but on May 20, 2025, it affirmed the patent’s validity.</w:t>
      </w:r>
    </w:p>
    <w:p>
      <w:pPr>
        <w:spacing w:after="0" w:line="163"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(second action)</w:t>
      </w:r>
    </w:p>
    <w:p>
      <w:pPr>
        <w:spacing w:after="0" w:line="196" w:lineRule="exact"/>
        <w:rPr>
          <w:sz w:val="20"/>
          <w:szCs w:val="20"/>
          <w:color w:val="auto"/>
        </w:rPr>
      </w:pPr>
    </w:p>
    <w:p>
      <w:pPr>
        <w:ind w:left="60" w:right="199" w:hanging="7"/>
        <w:spacing w:after="0" w:line="251" w:lineRule="auto"/>
        <w:rPr>
          <w:sz w:val="20"/>
          <w:szCs w:val="20"/>
          <w:color w:val="auto"/>
        </w:rPr>
      </w:pPr>
      <w:r>
        <w:rPr>
          <w:rFonts w:ascii="Arial" w:cs="Arial" w:eastAsia="Arial" w:hAnsi="Arial"/>
          <w:sz w:val="17"/>
          <w:szCs w:val="17"/>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 Generally, the patents relate to Multimedia over Coax Alliance standards and the manner in which we provide a whole-home DVR network over an on-premises coaxial cable network.</w:t>
      </w:r>
    </w:p>
    <w:p>
      <w:pPr>
        <w:spacing w:after="0" w:line="168"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On February 24, 2025, the Court granted other defendants’ motions to dismiss the claims arising from the 213 patent, the 422 patent, the 681 patent and the 802 patent on the grounds that they claimed in eligible subject matter. In a claim construction order issued on April 18, 2025, the Court found that the asserted claim of the 539 patent is invalid as indefinite.</w:t>
      </w:r>
    </w:p>
    <w:p>
      <w:pPr>
        <w:spacing w:after="0" w:line="171"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 xml:space="preserve">In January and February 2024, DISH Network L.L.C. filed petitions with the United States Patent and Trademark Office challenging the validity of the 249 patent, the 518 patent, the 759 patent, the 450 patent, the 539 patent, the 0,566 patent, and the 681 patent. In July and August 2024, the United States Patent and Trademark Office agreed to institute proceedings on the petitions challenging the 249 patent and the 518 patent, but denied institution on the remaining petitions. </w:t>
      </w:r>
      <w:r>
        <w:rPr>
          <w:rFonts w:ascii="Arial" w:cs="Arial" w:eastAsia="Arial" w:hAnsi="Arial"/>
          <w:sz w:val="18"/>
          <w:szCs w:val="18"/>
          <w:color w:val="222222"/>
        </w:rPr>
        <w:t>On July 22, 2025, the United States Patent and</w:t>
      </w:r>
      <w:r>
        <w:rPr>
          <w:rFonts w:ascii="Arial" w:cs="Arial" w:eastAsia="Arial" w:hAnsi="Arial"/>
          <w:sz w:val="18"/>
          <w:szCs w:val="18"/>
          <w:color w:val="auto"/>
        </w:rPr>
        <w:t xml:space="preserve"> </w:t>
      </w:r>
      <w:r>
        <w:rPr>
          <w:rFonts w:ascii="Arial" w:cs="Arial" w:eastAsia="Arial" w:hAnsi="Arial"/>
          <w:sz w:val="18"/>
          <w:szCs w:val="18"/>
          <w:color w:val="222222"/>
        </w:rPr>
        <w:t>Trademark Office issued final written decisions invalidating the asserted claims of the 249 patent and the 518 patent</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Telecomunicações do Brasil v. State of São Paulo Treasury Department</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On December 12, 2019, Hughes Telecomunicações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60"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 but on February 25, 2025, the Court of Justice ruled against HTB. On March 14, 2025, HTB filed a motion seeking clarification.</w:t>
      </w:r>
    </w:p>
    <w:p>
      <w:pPr>
        <w:spacing w:after="0" w:line="160"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w:t>
      </w:r>
      <w:r>
        <w:rPr>
          <w:rFonts w:ascii="Arial" w:cs="Arial" w:eastAsia="Arial" w:hAnsi="Arial"/>
          <w:sz w:val="18"/>
          <w:szCs w:val="18"/>
          <w:color w:val="auto"/>
        </w:rPr>
        <w:t xml:space="preserve"> </w:t>
      </w:r>
      <w:r>
        <w:rPr>
          <w:rFonts w:ascii="Arial" w:cs="Arial" w:eastAsia="Arial" w:hAnsi="Arial"/>
          <w:sz w:val="18"/>
          <w:szCs w:val="18"/>
          <w:color w:val="222222"/>
        </w:rPr>
        <w:t>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March 1, 2024, by stipulation, the plaintiffs dismissed their claims against the Board of Directors and the Retirement Plan Committee, leaving DISH Network as the sole defendant. On April 30, 2024, pursuant to the parties’ stipulation, the Court certified the proposed plaintiff class. Pursuant to the parties’ stipulation, the case was stayed from October 30, 2024 through May 29, 2025 to facilitate a mediation, but the parties did not reach a settlement.</w:t>
      </w:r>
    </w:p>
    <w:p>
      <w:pPr>
        <w:spacing w:after="0" w:line="172"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196"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66"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65"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w:t>
      </w:r>
    </w:p>
    <w:p>
      <w:pPr>
        <w:spacing w:after="0" w:line="171"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65"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June 30, 2025, the gross amount of fees, penalties and interest owed was approximately $93 million with $46 million </w:t>
      </w:r>
      <w:r>
        <w:rPr>
          <w:rFonts w:ascii="Arial" w:cs="Arial" w:eastAsia="Arial" w:hAnsi="Arial"/>
          <w:sz w:val="18"/>
          <w:szCs w:val="18"/>
          <w:color w:val="222222"/>
        </w:rPr>
        <w:t>remaining outstanding as a result of historical</w:t>
      </w:r>
      <w:r>
        <w:rPr>
          <w:rFonts w:ascii="Arial" w:cs="Arial" w:eastAsia="Arial" w:hAnsi="Arial"/>
          <w:sz w:val="18"/>
          <w:szCs w:val="18"/>
          <w:color w:val="auto"/>
        </w:rPr>
        <w:t xml:space="preserve"> </w:t>
      </w:r>
      <w:r>
        <w:rPr>
          <w:rFonts w:ascii="Arial" w:cs="Arial" w:eastAsia="Arial" w:hAnsi="Arial"/>
          <w:sz w:val="18"/>
          <w:szCs w:val="18"/>
          <w:color w:val="222222"/>
        </w:rPr>
        <w:t>payments</w:t>
      </w:r>
      <w:r>
        <w:rPr>
          <w:rFonts w:ascii="Arial" w:cs="Arial" w:eastAsia="Arial" w:hAnsi="Arial"/>
          <w:sz w:val="18"/>
          <w:szCs w:val="18"/>
          <w:color w:val="000000"/>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w:t>
      </w:r>
    </w:p>
    <w:p>
      <w:pPr>
        <w:spacing w:after="0" w:line="166"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The parties reached a conditional agreement to settle the matter, but the conditions were not met, so the stay entered on October 3, 2024 was lifted on November 22, 2024. On July 8, 2025, a magistrate judge issued a report and recommendation that DirecTV should have to indemnify HCIPL only for license fees, penalties and interest that would have been owing to the DOT as of the April 22, 2005 closing date of the spinoff, but not the penalties and interest that compounded on such pre-closing amounts during the course of the litigation in India.</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379" w:hanging="7"/>
        <w:spacing w:after="0" w:line="247" w:lineRule="auto"/>
        <w:rPr>
          <w:sz w:val="20"/>
          <w:szCs w:val="20"/>
          <w:color w:val="auto"/>
        </w:rPr>
      </w:pPr>
      <w:r>
        <w:rPr>
          <w:rFonts w:ascii="Arial" w:cs="Arial" w:eastAsia="Arial" w:hAnsi="Arial"/>
          <w:sz w:val="18"/>
          <w:szCs w:val="18"/>
          <w:color w:val="auto"/>
        </w:rPr>
        <w:t>On March 23, 2023, a securities fraud class action complaint was filed against our wholly-owned subsidiary DISH Network and Messrs. Ergen, Carlson and Orban in the United States District Court for the District of Colorado. The complaint was brought on behalf of a putative class of purchasers of our securities during the February 22, 2021 to February 27, 2023 class period.</w:t>
      </w:r>
    </w:p>
    <w:p>
      <w:pPr>
        <w:spacing w:after="0" w:line="160"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color w:val="auto"/>
        </w:rPr>
        <w:t>In general, the complaint alleged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6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 First Amended Complaint that abandoned the original allegations. In their First Amended Complaint, plaintiffs alleged that, during the class period, the defendants concealed problems concerning the 5G network build-out that prevented scaling and commercializing the network to obtain enterprise customers. 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w:t>
      </w:r>
    </w:p>
    <w:p>
      <w:pPr>
        <w:spacing w:after="0" w:line="170"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color w:val="auto"/>
        </w:rPr>
        <w:t>After the defendants filed a motion to dismiss the First Amended Complaint, the plaintiffs filed a Second Amended Complaint, asserting the same theory, on February 23, 2024. The new complaint drops Erik Carlson, John Swieringa, Paul Orban and James Allen as individual defendants. The defendants filed a motion to dismiss the Second Amended Complaint, and on March 20, 2025, the Court granted the motion without granting plaintiffs permission to further amend. On April 18, 2025, the plaintiffs filed a notice of appeal, and briefing is underway.</w:t>
      </w:r>
    </w:p>
    <w:p>
      <w:pPr>
        <w:spacing w:after="0" w:line="165"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Mesa Digital</w:t>
      </w:r>
    </w:p>
    <w:p>
      <w:pPr>
        <w:spacing w:after="0" w:line="196" w:lineRule="exact"/>
        <w:rPr>
          <w:sz w:val="20"/>
          <w:szCs w:val="20"/>
          <w:color w:val="auto"/>
        </w:rPr>
      </w:pPr>
    </w:p>
    <w:p>
      <w:pPr>
        <w:ind w:left="60" w:right="239" w:hanging="7"/>
        <w:spacing w:after="0" w:line="242" w:lineRule="auto"/>
        <w:rPr>
          <w:sz w:val="20"/>
          <w:szCs w:val="20"/>
          <w:color w:val="auto"/>
        </w:rPr>
      </w:pPr>
      <w:r>
        <w:rPr>
          <w:rFonts w:ascii="Arial" w:cs="Arial" w:eastAsia="Arial" w:hAnsi="Arial"/>
          <w:sz w:val="18"/>
          <w:szCs w:val="18"/>
          <w:color w:val="auto"/>
        </w:rPr>
        <w:t>On November 27, 2024, Mesa Digital, LLC filed a complaint in the United States District Court for the Western District of Texas against our wholly-owned subsidiary DISH Wireless alleging infringement of United States Patent No. 9,031,537, entitled “Electronic Wireless Hand Held Multimedia Device.” Generally, it relates to an electronic handheld device with a touch-sensitive display. On March 31, 2025, the case was dismissed pursuant to a stipulation under which Mesa Digital gave DISH Wireless a covenant not to sue on any of its patents, without any payment from DISH Wireless. This matter is now concluded.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Mobility Workx</w:t>
      </w:r>
    </w:p>
    <w:p>
      <w:pPr>
        <w:spacing w:after="0" w:line="19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On December 3, 2024, Mobility Workx, LLC filed a complaint in the United States District Court for the Eastern District of Texas against our wholly-owned subsidiary DISH Wireless alleging infringement of United States Patent No. 7,697,508, entitled “System, Apparatus and Methods for Proactive Allocation of Wireless Communication Resources.” Generally, it relates to hand-offs in a mobile network. On July 7, 2025, the case was dismissed under the terms of a non-material confidential settlement.</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Peninsula Technologies, LLC</w:t>
      </w:r>
    </w:p>
    <w:p>
      <w:pPr>
        <w:spacing w:after="0" w:line="19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222222"/>
        </w:rPr>
        <w:t>On April 15, 2025, Peninsula Technologies filed two lawsuits against our wholly-owned subsidiary DISH Wireless L.L.C. in the United States District Court for the Eastern District of Texas. In the first lawsuit, Peninsula Technologies alleges infringement of U.S. Patent Nos. 9,844,009 (the “009 patent”), entitled “Power Headroom Report In A Wireless Device With Carrier Aggregation”; 11,792,743 (the “743 patent”), entitled “Transmit Power Priority Based On Cell Types In Wireless Devices”; 11,824,810 (the “4,810 patent”), entitled “Restarting A Deactivation Timer Of A Secondary Cell In A Wireless Network”; and 11,917,549 (the “549 patent”), entitled “Scaling Transmission Power Of Uplink Signals Of A Wireless Device.” In the second lawsuit, Peninsula Technologies alleges infringement of U.S. Patent Nos. 11,438,810 (the “8,810 patent”), entitled “Communication Of Configuration Parameters Of Radio Resources Of An Unlicensed Cell”; 11,570,844 (the “844 patent”), entitled “Release Message In Small Data Transmission Procedure”; 11,723,109 (the “109 patent”), entitled “Downlink Data Of Small Data Transmission Procedure”; and 12,144,057 (the “057 patent”), entitled “Release Message In Small Data Transmission Procedure.” Generally, the asserted patents relate to 5G network operations. On July 16, 2025, Peninsula Technologies filed a First Amended Complaint in the second action, which dropped the 8,810 Patent.</w:t>
      </w:r>
    </w:p>
    <w:p>
      <w:pPr>
        <w:spacing w:after="0" w:line="176"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222222"/>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319" w:hanging="7"/>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both"/>
        <w:ind w:left="60" w:right="59" w:hanging="7"/>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w:t>
      </w:r>
    </w:p>
    <w:p>
      <w:pPr>
        <w:ind w:left="60" w:right="219"/>
        <w:spacing w:after="0" w:line="238" w:lineRule="auto"/>
        <w:rPr>
          <w:sz w:val="20"/>
          <w:szCs w:val="20"/>
          <w:color w:val="auto"/>
        </w:rPr>
      </w:pPr>
      <w:r>
        <w:rPr>
          <w:rFonts w:ascii="Arial" w:cs="Arial" w:eastAsia="Arial" w:hAnsi="Arial"/>
          <w:sz w:val="18"/>
          <w:szCs w:val="18"/>
          <w:color w:val="auto"/>
        </w:rPr>
        <w:t>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68"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60"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 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7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139" w:hanging="7"/>
        <w:spacing w:after="0" w:line="259" w:lineRule="auto"/>
        <w:rPr>
          <w:sz w:val="20"/>
          <w:szCs w:val="20"/>
          <w:color w:val="auto"/>
        </w:rPr>
      </w:pPr>
      <w:r>
        <w:rPr>
          <w:rFonts w:ascii="Arial" w:cs="Arial" w:eastAsia="Arial" w:hAnsi="Arial"/>
          <w:sz w:val="17"/>
          <w:szCs w:val="17"/>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1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7"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on August 23, 2024, that Court vacated the exceptionality finding and remanded for further consideration of the issue. On November 26, 2024, the United States Court of Appeals for the Federal Circuit denied DISH Network L.L.C., DISH Technologies L.L.C., Sling TV L.L.C. and Sling Media L.L.C.’s petition seeking rehearing en banc. On February 5, 2025, on remand, the District Court denied the motion to declare the case exceptional. On March 6, 2025, DISH Network L.L.C., DISH Technologies L.L.C., Sling TV L.L.C. and Sling Media L.L.C. filed a notice of appeal of that order, but dismissed the appeal on July 3, 2025. This matter is now concluded.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On June 27, 2022, SafeCast Limited filed a complaint against our wholly-owned subsidiary DISH Network in the United States District Court for the Western District of Texas. The complaint alleges that DISH Network infringes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jc w:val="both"/>
        <w:ind w:left="60" w:right="539" w:hanging="7"/>
        <w:spacing w:after="0" w:line="247" w:lineRule="auto"/>
        <w:rPr>
          <w:sz w:val="20"/>
          <w:szCs w:val="20"/>
          <w:color w:val="auto"/>
        </w:rPr>
      </w:pPr>
      <w:r>
        <w:rPr>
          <w:rFonts w:ascii="Arial" w:cs="Arial" w:eastAsia="Arial" w:hAnsi="Arial"/>
          <w:sz w:val="18"/>
          <w:szCs w:val="18"/>
          <w:color w:val="auto"/>
        </w:rPr>
        <w:t>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spacing w:after="0" w:line="160"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 xml:space="preserve">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 On October 3, 2024, in connection with a third-party’s petition citing different prior art, the United States Patent and Trademark Office invalidated all claims asserted against DISH Network L.L.C. and DISH Technologies L.L.C. Because SafeCast Limited did not appeal that decision, on January 27, 2025, the United States Patent and Trademark Office issued a certificate canceling, the challenged claims. As a result, DISH Network L.L.C. and DISH Technologies L.L.C. filed a motion to terminate their petition before the United States Patent and Trademark Office, which was granted on June 5, 2025. On July 28, 2025, the District Court dismissed the litigation. </w:t>
      </w:r>
      <w:r>
        <w:rPr>
          <w:rFonts w:ascii="Arial" w:cs="Arial" w:eastAsia="Arial" w:hAnsi="Arial"/>
          <w:sz w:val="18"/>
          <w:szCs w:val="18"/>
          <w:color w:val="222222"/>
        </w:rPr>
        <w:t>This matter is now</w:t>
      </w:r>
      <w:r>
        <w:rPr>
          <w:rFonts w:ascii="Arial" w:cs="Arial" w:eastAsia="Arial" w:hAnsi="Arial"/>
          <w:sz w:val="18"/>
          <w:szCs w:val="18"/>
          <w:color w:val="auto"/>
        </w:rPr>
        <w:t xml:space="preserve"> </w:t>
      </w:r>
      <w:r>
        <w:rPr>
          <w:rFonts w:ascii="Arial" w:cs="Arial" w:eastAsia="Arial" w:hAnsi="Arial"/>
          <w:sz w:val="18"/>
          <w:szCs w:val="18"/>
          <w:color w:val="222222"/>
        </w:rPr>
        <w:t>concluded.</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169" w:lineRule="exact"/>
        <w:rPr>
          <w:sz w:val="20"/>
          <w:szCs w:val="20"/>
          <w:color w:val="auto"/>
        </w:rPr>
      </w:pPr>
    </w:p>
    <w:p>
      <w:pPr>
        <w:jc w:val="both"/>
        <w:ind w:left="60" w:right="259" w:hanging="7"/>
        <w:spacing w:after="0"/>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w:t>
      </w:r>
    </w:p>
    <w:p>
      <w:pPr>
        <w:spacing w:after="0" w:line="171" w:lineRule="exact"/>
        <w:rPr>
          <w:sz w:val="20"/>
          <w:szCs w:val="20"/>
          <w:color w:val="auto"/>
        </w:rPr>
      </w:pPr>
    </w:p>
    <w:p>
      <w:pPr>
        <w:ind w:left="60" w:right="179" w:hanging="7"/>
        <w:spacing w:after="0" w:line="271" w:lineRule="auto"/>
        <w:rPr>
          <w:sz w:val="20"/>
          <w:szCs w:val="20"/>
          <w:color w:val="auto"/>
        </w:rPr>
      </w:pPr>
      <w:r>
        <w:rPr>
          <w:rFonts w:ascii="Arial" w:cs="Arial" w:eastAsia="Arial" w:hAnsi="Arial"/>
          <w:sz w:val="18"/>
          <w:szCs w:val="18"/>
          <w:color w:val="auto"/>
        </w:rPr>
        <w:t>The Federal Circuit heard oral argument on the 796 patent appeal on October 3, 2023, and affirmed the United States Patent and Trademark Office’s adverse final written decision on October 5, 2023.</w:t>
      </w:r>
    </w:p>
    <w:p>
      <w:pPr>
        <w:spacing w:after="0" w:line="140"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November 13, 2023, the United States Patent and Trademark Office confirmed the patentability of the challenged claim. On January 18, 2023, DISH Network L.L.C., DISH Technologies L.L.C. and Sling TV L.L.C. filed a second petition requesting ex parte reexamination of the validity of the four other asserted claims of the 213 patent, reexamination was ordered on April 17, 2023, and it remains pending. On October 17, 2024, the Court ordered that the stay of the case, which had been entered for the pendency of the original petitions before the United States Patent and Trademark Office, would remain in place pending the outcome of Sound View’s appeal in a parallel action against Hulu.</w:t>
      </w:r>
    </w:p>
    <w:p>
      <w:pPr>
        <w:spacing w:after="0" w:line="166"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w:t>
      </w:r>
    </w:p>
    <w:p>
      <w:pPr>
        <w:spacing w:after="0" w:line="170"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 On September 20, 2024, the Court granted DISH Wireless’s and Sprint’s motion to dismiss the Third Amended Complaint, without further leave to amend, but the case is continuing against the retailers.</w:t>
      </w:r>
    </w:p>
    <w:p>
      <w:pPr>
        <w:spacing w:after="0" w:line="165"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w:t>
      </w:r>
    </w:p>
    <w:p>
      <w:pPr>
        <w:spacing w:after="0" w:line="1" w:lineRule="exact"/>
        <w:rPr>
          <w:sz w:val="20"/>
          <w:szCs w:val="20"/>
          <w:color w:val="auto"/>
        </w:rPr>
      </w:pPr>
    </w:p>
    <w:p>
      <w:pPr>
        <w:ind w:left="60" w:right="179"/>
        <w:spacing w:after="0" w:line="236" w:lineRule="auto"/>
        <w:rPr>
          <w:sz w:val="20"/>
          <w:szCs w:val="20"/>
          <w:color w:val="auto"/>
        </w:rPr>
      </w:pPr>
      <w:r>
        <w:rPr>
          <w:rFonts w:ascii="Arial" w:cs="Arial" w:eastAsia="Arial" w:hAnsi="Arial"/>
          <w:sz w:val="18"/>
          <w:szCs w:val="18"/>
          <w:color w:val="auto"/>
        </w:rPr>
        <w:t>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 On September 9, 2015, TQ Delta filed a first amended complaint that added allegations of infringement of United States Patent No. 9,094,268 (the “268 patent”), which is entitled “Multicarrier Transmission System With Low Power Sleep Mode and Rapid-On Capability.”</w:t>
      </w:r>
    </w:p>
    <w:p>
      <w:pPr>
        <w:spacing w:after="0" w:line="174"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May 16, 2016, TQ Delta filed a second amended complaint that added us,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171"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72"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and October 11, 2023, respectively, the United States Patent and Trademark Office confirmed the challenged claims of the 243 patent and the 158 patent. In a proposed supplemental report, TQ Delta’s damages expert contends that TQ Delta is entitled to $251 million in damages. The Court has set a trial date of November 8, 2027.</w:t>
      </w:r>
    </w:p>
    <w:p>
      <w:pPr>
        <w:spacing w:after="0" w:line="174"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6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and on September 4, 2024, that court affirmed the United States Patent and Trademark Office’s invalidity finding.</w:t>
      </w:r>
    </w:p>
    <w:p>
      <w:pPr>
        <w:spacing w:after="0" w:line="167"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 Uniloc did not appeal those decisions. Thus, the sole remaining asserted patent is the 118 patent.</w:t>
      </w:r>
    </w:p>
    <w:p>
      <w:pPr>
        <w:spacing w:after="0" w:line="163" w:lineRule="exact"/>
        <w:rPr>
          <w:sz w:val="20"/>
          <w:szCs w:val="20"/>
          <w:color w:val="auto"/>
        </w:rPr>
      </w:pPr>
    </w:p>
    <w:p>
      <w:pPr>
        <w:ind w:left="60" w:right="359"/>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22222"/>
        </w:rPr>
        <w:t>Universal Service Administrative Company</w:t>
      </w:r>
    </w:p>
    <w:p>
      <w:pPr>
        <w:spacing w:after="0" w:line="21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22222"/>
        </w:rPr>
        <w:t>On April 3, 2023, the Universal Service Administrative Company (“USAC”) notified our wholly-owned subsidiary DISH Wireless that it intended to seek to recover funds in the amount of $13.9 million disbursed under the Emergency Broadband Benefit Program (“EBBP”) and Affordable Connectivity Program (“ACP”) rules. We appealed this action and the USAC denied our appeal in October 2023. We appealed USAC's action to the FCC's Wireline Competition Bureau, which denied our appeal on January 17, 2025.</w:t>
      </w:r>
    </w:p>
    <w:p>
      <w:pPr>
        <w:spacing w:after="0" w:line="176"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222222"/>
        </w:rPr>
        <w:t>We will continue to appeal USAC's action. We cannot predict with any degree of certainty the outcome of our appeals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21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59" w:hanging="7"/>
        <w:spacing w:after="0"/>
        <w:rPr>
          <w:sz w:val="20"/>
          <w:szCs w:val="20"/>
          <w:color w:val="auto"/>
        </w:rPr>
      </w:pPr>
      <w:r>
        <w:rPr>
          <w:rFonts w:ascii="Arial" w:cs="Arial" w:eastAsia="Arial" w:hAnsi="Arial"/>
          <w:sz w:val="18"/>
          <w:szCs w:val="18"/>
          <w:color w:val="auto"/>
        </w:rPr>
        <w:t>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added a new declaratory judgment claim challenging certain intercompany advances and new factual allegations challenging a certification of compliance with the DBS Indentures. On January 22, 2025, with permission from the Court, the Trustee filed a second amended complaint, which added allegations regarding the debt issued by DBS SubscriberCo, a related intercompany loan, and the DIRECTV transaction.</w:t>
      </w:r>
    </w:p>
    <w:p>
      <w:pPr>
        <w:spacing w:after="0" w:line="171"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171"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 In a report and recommendation issued on April 7, 2025, a magistrate judge recommended that the government’s motion be granted. Vermont National’s objections to that recommendation have been fully briefed to the Court.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jc w:val="both"/>
        <w:ind w:left="60" w:right="59" w:hanging="7"/>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63" w:lineRule="exact"/>
        <w:rPr>
          <w:sz w:val="20"/>
          <w:szCs w:val="20"/>
          <w:color w:val="auto"/>
        </w:rPr>
      </w:pPr>
    </w:p>
    <w:p>
      <w:pPr>
        <w:ind w:left="700" w:hanging="650"/>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Our reportable segments are strategic business units managed separately based on different business strategies, services and products.</w:t>
      </w:r>
    </w:p>
    <w:p>
      <w:pPr>
        <w:spacing w:after="0" w:line="140"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 xml:space="preserve">Our chief operating decision maker </w:t>
      </w:r>
      <w:r>
        <w:rPr>
          <w:rFonts w:ascii="Arial" w:cs="Arial" w:eastAsia="Arial" w:hAnsi="Arial"/>
          <w:sz w:val="18"/>
          <w:szCs w:val="18"/>
          <w:color w:val="222222"/>
        </w:rPr>
        <w:t>(“CODM”)</w:t>
      </w:r>
      <w:r>
        <w:rPr>
          <w:rFonts w:ascii="Arial" w:cs="Arial" w:eastAsia="Arial" w:hAnsi="Arial"/>
          <w:sz w:val="18"/>
          <w:szCs w:val="18"/>
          <w:color w:val="auto"/>
        </w:rPr>
        <w:t xml:space="preserve"> is our </w:t>
      </w:r>
      <w:r>
        <w:rPr>
          <w:rFonts w:ascii="Arial" w:cs="Arial" w:eastAsia="Arial" w:hAnsi="Arial"/>
          <w:sz w:val="18"/>
          <w:szCs w:val="18"/>
          <w:color w:val="222222"/>
        </w:rPr>
        <w:t>President and Chief Executive Officer.</w:t>
      </w:r>
      <w:r>
        <w:rPr>
          <w:rFonts w:ascii="Arial" w:cs="Arial" w:eastAsia="Arial" w:hAnsi="Arial"/>
          <w:sz w:val="18"/>
          <w:szCs w:val="18"/>
          <w:color w:val="auto"/>
        </w:rPr>
        <w:t xml:space="preserve"> “OIBDA,” defined as “Operating income (loss)” plus “Depreciation and amortization,” is the primary measure used by our CODM to evaluate segment operating performance. The CODM regularly reviews budget-to-actual variances of OIBDA when evaluating segment performance and allocating resources to each segment.</w:t>
      </w:r>
    </w:p>
    <w:p>
      <w:pPr>
        <w:spacing w:after="0" w:line="147"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We currently operate three primary business segments: (1) Pay-TV; (2) Wireless; and (3) Broadband and Satellite Services. See Note 1 for further information. Our Pay-TV segment revenue is primarily derived from Pay-TV subscriber revenue. Our Wireless segment revenue is primarily derived from Wireless subscriber revenue and selling wireless devices to subscribers. Our Broadband and Satellite Services segment revenue is primarily derived from Broadband subscriber revenue, broadband services revenue and communications equipment sales and leases.</w:t>
      </w:r>
    </w:p>
    <w:p>
      <w:pPr>
        <w:spacing w:after="0" w:line="165" w:lineRule="exact"/>
        <w:rPr>
          <w:sz w:val="20"/>
          <w:szCs w:val="20"/>
          <w:color w:val="auto"/>
        </w:rPr>
      </w:pPr>
    </w:p>
    <w:p>
      <w:pPr>
        <w:ind w:left="60" w:right="239" w:hanging="7"/>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revenue and the related expense, which are eliminated in consolidation.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CODM is not regularly provided assets on a segment basis; therefore, such information is not presented.</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expense, operating income (loss) and OIBDA by segment were as follows:</w:t>
      </w:r>
    </w:p>
    <w:p>
      <w:pPr>
        <w:spacing w:after="0" w:line="198"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auto"/>
        </w:rPr>
        <w:t>The significant expense categories and amounts align with the segment-level information that is regularly provided to the CODM. Intersegment expenses are included within the amounts presented.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Broadband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Pay-TV</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8"/>
                <w:szCs w:val="1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Three Months Ended June 30, 2025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color w:val="auto"/>
                <w:w w:val="87"/>
              </w:rPr>
              <w:t>(In thousands)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2,444,851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823,721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271,535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3,540,107</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13,638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110,647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60,567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184,852</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(11,701)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2,462,249</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934,631</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339,780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(11,701)</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3,724,959</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Cost of services: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Programming</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1,179,987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1,179,987</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Connectivity services (1)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52,652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636,680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50,180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(2,315)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737,197</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Other (2)</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316,332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164,501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65,052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(1,438)</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544,447</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1,548,971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801,181</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115,232</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(3,753)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2,461,631</w:t>
            </w: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9,446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282,045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63,551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(855)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354,187</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Subscriber acquisition costs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87,606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204,810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44,924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(1,389)</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335,951</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152,849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98,575</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48,374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(6,255)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293,543</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240,455</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303,385</w:t>
            </w:r>
          </w:p>
        </w:tc>
        <w:tc>
          <w:tcPr>
            <w:tcW w:w="10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93,298</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(7,644)</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629,494</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OIBDA (3)</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663,377</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(451,980)</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67,699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551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279,647</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67,825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320,968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104,437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(175)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493,055</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1,866,697</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1,707,579</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376,518</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(12,427)</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3,938,367</w:t>
            </w:r>
          </w:p>
        </w:tc>
        <w:tc>
          <w:tcPr>
            <w:tcW w:w="0" w:type="dxa"/>
            <w:vAlign w:val="bottom"/>
          </w:tcPr>
          <w:p>
            <w:pPr>
              <w:spacing w:after="0"/>
              <w:rPr>
                <w:sz w:val="1"/>
                <w:szCs w:val="1"/>
                <w:color w:val="auto"/>
              </w:rPr>
            </w:pPr>
          </w:p>
        </w:tc>
      </w:tr>
      <w:tr>
        <w:trPr>
          <w:trHeight w:val="182"/>
        </w:trPr>
        <w:tc>
          <w:tcPr>
            <w:tcW w:w="37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595,552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(772,948)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(36,738)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(213,408)</w:t>
            </w:r>
          </w:p>
        </w:tc>
        <w:tc>
          <w:tcPr>
            <w:tcW w:w="0" w:type="dxa"/>
            <w:vAlign w:val="bottom"/>
          </w:tcPr>
          <w:p>
            <w:pPr>
              <w:spacing w:after="0"/>
              <w:rPr>
                <w:sz w:val="1"/>
                <w:szCs w:val="1"/>
                <w:color w:val="auto"/>
              </w:rPr>
            </w:pPr>
          </w:p>
        </w:tc>
      </w:tr>
      <w:tr>
        <w:trPr>
          <w:trHeight w:val="170"/>
        </w:trPr>
        <w:tc>
          <w:tcPr>
            <w:tcW w:w="3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65,369</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(279,232)</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35,137</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(392,134)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0" w:lineRule="exact"/>
        <w:rPr>
          <w:sz w:val="20"/>
          <w:szCs w:val="20"/>
          <w:color w:val="auto"/>
        </w:rPr>
      </w:pPr>
    </w:p>
    <w:p>
      <w:pPr>
        <w:jc w:val="both"/>
        <w:ind w:left="380" w:right="79" w:hanging="330"/>
        <w:spacing w:after="0" w:line="241"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“Connectivity services” is the cost to deliver our services and products to customers, which includes, among other things, network, transport and data, cloud-based service, satellite and transmission, and other related costs.</w:t>
      </w:r>
    </w:p>
    <w:p>
      <w:pPr>
        <w:spacing w:after="0" w:line="1" w:lineRule="exact"/>
        <w:rPr>
          <w:rFonts w:ascii="Arial" w:cs="Arial" w:eastAsia="Arial" w:hAnsi="Arial"/>
          <w:sz w:val="18"/>
          <w:szCs w:val="18"/>
          <w:color w:val="auto"/>
        </w:rPr>
      </w:pPr>
    </w:p>
    <w:p>
      <w:pPr>
        <w:ind w:left="380" w:right="219" w:hanging="330"/>
        <w:spacing w:after="0" w:line="23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primarily consists of variable costs including call center, manufacturing, dealer incentive, bad debt, billing and other variable costs, as well as costs to retain our subscribers.</w:t>
      </w:r>
    </w:p>
    <w:p>
      <w:pPr>
        <w:spacing w:after="0" w:line="1" w:lineRule="exact"/>
        <w:rPr>
          <w:rFonts w:ascii="Arial" w:cs="Arial" w:eastAsia="Arial" w:hAnsi="Arial"/>
          <w:sz w:val="18"/>
          <w:szCs w:val="18"/>
          <w:color w:val="auto"/>
        </w:rPr>
      </w:pPr>
    </w:p>
    <w:p>
      <w:pPr>
        <w:ind w:left="380" w:right="119" w:hanging="330"/>
        <w:spacing w:after="0" w:line="238"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OIBDA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Broadband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Pay-TV</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Wireless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Services</w:t>
            </w:r>
          </w:p>
        </w:tc>
        <w:tc>
          <w:tcPr>
            <w:tcW w:w="120" w:type="dxa"/>
            <w:vAlign w:val="bottom"/>
          </w:tcPr>
          <w:p>
            <w:pPr>
              <w:spacing w:after="0"/>
              <w:rPr>
                <w:sz w:val="18"/>
                <w:szCs w:val="18"/>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Eliminations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Three Months Ended June 30, 2024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Arial" w:cs="Arial" w:eastAsia="Arial" w:hAnsi="Arial"/>
                <w:sz w:val="16"/>
                <w:szCs w:val="16"/>
                <w:color w:val="auto"/>
                <w:w w:val="87"/>
              </w:rPr>
              <w:t>(In thousands)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2,656,580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785,140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300,366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3,742,086</w:t>
            </w:r>
          </w:p>
        </w:tc>
        <w:tc>
          <w:tcPr>
            <w:tcW w:w="0" w:type="dxa"/>
            <w:vAlign w:val="bottom"/>
          </w:tcPr>
          <w:p>
            <w:pPr>
              <w:spacing w:after="0"/>
              <w:rPr>
                <w:sz w:val="1"/>
                <w:szCs w:val="1"/>
                <w:color w:val="auto"/>
              </w:rPr>
            </w:pPr>
          </w:p>
        </w:tc>
      </w:tr>
      <w:tr>
        <w:trPr>
          <w:trHeight w:val="189"/>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17,379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107,452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85,834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210,665</w:t>
            </w: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(10,272)</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2,676,284</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892,728</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394,011</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(10,272)</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3,952,751</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Cost of services: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Programming</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1,259,042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1,259,042</w:t>
            </w: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Connectivity services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54,504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619,855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52,760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(2,144)</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724,975</w:t>
            </w:r>
          </w:p>
        </w:tc>
        <w:tc>
          <w:tcPr>
            <w:tcW w:w="0" w:type="dxa"/>
            <w:vAlign w:val="bottom"/>
          </w:tcPr>
          <w:p>
            <w:pPr>
              <w:spacing w:after="0"/>
              <w:rPr>
                <w:sz w:val="1"/>
                <w:szCs w:val="1"/>
                <w:color w:val="auto"/>
              </w:rPr>
            </w:pPr>
          </w:p>
        </w:tc>
      </w:tr>
      <w:tr>
        <w:trPr>
          <w:trHeight w:val="189"/>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325,137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125,649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73,490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(815)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523,461</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1,638,683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745,504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126,250</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(2,959)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2,507,478</w:t>
            </w:r>
          </w:p>
        </w:tc>
        <w:tc>
          <w:tcPr>
            <w:tcW w:w="0" w:type="dxa"/>
            <w:vAlign w:val="bottom"/>
          </w:tcPr>
          <w:p>
            <w:pPr>
              <w:spacing w:after="0"/>
              <w:rPr>
                <w:sz w:val="1"/>
                <w:szCs w:val="1"/>
                <w:color w:val="auto"/>
              </w:rPr>
            </w:pPr>
          </w:p>
        </w:tc>
      </w:tr>
      <w:tr>
        <w:trPr>
          <w:trHeight w:val="183"/>
        </w:trPr>
        <w:tc>
          <w:tcPr>
            <w:tcW w:w="37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5"/>
                <w:szCs w:val="15"/>
                <w:color w:val="auto"/>
              </w:rPr>
            </w:pP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17,837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312,983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78,409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(1,136)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408,093</w:t>
            </w: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140"/>
              <w:spacing w:after="0"/>
              <w:rPr>
                <w:sz w:val="20"/>
                <w:szCs w:val="20"/>
                <w:color w:val="auto"/>
              </w:rPr>
            </w:pPr>
            <w:r>
              <w:rPr>
                <w:rFonts w:ascii="Arial" w:cs="Arial" w:eastAsia="Arial" w:hAnsi="Arial"/>
                <w:sz w:val="16"/>
                <w:szCs w:val="16"/>
                <w:color w:val="auto"/>
              </w:rPr>
              <w:t>Subscriber acquisition costs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102,635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147,308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48,690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(583)</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298,050</w:t>
            </w: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81,372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(6,796)</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296,974</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1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266,763</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228,680</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106,960</w:t>
            </w:r>
          </w:p>
        </w:tc>
        <w:tc>
          <w:tcPr>
            <w:tcW w:w="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(7,379)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595,024</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753,001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(394,439)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82,392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1,202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442,156</w:t>
            </w: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85,249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305,863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116,978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(565)</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507,525</w:t>
            </w:r>
          </w:p>
        </w:tc>
        <w:tc>
          <w:tcPr>
            <w:tcW w:w="0" w:type="dxa"/>
            <w:vAlign w:val="bottom"/>
          </w:tcPr>
          <w:p>
            <w:pPr>
              <w:spacing w:after="0"/>
              <w:rPr>
                <w:sz w:val="1"/>
                <w:szCs w:val="1"/>
                <w:color w:val="auto"/>
              </w:rPr>
            </w:pPr>
          </w:p>
        </w:tc>
      </w:tr>
      <w:tr>
        <w:trPr>
          <w:trHeight w:val="183"/>
        </w:trPr>
        <w:tc>
          <w:tcPr>
            <w:tcW w:w="37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2,008,532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1,593,030</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428,597</w:t>
            </w: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(12,039)</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4,018,120</w:t>
            </w:r>
          </w:p>
        </w:tc>
        <w:tc>
          <w:tcPr>
            <w:tcW w:w="0" w:type="dxa"/>
            <w:vAlign w:val="bottom"/>
          </w:tcPr>
          <w:p>
            <w:pPr>
              <w:spacing w:after="0"/>
              <w:rPr>
                <w:sz w:val="1"/>
                <w:szCs w:val="1"/>
                <w:color w:val="auto"/>
              </w:rPr>
            </w:pPr>
          </w:p>
        </w:tc>
      </w:tr>
      <w:tr>
        <w:trPr>
          <w:trHeight w:val="183"/>
        </w:trPr>
        <w:tc>
          <w:tcPr>
            <w:tcW w:w="37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4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667,752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(700,302)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(34,586)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(65,369)</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4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13,929</w:t>
            </w:r>
          </w:p>
        </w:tc>
        <w:tc>
          <w:tcPr>
            <w:tcW w:w="0" w:type="dxa"/>
            <w:vAlign w:val="bottom"/>
          </w:tcPr>
          <w:p>
            <w:pPr>
              <w:spacing w:after="0"/>
              <w:rPr>
                <w:sz w:val="1"/>
                <w:szCs w:val="1"/>
                <w:color w:val="auto"/>
              </w:rPr>
            </w:pPr>
          </w:p>
        </w:tc>
      </w:tr>
      <w:tr>
        <w:trPr>
          <w:trHeight w:val="18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(81,166)</w:t>
            </w: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(91,498)</w:t>
            </w:r>
          </w:p>
        </w:tc>
        <w:tc>
          <w:tcPr>
            <w:tcW w:w="0" w:type="dxa"/>
            <w:vAlign w:val="bottom"/>
          </w:tcPr>
          <w:p>
            <w:pPr>
              <w:spacing w:after="0"/>
              <w:rPr>
                <w:sz w:val="1"/>
                <w:szCs w:val="1"/>
                <w:color w:val="auto"/>
              </w:rPr>
            </w:pPr>
          </w:p>
        </w:tc>
      </w:tr>
      <w:tr>
        <w:trPr>
          <w:trHeight w:val="183"/>
        </w:trPr>
        <w:tc>
          <w:tcPr>
            <w:tcW w:w="374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(224,104)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Broadband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Pay-TV</w:t>
            </w:r>
          </w:p>
        </w:tc>
        <w:tc>
          <w:tcPr>
            <w:tcW w:w="1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Six Months Ended June 30, 2025</w:t>
            </w: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2"/>
              </w:rPr>
              <w:t>(In thousands)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6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$ 4,966,403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1,633,328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546,532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7,146,263</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Equipment sales and other revenue</w:t>
            </w:r>
          </w:p>
        </w:tc>
        <w:tc>
          <w:tcPr>
            <w:tcW w:w="920" w:type="dxa"/>
            <w:vAlign w:val="bottom"/>
          </w:tcPr>
          <w:p>
            <w:pPr>
              <w:jc w:val="right"/>
              <w:spacing w:after="0"/>
              <w:rPr>
                <w:sz w:val="20"/>
                <w:szCs w:val="20"/>
                <w:color w:val="auto"/>
              </w:rPr>
            </w:pPr>
            <w:r>
              <w:rPr>
                <w:rFonts w:ascii="Arial" w:cs="Arial" w:eastAsia="Arial" w:hAnsi="Arial"/>
                <w:sz w:val="16"/>
                <w:szCs w:val="16"/>
                <w:color w:val="auto"/>
              </w:rPr>
              <w:t>26,593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272,771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149,090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448,454</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14,816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(24,103)</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5,000,976</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1,907,406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710,438</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(24,103)</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7,594,717</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Cost of services: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Programming</w:t>
            </w:r>
          </w:p>
        </w:tc>
        <w:tc>
          <w:tcPr>
            <w:tcW w:w="920" w:type="dxa"/>
            <w:vAlign w:val="bottom"/>
          </w:tcPr>
          <w:p>
            <w:pPr>
              <w:jc w:val="right"/>
              <w:spacing w:after="0"/>
              <w:rPr>
                <w:sz w:val="20"/>
                <w:szCs w:val="20"/>
                <w:color w:val="auto"/>
              </w:rPr>
            </w:pPr>
            <w:r>
              <w:rPr>
                <w:rFonts w:ascii="Arial" w:cs="Arial" w:eastAsia="Arial" w:hAnsi="Arial"/>
                <w:sz w:val="16"/>
                <w:szCs w:val="16"/>
                <w:color w:val="auto"/>
              </w:rPr>
              <w:t>2,396,409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2,396,409</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Connectivity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106,786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1,258,748</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(4,498)</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1,460,375</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tcPr>
          <w:p>
            <w:pPr>
              <w:jc w:val="right"/>
              <w:spacing w:after="0"/>
              <w:rPr>
                <w:sz w:val="20"/>
                <w:szCs w:val="20"/>
                <w:color w:val="auto"/>
              </w:rPr>
            </w:pPr>
            <w:r>
              <w:rPr>
                <w:rFonts w:ascii="Arial" w:cs="Arial" w:eastAsia="Arial" w:hAnsi="Arial"/>
                <w:sz w:val="16"/>
                <w:szCs w:val="16"/>
                <w:color w:val="auto"/>
              </w:rPr>
              <w:t>602,412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308,633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129,018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(3,018)</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1,037,045</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3,105,607</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1,567,381</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228,357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(7,516)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4,893,829</w:t>
            </w: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19,118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631,290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145,285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(1,998)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793,695</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Subscriber acquisition costs</w:t>
            </w:r>
          </w:p>
        </w:tc>
        <w:tc>
          <w:tcPr>
            <w:tcW w:w="920" w:type="dxa"/>
            <w:vAlign w:val="bottom"/>
          </w:tcPr>
          <w:p>
            <w:pPr>
              <w:jc w:val="right"/>
              <w:spacing w:after="0"/>
              <w:rPr>
                <w:sz w:val="20"/>
                <w:szCs w:val="20"/>
                <w:color w:val="auto"/>
              </w:rPr>
            </w:pPr>
            <w:r>
              <w:rPr>
                <w:rFonts w:ascii="Arial" w:cs="Arial" w:eastAsia="Arial" w:hAnsi="Arial"/>
                <w:sz w:val="16"/>
                <w:szCs w:val="16"/>
                <w:color w:val="auto"/>
              </w:rPr>
              <w:t>174,119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395,295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91,356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(2,278)</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658,492</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308,882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180,484</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(12,551)</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568,853</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483,001</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575,779</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183,394</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(14,829)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1,227,345</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1,393,250</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(867,044)</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153,402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240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679,848</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6"/>
                <w:szCs w:val="16"/>
                <w:color w:val="auto"/>
              </w:rPr>
              <w:t>144,268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628,206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209,335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(421)</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981,388</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3,751,994</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3,402,656</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766,371</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(24,764)</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7,896,257</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$ 1,248,982</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(1,495,250)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(55,933)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(301,540)</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130,898</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(565,287)</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76,527</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(659,402)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Broadband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and</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6"/>
                <w:szCs w:val="16"/>
                <w:b w:val="1"/>
                <w:bCs w:val="1"/>
                <w:color w:val="auto"/>
              </w:rPr>
              <w:t>Pay-TV</w:t>
            </w:r>
          </w:p>
        </w:tc>
        <w:tc>
          <w:tcPr>
            <w:tcW w:w="1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rPr>
              <w:t>Wireless</w:t>
            </w:r>
          </w:p>
        </w:tc>
        <w:tc>
          <w:tcPr>
            <w:tcW w:w="100" w:type="dxa"/>
            <w:vAlign w:val="bottom"/>
          </w:tcPr>
          <w:p>
            <w:pPr>
              <w:spacing w:after="0"/>
              <w:rPr>
                <w:sz w:val="18"/>
                <w:szCs w:val="18"/>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Services</w:t>
            </w:r>
          </w:p>
        </w:tc>
        <w:tc>
          <w:tcPr>
            <w:tcW w:w="1080" w:type="dxa"/>
            <w:vAlign w:val="bottom"/>
            <w:gridSpan w:val="3"/>
          </w:tcPr>
          <w:p>
            <w:pPr>
              <w:ind w:left="2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5"/>
        </w:trPr>
        <w:tc>
          <w:tcPr>
            <w:tcW w:w="37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For the Six Months Ended June 30, 2024</w:t>
            </w: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82"/>
              </w:rPr>
              <w:t>(In thousands)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60" w:type="dxa"/>
            <w:vAlign w:val="bottom"/>
            <w:gridSpan w:val="2"/>
            <w:vMerge w:val="continue"/>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i w:val="1"/>
                <w:iCs w:val="1"/>
                <w:color w:val="auto"/>
              </w:rPr>
              <w:t>Revenue from external customers: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Service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$ 5,356,105</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1,589,401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616,249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7,561,755</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Equipment sales and other revenue</w:t>
            </w:r>
          </w:p>
        </w:tc>
        <w:tc>
          <w:tcPr>
            <w:tcW w:w="920" w:type="dxa"/>
            <w:vAlign w:val="bottom"/>
          </w:tcPr>
          <w:p>
            <w:pPr>
              <w:jc w:val="right"/>
              <w:spacing w:after="0"/>
              <w:rPr>
                <w:sz w:val="20"/>
                <w:szCs w:val="20"/>
                <w:color w:val="auto"/>
              </w:rPr>
            </w:pPr>
            <w:r>
              <w:rPr>
                <w:rFonts w:ascii="Arial" w:cs="Arial" w:eastAsia="Arial" w:hAnsi="Arial"/>
                <w:sz w:val="16"/>
                <w:szCs w:val="16"/>
                <w:color w:val="auto"/>
              </w:rPr>
              <w:t>42,240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217,003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146,596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405,839</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(18,599)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5,402,862</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1,806,734</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776,597</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(18,599)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7,967,594</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Cost of services: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Programming</w:t>
            </w:r>
          </w:p>
        </w:tc>
        <w:tc>
          <w:tcPr>
            <w:tcW w:w="920" w:type="dxa"/>
            <w:vAlign w:val="bottom"/>
          </w:tcPr>
          <w:p>
            <w:pPr>
              <w:jc w:val="right"/>
              <w:spacing w:after="0"/>
              <w:rPr>
                <w:sz w:val="20"/>
                <w:szCs w:val="20"/>
                <w:color w:val="auto"/>
              </w:rPr>
            </w:pPr>
            <w:r>
              <w:rPr>
                <w:rFonts w:ascii="Arial" w:cs="Arial" w:eastAsia="Arial" w:hAnsi="Arial"/>
                <w:sz w:val="16"/>
                <w:szCs w:val="16"/>
                <w:color w:val="auto"/>
              </w:rPr>
              <w:t>2,543,872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2,543,872</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Connectivity services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111,701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1,261,497</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102,118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(2,957)</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1,472,359</w:t>
            </w: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tcPr>
          <w:p>
            <w:pPr>
              <w:jc w:val="right"/>
              <w:spacing w:after="0"/>
              <w:rPr>
                <w:sz w:val="20"/>
                <w:szCs w:val="20"/>
                <w:color w:val="auto"/>
              </w:rPr>
            </w:pPr>
            <w:r>
              <w:rPr>
                <w:rFonts w:ascii="Arial" w:cs="Arial" w:eastAsia="Arial" w:hAnsi="Arial"/>
                <w:sz w:val="16"/>
                <w:szCs w:val="16"/>
                <w:color w:val="auto"/>
              </w:rPr>
              <w:t>647,555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248,115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154,312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1,048,429</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 of services</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3,303,128</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1,509,612</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256,430</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(4,510)</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5,064,660</w:t>
            </w:r>
          </w:p>
        </w:tc>
        <w:tc>
          <w:tcPr>
            <w:tcW w:w="0" w:type="dxa"/>
            <w:vAlign w:val="bottom"/>
          </w:tcPr>
          <w:p>
            <w:pPr>
              <w:spacing w:after="0"/>
              <w:rPr>
                <w:sz w:val="1"/>
                <w:szCs w:val="1"/>
                <w:color w:val="auto"/>
              </w:rPr>
            </w:pPr>
          </w:p>
        </w:tc>
      </w:tr>
      <w:tr>
        <w:trPr>
          <w:trHeight w:val="183"/>
        </w:trPr>
        <w:tc>
          <w:tcPr>
            <w:tcW w:w="376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Cost of sales - equipment and other</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34,829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602,525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135,043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(1,221)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771,176</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Selling, general and administrative expenses: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140"/>
              <w:spacing w:after="0"/>
              <w:rPr>
                <w:sz w:val="20"/>
                <w:szCs w:val="20"/>
                <w:color w:val="auto"/>
              </w:rPr>
            </w:pPr>
            <w:r>
              <w:rPr>
                <w:rFonts w:ascii="Arial" w:cs="Arial" w:eastAsia="Arial" w:hAnsi="Arial"/>
                <w:sz w:val="16"/>
                <w:szCs w:val="16"/>
                <w:color w:val="auto"/>
              </w:rPr>
              <w:t>Subscriber acquisition costs</w:t>
            </w:r>
          </w:p>
        </w:tc>
        <w:tc>
          <w:tcPr>
            <w:tcW w:w="920" w:type="dxa"/>
            <w:vAlign w:val="bottom"/>
          </w:tcPr>
          <w:p>
            <w:pPr>
              <w:jc w:val="right"/>
              <w:spacing w:after="0"/>
              <w:rPr>
                <w:sz w:val="20"/>
                <w:szCs w:val="20"/>
                <w:color w:val="auto"/>
              </w:rPr>
            </w:pPr>
            <w:r>
              <w:rPr>
                <w:rFonts w:ascii="Arial" w:cs="Arial" w:eastAsia="Arial" w:hAnsi="Arial"/>
                <w:sz w:val="16"/>
                <w:szCs w:val="16"/>
                <w:color w:val="auto"/>
              </w:rPr>
              <w:t>223,388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289,046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102,124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(1,359)</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613,199</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Selling, general and administrative expenses</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333,006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163,486</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(11,566)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606,247</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selling, general and administrative expenses</w:t>
            </w: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556,394</w:t>
            </w: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452,532</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223,445</w:t>
            </w: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(12,925)</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1,219,446</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1,508,511</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(757,935)</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161,679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912,312</w:t>
            </w:r>
          </w:p>
        </w:tc>
        <w:tc>
          <w:tcPr>
            <w:tcW w:w="0" w:type="dxa"/>
            <w:vAlign w:val="bottom"/>
          </w:tcPr>
          <w:p>
            <w:pPr>
              <w:spacing w:after="0"/>
              <w:rPr>
                <w:sz w:val="1"/>
                <w:szCs w:val="1"/>
                <w:color w:val="auto"/>
              </w:rPr>
            </w:pPr>
          </w:p>
        </w:tc>
      </w:tr>
      <w:tr>
        <w:trPr>
          <w:trHeight w:val="183"/>
        </w:trPr>
        <w:tc>
          <w:tcPr>
            <w:tcW w:w="3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6"/>
                <w:szCs w:val="16"/>
                <w:color w:val="auto"/>
              </w:rPr>
              <w:t>170,651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587,535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235,819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(1,080)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992,925</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4,065,002</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3,152,204</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850,737</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(19,736)</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8,048,207</w:t>
            </w:r>
          </w:p>
        </w:tc>
        <w:tc>
          <w:tcPr>
            <w:tcW w:w="0" w:type="dxa"/>
            <w:vAlign w:val="bottom"/>
          </w:tcPr>
          <w:p>
            <w:pPr>
              <w:spacing w:after="0"/>
              <w:rPr>
                <w:sz w:val="1"/>
                <w:szCs w:val="1"/>
                <w:color w:val="auto"/>
              </w:rPr>
            </w:pPr>
          </w:p>
        </w:tc>
      </w:tr>
      <w:tr>
        <w:trPr>
          <w:trHeight w:val="183"/>
        </w:trPr>
        <w:tc>
          <w:tcPr>
            <w:tcW w:w="37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Operating income (loss)</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$ 1,337,860</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(1,345,470)</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(74,140)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1,137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(80,613)</w:t>
            </w: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Unallocated Amounts</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44,391</w:t>
            </w:r>
          </w:p>
        </w:tc>
        <w:tc>
          <w:tcPr>
            <w:tcW w:w="0" w:type="dxa"/>
            <w:vAlign w:val="bottom"/>
          </w:tcPr>
          <w:p>
            <w:pPr>
              <w:spacing w:after="0"/>
              <w:rPr>
                <w:sz w:val="1"/>
                <w:szCs w:val="1"/>
                <w:color w:val="auto"/>
              </w:rPr>
            </w:pPr>
          </w:p>
        </w:tc>
      </w:tr>
      <w:tr>
        <w:trPr>
          <w:trHeight w:val="18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(180,574)</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net</w:t>
            </w:r>
          </w:p>
        </w:tc>
        <w:tc>
          <w:tcPr>
            <w:tcW w:w="9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(117,608)</w:t>
            </w:r>
          </w:p>
        </w:tc>
        <w:tc>
          <w:tcPr>
            <w:tcW w:w="0" w:type="dxa"/>
            <w:vAlign w:val="bottom"/>
          </w:tcPr>
          <w:p>
            <w:pPr>
              <w:spacing w:after="0"/>
              <w:rPr>
                <w:sz w:val="1"/>
                <w:szCs w:val="1"/>
                <w:color w:val="auto"/>
              </w:rPr>
            </w:pPr>
          </w:p>
        </w:tc>
      </w:tr>
      <w:tr>
        <w:trPr>
          <w:trHeight w:val="183"/>
        </w:trPr>
        <w:tc>
          <w:tcPr>
            <w:tcW w:w="376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Income (loss) before income taxes</w:t>
            </w:r>
          </w:p>
        </w:tc>
        <w:tc>
          <w:tcPr>
            <w:tcW w:w="9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(334,404)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The purchases of property and equipment, net of refunds, (including capitalized interest related to regulatory authorizations) by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Broadband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and Satellite</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Three Months Ended June 30, 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459"/>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1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(including capitalized interest related to regulatory</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authorizations)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78,580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625,203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746,901</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Three Months Ended June 30, 2024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20"/>
              <w:spacing w:after="0" w:line="168" w:lineRule="exact"/>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6"/>
                <w:szCs w:val="16"/>
                <w:color w:val="auto"/>
              </w:rPr>
              <w:t>(including capitalized interest related to regulatory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authorizations)</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54,006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560,468</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56,559</w:t>
            </w:r>
          </w:p>
        </w:tc>
        <w:tc>
          <w:tcPr>
            <w:tcW w:w="20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671,033</w:t>
            </w:r>
          </w:p>
        </w:tc>
        <w:tc>
          <w:tcPr>
            <w:tcW w:w="0" w:type="dxa"/>
            <w:vAlign w:val="bottom"/>
          </w:tcPr>
          <w:p>
            <w:pPr>
              <w:spacing w:after="0"/>
              <w:rPr>
                <w:sz w:val="1"/>
                <w:szCs w:val="1"/>
                <w:color w:val="auto"/>
              </w:rPr>
            </w:pPr>
          </w:p>
        </w:tc>
      </w:tr>
    </w:tbl>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6"/>
                <w:szCs w:val="16"/>
                <w:b w:val="1"/>
                <w:bCs w:val="1"/>
                <w:color w:val="auto"/>
              </w:rPr>
              <w:t>Broadband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b w:val="1"/>
                <w:bCs w:val="1"/>
                <w:color w:val="auto"/>
              </w:rPr>
              <w:t>and Satellite</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Wireless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41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 the Six Months Ended June 30, 2025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459"/>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1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(including capitalized interest related to regulatory</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authorizations)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140,968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909,196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1,125,385</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20"/>
              <w:spacing w:after="0" w:line="168" w:lineRule="exact"/>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80" w:type="dxa"/>
            <w:vAlign w:val="bottom"/>
          </w:tcPr>
          <w:p>
            <w:pPr>
              <w:ind w:left="20"/>
              <w:spacing w:after="0"/>
              <w:rPr>
                <w:sz w:val="20"/>
                <w:szCs w:val="20"/>
                <w:color w:val="auto"/>
              </w:rPr>
            </w:pPr>
            <w:r>
              <w:rPr>
                <w:rFonts w:ascii="Arial" w:cs="Arial" w:eastAsia="Arial" w:hAnsi="Arial"/>
                <w:sz w:val="16"/>
                <w:szCs w:val="16"/>
                <w:color w:val="auto"/>
              </w:rPr>
              <w:t>(including capitalized interest related to regulatory</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80" w:type="dxa"/>
            <w:vAlign w:val="bottom"/>
          </w:tcPr>
          <w:p>
            <w:pPr>
              <w:ind w:left="20"/>
              <w:spacing w:after="0"/>
              <w:rPr>
                <w:sz w:val="20"/>
                <w:szCs w:val="20"/>
                <w:color w:val="auto"/>
              </w:rPr>
            </w:pPr>
            <w:r>
              <w:rPr>
                <w:rFonts w:ascii="Arial" w:cs="Arial" w:eastAsia="Arial" w:hAnsi="Arial"/>
                <w:sz w:val="16"/>
                <w:szCs w:val="16"/>
                <w:color w:val="auto"/>
              </w:rPr>
              <w:t>authorizations)</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111,918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1,109,641</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127,170</w:t>
            </w:r>
          </w:p>
        </w:tc>
        <w:tc>
          <w:tcPr>
            <w:tcW w:w="2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1,348,729</w:t>
            </w:r>
          </w:p>
        </w:tc>
        <w:tc>
          <w:tcPr>
            <w:tcW w:w="0" w:type="dxa"/>
            <w:vAlign w:val="bottom"/>
          </w:tcPr>
          <w:p>
            <w:pPr>
              <w:spacing w:after="0"/>
              <w:rPr>
                <w:sz w:val="1"/>
                <w:szCs w:val="1"/>
                <w:color w:val="auto"/>
              </w:rPr>
            </w:pPr>
          </w:p>
        </w:tc>
      </w:tr>
    </w:tbl>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6"/>
          </w:tcPr>
          <w:p>
            <w:pPr>
              <w:ind w:left="4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8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gridSpan w:val="4"/>
          </w:tcPr>
          <w:p>
            <w:pPr>
              <w:jc w:val="right"/>
              <w:ind w:right="53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4,971,196</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5,359,560</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Wireless services and related revenue</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823,722</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785,135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1,633,329</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1,589,401</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 and other revenue</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273,441</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302,527</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550,385</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619,647</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15,405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29,780</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43,302</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equipment sales and other revenue</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110,909</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107,593</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274,077</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217,333</w:t>
            </w:r>
          </w:p>
        </w:tc>
        <w:tc>
          <w:tcPr>
            <w:tcW w:w="0" w:type="dxa"/>
            <w:vAlign w:val="bottom"/>
          </w:tcPr>
          <w:p>
            <w:pPr>
              <w:spacing w:after="0"/>
              <w:rPr>
                <w:sz w:val="1"/>
                <w:szCs w:val="1"/>
                <w:color w:val="auto"/>
              </w:rPr>
            </w:pPr>
          </w:p>
        </w:tc>
      </w:tr>
      <w:tr>
        <w:trPr>
          <w:trHeight w:val="189"/>
        </w:trPr>
        <w:tc>
          <w:tcPr>
            <w:tcW w:w="4080" w:type="dxa"/>
            <w:vAlign w:val="bottom"/>
            <w:gridSpan w:val="2"/>
          </w:tcPr>
          <w:p>
            <w:pPr>
              <w:ind w:left="20"/>
              <w:spacing w:after="0"/>
              <w:rPr>
                <w:sz w:val="20"/>
                <w:szCs w:val="20"/>
                <w:color w:val="auto"/>
              </w:rPr>
            </w:pPr>
            <w:r>
              <w:rPr>
                <w:rFonts w:ascii="Arial" w:cs="Arial" w:eastAsia="Arial" w:hAnsi="Arial"/>
                <w:sz w:val="16"/>
                <w:szCs w:val="16"/>
                <w:color w:val="auto"/>
              </w:rPr>
              <w:t>Broadband equipment and other revenue</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66,339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91,484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160,053</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156,950</w:t>
            </w:r>
          </w:p>
        </w:tc>
        <w:tc>
          <w:tcPr>
            <w:tcW w:w="0" w:type="dxa"/>
            <w:vAlign w:val="bottom"/>
          </w:tcPr>
          <w:p>
            <w:pPr>
              <w:spacing w:after="0"/>
              <w:rPr>
                <w:sz w:val="1"/>
                <w:szCs w:val="1"/>
                <w:color w:val="auto"/>
              </w:rPr>
            </w:pPr>
          </w:p>
        </w:tc>
      </w:tr>
      <w:tr>
        <w:trPr>
          <w:trHeight w:val="18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(11,701)</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(10,272)</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(24,103)</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(18,599)</w:t>
            </w:r>
          </w:p>
        </w:tc>
        <w:tc>
          <w:tcPr>
            <w:tcW w:w="0" w:type="dxa"/>
            <w:vAlign w:val="bottom"/>
          </w:tcPr>
          <w:p>
            <w:pPr>
              <w:spacing w:after="0"/>
              <w:rPr>
                <w:sz w:val="1"/>
                <w:szCs w:val="1"/>
                <w:color w:val="auto"/>
              </w:rPr>
            </w:pPr>
          </w:p>
        </w:tc>
      </w:tr>
      <w:tr>
        <w:trPr>
          <w:trHeight w:val="183"/>
        </w:trPr>
        <w:tc>
          <w:tcPr>
            <w:tcW w:w="40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3,724,959</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3,952,751</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7,594,717</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7,967,594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allowance for credit losses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Broadband and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Wireless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2024</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82,628</w:t>
            </w:r>
          </w:p>
        </w:tc>
      </w:tr>
      <w:tr>
        <w:trPr>
          <w:trHeight w:val="175"/>
        </w:trPr>
        <w:tc>
          <w:tcPr>
            <w:tcW w:w="3540" w:type="dxa"/>
            <w:vAlign w:val="bottom"/>
          </w:tcPr>
          <w:p>
            <w:pPr>
              <w:ind w:left="20"/>
              <w:spacing w:after="0" w:line="175" w:lineRule="exact"/>
              <w:rPr>
                <w:sz w:val="20"/>
                <w:szCs w:val="20"/>
                <w:color w:val="auto"/>
              </w:rPr>
            </w:pPr>
            <w:r>
              <w:rPr>
                <w:rFonts w:ascii="Arial" w:cs="Arial" w:eastAsia="Arial" w:hAnsi="Arial"/>
                <w:sz w:val="16"/>
                <w:szCs w:val="16"/>
                <w:color w:val="auto"/>
              </w:rPr>
              <w:t>Current period provision for expected credit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6"/>
                <w:szCs w:val="16"/>
                <w:color w:val="auto"/>
              </w:rPr>
              <w:t>losses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37,059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13,851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8,485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59,395</w:t>
            </w: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(18,316)</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(17,771)</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(7,929)</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(44,016)</w:t>
            </w:r>
          </w:p>
        </w:tc>
      </w:tr>
      <w:tr>
        <w:trPr>
          <w:trHeight w:val="203"/>
        </w:trPr>
        <w:tc>
          <w:tcPr>
            <w:tcW w:w="3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183"/>
        </w:trPr>
        <w:tc>
          <w:tcPr>
            <w:tcW w:w="35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June 30, 2025</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61,318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24,819</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12,094</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98,231</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spacing w:after="0"/>
              <w:rPr>
                <w:sz w:val="20"/>
                <w:szCs w:val="20"/>
                <w:color w:val="auto"/>
              </w:rPr>
            </w:pPr>
            <w:r>
              <w:rPr>
                <w:rFonts w:ascii="Arial" w:cs="Arial" w:eastAsia="Arial" w:hAnsi="Arial"/>
                <w:sz w:val="16"/>
                <w:szCs w:val="16"/>
                <w:b w:val="1"/>
                <w:bCs w:val="1"/>
                <w:color w:val="auto"/>
              </w:rPr>
              <w:t>Broadband and</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Satellite</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3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Pay-TV</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Wireless</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Services</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69"/>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4"/>
          </w:tcPr>
          <w:p>
            <w:pPr>
              <w:jc w:val="right"/>
              <w:ind w:right="679"/>
              <w:spacing w:after="0" w:line="169"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December 31, 2023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35,320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18,671</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74,390</w:t>
            </w:r>
          </w:p>
        </w:tc>
      </w:tr>
      <w:tr>
        <w:trPr>
          <w:trHeight w:val="175"/>
        </w:trPr>
        <w:tc>
          <w:tcPr>
            <w:tcW w:w="3540" w:type="dxa"/>
            <w:vAlign w:val="bottom"/>
          </w:tcPr>
          <w:p>
            <w:pPr>
              <w:ind w:left="20"/>
              <w:spacing w:after="0" w:line="175" w:lineRule="exact"/>
              <w:rPr>
                <w:sz w:val="20"/>
                <w:szCs w:val="20"/>
                <w:color w:val="auto"/>
              </w:rPr>
            </w:pPr>
            <w:r>
              <w:rPr>
                <w:rFonts w:ascii="Arial" w:cs="Arial" w:eastAsia="Arial" w:hAnsi="Arial"/>
                <w:sz w:val="16"/>
                <w:szCs w:val="16"/>
                <w:color w:val="auto"/>
              </w:rPr>
              <w:t>Current period provision for expected credit</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3540" w:type="dxa"/>
            <w:vAlign w:val="bottom"/>
          </w:tcPr>
          <w:p>
            <w:pPr>
              <w:ind w:left="20"/>
              <w:spacing w:after="0"/>
              <w:rPr>
                <w:sz w:val="20"/>
                <w:szCs w:val="20"/>
                <w:color w:val="auto"/>
              </w:rPr>
            </w:pPr>
            <w:r>
              <w:rPr>
                <w:rFonts w:ascii="Arial" w:cs="Arial" w:eastAsia="Arial" w:hAnsi="Arial"/>
                <w:sz w:val="16"/>
                <w:szCs w:val="16"/>
                <w:color w:val="auto"/>
              </w:rPr>
              <w:t>losses</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29,780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28,888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16,784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75,452</w:t>
            </w:r>
          </w:p>
        </w:tc>
      </w:tr>
      <w:tr>
        <w:trPr>
          <w:trHeight w:val="203"/>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(22,713)</w:t>
            </w: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(6,411)</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(12,979)</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(42,103)</w:t>
            </w:r>
          </w:p>
        </w:tc>
      </w:tr>
      <w:tr>
        <w:trPr>
          <w:trHeight w:val="203"/>
        </w:trPr>
        <w:tc>
          <w:tcPr>
            <w:tcW w:w="35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w:t>
            </w:r>
          </w:p>
        </w:tc>
      </w:tr>
      <w:tr>
        <w:trPr>
          <w:trHeight w:val="183"/>
        </w:trPr>
        <w:tc>
          <w:tcPr>
            <w:tcW w:w="35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June 30, 2024</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42,387</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41,148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23,963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107,498</w:t>
            </w: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55"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6"/>
                <w:szCs w:val="16"/>
                <w:b w:val="1"/>
                <w:bCs w:val="1"/>
                <w:color w:val="auto"/>
                <w:w w:val="99"/>
              </w:rPr>
              <w:t>As of</w:t>
            </w:r>
          </w:p>
        </w:tc>
        <w:tc>
          <w:tcPr>
            <w:tcW w:w="2100" w:type="dxa"/>
            <w:vAlign w:val="bottom"/>
            <w:tcBorders>
              <w:bottom w:val="single" w:sz="8" w:color="auto"/>
            </w:tcBorders>
          </w:tcPr>
          <w:p>
            <w:pPr>
              <w:spacing w:after="0"/>
              <w:rPr>
                <w:sz w:val="18"/>
                <w:szCs w:val="18"/>
                <w:color w:val="auto"/>
              </w:rPr>
            </w:pPr>
          </w:p>
        </w:tc>
      </w:tr>
      <w:tr>
        <w:trPr>
          <w:trHeight w:val="175"/>
        </w:trPr>
        <w:tc>
          <w:tcPr>
            <w:tcW w:w="3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100" w:type="dxa"/>
            <w:vAlign w:val="bottom"/>
          </w:tcPr>
          <w:p>
            <w:pPr>
              <w:jc w:val="center"/>
              <w:ind w:right="479"/>
              <w:spacing w:after="0" w:line="175" w:lineRule="exact"/>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tcPr>
          <w:p>
            <w:pPr>
              <w:jc w:val="center"/>
              <w:ind w:right="43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3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2025</w:t>
            </w:r>
          </w:p>
        </w:tc>
        <w:tc>
          <w:tcPr>
            <w:tcW w:w="4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2024</w:t>
            </w:r>
          </w:p>
        </w:tc>
      </w:tr>
      <w:tr>
        <w:trPr>
          <w:trHeight w:val="169"/>
        </w:trPr>
        <w:tc>
          <w:tcPr>
            <w:tcW w:w="3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120" w:type="dxa"/>
            <w:vAlign w:val="bottom"/>
            <w:gridSpan w:val="3"/>
          </w:tcPr>
          <w:p>
            <w:pPr>
              <w:jc w:val="center"/>
              <w:ind w:left="1479"/>
              <w:spacing w:after="0" w:line="169" w:lineRule="exact"/>
              <w:rPr>
                <w:sz w:val="20"/>
                <w:szCs w:val="20"/>
                <w:color w:val="auto"/>
              </w:rPr>
            </w:pPr>
            <w:r>
              <w:rPr>
                <w:rFonts w:ascii="Arial" w:cs="Arial" w:eastAsia="Arial" w:hAnsi="Arial"/>
                <w:sz w:val="16"/>
                <w:szCs w:val="16"/>
                <w:color w:val="auto"/>
              </w:rPr>
              <w:t>(In thousands)</w:t>
            </w:r>
          </w:p>
        </w:tc>
        <w:tc>
          <w:tcPr>
            <w:tcW w:w="2100" w:type="dxa"/>
            <w:vAlign w:val="bottom"/>
          </w:tcPr>
          <w:p>
            <w:pPr>
              <w:spacing w:after="0"/>
              <w:rPr>
                <w:sz w:val="14"/>
                <w:szCs w:val="14"/>
                <w:color w:val="auto"/>
              </w:rPr>
            </w:pPr>
          </w:p>
        </w:tc>
      </w:tr>
      <w:tr>
        <w:trPr>
          <w:trHeight w:val="18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assets</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149,329</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108,092</w:t>
            </w:r>
          </w:p>
        </w:tc>
      </w:tr>
    </w:tbl>
    <w:p>
      <w:pPr>
        <w:spacing w:after="0" w:line="184" w:lineRule="exact"/>
        <w:rPr>
          <w:sz w:val="20"/>
          <w:szCs w:val="20"/>
          <w:color w:val="auto"/>
        </w:rPr>
      </w:pPr>
    </w:p>
    <w:p>
      <w:pPr>
        <w:ind w:left="60" w:right="399" w:hanging="8"/>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6"/>
                <w:szCs w:val="16"/>
                <w:b w:val="1"/>
                <w:bCs w:val="1"/>
                <w:color w:val="auto"/>
                <w:w w:val="99"/>
              </w:rPr>
              <w:t>As of</w:t>
            </w:r>
          </w:p>
        </w:tc>
        <w:tc>
          <w:tcPr>
            <w:tcW w:w="1760" w:type="dxa"/>
            <w:vAlign w:val="bottom"/>
            <w:tcBorders>
              <w:bottom w:val="single" w:sz="8" w:color="auto"/>
            </w:tcBorders>
          </w:tcPr>
          <w:p>
            <w:pPr>
              <w:spacing w:after="0"/>
              <w:rPr>
                <w:sz w:val="18"/>
                <w:szCs w:val="18"/>
                <w:color w:val="auto"/>
              </w:rPr>
            </w:pPr>
          </w:p>
        </w:tc>
      </w:tr>
      <w:tr>
        <w:trPr>
          <w:trHeight w:val="175"/>
        </w:trPr>
        <w:tc>
          <w:tcPr>
            <w:tcW w:w="4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jc w:val="center"/>
              <w:ind w:right="359"/>
              <w:spacing w:after="0" w:line="175" w:lineRule="exact"/>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60" w:type="dxa"/>
            <w:vAlign w:val="bottom"/>
          </w:tcPr>
          <w:p>
            <w:pPr>
              <w:jc w:val="center"/>
              <w:ind w:right="37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40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2025</w:t>
            </w:r>
          </w:p>
        </w:tc>
        <w:tc>
          <w:tcPr>
            <w:tcW w:w="4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2024</w:t>
            </w:r>
          </w:p>
        </w:tc>
      </w:tr>
      <w:tr>
        <w:trPr>
          <w:trHeight w:val="169"/>
        </w:trPr>
        <w:tc>
          <w:tcPr>
            <w:tcW w:w="4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40" w:type="dxa"/>
            <w:vAlign w:val="bottom"/>
            <w:gridSpan w:val="3"/>
          </w:tcPr>
          <w:p>
            <w:pPr>
              <w:jc w:val="center"/>
              <w:ind w:left="1239"/>
              <w:spacing w:after="0" w:line="169" w:lineRule="exact"/>
              <w:rPr>
                <w:sz w:val="20"/>
                <w:szCs w:val="20"/>
                <w:color w:val="auto"/>
              </w:rPr>
            </w:pPr>
            <w:r>
              <w:rPr>
                <w:rFonts w:ascii="Arial" w:cs="Arial" w:eastAsia="Arial" w:hAnsi="Arial"/>
                <w:sz w:val="16"/>
                <w:szCs w:val="16"/>
                <w:color w:val="auto"/>
              </w:rPr>
              <w:t>(In thousands)</w:t>
            </w:r>
          </w:p>
        </w:tc>
        <w:tc>
          <w:tcPr>
            <w:tcW w:w="1760" w:type="dxa"/>
            <w:vAlign w:val="bottom"/>
          </w:tcPr>
          <w:p>
            <w:pPr>
              <w:spacing w:after="0"/>
              <w:rPr>
                <w:sz w:val="14"/>
                <w:szCs w:val="14"/>
                <w:color w:val="auto"/>
              </w:rPr>
            </w:pPr>
          </w:p>
        </w:tc>
      </w:tr>
      <w:tr>
        <w:trPr>
          <w:trHeight w:val="189"/>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628,671</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649,054</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2025 was $593 million.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Wireless Segments</w:t>
      </w:r>
    </w:p>
    <w:p>
      <w:pPr>
        <w:spacing w:after="0" w:line="196"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and Satellite Services Segment</w:t>
      </w:r>
    </w:p>
    <w:p>
      <w:pPr>
        <w:spacing w:after="0" w:line="196"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As of June 30, 2025, the remaining performance obligations for our customer contracts was approximately $ 1.6 billion. Performance obligations expected to be satisfied within one year and greater than one year are 28% and 72%, respectively. This amount and percentages exclude leasing arrangements and agreements with consumer customers.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25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189"/>
        </w:trPr>
        <w:tc>
          <w:tcPr>
            <w:tcW w:w="3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r>
      <w:tr>
        <w:trPr>
          <w:trHeight w:val="169"/>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4"/>
          </w:tcPr>
          <w:p>
            <w:pPr>
              <w:jc w:val="right"/>
              <w:ind w:right="79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beginning of period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280,984</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289,200</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352,114</w:t>
            </w: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Additions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68,519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70,138</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125,116</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135,242</w:t>
            </w: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(67,623)</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(84,837)</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(132,842)</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(179,103)</w:t>
            </w:r>
          </w:p>
        </w:tc>
      </w:tr>
      <w:tr>
        <w:trPr>
          <w:trHeight w:val="189"/>
        </w:trPr>
        <w:tc>
          <w:tcPr>
            <w:tcW w:w="304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367</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(769)</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773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183"/>
        </w:trPr>
        <w:tc>
          <w:tcPr>
            <w:tcW w:w="30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end of period</w:t>
            </w: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282,247</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307,345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282,247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307,345</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700" w:hanging="650"/>
        <w:spacing w:after="0"/>
        <w:tabs>
          <w:tab w:leader="none" w:pos="7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CONX</w:t>
      </w:r>
    </w:p>
    <w:p>
      <w:pPr>
        <w:spacing w:after="0" w:line="196" w:lineRule="exact"/>
        <w:rPr>
          <w:sz w:val="20"/>
          <w:szCs w:val="20"/>
          <w:color w:val="auto"/>
        </w:rPr>
      </w:pPr>
    </w:p>
    <w:p>
      <w:pPr>
        <w:ind w:left="60" w:right="139" w:hanging="12"/>
        <w:spacing w:after="0" w:line="239" w:lineRule="auto"/>
        <w:rPr>
          <w:sz w:val="20"/>
          <w:szCs w:val="20"/>
          <w:color w:val="auto"/>
        </w:rPr>
      </w:pPr>
      <w:r>
        <w:rPr>
          <w:rFonts w:ascii="Arial" w:cs="Arial" w:eastAsia="Arial" w:hAnsi="Arial"/>
          <w:sz w:val="18"/>
          <w:szCs w:val="18"/>
          <w:color w:val="auto"/>
        </w:rPr>
        <w:t>CONX Corp. is a special purpose acquisition company partially owned by Charles W. Ergen, our Chairman (“CONX”). On May 1, 2024, we and CONX entered into a definitive purchase and sale agreement, which provides for CONX’s purchase from us of the commercial real estate property in Littleton, Colorado, comprising the corporate headquarters of DISH Wireless. Concurrently with the transaction closing on May 1, 2024, we entered into an agreement to lease back the property from CONX for an initial 10-year term. During the three months ended June 30, 2025 and 2024, we recorded $1 million and $1 million, respectively, for this lease in “Selling, general and administrative expenses” on our Condensed Consolidated Statements of Operations and Comprehensive Income (Loss). During the six months ended June 30, 2025 and 2024, we recorded $2 million and $1 million, respectively, for this lease in “Selling, general and administrative expenses” on our Condensed Consolidated Statements of Operations and Comprehensive Income (Loss).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196" w:lineRule="exact"/>
        <w:rPr>
          <w:sz w:val="20"/>
          <w:szCs w:val="20"/>
          <w:color w:val="auto"/>
        </w:rPr>
      </w:pPr>
    </w:p>
    <w:p>
      <w:pPr>
        <w:ind w:left="60" w:right="579" w:hanging="7"/>
        <w:spacing w:after="0" w:line="271" w:lineRule="auto"/>
        <w:rPr>
          <w:sz w:val="20"/>
          <w:szCs w:val="20"/>
          <w:color w:val="auto"/>
        </w:rPr>
      </w:pPr>
      <w:r>
        <w:rPr>
          <w:rFonts w:ascii="Arial" w:cs="Arial" w:eastAsia="Arial" w:hAnsi="Arial"/>
          <w:sz w:val="18"/>
          <w:szCs w:val="18"/>
          <w:color w:val="auto"/>
        </w:rPr>
        <w:t>We own 42% of Hughes Systique Corporation (“Hughes Systique”) and contract with Hughes Systique for software development services.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248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3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3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4"/>
          </w:tcPr>
          <w:p>
            <w:pPr>
              <w:jc w:val="right"/>
              <w:ind w:right="739"/>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Hughes Systique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4,093</w:t>
            </w:r>
          </w:p>
        </w:tc>
        <w:tc>
          <w:tcPr>
            <w:tcW w:w="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2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8,148</w:t>
            </w:r>
          </w:p>
        </w:tc>
        <w:tc>
          <w:tcPr>
            <w:tcW w:w="2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gridSpan w:val="3"/>
            <w:shd w:val="clear" w:color="auto" w:fill="CCEEFF"/>
          </w:tcPr>
          <w:p>
            <w:pPr>
              <w:jc w:val="center"/>
              <w:ind w:left="559"/>
              <w:spacing w:after="0"/>
              <w:rPr>
                <w:sz w:val="20"/>
                <w:szCs w:val="20"/>
                <w:color w:val="auto"/>
              </w:rPr>
            </w:pPr>
            <w:r>
              <w:rPr>
                <w:rFonts w:ascii="Arial" w:cs="Arial" w:eastAsia="Arial" w:hAnsi="Arial"/>
                <w:sz w:val="16"/>
                <w:szCs w:val="16"/>
                <w:b w:val="1"/>
                <w:bCs w:val="1"/>
                <w:color w:val="auto"/>
                <w:w w:val="99"/>
              </w:rPr>
              <w:t>As of</w:t>
            </w:r>
          </w:p>
        </w:tc>
        <w:tc>
          <w:tcPr>
            <w:tcW w:w="80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18"/>
                <w:szCs w:val="18"/>
                <w:color w:val="auto"/>
              </w:rPr>
            </w:pP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440"/>
              <w:spacing w:after="0" w:line="176" w:lineRule="exact"/>
              <w:rPr>
                <w:sz w:val="20"/>
                <w:szCs w:val="20"/>
                <w:color w:val="auto"/>
              </w:rPr>
            </w:pPr>
            <w:r>
              <w:rPr>
                <w:rFonts w:ascii="Arial" w:cs="Arial" w:eastAsia="Arial" w:hAnsi="Arial"/>
                <w:sz w:val="16"/>
                <w:szCs w:val="16"/>
                <w:b w:val="1"/>
                <w:bCs w:val="1"/>
                <w:color w:val="auto"/>
                <w:w w:val="99"/>
              </w:rPr>
              <w:t>June 30,</w:t>
            </w:r>
          </w:p>
        </w:tc>
        <w:tc>
          <w:tcPr>
            <w:tcW w:w="12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9"/>
              </w:rPr>
              <w:t>December 31,</w:t>
            </w:r>
          </w:p>
        </w:tc>
        <w:tc>
          <w:tcPr>
            <w:tcW w:w="2940" w:type="dxa"/>
            <w:vAlign w:val="bottom"/>
          </w:tcPr>
          <w:p>
            <w:pPr>
              <w:spacing w:after="0"/>
              <w:rPr>
                <w:sz w:val="15"/>
                <w:szCs w:val="15"/>
                <w:color w:val="auto"/>
              </w:rPr>
            </w:pPr>
          </w:p>
        </w:tc>
      </w:tr>
      <w:tr>
        <w:trPr>
          <w:trHeight w:val="189"/>
        </w:trPr>
        <w:tc>
          <w:tcPr>
            <w:tcW w:w="3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940" w:type="dxa"/>
            <w:vAlign w:val="bottom"/>
            <w:shd w:val="clear" w:color="auto" w:fill="CCEEFF"/>
          </w:tcPr>
          <w:p>
            <w:pPr>
              <w:spacing w:after="0"/>
              <w:rPr>
                <w:sz w:val="16"/>
                <w:szCs w:val="16"/>
                <w:color w:val="auto"/>
              </w:rPr>
            </w:pPr>
          </w:p>
        </w:tc>
      </w:tr>
      <w:tr>
        <w:trPr>
          <w:trHeight w:val="169"/>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center"/>
              <w:ind w:left="559"/>
              <w:spacing w:after="0" w:line="169" w:lineRule="exact"/>
              <w:rPr>
                <w:sz w:val="20"/>
                <w:szCs w:val="20"/>
                <w:color w:val="auto"/>
              </w:rPr>
            </w:pPr>
            <w:r>
              <w:rPr>
                <w:rFonts w:ascii="Arial" w:cs="Arial" w:eastAsia="Arial" w:hAnsi="Arial"/>
                <w:sz w:val="16"/>
                <w:szCs w:val="16"/>
                <w:color w:val="auto"/>
              </w:rPr>
              <w:t>(In thousands)</w:t>
            </w:r>
          </w:p>
        </w:tc>
        <w:tc>
          <w:tcPr>
            <w:tcW w:w="80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w:t>
            </w: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r>
      <w:tr>
        <w:trPr>
          <w:trHeight w:val="189"/>
        </w:trPr>
        <w:tc>
          <w:tcPr>
            <w:tcW w:w="3300" w:type="dxa"/>
            <w:vAlign w:val="bottom"/>
          </w:tcPr>
          <w:p>
            <w:pPr>
              <w:ind w:left="20"/>
              <w:spacing w:after="0"/>
              <w:rPr>
                <w:sz w:val="20"/>
                <w:szCs w:val="20"/>
                <w:color w:val="auto"/>
              </w:rPr>
            </w:pPr>
            <w:r>
              <w:rPr>
                <w:rFonts w:ascii="Arial" w:cs="Arial" w:eastAsia="Arial" w:hAnsi="Arial"/>
                <w:sz w:val="16"/>
                <w:szCs w:val="16"/>
                <w:color w:val="auto"/>
              </w:rPr>
              <w:t>Amounts payable to Hughes Systique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w:t>
            </w:r>
          </w:p>
        </w:tc>
        <w:tc>
          <w:tcPr>
            <w:tcW w:w="260" w:type="dxa"/>
            <w:vAlign w:val="bottom"/>
          </w:tcPr>
          <w:p>
            <w:pPr>
              <w:spacing w:after="0"/>
              <w:rPr>
                <w:sz w:val="16"/>
                <w:szCs w:val="16"/>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2940" w:type="dxa"/>
            <w:vAlign w:val="bottom"/>
          </w:tcPr>
          <w:p>
            <w:pPr>
              <w:spacing w:after="0"/>
              <w:rPr>
                <w:sz w:val="16"/>
                <w:szCs w:val="16"/>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NagraStar</w:t>
      </w:r>
    </w:p>
    <w:p>
      <w:pPr>
        <w:spacing w:after="0" w:line="196" w:lineRule="exact"/>
        <w:rPr>
          <w:sz w:val="20"/>
          <w:szCs w:val="20"/>
          <w:color w:val="auto"/>
        </w:rPr>
      </w:pPr>
    </w:p>
    <w:p>
      <w:pPr>
        <w:ind w:left="60" w:right="119" w:hanging="12"/>
        <w:spacing w:after="0" w:line="239" w:lineRule="auto"/>
        <w:rPr>
          <w:sz w:val="20"/>
          <w:szCs w:val="20"/>
          <w:color w:val="auto"/>
        </w:rPr>
      </w:pPr>
      <w:r>
        <w:rPr>
          <w:rFonts w:ascii="Arial" w:cs="Arial" w:eastAsia="Arial" w:hAnsi="Arial"/>
          <w:sz w:val="18"/>
          <w:szCs w:val="18"/>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and liabilities” on our Condensed Consolidated Balance Sheets. Our investment in NagraStar is accounted for using the equity method.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40" w:type="dxa"/>
            <w:vAlign w:val="bottom"/>
          </w:tcPr>
          <w:p>
            <w:pPr>
              <w:spacing w:after="0"/>
              <w:rPr>
                <w:sz w:val="16"/>
                <w:szCs w:val="16"/>
                <w:color w:val="auto"/>
              </w:rPr>
            </w:pPr>
          </w:p>
        </w:tc>
        <w:tc>
          <w:tcPr>
            <w:tcW w:w="25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0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579"/>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8"/>
        </w:trPr>
        <w:tc>
          <w:tcPr>
            <w:tcW w:w="4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4"/>
          </w:tcPr>
          <w:p>
            <w:pPr>
              <w:jc w:val="right"/>
              <w:ind w:right="539"/>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NagraStar</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7,077</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gridSpan w:val="3"/>
            <w:shd w:val="clear" w:color="auto" w:fill="CCEEFF"/>
          </w:tcPr>
          <w:p>
            <w:pPr>
              <w:ind w:left="820"/>
              <w:spacing w:after="0"/>
              <w:rPr>
                <w:sz w:val="20"/>
                <w:szCs w:val="20"/>
                <w:color w:val="auto"/>
              </w:rPr>
            </w:pPr>
            <w:r>
              <w:rPr>
                <w:rFonts w:ascii="Arial" w:cs="Arial" w:eastAsia="Arial" w:hAnsi="Arial"/>
                <w:sz w:val="16"/>
                <w:szCs w:val="16"/>
                <w:b w:val="1"/>
                <w:bCs w:val="1"/>
                <w:color w:val="auto"/>
              </w:rPr>
              <w:t>As of</w:t>
            </w:r>
          </w:p>
        </w:tc>
        <w:tc>
          <w:tcPr>
            <w:tcW w:w="82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CCEEFF"/>
            </w:tcBorders>
            <w:shd w:val="clear" w:color="auto" w:fill="CCEEFF"/>
          </w:tcPr>
          <w:p>
            <w:pPr>
              <w:spacing w:after="0"/>
              <w:rPr>
                <w:sz w:val="18"/>
                <w:szCs w:val="18"/>
                <w:color w:val="auto"/>
              </w:rPr>
            </w:pPr>
          </w:p>
        </w:tc>
      </w:tr>
      <w:tr>
        <w:trPr>
          <w:trHeight w:val="176"/>
        </w:trPr>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60"/>
              <w:spacing w:after="0" w:line="176" w:lineRule="exact"/>
              <w:rPr>
                <w:sz w:val="20"/>
                <w:szCs w:val="20"/>
                <w:color w:val="auto"/>
              </w:rPr>
            </w:pPr>
            <w:r>
              <w:rPr>
                <w:rFonts w:ascii="Arial" w:cs="Arial" w:eastAsia="Arial" w:hAnsi="Arial"/>
                <w:sz w:val="16"/>
                <w:szCs w:val="16"/>
                <w:b w:val="1"/>
                <w:bCs w:val="1"/>
                <w:color w:val="auto"/>
              </w:rPr>
              <w:t>June 30,</w:t>
            </w:r>
          </w:p>
        </w:tc>
        <w:tc>
          <w:tcPr>
            <w:tcW w:w="1060" w:type="dxa"/>
            <w:vAlign w:val="bottom"/>
            <w:gridSpan w:val="2"/>
          </w:tcPr>
          <w:p>
            <w:pPr>
              <w:spacing w:after="0" w:line="176" w:lineRule="exact"/>
              <w:rPr>
                <w:sz w:val="20"/>
                <w:szCs w:val="20"/>
                <w:color w:val="auto"/>
              </w:rPr>
            </w:pPr>
            <w:r>
              <w:rPr>
                <w:rFonts w:ascii="Arial" w:cs="Arial" w:eastAsia="Arial" w:hAnsi="Arial"/>
                <w:sz w:val="16"/>
                <w:szCs w:val="16"/>
                <w:b w:val="1"/>
                <w:bCs w:val="1"/>
                <w:color w:val="auto"/>
                <w:w w:val="99"/>
              </w:rPr>
              <w:t>December 31,</w:t>
            </w:r>
          </w:p>
        </w:tc>
        <w:tc>
          <w:tcPr>
            <w:tcW w:w="2540" w:type="dxa"/>
            <w:vAlign w:val="bottom"/>
          </w:tcPr>
          <w:p>
            <w:pPr>
              <w:spacing w:after="0"/>
              <w:rPr>
                <w:sz w:val="15"/>
                <w:szCs w:val="15"/>
                <w:color w:val="auto"/>
              </w:rPr>
            </w:pPr>
          </w:p>
        </w:tc>
      </w:tr>
      <w:tr>
        <w:trPr>
          <w:trHeight w:val="189"/>
        </w:trPr>
        <w:tc>
          <w:tcPr>
            <w:tcW w:w="40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540" w:type="dxa"/>
            <w:vAlign w:val="bottom"/>
            <w:shd w:val="clear" w:color="auto" w:fill="CCEEFF"/>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4"/>
          </w:tcPr>
          <w:p>
            <w:pPr>
              <w:jc w:val="right"/>
              <w:ind w:right="559"/>
              <w:spacing w:after="0" w:line="169" w:lineRule="exact"/>
              <w:rPr>
                <w:sz w:val="20"/>
                <w:szCs w:val="20"/>
                <w:color w:val="auto"/>
              </w:rPr>
            </w:pPr>
            <w:r>
              <w:rPr>
                <w:rFonts w:ascii="Arial" w:cs="Arial" w:eastAsia="Arial" w:hAnsi="Arial"/>
                <w:sz w:val="16"/>
                <w:szCs w:val="16"/>
                <w:color w:val="auto"/>
              </w:rPr>
              <w:t>(In thousands)</w:t>
            </w:r>
          </w:p>
        </w:tc>
        <w:tc>
          <w:tcPr>
            <w:tcW w:w="2540" w:type="dxa"/>
            <w:vAlign w:val="bottom"/>
          </w:tcPr>
          <w:p>
            <w:pPr>
              <w:spacing w:after="0"/>
              <w:rPr>
                <w:sz w:val="14"/>
                <w:szCs w:val="14"/>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540" w:type="dxa"/>
            <w:vAlign w:val="bottom"/>
            <w:shd w:val="clear" w:color="auto" w:fill="CCEEFF"/>
          </w:tcPr>
          <w:p>
            <w:pPr>
              <w:spacing w:after="0"/>
              <w:rPr>
                <w:sz w:val="16"/>
                <w:szCs w:val="16"/>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Amounts payable to NagraStar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5,569</w:t>
            </w:r>
          </w:p>
        </w:tc>
        <w:tc>
          <w:tcPr>
            <w:tcW w:w="2540" w:type="dxa"/>
            <w:vAlign w:val="bottom"/>
            <w:tcBorders>
              <w:bottom w:val="single" w:sz="8" w:color="CCEEFF"/>
            </w:tcBorders>
          </w:tcPr>
          <w:p>
            <w:pPr>
              <w:spacing w:after="0"/>
              <w:rPr>
                <w:sz w:val="19"/>
                <w:szCs w:val="19"/>
                <w:color w:val="auto"/>
              </w:rPr>
            </w:pPr>
          </w:p>
        </w:tc>
      </w:tr>
      <w:tr>
        <w:trPr>
          <w:trHeight w:val="170"/>
        </w:trPr>
        <w:tc>
          <w:tcPr>
            <w:tcW w:w="40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1,702</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883</w:t>
            </w:r>
          </w:p>
        </w:tc>
        <w:tc>
          <w:tcPr>
            <w:tcW w:w="2540" w:type="dxa"/>
            <w:vAlign w:val="bottom"/>
            <w:tcBorders>
              <w:bottom w:val="single" w:sz="8" w:color="CCEEFF"/>
            </w:tcBorders>
            <w:shd w:val="clear" w:color="auto" w:fill="CCEEFF"/>
          </w:tcPr>
          <w:p>
            <w:pPr>
              <w:spacing w:after="0"/>
              <w:rPr>
                <w:sz w:val="14"/>
                <w:szCs w:val="14"/>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2024 and this Quarterly Report on Form 10-Q under the caption “Item 1A. Risk Factors.” Furthermore, such forward-looking statements speak only as of the date of this Quarterly Report on Form 10-Q, and we expressly disclaim any obligation to update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6" w:lineRule="exact"/>
        <w:rPr>
          <w:sz w:val="20"/>
          <w:szCs w:val="20"/>
          <w:color w:val="auto"/>
        </w:rPr>
      </w:pPr>
    </w:p>
    <w:p>
      <w:pPr>
        <w:ind w:left="60" w:right="119" w:hanging="7"/>
        <w:spacing w:after="0" w:line="236" w:lineRule="auto"/>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color w:val="222222"/>
        </w:rPr>
        <w:t>received a letter from the Federal Communications Commission (the “FCC”) on May 9, 2025, indicating that</w:t>
      </w:r>
      <w:r>
        <w:rPr>
          <w:rFonts w:ascii="Arial" w:cs="Arial" w:eastAsia="Arial" w:hAnsi="Arial"/>
          <w:sz w:val="18"/>
          <w:szCs w:val="18"/>
          <w:color w:val="auto"/>
        </w:rPr>
        <w:t xml:space="preserve"> </w:t>
      </w:r>
      <w:r>
        <w:rPr>
          <w:rFonts w:ascii="Arial" w:cs="Arial" w:eastAsia="Arial" w:hAnsi="Arial"/>
          <w:sz w:val="18"/>
          <w:szCs w:val="18"/>
          <w:color w:val="222222"/>
        </w:rPr>
        <w:t xml:space="preserve">the FCC was beginning a review of our compliance with certain obligations to provide 5G broadband service and raising certain questions regarding the September 2024 build-out extension granted by the FCC and mobile-satellite service (“MSS”) utilization in the 2 GHz band (the “Letter”). We responded to the FCC’s subsequent public notices with filings on May 27, 2025 and June 6, 2025. </w:t>
      </w:r>
      <w:r>
        <w:rPr>
          <w:rFonts w:ascii="Arial" w:cs="Arial" w:eastAsia="Arial" w:hAnsi="Arial"/>
          <w:sz w:val="18"/>
          <w:szCs w:val="18"/>
          <w:color w:val="000000"/>
        </w:rPr>
        <w:t>On June 11, 2025, our Chairman met</w:t>
      </w:r>
      <w:r>
        <w:rPr>
          <w:rFonts w:ascii="Arial" w:cs="Arial" w:eastAsia="Arial" w:hAnsi="Arial"/>
          <w:sz w:val="18"/>
          <w:szCs w:val="18"/>
          <w:color w:val="222222"/>
        </w:rPr>
        <w:t xml:space="preserve"> </w:t>
      </w:r>
      <w:r>
        <w:rPr>
          <w:rFonts w:ascii="Arial" w:cs="Arial" w:eastAsia="Arial" w:hAnsi="Arial"/>
          <w:sz w:val="18"/>
          <w:szCs w:val="18"/>
          <w:color w:val="000000"/>
        </w:rPr>
        <w:t xml:space="preserve">with the FCC; during this meeting we explained that any reconsideration of the September 2024 grant of our construction deadline extensions, any after-the-fact change to the criteria upon which our build-out is judged, or any decision to upend the 2 GHz band’s sharing rules would threaten the viability of our current operations and future plans. While no resolution has been achieved yet, and it is possible that no such resolution will ultimately be achieved, we continue to explore an acceptable resolution of the FCC’s stated concerns in a manner that minimizes disruption to our businesses and lifts the regulatory uncertainty created by the inquiries. The FCC review has introduced the possibility of reversing prior FCC grants of authority to us.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See Note 9 in the Notes to our Condensed Consolidated Financial Statements </w:t>
      </w:r>
      <w:r>
        <w:rPr>
          <w:rFonts w:ascii="Arial" w:cs="Arial" w:eastAsia="Arial" w:hAnsi="Arial"/>
          <w:sz w:val="18"/>
          <w:szCs w:val="18"/>
          <w:color w:val="0A0A0A"/>
        </w:rPr>
        <w:t>for further details.</w:t>
      </w:r>
      <w:r>
        <w:rPr>
          <w:rFonts w:ascii="Arial" w:cs="Arial" w:eastAsia="Arial" w:hAnsi="Arial"/>
          <w:sz w:val="18"/>
          <w:szCs w:val="18"/>
          <w:color w:val="000000"/>
        </w:rPr>
        <w:t xml:space="preserve"> We remain focused on resolving the FCC’s stated concerns. We continue to progress wide-ranging efforts to explore alternative or complementary pathways that could, if successfully implemented, resolve the FCC’s stated concerns in a manner acceptable to us.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619"/>
        <w:spacing w:after="0" w:line="271" w:lineRule="auto"/>
        <w:rPr>
          <w:sz w:val="20"/>
          <w:szCs w:val="20"/>
          <w:color w:val="auto"/>
        </w:rPr>
      </w:pPr>
      <w:r>
        <w:rPr>
          <w:rFonts w:ascii="Arial" w:cs="Arial" w:eastAsia="Arial" w:hAnsi="Arial"/>
          <w:sz w:val="18"/>
          <w:szCs w:val="18"/>
          <w:color w:val="auto"/>
        </w:rPr>
        <w:t>We currently operate three primary business segments: (1) Pay-TV; (2) Wireless; and (3) Broadband and Satellite Services.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 brand and the SLING®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w:t>
      </w:r>
    </w:p>
    <w:p>
      <w:pPr>
        <w:spacing w:after="0" w:line="17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171" w:lineRule="exact"/>
        <w:rPr>
          <w:sz w:val="20"/>
          <w:szCs w:val="20"/>
          <w:color w:val="auto"/>
        </w:rPr>
      </w:pPr>
    </w:p>
    <w:p>
      <w:pPr>
        <w:ind w:left="60" w:right="399"/>
        <w:spacing w:after="0" w:line="242" w:lineRule="auto"/>
        <w:rPr>
          <w:sz w:val="20"/>
          <w:szCs w:val="20"/>
          <w:color w:val="auto"/>
        </w:rPr>
      </w:pPr>
      <w:r>
        <w:rPr>
          <w:rFonts w:ascii="Arial" w:cs="Arial" w:eastAsia="Arial" w:hAnsi="Arial"/>
          <w:sz w:val="18"/>
          <w:szCs w:val="18"/>
          <w:color w:val="auto"/>
        </w:rPr>
        <w:t>Our Wireless segment provides wireless communication services (“Wireless” services) and products. We currently offer our Wireless services for 5G voice over new radio (“5G VoNR”) to over 223 million Americans and for 5G broadband service to over 269 million Americans, as well as a competitive portfolio of wireless devices. We offer customers value by providing choice and flexibility in our Wireless services. We offer competitive consumer plans with no annual service contracts and device financing arrangements for certain qualified subscribers.</w:t>
      </w:r>
    </w:p>
    <w:p>
      <w:pPr>
        <w:spacing w:after="0" w:line="165" w:lineRule="exact"/>
        <w:rPr>
          <w:sz w:val="20"/>
          <w:szCs w:val="20"/>
          <w:color w:val="auto"/>
        </w:rPr>
      </w:pPr>
    </w:p>
    <w:p>
      <w:pPr>
        <w:ind w:left="60" w:right="99"/>
        <w:spacing w:after="0" w:line="266" w:lineRule="auto"/>
        <w:rPr>
          <w:sz w:val="20"/>
          <w:szCs w:val="20"/>
          <w:color w:val="auto"/>
        </w:rPr>
      </w:pPr>
      <w:r>
        <w:rPr>
          <w:rFonts w:ascii="Arial" w:cs="Arial" w:eastAsia="Arial" w:hAnsi="Arial"/>
          <w:sz w:val="17"/>
          <w:szCs w:val="17"/>
          <w:color w:val="auto"/>
        </w:rPr>
        <w:t>Our Wireless segment business strategy is to expand our current target segments and profitably grow our Wireless subscriber base and commercialize and grow customer traffic on our 5G Network, defined below. We intend to grow our Wireless subscriber base by acquiring and retaining high quality subscribers with competitive offers, choice and outstanding customer service that better meet those subscribers’ needs and budget.</w:t>
      </w:r>
    </w:p>
    <w:p>
      <w:pPr>
        <w:spacing w:after="0" w:line="14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 xml:space="preserve">We are currently operating primarily as a mobile virtual network operator (“MVNO”) as we continue to commercialize our Wireless spectrum licenses through the completion of the nation’s first cloud-native, Open Radio Access Network (“O-RAN”) based 5G VoNR and broadband network (our “5G Network”) and grow customer traffic on our 5G Network. We are transitioning to a mobile network operator (“MNO”) as our 5G Network has become commercially available and we grow customer traffic on our 5G Network. We are currently activating Boost Mobile subscribers with compatible devices onto our 5G Network in markets where we have reached 5G </w:t>
      </w:r>
      <w:r>
        <w:rPr>
          <w:rFonts w:ascii="Arial" w:cs="Arial" w:eastAsia="Arial" w:hAnsi="Arial"/>
          <w:sz w:val="18"/>
          <w:szCs w:val="18"/>
          <w:color w:val="0A0A0A"/>
        </w:rPr>
        <w:t>VoNR</w:t>
      </w:r>
      <w:r>
        <w:rPr>
          <w:rFonts w:ascii="Arial" w:cs="Arial" w:eastAsia="Arial" w:hAnsi="Arial"/>
          <w:sz w:val="18"/>
          <w:szCs w:val="18"/>
          <w:color w:val="auto"/>
        </w:rPr>
        <w:t xml:space="preserve">. We currently offer a broad range of premium wireless devices on our 5G Network, including the Apple iPhone 15 and newer generation iPhones, as well as a wide selection of Samsung, Motorola and other premium devices. We have deployed </w:t>
      </w:r>
      <w:r>
        <w:rPr>
          <w:rFonts w:ascii="Arial" w:cs="Arial" w:eastAsia="Arial" w:hAnsi="Arial"/>
          <w:sz w:val="18"/>
          <w:szCs w:val="18"/>
          <w:color w:val="0A0A0A"/>
        </w:rPr>
        <w:t>5G VoNR covering over 223 million Americans.</w:t>
      </w:r>
      <w:r>
        <w:rPr>
          <w:rFonts w:ascii="Arial" w:cs="Arial" w:eastAsia="Arial" w:hAnsi="Arial"/>
          <w:sz w:val="18"/>
          <w:szCs w:val="18"/>
          <w:color w:val="auto"/>
        </w:rPr>
        <w:t xml:space="preserve"> Within our MVNO operations, today we depend in part on T-Mobile and AT&amp;T to provide us with network services under the amended Master Network Services Agreement (“MNSA”) and Network Services Agreement (the “NSA”), respectively.</w:t>
      </w:r>
    </w:p>
    <w:p>
      <w:pPr>
        <w:spacing w:after="0" w:line="16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 xml:space="preserve">We have committed to the FCC to deploy a facilities-based 5G broadband network capable of serving increasingly larger portions of the U.S. population at different deadlines. </w:t>
      </w:r>
      <w:r>
        <w:rPr>
          <w:rFonts w:ascii="Arial" w:cs="Arial" w:eastAsia="Arial" w:hAnsi="Arial"/>
          <w:sz w:val="18"/>
          <w:szCs w:val="18"/>
          <w:color w:val="0A0A0A"/>
        </w:rPr>
        <w:t>In September 2024, the FCC</w:t>
      </w:r>
      <w:r>
        <w:rPr>
          <w:rFonts w:ascii="Arial" w:cs="Arial" w:eastAsia="Arial" w:hAnsi="Arial"/>
          <w:sz w:val="18"/>
          <w:szCs w:val="18"/>
          <w:color w:val="auto"/>
        </w:rPr>
        <w:t xml:space="preserve"> </w:t>
      </w:r>
      <w:r>
        <w:rPr>
          <w:rFonts w:ascii="Arial" w:cs="Arial" w:eastAsia="Arial" w:hAnsi="Arial"/>
          <w:sz w:val="18"/>
          <w:szCs w:val="18"/>
          <w:color w:val="0A0A0A"/>
        </w:rPr>
        <w:t xml:space="preserve">conditionally granted our requests to extend the 5G deployment deadlines for certain of our </w:t>
      </w:r>
      <w:r>
        <w:rPr>
          <w:rFonts w:ascii="Arial" w:cs="Arial" w:eastAsia="Arial" w:hAnsi="Arial"/>
          <w:sz w:val="18"/>
          <w:szCs w:val="18"/>
          <w:color w:val="000000"/>
        </w:rPr>
        <w:t>Wireless spectrum</w:t>
      </w:r>
      <w:r>
        <w:rPr>
          <w:rFonts w:ascii="Arial" w:cs="Arial" w:eastAsia="Arial" w:hAnsi="Arial"/>
          <w:sz w:val="18"/>
          <w:szCs w:val="18"/>
          <w:color w:val="0A0A0A"/>
        </w:rPr>
        <w:t xml:space="preserve"> </w:t>
      </w:r>
      <w:r>
        <w:rPr>
          <w:rFonts w:ascii="Arial" w:cs="Arial" w:eastAsia="Arial" w:hAnsi="Arial"/>
          <w:sz w:val="18"/>
          <w:szCs w:val="18"/>
          <w:color w:val="000000"/>
        </w:rPr>
        <w:t xml:space="preserve">licenses </w:t>
      </w:r>
      <w:r>
        <w:rPr>
          <w:rFonts w:ascii="Arial" w:cs="Arial" w:eastAsia="Arial" w:hAnsi="Arial"/>
          <w:sz w:val="18"/>
          <w:szCs w:val="18"/>
          <w:color w:val="0A0A0A"/>
        </w:rPr>
        <w:t>based on several commitments and</w:t>
      </w:r>
      <w:r>
        <w:rPr>
          <w:rFonts w:ascii="Arial" w:cs="Arial" w:eastAsia="Arial" w:hAnsi="Arial"/>
          <w:sz w:val="18"/>
          <w:szCs w:val="18"/>
          <w:color w:val="000000"/>
        </w:rPr>
        <w:t xml:space="preserve"> </w:t>
      </w:r>
      <w:r>
        <w:rPr>
          <w:rFonts w:ascii="Arial" w:cs="Arial" w:eastAsia="Arial" w:hAnsi="Arial"/>
          <w:sz w:val="18"/>
          <w:szCs w:val="18"/>
          <w:color w:val="222222"/>
        </w:rPr>
        <w:t>in a January 10, 2025 filing to the FCC</w:t>
      </w:r>
      <w:r>
        <w:rPr>
          <w:rFonts w:ascii="Arial" w:cs="Arial" w:eastAsia="Arial" w:hAnsi="Arial"/>
          <w:sz w:val="18"/>
          <w:szCs w:val="18"/>
          <w:color w:val="0A0A0A"/>
        </w:rPr>
        <w:t>,</w:t>
      </w:r>
      <w:r>
        <w:rPr>
          <w:rFonts w:ascii="Arial" w:cs="Arial" w:eastAsia="Arial" w:hAnsi="Arial"/>
          <w:sz w:val="18"/>
          <w:szCs w:val="18"/>
          <w:color w:val="000000"/>
        </w:rPr>
        <w:t xml:space="preserve"> </w:t>
      </w:r>
      <w:r>
        <w:rPr>
          <w:rFonts w:ascii="Arial" w:cs="Arial" w:eastAsia="Arial" w:hAnsi="Arial"/>
          <w:sz w:val="18"/>
          <w:szCs w:val="18"/>
          <w:color w:val="222222"/>
        </w:rPr>
        <w:t>we certified to meeting the</w:t>
      </w:r>
      <w:r>
        <w:rPr>
          <w:rFonts w:ascii="Arial" w:cs="Arial" w:eastAsia="Arial" w:hAnsi="Arial"/>
          <w:sz w:val="18"/>
          <w:szCs w:val="18"/>
          <w:color w:val="000000"/>
        </w:rPr>
        <w:t xml:space="preserve"> </w:t>
      </w:r>
      <w:r>
        <w:rPr>
          <w:rFonts w:ascii="Arial" w:cs="Arial" w:eastAsia="Arial" w:hAnsi="Arial"/>
          <w:sz w:val="18"/>
          <w:szCs w:val="18"/>
          <w:color w:val="222222"/>
        </w:rPr>
        <w:t xml:space="preserve">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w:t>
      </w:r>
      <w:r>
        <w:rPr>
          <w:rFonts w:ascii="Arial" w:cs="Arial" w:eastAsia="Arial" w:hAnsi="Arial"/>
          <w:sz w:val="18"/>
          <w:szCs w:val="18"/>
          <w:color w:val="222222"/>
        </w:rPr>
        <w:t xml:space="preserve"> </w:t>
      </w:r>
      <w:r>
        <w:rPr>
          <w:rFonts w:ascii="Arial" w:cs="Arial" w:eastAsia="Arial" w:hAnsi="Arial"/>
          <w:sz w:val="18"/>
          <w:szCs w:val="18"/>
          <w:color w:val="000000"/>
        </w:rPr>
        <w:t>Extension Request, the final deployment deadlines for the licenses subject to the Extension Request (listed in Appendix G) shall be extended to December 14, 2026.</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 xml:space="preserve">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10 in the Notes to our Condensed Consolidated Financial Statements </w:t>
      </w:r>
      <w:r>
        <w:rPr>
          <w:rFonts w:ascii="Arial" w:cs="Arial" w:eastAsia="Arial" w:hAnsi="Arial"/>
          <w:sz w:val="18"/>
          <w:szCs w:val="18"/>
          <w:color w:val="0A0A0A"/>
        </w:rPr>
        <w:t>for definitions and further details. Also</w:t>
      </w:r>
      <w:r>
        <w:rPr>
          <w:rFonts w:ascii="Arial" w:cs="Arial" w:eastAsia="Arial" w:hAnsi="Arial"/>
          <w:sz w:val="18"/>
          <w:szCs w:val="18"/>
          <w:color w:val="auto"/>
        </w:rPr>
        <w:t xml:space="preserve"> see Note 1 “</w:t>
      </w:r>
      <w:r>
        <w:rPr>
          <w:rFonts w:ascii="Arial" w:cs="Arial" w:eastAsia="Arial" w:hAnsi="Arial"/>
          <w:sz w:val="18"/>
          <w:szCs w:val="18"/>
          <w:i w:val="1"/>
          <w:iCs w:val="1"/>
          <w:color w:val="auto"/>
        </w:rPr>
        <w:t>Recent Developments</w:t>
      </w:r>
      <w:r>
        <w:rPr>
          <w:rFonts w:ascii="Arial" w:cs="Arial" w:eastAsia="Arial" w:hAnsi="Arial"/>
          <w:sz w:val="18"/>
          <w:szCs w:val="18"/>
          <w:color w:val="auto"/>
        </w:rPr>
        <w:t>” in the Notes to our Condensed Consolidated Financial Statements for additional information.</w:t>
      </w:r>
    </w:p>
    <w:p>
      <w:pPr>
        <w:spacing w:after="0" w:line="17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We have leveraged the EchoStar XXIV to deliver satellite services to unserved and underserved consumer markets in the Americas as well as enterprise, aeronautical and government markets.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Environment</w:t>
      </w:r>
    </w:p>
    <w:p>
      <w:pPr>
        <w:spacing w:after="0" w:line="198"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color w:val="auto"/>
        </w:rPr>
        <w:t xml:space="preserve">During 2024 and the first six months of 2025, we experienced inflationary pressures in our commodity and labor costs resulting from the macroeconomic environment in the United States, which has impacted our overall operating results. In addition, </w:t>
      </w:r>
      <w:r>
        <w:rPr>
          <w:rFonts w:ascii="Arial" w:cs="Arial" w:eastAsia="Arial" w:hAnsi="Arial"/>
          <w:sz w:val="18"/>
          <w:szCs w:val="18"/>
          <w:color w:val="222222"/>
        </w:rPr>
        <w:t>changes in trade policies, including, but not limited to, tariffs and other restrictions,</w:t>
      </w:r>
      <w:r>
        <w:rPr>
          <w:rFonts w:ascii="Arial" w:cs="Arial" w:eastAsia="Arial" w:hAnsi="Arial"/>
          <w:sz w:val="18"/>
          <w:szCs w:val="18"/>
          <w:color w:val="auto"/>
        </w:rPr>
        <w:t xml:space="preserve"> </w:t>
      </w:r>
      <w:r>
        <w:rPr>
          <w:rFonts w:ascii="Arial" w:cs="Arial" w:eastAsia="Arial" w:hAnsi="Arial"/>
          <w:sz w:val="18"/>
          <w:szCs w:val="18"/>
          <w:color w:val="222222"/>
        </w:rPr>
        <w:t>could increase, among other things, our costs, disrupt our supply chain and negatively affect our business, operations and financial condition.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339"/>
        <w:spacing w:after="0" w:line="275" w:lineRule="auto"/>
        <w:rPr>
          <w:sz w:val="20"/>
          <w:szCs w:val="20"/>
          <w:color w:val="auto"/>
        </w:rPr>
      </w:pPr>
      <w:r>
        <w:rPr>
          <w:rFonts w:ascii="Arial" w:cs="Arial" w:eastAsia="Arial" w:hAnsi="Arial"/>
          <w:sz w:val="17"/>
          <w:szCs w:val="17"/>
          <w:b w:val="1"/>
          <w:bCs w:val="1"/>
          <w:i w:val="1"/>
          <w:iCs w:val="1"/>
          <w:color w:val="auto"/>
        </w:rPr>
        <w:t>Service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revenue” consists principally of Pay-TV and Wireless subscriber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services, maintenance and other contracted revenue and satellite and transponder leases and services revenue. Certain of the amounts included in “Service revenue” are not recurring on a monthly basis.</w:t>
      </w:r>
    </w:p>
    <w:p>
      <w:pPr>
        <w:spacing w:after="0" w:line="138" w:lineRule="exact"/>
        <w:rPr>
          <w:sz w:val="20"/>
          <w:szCs w:val="20"/>
          <w:color w:val="auto"/>
        </w:rPr>
      </w:pPr>
    </w:p>
    <w:p>
      <w:pPr>
        <w:jc w:val="both"/>
        <w:ind w:left="60" w:right="339"/>
        <w:spacing w:after="0" w:line="275"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the licensing of certain intellectual property and sales of broadband equipment and networks sold both in our consumer and enterprise markets.</w:t>
      </w:r>
    </w:p>
    <w:p>
      <w:pPr>
        <w:spacing w:after="0" w:line="138" w:lineRule="exact"/>
        <w:rPr>
          <w:sz w:val="20"/>
          <w:szCs w:val="20"/>
          <w:color w:val="auto"/>
        </w:rPr>
      </w:pPr>
    </w:p>
    <w:p>
      <w:pPr>
        <w:ind w:left="60" w:right="59" w:hanging="12"/>
        <w:spacing w:after="0" w:line="242" w:lineRule="auto"/>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costs of Wireless services (including costs incurred under the MNSA and NSA), costs of broadband services, maintenance and other contracted services, and costs associated with satellite and transponder leases and services. Beginning on January 1, 2024, “Cost of services” includes certain direct costs related to our 5G Network deployment, including lease expense on communication towers, transport, cloud services and other costs as a significant portion of our 5G Network was placed into service.</w:t>
      </w:r>
    </w:p>
    <w:p>
      <w:pPr>
        <w:spacing w:after="0" w:line="165" w:lineRule="exact"/>
        <w:rPr>
          <w:sz w:val="20"/>
          <w:szCs w:val="20"/>
          <w:color w:val="auto"/>
        </w:rPr>
      </w:pPr>
    </w:p>
    <w:p>
      <w:pPr>
        <w:ind w:left="60" w:right="339" w:hanging="12"/>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499"/>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the sale of businesses or business assets gains and losses, foreign currency transaction gains and losses, debt extinguishment gains and losses, and equity in earnings and losses of our affiliates.</w:t>
      </w:r>
    </w:p>
    <w:p>
      <w:pPr>
        <w:spacing w:after="0" w:line="165" w:lineRule="exact"/>
        <w:rPr>
          <w:sz w:val="20"/>
          <w:szCs w:val="20"/>
          <w:color w:val="auto"/>
        </w:rPr>
      </w:pPr>
    </w:p>
    <w:p>
      <w:pPr>
        <w:jc w:val="both"/>
        <w:ind w:left="60" w:right="599"/>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5" w:lineRule="exact"/>
        <w:rPr>
          <w:sz w:val="20"/>
          <w:szCs w:val="20"/>
          <w:color w:val="auto"/>
        </w:rPr>
      </w:pPr>
    </w:p>
    <w:p>
      <w:pPr>
        <w:jc w:val="both"/>
        <w:ind w:left="60" w:right="199"/>
        <w:spacing w:after="0" w:line="261" w:lineRule="auto"/>
        <w:rPr>
          <w:sz w:val="20"/>
          <w:szCs w:val="20"/>
          <w:color w:val="auto"/>
        </w:rPr>
      </w:pPr>
      <w:r>
        <w:rPr>
          <w:rFonts w:ascii="Arial" w:cs="Arial" w:eastAsia="Arial" w:hAnsi="Arial"/>
          <w:sz w:val="17"/>
          <w:szCs w:val="17"/>
          <w:b w:val="1"/>
          <w:bCs w:val="1"/>
          <w:i w:val="1"/>
          <w:iCs w:val="1"/>
          <w:color w:val="auto"/>
        </w:rPr>
        <w:t xml:space="preserve">DISH TV subscribers. </w:t>
      </w:r>
      <w:r>
        <w:rPr>
          <w:rFonts w:ascii="Arial" w:cs="Arial" w:eastAsia="Arial" w:hAnsi="Arial"/>
          <w:sz w:val="17"/>
          <w:szCs w:val="17"/>
          <w:color w:val="auto"/>
        </w:rPr>
        <w:t>We include customers obtained through direct sales, independent third-party retailers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52" w:lineRule="exact"/>
        <w:rPr>
          <w:sz w:val="20"/>
          <w:szCs w:val="20"/>
          <w:color w:val="auto"/>
        </w:rPr>
      </w:pPr>
    </w:p>
    <w:p>
      <w:pPr>
        <w:ind w:left="60" w:right="79" w:hanging="12"/>
        <w:spacing w:after="0" w:line="244" w:lineRule="auto"/>
        <w:rPr>
          <w:sz w:val="20"/>
          <w:szCs w:val="20"/>
          <w:color w:val="auto"/>
        </w:rPr>
      </w:pPr>
      <w:r>
        <w:rPr>
          <w:rFonts w:ascii="Arial" w:cs="Arial" w:eastAsia="Arial" w:hAnsi="Arial"/>
          <w:sz w:val="18"/>
          <w:szCs w:val="18"/>
          <w:b w:val="1"/>
          <w:b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6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6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99" w:hanging="12"/>
        <w:spacing w:after="0" w:line="238" w:lineRule="auto"/>
        <w:rPr>
          <w:sz w:val="20"/>
          <w:szCs w:val="20"/>
          <w:color w:val="auto"/>
        </w:rPr>
      </w:pPr>
      <w:r>
        <w:rPr>
          <w:rFonts w:ascii="Arial" w:cs="Arial" w:eastAsia="Arial" w:hAnsi="Arial"/>
          <w:sz w:val="18"/>
          <w:szCs w:val="18"/>
          <w:b w:val="1"/>
          <w:bCs w:val="1"/>
          <w:i w:val="1"/>
          <w:iCs w:val="1"/>
          <w:color w:val="auto"/>
        </w:rPr>
        <w:t xml:space="preserve">Government subsidized wireless subscribers and other wireless subscribers (“Government subsidized subscribers”). </w:t>
      </w:r>
      <w:r>
        <w:rPr>
          <w:rFonts w:ascii="Arial" w:cs="Arial" w:eastAsia="Arial" w:hAnsi="Arial"/>
          <w:sz w:val="18"/>
          <w:szCs w:val="18"/>
          <w:color w:val="auto"/>
        </w:rPr>
        <w:t>Our Government subsidized subscribers have different subscriber economics than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or participated in government subsidized programs, including the ACP program and Lifeline program, defined below, and other subscribers acquired under the Gen Mobile brand. The Affordable Connectivity Program (“ACP”) was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70" w:lineRule="exact"/>
        <w:rPr>
          <w:sz w:val="20"/>
          <w:szCs w:val="20"/>
          <w:color w:val="auto"/>
        </w:rPr>
      </w:pPr>
    </w:p>
    <w:p>
      <w:pPr>
        <w:ind w:left="60" w:right="119"/>
        <w:spacing w:after="0" w:line="251"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Wireless subscriber revenue included in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w:t>
      </w:r>
    </w:p>
    <w:p>
      <w:pPr>
        <w:spacing w:after="0" w:line="4" w:lineRule="exact"/>
        <w:rPr>
          <w:sz w:val="20"/>
          <w:szCs w:val="20"/>
          <w:color w:val="auto"/>
        </w:rPr>
      </w:pPr>
    </w:p>
    <w:p>
      <w:pPr>
        <w:ind w:left="60" w:right="259"/>
        <w:spacing w:after="0" w:line="250" w:lineRule="auto"/>
        <w:rPr>
          <w:sz w:val="20"/>
          <w:szCs w:val="20"/>
          <w:color w:val="auto"/>
        </w:rPr>
      </w:pPr>
      <w:r>
        <w:rPr>
          <w:rFonts w:ascii="Arial" w:cs="Arial" w:eastAsia="Arial" w:hAnsi="Arial"/>
          <w:sz w:val="18"/>
          <w:szCs w:val="18"/>
          <w:color w:val="auto"/>
        </w:rPr>
        <w:t>each month is calculated by adding the beginning and ending Wireless subscribers for the month and dividing by two.</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12"/>
        <w:spacing w:after="0" w:line="254" w:lineRule="auto"/>
        <w:rPr>
          <w:sz w:val="20"/>
          <w:szCs w:val="20"/>
          <w:color w:val="auto"/>
        </w:rPr>
      </w:pPr>
      <w:r>
        <w:rPr>
          <w:rFonts w:ascii="Arial" w:cs="Arial" w:eastAsia="Arial" w:hAnsi="Arial"/>
          <w:sz w:val="17"/>
          <w:szCs w:val="17"/>
          <w:b w:val="1"/>
          <w:bCs w:val="1"/>
          <w:i w:val="1"/>
          <w:iCs w:val="1"/>
          <w:color w:val="auto"/>
        </w:rPr>
        <w:t xml:space="preserve">Wireless average monthly subscriber churn rate (“Wireless churn rate”).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159" w:lineRule="exact"/>
        <w:rPr>
          <w:sz w:val="20"/>
          <w:szCs w:val="20"/>
          <w:color w:val="auto"/>
        </w:rPr>
      </w:pPr>
    </w:p>
    <w:p>
      <w:pPr>
        <w:ind w:left="60" w:right="119" w:hanging="12"/>
        <w:spacing w:after="0" w:line="253"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Subscribers include customers that subscribe to our HughesNet service,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wholesale and small/medium enterprise service channels. Our Broadband subscriber count also includes ACP subscribers, as defined above.</w:t>
      </w:r>
    </w:p>
    <w:p>
      <w:pPr>
        <w:spacing w:after="0" w:line="155" w:lineRule="exact"/>
        <w:rPr>
          <w:sz w:val="20"/>
          <w:szCs w:val="20"/>
          <w:color w:val="auto"/>
        </w:rPr>
      </w:pPr>
    </w:p>
    <w:p>
      <w:pPr>
        <w:ind w:left="60" w:right="339" w:hanging="12"/>
        <w:spacing w:after="0" w:line="259" w:lineRule="auto"/>
        <w:rPr>
          <w:sz w:val="20"/>
          <w:szCs w:val="20"/>
          <w:color w:val="auto"/>
        </w:rPr>
      </w:pPr>
      <w:r>
        <w:rPr>
          <w:rFonts w:ascii="Arial" w:cs="Arial" w:eastAsia="Arial" w:hAnsi="Arial"/>
          <w:sz w:val="17"/>
          <w:szCs w:val="17"/>
          <w:b w:val="1"/>
          <w:bCs w:val="1"/>
          <w:i w:val="1"/>
          <w:iCs w:val="1"/>
          <w:color w:val="auto"/>
        </w:rPr>
        <w:t>Free cash flow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define free cash flow as “Net cash flows from operating activities” less: (i) “Purchases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and equipment” net of “Refunds and other receipts of purchases of property and equipment,” and</w:t>
      </w:r>
    </w:p>
    <w:p>
      <w:pPr>
        <w:spacing w:after="0" w:line="1" w:lineRule="exact"/>
        <w:rPr>
          <w:sz w:val="20"/>
          <w:szCs w:val="20"/>
          <w:color w:val="auto"/>
        </w:rPr>
      </w:pPr>
    </w:p>
    <w:p>
      <w:pPr>
        <w:ind w:left="60" w:right="739" w:firstLine="3"/>
        <w:spacing w:after="0" w:line="250" w:lineRule="auto"/>
        <w:tabs>
          <w:tab w:leader="none" w:pos="3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“Capitalized interest related to regulatory authorizations,” as shown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We currently operate three primary business segments: (1) Pay-TV; (2) Wireless; and (3) Broadband and Satellite Services.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and operating income (loss) by segment are shown in the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gridSpan w:val="5"/>
          </w:tcPr>
          <w:p>
            <w:pPr>
              <w:jc w:val="right"/>
              <w:ind w:right="140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720" w:type="dxa"/>
            <w:vAlign w:val="bottom"/>
            <w:gridSpan w:val="4"/>
          </w:tcPr>
          <w:p>
            <w:pPr>
              <w:ind w:left="860"/>
              <w:spacing w:after="0"/>
              <w:rPr>
                <w:sz w:val="20"/>
                <w:szCs w:val="20"/>
                <w:color w:val="auto"/>
              </w:rPr>
            </w:pPr>
            <w:r>
              <w:rPr>
                <w:rFonts w:ascii="Arial" w:cs="Arial" w:eastAsia="Arial" w:hAnsi="Arial"/>
                <w:sz w:val="16"/>
                <w:szCs w:val="16"/>
                <w:b w:val="1"/>
                <w:bCs w:val="1"/>
                <w:color w:val="auto"/>
              </w:rPr>
              <w:t>Variance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2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88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2,462,249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2,676,284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(214,035)</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934,631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892,728</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41,903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339,780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394,011</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(54,231)</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Eliminations</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(11,701)</w:t>
            </w:r>
          </w:p>
        </w:tc>
        <w:tc>
          <w:tcPr>
            <w:tcW w:w="12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(10,272)</w:t>
            </w:r>
          </w:p>
        </w:tc>
        <w:tc>
          <w:tcPr>
            <w:tcW w:w="22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(1,429)</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3"/>
        </w:trPr>
        <w:tc>
          <w:tcPr>
            <w:tcW w:w="28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3,724,959</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3,952,751</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(227,792)</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Pay-TV</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595,552</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667,752</w:t>
            </w:r>
          </w:p>
        </w:tc>
        <w:tc>
          <w:tcPr>
            <w:tcW w:w="260" w:type="dxa"/>
            <w:vAlign w:val="bottom"/>
          </w:tcPr>
          <w:p>
            <w:pPr>
              <w:spacing w:after="0"/>
              <w:rPr>
                <w:sz w:val="16"/>
                <w:szCs w:val="16"/>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(72,200)</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(772,948)</w:t>
            </w: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(700,302)</w:t>
            </w:r>
          </w:p>
        </w:tc>
        <w:tc>
          <w:tcPr>
            <w:tcW w:w="2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(72,646)</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189"/>
        </w:trPr>
        <w:tc>
          <w:tcPr>
            <w:tcW w:w="288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(36,738)</w:t>
            </w:r>
          </w:p>
        </w:tc>
        <w:tc>
          <w:tcPr>
            <w:tcW w:w="120" w:type="dxa"/>
            <w:vAlign w:val="bottom"/>
          </w:tcPr>
          <w:p>
            <w:pPr>
              <w:spacing w:after="0"/>
              <w:rPr>
                <w:sz w:val="16"/>
                <w:szCs w:val="16"/>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(34,586)</w:t>
            </w:r>
          </w:p>
        </w:tc>
        <w:tc>
          <w:tcPr>
            <w:tcW w:w="220" w:type="dxa"/>
            <w:vAlign w:val="bottom"/>
          </w:tcPr>
          <w:p>
            <w:pPr>
              <w:spacing w:after="0"/>
              <w:rPr>
                <w:sz w:val="16"/>
                <w:szCs w:val="16"/>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6"/>
                <w:szCs w:val="16"/>
                <w:color w:val="auto"/>
              </w:rPr>
              <w:t>(2,152)</w:t>
            </w:r>
          </w:p>
        </w:tc>
        <w:tc>
          <w:tcPr>
            <w:tcW w:w="3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(1,041)</w:t>
            </w:r>
          </w:p>
        </w:tc>
        <w:tc>
          <w:tcPr>
            <w:tcW w:w="3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w:t>
            </w:r>
          </w:p>
        </w:tc>
        <w:tc>
          <w:tcPr>
            <w:tcW w:w="0" w:type="dxa"/>
            <w:vAlign w:val="bottom"/>
          </w:tcPr>
          <w:p>
            <w:pPr>
              <w:spacing w:after="0"/>
              <w:rPr>
                <w:sz w:val="1"/>
                <w:szCs w:val="1"/>
                <w:color w:val="auto"/>
              </w:rPr>
            </w:pPr>
          </w:p>
        </w:tc>
      </w:tr>
      <w:tr>
        <w:trPr>
          <w:trHeight w:val="183"/>
        </w:trPr>
        <w:tc>
          <w:tcPr>
            <w:tcW w:w="28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(213,408)</w:t>
            </w: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(65,369)</w:t>
            </w:r>
          </w:p>
        </w:tc>
        <w:tc>
          <w:tcPr>
            <w:tcW w:w="2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(148,039)</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jc w:val="both"/>
        <w:ind w:left="60" w:right="339" w:hanging="7"/>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$3.725 billion for the three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$228 million or 5.8% compared to the same period in 2024. The net decrease primarily resulted from the decrease in revenue from our Pay-TV segment and to a lesser extent our Broadband and Satellite Services segment, partially offset by the increase in revenue from our Wireless segment.</w:t>
      </w:r>
    </w:p>
    <w:p>
      <w:pPr>
        <w:spacing w:after="0" w:line="160" w:lineRule="exact"/>
        <w:rPr>
          <w:sz w:val="20"/>
          <w:szCs w:val="20"/>
          <w:color w:val="auto"/>
        </w:rPr>
      </w:pPr>
    </w:p>
    <w:p>
      <w:pPr>
        <w:ind w:left="60" w:right="179" w:hanging="12"/>
        <w:spacing w:after="0" w:line="266" w:lineRule="auto"/>
        <w:rPr>
          <w:sz w:val="20"/>
          <w:szCs w:val="20"/>
          <w:color w:val="auto"/>
        </w:rPr>
      </w:pPr>
      <w:r>
        <w:rPr>
          <w:rFonts w:ascii="Arial" w:cs="Arial" w:eastAsia="Arial" w:hAnsi="Arial"/>
          <w:sz w:val="17"/>
          <w:szCs w:val="17"/>
          <w:b w:val="1"/>
          <w:bCs w:val="1"/>
          <w:i w:val="1"/>
          <w:iCs w:val="1"/>
          <w:color w:val="auto"/>
        </w:rPr>
        <w:t xml:space="preserve">Total operating income (loss). </w:t>
      </w:r>
      <w:r>
        <w:rPr>
          <w:rFonts w:ascii="Arial" w:cs="Arial" w:eastAsia="Arial" w:hAnsi="Arial"/>
          <w:sz w:val="17"/>
          <w:szCs w:val="17"/>
          <w:color w:val="auto"/>
        </w:rPr>
        <w:t>Our consolidated operating loss totaled $213 million for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2025, an increase in operating loss of $ 148 million compared to the same period in 2024. This change primarily resulted from an increase in operating loss from our Wireless segment and to a lesser extent our Broadband and Satellite Services segment and a decrease in operating income from our Pay-TV segment.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5"/>
          </w:tcPr>
          <w:p>
            <w:pPr>
              <w:ind w:left="200"/>
              <w:spacing w:after="0"/>
              <w:rPr>
                <w:sz w:val="20"/>
                <w:szCs w:val="20"/>
                <w:color w:val="auto"/>
              </w:rPr>
            </w:pPr>
            <w:r>
              <w:rPr>
                <w:rFonts w:ascii="Arial" w:cs="Arial" w:eastAsia="Arial" w:hAnsi="Arial"/>
                <w:sz w:val="16"/>
                <w:szCs w:val="16"/>
                <w:b w:val="1"/>
                <w:bCs w:val="1"/>
                <w:color w:val="auto"/>
              </w:rPr>
              <w:t>For the Six Months Ended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Variance</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1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5,000,976</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5,402,862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(401,886)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Wireless</w:t>
            </w: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1,907,406</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1,806,734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100,672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and Satellite Services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710,438</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776,597</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(66,159)</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(24,103)</w:t>
            </w:r>
          </w:p>
        </w:tc>
        <w:tc>
          <w:tcPr>
            <w:tcW w:w="36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(18,599)</w:t>
            </w:r>
          </w:p>
        </w:tc>
        <w:tc>
          <w:tcPr>
            <w:tcW w:w="180" w:type="dxa"/>
            <w:vAlign w:val="bottom"/>
          </w:tcPr>
          <w:p>
            <w:pPr>
              <w:spacing w:after="0"/>
              <w:rPr>
                <w:sz w:val="16"/>
                <w:szCs w:val="16"/>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(5,504)</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83"/>
        </w:trPr>
        <w:tc>
          <w:tcPr>
            <w:tcW w:w="31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80" w:type="dxa"/>
            <w:vAlign w:val="bottom"/>
            <w:tcBorders>
              <w:top w:val="single" w:sz="8" w:color="auto"/>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7,594,717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7,967,594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(372,877)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Pay-TV</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1,248,982</w:t>
            </w:r>
          </w:p>
        </w:tc>
        <w:tc>
          <w:tcPr>
            <w:tcW w:w="240" w:type="dxa"/>
            <w:vAlign w:val="bottom"/>
          </w:tcPr>
          <w:p>
            <w:pPr>
              <w:spacing w:after="0"/>
              <w:rPr>
                <w:sz w:val="16"/>
                <w:szCs w:val="16"/>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1,337,860</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240"/>
              <w:spacing w:after="0"/>
              <w:rPr>
                <w:sz w:val="20"/>
                <w:szCs w:val="20"/>
                <w:color w:val="auto"/>
              </w:rPr>
            </w:pPr>
            <w:r>
              <w:rPr>
                <w:rFonts w:ascii="Arial" w:cs="Arial" w:eastAsia="Arial" w:hAnsi="Arial"/>
                <w:sz w:val="16"/>
                <w:szCs w:val="16"/>
                <w:color w:val="auto"/>
              </w:rPr>
              <w:t>(88,878)</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w:t>
            </w: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(1,495,250)</w:t>
            </w:r>
          </w:p>
        </w:tc>
        <w:tc>
          <w:tcPr>
            <w:tcW w:w="36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(1,345,470)</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(149,780)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318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28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(55,933)</w:t>
            </w:r>
          </w:p>
        </w:tc>
        <w:tc>
          <w:tcPr>
            <w:tcW w:w="36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(74,140)</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18,207</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89"/>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83"/>
        </w:trPr>
        <w:tc>
          <w:tcPr>
            <w:tcW w:w="31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(301,540)</w:t>
            </w:r>
          </w:p>
        </w:tc>
        <w:tc>
          <w:tcPr>
            <w:tcW w:w="240" w:type="dxa"/>
            <w:vAlign w:val="bottom"/>
          </w:tcPr>
          <w:p>
            <w:pPr>
              <w:spacing w:after="0"/>
              <w:rPr>
                <w:sz w:val="15"/>
                <w:szCs w:val="15"/>
                <w:color w:val="auto"/>
              </w:rPr>
            </w:pPr>
          </w:p>
        </w:tc>
        <w:tc>
          <w:tcPr>
            <w:tcW w:w="360" w:type="dxa"/>
            <w:vAlign w:val="bottom"/>
            <w:tcBorders>
              <w:top w:val="single" w:sz="8" w:color="auto"/>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(80,613)</w:t>
            </w:r>
          </w:p>
        </w:tc>
        <w:tc>
          <w:tcPr>
            <w:tcW w:w="2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(220,927)</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$7.595 billion for the six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$373 million or 4.7% compared to the same period in 2024. The net decrease primarily resulted from the decrease in revenue from our Pay-TV segment and to a lesser extent our Broadband and Satellite Services segment, partially offset by the increase in revenue from our Wireless segment.</w:t>
      </w:r>
    </w:p>
    <w:p>
      <w:pPr>
        <w:spacing w:after="0" w:line="160" w:lineRule="exact"/>
        <w:rPr>
          <w:sz w:val="20"/>
          <w:szCs w:val="20"/>
          <w:color w:val="auto"/>
        </w:rPr>
      </w:pPr>
    </w:p>
    <w:p>
      <w:pPr>
        <w:ind w:left="60" w:right="99" w:hanging="12"/>
        <w:spacing w:after="0" w:line="244"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$302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in operating loss of $221 million compared to the same period in 2024. This change primarily resulted from an increase in operating loss from our Wireless segment and a decrease in operating income from our Pay-TV segment, partially offset by a decrease in operating loss from our Broadband and Satellite Services segment.</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Segment</w:t>
      </w:r>
    </w:p>
    <w:p>
      <w:pPr>
        <w:spacing w:after="0" w:line="196"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color w:val="auto"/>
        </w:rPr>
        <w:t>We offer Pay-TV services under the DISH brand and the SLING brand. As of June 30, 2025, we had 7.108 million Pay-TV subscribers in the United States, including 5.323 million DISH TV subscribers and 1.785 million SLING TV subscribers.</w:t>
      </w:r>
    </w:p>
    <w:p>
      <w:pPr>
        <w:spacing w:after="0" w:line="155"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31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39" w:hanging="12"/>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HBO Max, STARZ, Peacock, Fubo, Philo and Tubi and certain bundles of these offerings.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2024 and elsewhere in our public filings. These transactions may affect us adversely by, among other things, making it more difficult for us to obtain access to certain programming networks on nondiscriminatory and fair terms, or at all.</w:t>
      </w:r>
    </w:p>
    <w:p>
      <w:pPr>
        <w:spacing w:after="0" w:line="167"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Variance</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2,446,844</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(211,537)</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15,405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17,903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(2,498)</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2,462,249</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2,676,284</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(214,035)</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1,548,971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1,638,683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(89,712)</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63.3 %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61.6 %</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9,446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17,837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(8,391)</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240,455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(26,308)</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9.8 %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10.0 %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67,825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85,249</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(17,424)</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1,866,697</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2,008,532</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(141,835)</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595,552</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667,752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(72,200)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(0.966)</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5.323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6.076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(0.753)</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(0.213)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(0.261)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(0.104)</w:t>
            </w: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(0.157)</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(0.182)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0.030</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(0.109)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(0.187)</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111.74</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0.057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0.076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(0.019)</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(0.10)</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1,150</w:t>
            </w:r>
          </w:p>
        </w:tc>
        <w:tc>
          <w:tcPr>
            <w:tcW w:w="1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938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212</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78,580</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24,574</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663,377</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753,001</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(89,624)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159" w:hanging="330"/>
        <w:spacing w:after="0" w:line="234"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the second quarter of 2025, we removed approximately 28,000 subscribers from our period end DISH TV subscriber count representing DISH TV subscribers sold during the three months ended June 30, 2025 as part of the sale of our Fiber business. This removal had no material impact on any other reported subscriber metrics, other than our period end DISH TV subscriber count.</w:t>
      </w:r>
    </w:p>
    <w:p>
      <w:pPr>
        <w:spacing w:after="0" w:line="3" w:lineRule="exact"/>
        <w:rPr>
          <w:sz w:val="20"/>
          <w:szCs w:val="20"/>
          <w:color w:val="auto"/>
        </w:rPr>
      </w:pPr>
    </w:p>
    <w:p>
      <w:pPr>
        <w:ind w:left="380" w:right="299" w:hanging="330"/>
        <w:spacing w:after="0" w:line="250" w:lineRule="auto"/>
        <w:tabs>
          <w:tab w:leader="none" w:pos="326" w:val="left"/>
        </w:tabs>
        <w:numPr>
          <w:ilvl w:val="0"/>
          <w:numId w:val="46"/>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three months ended June 30, 2025 and 2024 of $49 million and $36 million, respectively.</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152,000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182,000 net DISH TV subscribers during the same period in 2024. This decrease in net DISH TV subscriber losses primarily resulted from a lower DISH TV churn rate, partially offset by lower gross new DISH TV subscriber activations.</w:t>
      </w:r>
    </w:p>
    <w:p>
      <w:pPr>
        <w:spacing w:after="0" w:line="160" w:lineRule="exact"/>
        <w:rPr>
          <w:sz w:val="20"/>
          <w:szCs w:val="20"/>
          <w:color w:val="auto"/>
        </w:rPr>
      </w:pPr>
    </w:p>
    <w:p>
      <w:pPr>
        <w:ind w:left="60" w:right="19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109,000 net SLING TV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addition of approximately 78,000 net SLING TV subscribers during the same period in 2024. The change in net SLING TV subscribers was primarily related to lower SLING TV subscriber activations due to our emphasis on acquiring higher quality subscribers.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71" w:lineRule="exact"/>
        <w:rPr>
          <w:sz w:val="20"/>
          <w:szCs w:val="20"/>
          <w:color w:val="auto"/>
        </w:rPr>
      </w:pPr>
    </w:p>
    <w:p>
      <w:pPr>
        <w:ind w:left="60" w:right="19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2025,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57,000 gross new DISH TV subscribers compared to approximately 76,000 gross new DISH TV subscribers during the same period in 2024, a decrease of 25.0%. This decrease in our gross new DISH TV subscriber activations was primarily related to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three months ended June 30, 2025 was 1.29%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1.39% for the same period in 2024. Our DISH TV churn rates for the three months ended June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70"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$2.447 billion for the three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$212 million or 8.0% compared to the same period in 2024. The decrease in “Service revenue” compared to the same period in 2024 was primarily related to lower average Pay-TV subscriber base, partially offset by an increase in Pay-TV ARPU, discussed below.</w:t>
      </w:r>
    </w:p>
    <w:p>
      <w:pPr>
        <w:spacing w:after="0" w:line="160"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$ 111.74 during the three months ended June 30, 2025 versus $108.42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2024. The $ 3.32 or 3.1% increase in Pay-TV ARPU was primarily attributable to the DISH TV and SLING TV programming price increases. The DISH TV and SLING TV programming package price increases were effective in the third and fourth quarter of 2024, respectively.</w:t>
      </w:r>
    </w:p>
    <w:p>
      <w:pPr>
        <w:spacing w:after="0" w:line="160"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$1.549 billion during the three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$90 million or 5.5% compared to the same period in 2024. The decrease in “Cost of services” was primarily attributable to a lower average Pay-TV subscriber base, partially offset by higher programming costs per subscriber. Programming costs per subscriber increased during the three months ended June 30, 2025 due to rate increases in certain of our programming contracts, including the renewal of certain contracts at higher rates, particularly for local broadcast channels. “Cost of services” represented 63.3% and 61.6% of “Service revenue” during the three months ended June 30, 2025 and 2024, respectively. This increase primarily related to higher programming costs per subscriber.</w:t>
      </w:r>
    </w:p>
    <w:p>
      <w:pPr>
        <w:spacing w:after="0" w:line="167" w:lineRule="exact"/>
        <w:rPr>
          <w:sz w:val="20"/>
          <w:szCs w:val="20"/>
          <w:color w:val="auto"/>
        </w:rPr>
      </w:pPr>
    </w:p>
    <w:p>
      <w:pPr>
        <w:ind w:left="60" w:right="179" w:hanging="7"/>
        <w:spacing w:after="0" w:line="26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52"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 $26 million or 9.9% decrease compared to the same period in 2024.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$68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2025, a $17 million or 20.4% decrease compared to the same period in 2024. This change was primarily driven by a decrease in depreciation expense from equipment leased to new and existing DISH TV subscribers and the expiration of our Nimiq 5 finance lease in September 2024.</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$1,150 during the three months ended June 30, 2025 compared to $938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2024, an increase of $212 or 22.6%.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w:t>
      </w:r>
    </w:p>
    <w:p>
      <w:pPr>
        <w:spacing w:after="0" w:line="163"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During the three months ended June 30, 2025 and 2024, the amount of equipment capitalized under our lease program for new DISH TV subscribers totaled $8 million and $6 million, respectively.</w:t>
      </w:r>
    </w:p>
    <w:p>
      <w:pPr>
        <w:spacing w:after="0" w:line="140"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Arial" w:cs="Arial" w:eastAsia="Arial" w:hAnsi="Arial"/>
          <w:sz w:val="18"/>
          <w:szCs w:val="18"/>
          <w:i w:val="1"/>
          <w:iCs w:val="1"/>
          <w:color w:val="auto"/>
        </w:rPr>
        <w:t>“Liquidity and Capital Resources – Subscriber Acquisition and Retention Costs.”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For the Six Months Ended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4,971,196</w:t>
            </w:r>
          </w:p>
        </w:tc>
        <w:tc>
          <w:tcPr>
            <w:tcW w:w="20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5,359,560</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(388,364)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29,780</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(13,522)</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5,000,976</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5,402,862</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(401,886)</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3,105,607</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3,303,128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(197,521)</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62.5 %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61.6 %</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19,118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34,829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(15,711)</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483,001</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556,394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(73,393)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9.7 %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10.3 %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144,268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170,651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(26,383)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3,751,994</w:t>
            </w: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4,065,002</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(313,008)</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1,248,982</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1,337,860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(88,878)</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7.108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(0.966)</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5.323</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(0.753)</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(0.213)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(0.642)</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(0.452)</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(0.190)</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(0.335)</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(0.395)</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0.060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4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SLING TV subscriber additions (losses), net (in</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millions)</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(0.307)</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(0.057)</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(0.250)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Pay-TV ARPU</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111.18</w:t>
            </w:r>
          </w:p>
        </w:tc>
        <w:tc>
          <w:tcPr>
            <w:tcW w:w="20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107.89</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0.103</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(0.052)</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DISH TV churn rate</w:t>
            </w: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(0.13)</w:t>
            </w: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SAC</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140,968</w:t>
            </w:r>
          </w:p>
        </w:tc>
        <w:tc>
          <w:tcPr>
            <w:tcW w:w="20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111,918</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29,050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1,393,250</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1,508,511</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(115,261)</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196850</wp:posOffset>
            </wp:positionV>
            <wp:extent cx="14141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59" w:hanging="330"/>
        <w:spacing w:after="0" w:line="234" w:lineRule="auto"/>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second quarter of 2025, we removed approximately 28,000 subscribers from our period end DISH TV subscriber count representing DISH TV subscribers sold during the six months ended June 30, 2025 as part of the sale of our Fiber business. This removal had no material impact on any other reported subscriber metrics, other than our period end DISH TV subscriber count.</w:t>
      </w:r>
    </w:p>
    <w:p>
      <w:pPr>
        <w:spacing w:after="0" w:line="3" w:lineRule="exact"/>
        <w:rPr>
          <w:sz w:val="20"/>
          <w:szCs w:val="20"/>
          <w:color w:val="auto"/>
        </w:rPr>
      </w:pPr>
    </w:p>
    <w:p>
      <w:pPr>
        <w:ind w:left="380" w:right="479" w:hanging="330"/>
        <w:spacing w:after="0" w:line="250" w:lineRule="auto"/>
        <w:tabs>
          <w:tab w:leader="none" w:pos="3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six months ended June 30, 2025 and 2024 of $74 million and $66 million, respectively.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335,000 net DISH TV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compared to the loss of approximately 395,000 net DISH TV subscribers during the same period in 2024. This decrease in net DISH TV subscriber losses primarily resulted from a lower DISH TV churn rate, partially offset by lower gross new DISH TV subscriber activations.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hanging="12"/>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307,000 net SLING TV subscribers during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loss of approximately 57,000 net SLING TV subscribers during the same period in 2024. The increase in net SLING TV subscriber losses was primarily related to lower SLING TV subscriber activations due to our emphasis on acquiring higher quality subscribers and higher SLING TV subscriber disconnects in 2025.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71" w:lineRule="exact"/>
        <w:rPr>
          <w:sz w:val="20"/>
          <w:szCs w:val="20"/>
          <w:color w:val="auto"/>
        </w:rPr>
      </w:pPr>
    </w:p>
    <w:p>
      <w:pPr>
        <w:ind w:left="60" w:right="19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2025,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103,000 gross new DISH TV subscribers compared to approximately 155,000 gross new DISH TV subscribers during the same period in 2024, a decrease of 33.5%. This decrease in our gross new DISH TV subscriber activations was primarily related to lower marketing expenditures, the lack of demand and shifting consumer behavior,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six months ended June 30, 2025 was 1.33%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1.46% for the same period in 2024. Our DISH TV churn rates for the six months ended June 30, 2025 and 2024 were positively impacted by our continued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70" w:lineRule="exact"/>
        <w:rPr>
          <w:sz w:val="20"/>
          <w:szCs w:val="20"/>
          <w:color w:val="auto"/>
        </w:rPr>
      </w:pPr>
    </w:p>
    <w:p>
      <w:pPr>
        <w:jc w:val="both"/>
        <w:ind w:left="60" w:right="15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$4.971 billion for the six months ended June 30, 2025,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$ 388 million or 7.2% compared to the same period in 2024. The decrease in “Service revenue” compared to the same period in 2024 was primarily related to lower average Pay-TV subscriber base, partially offset by an increase in Pay-TV ARPU, discussed below.</w:t>
      </w:r>
    </w:p>
    <w:p>
      <w:pPr>
        <w:spacing w:after="0" w:line="160"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$111.18 during the six months ended June 30, 2025 versus $ 107.89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The $3.29 or 3.0% increase in Pay-TV ARPU was primarily attributable to the DISH TV and SLING TV programming price increases. The DISH TV and SLING TV programming package price increases were effective in the third and fourth quarter of 2024, respectively.</w:t>
      </w:r>
    </w:p>
    <w:p>
      <w:pPr>
        <w:spacing w:after="0" w:line="160" w:lineRule="exact"/>
        <w:rPr>
          <w:sz w:val="20"/>
          <w:szCs w:val="20"/>
          <w:color w:val="auto"/>
        </w:rPr>
      </w:pPr>
    </w:p>
    <w:p>
      <w:pPr>
        <w:ind w:left="60" w:right="9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$3.106 billion during the six months ended June 30, 2025,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$198 million or 6.0% compared to the same period in 2024. The decrease in “Cost of services” was primarily attributable to a lower average Pay-TV subscriber base, partially offset by higher programming costs per subscriber. Programming costs per subscriber increased during the three months ended June 30, 2025 due to rate increases in certain of our programming contracts, including the renewal of certain contracts at higher rates, particularly for local broadcast channels. “Cost of services” represented 62.5% and 61.6% of “Service revenue” during the six months ended June 30, 2025 and 2024, respectively. This increase primarily related to higher programming costs per subscriber.</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$483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2025, a $73 million or 13.2% decrease compared to the same period in 2024.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$144 million during the</w:t>
      </w:r>
    </w:p>
    <w:p>
      <w:pPr>
        <w:spacing w:after="0" w:line="14" w:lineRule="exact"/>
        <w:rPr>
          <w:sz w:val="20"/>
          <w:szCs w:val="20"/>
          <w:color w:val="auto"/>
        </w:rPr>
      </w:pPr>
    </w:p>
    <w:p>
      <w:pPr>
        <w:ind w:left="60" w:right="239"/>
        <w:spacing w:after="0" w:line="242" w:lineRule="auto"/>
        <w:rPr>
          <w:sz w:val="20"/>
          <w:szCs w:val="20"/>
          <w:color w:val="auto"/>
        </w:rPr>
      </w:pPr>
      <w:r>
        <w:rPr>
          <w:rFonts w:ascii="Arial" w:cs="Arial" w:eastAsia="Arial" w:hAnsi="Arial"/>
          <w:sz w:val="18"/>
          <w:szCs w:val="18"/>
          <w:color w:val="auto"/>
        </w:rPr>
        <w:t>six months ended June 30, 2025, a $26 million or 15.5% decrease compared to the same period in 2024. This change was primarily driven by a decrease in depreciation expense from equipment leased to new and existing DISH TV subscribers and the expiration of our Nimiq 5 finance lease in September 2024.</w:t>
      </w:r>
    </w:p>
    <w:p>
      <w:pPr>
        <w:spacing w:after="0" w:line="166"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$1,150 during the six months ended June 30, 2025 compared to $997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an increase of $ 153 or 15.3%. This change was primarily attributable to an increase in advertising costs per subscriber, a higher percentage of new receivers compared to remanufactured receivers being activated on new subscriber accounts and higher commission costs due to our emphasis on acquiring higher quality subscribers. While our marketing expenditures decreased during the six months ended June 30, 2025 compared to the same period in 2024, our gross new DISH TV subscriber activations decreased at a higher rate, resulting in an increase in advertising costs per subscriber.</w:t>
      </w:r>
    </w:p>
    <w:p>
      <w:pPr>
        <w:spacing w:after="0" w:line="171"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During the six months ended June 30, 2025 and 2024, the amount of equipment capitalized under our lease program for new DISH TV subscribers totaled $15 million and $13 million, respectively.</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Segment</w:t>
      </w:r>
    </w:p>
    <w:p>
      <w:pPr>
        <w:spacing w:after="0" w:line="196"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Our Wireless segment business strategy is to expand our current target segments and profitably grow our Wireless subscriber base and commercialize and grow customer traffic on our 5G Network. We intend to grow our Wireless subscriber base by acquiring and retaining high quality subscribers with competitive offers, choice and outstanding customer service that better meet those subscribers’ needs and budget.</w:t>
      </w:r>
    </w:p>
    <w:p>
      <w:pPr>
        <w:spacing w:after="0" w:line="16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 xml:space="preserve">Our Wireless segment provides Wireless communication services and products. We currently offer our Wireless services for </w:t>
      </w:r>
      <w:r>
        <w:rPr>
          <w:rFonts w:ascii="Arial" w:cs="Arial" w:eastAsia="Arial" w:hAnsi="Arial"/>
          <w:sz w:val="18"/>
          <w:szCs w:val="18"/>
          <w:color w:val="0A0A0A"/>
        </w:rPr>
        <w:t>5G VoNR</w:t>
      </w:r>
      <w:r>
        <w:rPr>
          <w:rFonts w:ascii="Arial" w:cs="Arial" w:eastAsia="Arial" w:hAnsi="Arial"/>
          <w:sz w:val="18"/>
          <w:szCs w:val="18"/>
          <w:color w:val="auto"/>
        </w:rPr>
        <w:t xml:space="preserve"> to over 223 million Americans and for 5G broadband service to over 269 million Americans, as well as a competitive portfolio of wireless devices. We offer nationwide Wireless services to subscribers primarily under our Boost Mobile and Gen Mobile brands.</w:t>
      </w:r>
    </w:p>
    <w:p>
      <w:pPr>
        <w:spacing w:after="0" w:line="16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We are currently operating primarily as an MVNO as we continue to commercialize and grow customer traffic on our 5G Network. We are transitioning to an MNO as our 5G Network has become commercially available and we grow customer traffic on our 5G Network. We are currently activating Boost Mobile subscribers with compatible devices onto our 5G Network in markets where we have reached 5G </w:t>
      </w:r>
      <w:r>
        <w:rPr>
          <w:rFonts w:ascii="Arial" w:cs="Arial" w:eastAsia="Arial" w:hAnsi="Arial"/>
          <w:sz w:val="18"/>
          <w:szCs w:val="18"/>
          <w:color w:val="0A0A0A"/>
        </w:rPr>
        <w:t>VoNR</w:t>
      </w:r>
      <w:r>
        <w:rPr>
          <w:rFonts w:ascii="Arial" w:cs="Arial" w:eastAsia="Arial" w:hAnsi="Arial"/>
          <w:sz w:val="18"/>
          <w:szCs w:val="18"/>
          <w:color w:val="auto"/>
        </w:rPr>
        <w:t xml:space="preserve">. We currently offer a broad range of premium wireless devices on our 5G Network, including the Apple iPhone 15 and newer generation iPhones, as well as a wide selection of Samsung, Motorola and other premium devices and accessories. We have deployed </w:t>
      </w:r>
      <w:r>
        <w:rPr>
          <w:rFonts w:ascii="Arial" w:cs="Arial" w:eastAsia="Arial" w:hAnsi="Arial"/>
          <w:sz w:val="18"/>
          <w:szCs w:val="18"/>
          <w:color w:val="0A0A0A"/>
        </w:rPr>
        <w:t>5G VoNR covering over 223 million Americans.</w:t>
      </w:r>
      <w:r>
        <w:rPr>
          <w:rFonts w:ascii="Arial" w:cs="Arial" w:eastAsia="Arial" w:hAnsi="Arial"/>
          <w:sz w:val="18"/>
          <w:szCs w:val="18"/>
          <w:color w:val="auto"/>
        </w:rPr>
        <w:t xml:space="preserve"> Within our MVNO operations, today we depend in part on T-Mobile and AT&amp;T to provide us with network services under the MNSA and NSA, respectively. As of June 30, 2025, we had 7.357 million Wireless subscribers.</w:t>
      </w:r>
    </w:p>
    <w:p>
      <w:pPr>
        <w:spacing w:after="0" w:line="17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color w:val="auto"/>
        </w:rPr>
        <w:t>Currently, we offer Wireless subscribers competitive consumer plans with no annual service contracts and monthly service plans including high-speed data and unlimited talk and text. We also offer a variety of value-added services, including, but not limited to, device payment and protection plans, international calling and text plans, and device financing arrangements for certain qualified subscribers.</w:t>
      </w:r>
    </w:p>
    <w:p>
      <w:pPr>
        <w:spacing w:after="0" w:line="160"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Historically, a portion of our Wireless subscriber base and revenue was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who received benefits under the ACP program. The FCC began taking steps to wind down the ACP program and stopped accepting new applications and enrollments on February 7, 2024. Households enrolled in the ACP program continued to receive the benefit on their service through April 2024. In May 2024, households received a partial benefit and on June 1, 2024 the ACP program funding concluded and households no longer received their benefit. Although we implemented plans to retain and/or migrate these subscribers to lower priced service plans, these subscribers began deactivating in the second and third quarters of 2024. As of December 31, 2024, we had no Wireless ACP subscribers. Generally, ACP subscribers have lower Wireless ARPU than other Wireless subscribers and as a result, any loss of ACP subscribers had a nominal impact on pre-tax net income.</w:t>
      </w:r>
    </w:p>
    <w:p>
      <w:pPr>
        <w:spacing w:after="0" w:line="166" w:lineRule="exact"/>
        <w:rPr>
          <w:sz w:val="20"/>
          <w:szCs w:val="20"/>
          <w:color w:val="auto"/>
        </w:rPr>
      </w:pPr>
    </w:p>
    <w:p>
      <w:pPr>
        <w:ind w:left="60" w:right="239"/>
        <w:spacing w:after="0" w:line="259" w:lineRule="auto"/>
        <w:rPr>
          <w:sz w:val="20"/>
          <w:szCs w:val="20"/>
          <w:color w:val="auto"/>
        </w:rPr>
      </w:pPr>
      <w:r>
        <w:rPr>
          <w:rFonts w:ascii="Arial" w:cs="Arial" w:eastAsia="Arial" w:hAnsi="Arial"/>
          <w:sz w:val="17"/>
          <w:szCs w:val="17"/>
          <w:color w:val="auto"/>
        </w:rPr>
        <w:t>We have invested a total of over $30 billion in Wireless spectrum licenses. The $30 billion of investments related to Wireless spectrum licenses does not include $10 billion of capitalized interest related to the carrying value of such licenses. See Note 2 and Note 10 in the Notes to our Condensed Consolidated Financial Statements for further information. We continue to commercialize our Wireless spectrum licenses through the completion of our 5G Network. We have committed to the FCC to deploy a facilities-based 5G broadband network capable of serving increasingly larger portions of the U.S. population at different deadlines.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We will need to raise additional capital in the future</w:t>
      </w:r>
      <w:r>
        <w:rPr>
          <w:rFonts w:ascii="Arial" w:cs="Arial" w:eastAsia="Arial" w:hAnsi="Arial"/>
          <w:sz w:val="18"/>
          <w:szCs w:val="18"/>
          <w:color w:val="222222"/>
        </w:rPr>
        <w:t>,</w:t>
      </w:r>
      <w:r>
        <w:rPr>
          <w:rFonts w:ascii="Arial" w:cs="Arial" w:eastAsia="Arial" w:hAnsi="Arial"/>
          <w:sz w:val="18"/>
          <w:szCs w:val="18"/>
          <w:color w:val="auto"/>
        </w:rPr>
        <w:t xml:space="preserve"> which may not be available on favorable terms or at all,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in the Notes to our Condensed Consolidated Financial Statements for further information.</w:t>
      </w:r>
    </w:p>
    <w:p>
      <w:pPr>
        <w:spacing w:after="0" w:line="171"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w:t>
      </w:r>
      <w:r>
        <w:rPr>
          <w:rFonts w:ascii="Arial" w:cs="Arial" w:eastAsia="Arial" w:hAnsi="Arial"/>
          <w:sz w:val="18"/>
          <w:szCs w:val="18"/>
          <w:color w:val="0A0A0A"/>
        </w:rPr>
        <w:t>In September 2024, the FCC conditionally granted our requests to extend the 5G</w:t>
      </w:r>
      <w:r>
        <w:rPr>
          <w:rFonts w:ascii="Arial" w:cs="Arial" w:eastAsia="Arial" w:hAnsi="Arial"/>
          <w:sz w:val="18"/>
          <w:szCs w:val="18"/>
          <w:color w:val="auto"/>
        </w:rPr>
        <w:t xml:space="preserve"> </w:t>
      </w:r>
      <w:r>
        <w:rPr>
          <w:rFonts w:ascii="Arial" w:cs="Arial" w:eastAsia="Arial" w:hAnsi="Arial"/>
          <w:sz w:val="18"/>
          <w:szCs w:val="18"/>
          <w:color w:val="0A0A0A"/>
        </w:rPr>
        <w:t xml:space="preserve">deployment deadlines for certain of our </w:t>
      </w:r>
      <w:r>
        <w:rPr>
          <w:rFonts w:ascii="Arial" w:cs="Arial" w:eastAsia="Arial" w:hAnsi="Arial"/>
          <w:sz w:val="18"/>
          <w:szCs w:val="18"/>
          <w:color w:val="000000"/>
        </w:rPr>
        <w:t>Wireless spectrum licenses</w:t>
      </w:r>
      <w:r>
        <w:rPr>
          <w:rFonts w:ascii="Arial" w:cs="Arial" w:eastAsia="Arial" w:hAnsi="Arial"/>
          <w:sz w:val="18"/>
          <w:szCs w:val="18"/>
          <w:color w:val="0A0A0A"/>
        </w:rPr>
        <w:t xml:space="preserve"> based on several commitments and </w:t>
      </w:r>
      <w:r>
        <w:rPr>
          <w:rFonts w:ascii="Arial" w:cs="Arial" w:eastAsia="Arial" w:hAnsi="Arial"/>
          <w:sz w:val="18"/>
          <w:szCs w:val="18"/>
          <w:color w:val="222222"/>
        </w:rPr>
        <w:t>in a</w:t>
      </w:r>
      <w:r>
        <w:rPr>
          <w:rFonts w:ascii="Arial" w:cs="Arial" w:eastAsia="Arial" w:hAnsi="Arial"/>
          <w:sz w:val="18"/>
          <w:szCs w:val="18"/>
          <w:color w:val="0A0A0A"/>
        </w:rPr>
        <w:t xml:space="preserve"> </w:t>
      </w:r>
      <w:r>
        <w:rPr>
          <w:rFonts w:ascii="Arial" w:cs="Arial" w:eastAsia="Arial" w:hAnsi="Arial"/>
          <w:sz w:val="18"/>
          <w:szCs w:val="18"/>
          <w:color w:val="222222"/>
        </w:rPr>
        <w:t>January 10, 2025 filing to the FCC</w:t>
      </w:r>
      <w:r>
        <w:rPr>
          <w:rFonts w:ascii="Arial" w:cs="Arial" w:eastAsia="Arial" w:hAnsi="Arial"/>
          <w:sz w:val="18"/>
          <w:szCs w:val="18"/>
          <w:color w:val="0A0A0A"/>
        </w:rPr>
        <w:t>,</w:t>
      </w:r>
      <w:r>
        <w:rPr>
          <w:rFonts w:ascii="Arial" w:cs="Arial" w:eastAsia="Arial" w:hAnsi="Arial"/>
          <w:sz w:val="18"/>
          <w:szCs w:val="18"/>
          <w:color w:val="222222"/>
        </w:rPr>
        <w:t xml:space="preserve"> we certified to meeting the accelerated build-out (Commitments #2 and #3 of the Extension Request) and the nationwide 80% coverage obligations (Commitment #1 of the Extension Request) </w:t>
      </w:r>
      <w:r>
        <w:rPr>
          <w:rFonts w:ascii="Arial" w:cs="Arial" w:eastAsia="Arial" w:hAnsi="Arial"/>
          <w:sz w:val="18"/>
          <w:szCs w:val="18"/>
          <w:color w:val="000000"/>
        </w:rPr>
        <w:t>due by December 31, 2024. Thus, pursuant to the Extension Request, the final deployment deadlines</w:t>
      </w:r>
      <w:r>
        <w:rPr>
          <w:rFonts w:ascii="Arial" w:cs="Arial" w:eastAsia="Arial" w:hAnsi="Arial"/>
          <w:sz w:val="18"/>
          <w:szCs w:val="18"/>
          <w:color w:val="222222"/>
        </w:rPr>
        <w:t xml:space="preserve"> </w:t>
      </w:r>
      <w:r>
        <w:rPr>
          <w:rFonts w:ascii="Arial" w:cs="Arial" w:eastAsia="Arial" w:hAnsi="Arial"/>
          <w:sz w:val="18"/>
          <w:szCs w:val="18"/>
          <w:color w:val="000000"/>
        </w:rPr>
        <w:t xml:space="preserve">for the licenses subject to the Extension Request (listed in Appendix G) shall be extended to December 14, 2026. While the FCC has not yet updated the build-out deadlines in the Universal Licensing System, the licenses remain in effect based upon the submission of our build-out certifications. In addition, the final deployment deadlines for the licenses subject to the Extension Request (listed in Appendix G) shall be further extended to June 14, 2028 as long as we satisfy the remaining Extension Request commitments. See Note 10 in the Notes to our Condensed Consolidated Financial Statements </w:t>
      </w:r>
      <w:r>
        <w:rPr>
          <w:rFonts w:ascii="Arial" w:cs="Arial" w:eastAsia="Arial" w:hAnsi="Arial"/>
          <w:sz w:val="18"/>
          <w:szCs w:val="18"/>
          <w:color w:val="0A0A0A"/>
        </w:rPr>
        <w:t>for definitions and further details. Also</w:t>
      </w:r>
      <w:r>
        <w:rPr>
          <w:rFonts w:ascii="Arial" w:cs="Arial" w:eastAsia="Arial" w:hAnsi="Arial"/>
          <w:sz w:val="18"/>
          <w:szCs w:val="18"/>
          <w:color w:val="000000"/>
        </w:rPr>
        <w:t xml:space="preserve"> see Note 1 “</w:t>
      </w:r>
      <w:r>
        <w:rPr>
          <w:rFonts w:ascii="Arial" w:cs="Arial" w:eastAsia="Arial" w:hAnsi="Arial"/>
          <w:sz w:val="18"/>
          <w:szCs w:val="18"/>
          <w:i w:val="1"/>
          <w:iCs w:val="1"/>
          <w:color w:val="000000"/>
        </w:rPr>
        <w:t>Recent Developments</w:t>
      </w:r>
      <w:r>
        <w:rPr>
          <w:rFonts w:ascii="Arial" w:cs="Arial" w:eastAsia="Arial" w:hAnsi="Arial"/>
          <w:sz w:val="18"/>
          <w:szCs w:val="18"/>
          <w:color w:val="000000"/>
        </w:rPr>
        <w:t>” in the Notes to our Condensed Consolidated Financial Statements for additional information.</w:t>
      </w:r>
    </w:p>
    <w:p>
      <w:pPr>
        <w:spacing w:after="0" w:line="17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will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will need to raise additional capital, which may not be available on favorable terms or at all. We may also determine that additional wireless spectrum licenses may be required for our 5G Network deployment, which will enhance our ability to compete effectively with other wireless service providers.</w:t>
      </w:r>
    </w:p>
    <w:p>
      <w:pPr>
        <w:spacing w:after="0" w:line="172" w:lineRule="exact"/>
        <w:rPr>
          <w:sz w:val="20"/>
          <w:szCs w:val="20"/>
          <w:color w:val="auto"/>
        </w:rPr>
      </w:pPr>
    </w:p>
    <w:p>
      <w:pPr>
        <w:ind w:left="60" w:right="79"/>
        <w:spacing w:after="0"/>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Wireless communication services is a mature market with moderate year over year organic</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67" w:lineRule="exact"/>
        <w:rPr>
          <w:sz w:val="20"/>
          <w:szCs w:val="20"/>
          <w:color w:val="auto"/>
        </w:rPr>
      </w:pPr>
    </w:p>
    <w:p>
      <w:pPr>
        <w:ind w:left="60" w:right="139" w:hanging="7"/>
        <w:spacing w:after="0" w:line="247" w:lineRule="auto"/>
        <w:rPr>
          <w:sz w:val="20"/>
          <w:szCs w:val="20"/>
          <w:color w:val="auto"/>
        </w:rPr>
      </w:pPr>
      <w:r>
        <w:rPr>
          <w:rFonts w:ascii="Arial" w:cs="Arial" w:eastAsia="Arial" w:hAnsi="Arial"/>
          <w:sz w:val="18"/>
          <w:szCs w:val="18"/>
          <w:color w:val="auto"/>
        </w:rPr>
        <w:t>Additional primary competitors to our Wireless segment include, but are not limited to, Metro PCS (owned by T-Mobile), Cricket Wireless (owned by AT&amp;T), Visible (owned by Verizon), Tracfone Wireless (owned by Verizon), Total Wireless (owned by Verizon), Mint Mobile (owned by T-Mobile) and other MVNOs such as Consumer Cellular, Spectrum Mobile and Xfinity Mobile.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823,722</w:t>
            </w:r>
          </w:p>
        </w:tc>
        <w:tc>
          <w:tcPr>
            <w:tcW w:w="1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785,135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38,587</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110,909</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107,593</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934,631</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892,728</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41,903</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801,181</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745,504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55,677</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97.3 %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95.0 %</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282,045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312,983</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(30,938)</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303,385</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228,680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74,705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32.5 %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25.6 %</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320,968</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305,863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15,105</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1,707,579</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1,593,030</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114,549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(772,948)</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(700,302)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(72,646)</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7.357</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7.281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0.076</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0.634</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0.028</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0.212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(0.016)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0.228</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Wireless churn rate</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2.69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(0.24)</w:t>
            </w: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171,475</w:t>
            </w:r>
          </w:p>
        </w:tc>
        <w:tc>
          <w:tcPr>
            <w:tcW w:w="1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236,745</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(65,270)</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4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(451,980)</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(394,439)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(57,541)</w:t>
            </w: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219" w:hanging="12"/>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added approximately 212,000 net Wireless subscribers during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loss of approximately 16,000 net Wireless subscribers during the same period in 2024. The change in net Wireless subscribers primarily resulted from higher net Government subsidized subscribers, a lower Wireless churn rate, and higher gross new Wireless subscriber activations compared to the same period in 2024. In addition, the three months ended June 30, 2024 was negatively impacted by net losses of Government subsidized subscribers as a result of the ACP program funding concluding on June 1, 2024. See “Wireless Segment – ACP Subscribers” for further information.</w:t>
      </w:r>
    </w:p>
    <w:p>
      <w:pPr>
        <w:spacing w:after="0" w:line="171" w:lineRule="exact"/>
        <w:rPr>
          <w:sz w:val="20"/>
          <w:szCs w:val="20"/>
          <w:color w:val="auto"/>
        </w:rPr>
      </w:pPr>
    </w:p>
    <w:p>
      <w:pPr>
        <w:ind w:left="60" w:right="11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2025,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634,000 gross new Wireless subscribers compared to approximately 606,000 gross new Wireless subscribers during the same period in 2024, an increase of 4.6%.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June 30, 2025 was 2.69%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2.93% for the same period in 2024. Our Wireless churn rates for the three months ended June 30, 2025 and 2024 were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159" w:hanging="7"/>
        <w:spacing w:after="0" w:line="275" w:lineRule="auto"/>
        <w:rPr>
          <w:sz w:val="20"/>
          <w:szCs w:val="20"/>
          <w:color w:val="auto"/>
        </w:rPr>
      </w:pPr>
      <w:r>
        <w:rPr>
          <w:rFonts w:ascii="Arial" w:cs="Arial" w:eastAsia="Arial" w:hAnsi="Arial"/>
          <w:sz w:val="17"/>
          <w:szCs w:val="17"/>
          <w:b w:val="1"/>
          <w:bCs w:val="1"/>
          <w:i w:val="1"/>
          <w:iCs w:val="1"/>
          <w:color w:val="auto"/>
        </w:rPr>
        <w:t xml:space="preserve">Service revenue. </w:t>
      </w:r>
      <w:r>
        <w:rPr>
          <w:rFonts w:ascii="Arial" w:cs="Arial" w:eastAsia="Arial" w:hAnsi="Arial"/>
          <w:sz w:val="17"/>
          <w:szCs w:val="17"/>
          <w:color w:val="auto"/>
        </w:rPr>
        <w:t>“Service revenue” totaled $824 million for the three months ended June 30, 2025,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$ 39 million or 4.9% compared to the same period in 2024. The increase in “Service revenue” compared to the same period in 2024 was primarily related to an increase in Wireless ARPU, discussed below.</w:t>
      </w:r>
    </w:p>
    <w:p>
      <w:pPr>
        <w:spacing w:after="0" w:line="138" w:lineRule="exact"/>
        <w:rPr>
          <w:sz w:val="20"/>
          <w:szCs w:val="20"/>
          <w:color w:val="auto"/>
        </w:rPr>
      </w:pPr>
    </w:p>
    <w:p>
      <w:pPr>
        <w:jc w:val="both"/>
        <w:ind w:left="60" w:right="319" w:hanging="12"/>
        <w:spacing w:after="0" w:line="247"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$37.40 during the three months ended June 30, 2025 versus $35.91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2024. The $1.49 or 4.1% increase in Wireless ARPU was primarily attributable to, among other things, a shift in subscriber plan mix to higher priced service plans and increased sales of value added services.</w:t>
      </w:r>
    </w:p>
    <w:p>
      <w:pPr>
        <w:spacing w:after="0" w:line="160" w:lineRule="exact"/>
        <w:rPr>
          <w:sz w:val="20"/>
          <w:szCs w:val="20"/>
          <w:color w:val="auto"/>
        </w:rPr>
      </w:pPr>
    </w:p>
    <w:p>
      <w:pPr>
        <w:ind w:left="60" w:right="159" w:hanging="7"/>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$111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June 30, 2025, an increase of $3 million or 3.1% compared to the same period in 2024. The increase in “Equipment sales and other revenue” compared to the same period in 2024 was primarily related to an increase in sales of wireless devices with </w:t>
      </w:r>
      <w:r>
        <w:rPr>
          <w:rFonts w:ascii="Arial" w:cs="Arial" w:eastAsia="Arial" w:hAnsi="Arial"/>
          <w:sz w:val="18"/>
          <w:szCs w:val="18"/>
          <w:color w:val="222222"/>
        </w:rPr>
        <w:t>h</w:t>
      </w:r>
      <w:r>
        <w:rPr>
          <w:rFonts w:ascii="Arial" w:cs="Arial" w:eastAsia="Arial" w:hAnsi="Arial"/>
          <w:sz w:val="18"/>
          <w:szCs w:val="18"/>
          <w:color w:val="auto"/>
        </w:rPr>
        <w:t>igher revenue per unit, partially offset by a decrease in units shipped. During the three months ended June 30, 2025, we sold a higher percentage of devices that are compatible with our 5G Network and other devices that have a higher revenue per unit.</w:t>
      </w:r>
    </w:p>
    <w:p>
      <w:pPr>
        <w:spacing w:after="0" w:line="165" w:lineRule="exact"/>
        <w:rPr>
          <w:sz w:val="20"/>
          <w:szCs w:val="20"/>
          <w:color w:val="auto"/>
        </w:rPr>
      </w:pPr>
    </w:p>
    <w:p>
      <w:pPr>
        <w:ind w:left="60" w:right="239" w:hanging="7"/>
        <w:spacing w:after="0" w:line="259"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$801 million for the three months ended June 30, 2025,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$ 56 million or 7.5% compared to the same period in 2024. The increase in “Cost of services” compared to the same period in 2024 was primarily attributable to an increase in lease expense on communication towers, transport and other related costs for our 5G Network, higher monthly dealer incentive costs due to our emphasis on acquiring higher quality, long-term subscribers and higher other variable costs, partially offset by lower network services costs per subscriber as we grow customer traffic on our 5G Network.</w:t>
      </w:r>
    </w:p>
    <w:p>
      <w:pPr>
        <w:spacing w:after="0" w:line="152" w:lineRule="exact"/>
        <w:rPr>
          <w:sz w:val="20"/>
          <w:szCs w:val="20"/>
          <w:color w:val="auto"/>
        </w:rPr>
      </w:pPr>
    </w:p>
    <w:p>
      <w:pPr>
        <w:ind w:left="60" w:right="159"/>
        <w:spacing w:after="0" w:line="259" w:lineRule="auto"/>
        <w:rPr>
          <w:sz w:val="20"/>
          <w:szCs w:val="20"/>
          <w:color w:val="auto"/>
        </w:rPr>
      </w:pPr>
      <w:r>
        <w:rPr>
          <w:rFonts w:ascii="Arial" w:cs="Arial" w:eastAsia="Arial" w:hAnsi="Arial"/>
          <w:sz w:val="17"/>
          <w:szCs w:val="17"/>
          <w:b w:val="1"/>
          <w:bCs w:val="1"/>
          <w:i w:val="1"/>
          <w:iCs w:val="1"/>
          <w:color w:val="auto"/>
        </w:rPr>
        <w:t xml:space="preserve">Cost of sales – equipment and other. </w:t>
      </w:r>
      <w:r>
        <w:rPr>
          <w:rFonts w:ascii="Arial" w:cs="Arial" w:eastAsia="Arial" w:hAnsi="Arial"/>
          <w:sz w:val="17"/>
          <w:szCs w:val="17"/>
          <w:color w:val="auto"/>
        </w:rPr>
        <w:t>“Cost of sales – equipment and other” totaled $ 282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three months ended June 30, 2025, a decrease of $31 million or 9.9% compared to the same period in 2024. The decrease in “Cost of sales – equipment and other” compared to the same period in 2024 primarily resulted from a decrease in units shipped and higher vendor rebates, partially offset by an increase in sales of wireless devices with higher costs per unit. During the three months ended June 30, 2025, we sold a higher percentage of devices that are compatible with our 5G Network and other devices that have a higher cost per unit.</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$303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 $75 million or 32.7% increase compared to the same period in 2024. This increase was primarily driven by higher marketing expenditures and an increase in costs to support the Wireless segment.</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$321 million during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$15 million or 4.9% increase compared to the same period in 2024. This change was primarily driven by an increase in depreciation and amortization expense related to 5G Network assets being placed in service during 2024 and 2025. This increase was partially offset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rPr>
              <w:t>For the Six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1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center"/>
              <w:ind w:left="63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Variance</w:t>
            </w:r>
          </w:p>
        </w:tc>
        <w:tc>
          <w:tcPr>
            <w:tcW w:w="6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0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1,633,329</w:t>
            </w:r>
          </w:p>
        </w:tc>
        <w:tc>
          <w:tcPr>
            <w:tcW w:w="180" w:type="dxa"/>
            <w:vAlign w:val="bottom"/>
          </w:tcPr>
          <w:p>
            <w:pPr>
              <w:spacing w:after="0"/>
              <w:rPr>
                <w:sz w:val="16"/>
                <w:szCs w:val="16"/>
                <w:color w:val="auto"/>
              </w:rPr>
            </w:pP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1,589,401</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43,928</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274,077</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217,333</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56,744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1,907,406</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1,806,734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100,672</w:t>
            </w:r>
          </w:p>
        </w:tc>
        <w:tc>
          <w:tcPr>
            <w:tcW w:w="1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1,567,381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1,509,612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57,769</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96.0 %</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95.0 %</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631,290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602,525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28,765</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575,779</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452,532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123,247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30.2 %</w:t>
            </w: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25.0 %</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628,206</w:t>
            </w: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587,535</w:t>
            </w: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40,671</w:t>
            </w:r>
          </w:p>
        </w:tc>
        <w:tc>
          <w:tcPr>
            <w:tcW w:w="1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0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3,402,656</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3,152,204</w:t>
            </w:r>
          </w:p>
        </w:tc>
        <w:tc>
          <w:tcPr>
            <w:tcW w:w="2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250,452</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(1,495,250)</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(1,345,470)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(149,780)</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7.357</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7.281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0.076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0.105</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10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Wireless subscriber additions (losses), net (in millions)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0.362</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(0.097)</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0.459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w:t>
            </w: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Wireless churn rate</w:t>
            </w:r>
          </w:p>
        </w:tc>
        <w:tc>
          <w:tcPr>
            <w:tcW w:w="1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2.75 </w:t>
            </w:r>
            <w:r>
              <w:rPr>
                <w:rFonts w:ascii="Arial" w:cs="Arial" w:eastAsia="Arial" w:hAnsi="Arial"/>
                <w:sz w:val="16"/>
                <w:szCs w:val="16"/>
                <w:b w:val="1"/>
                <w:bCs w:val="1"/>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(0.24)</w:t>
            </w:r>
            <w:r>
              <w:rPr>
                <w:rFonts w:ascii="Arial" w:cs="Arial" w:eastAsia="Arial" w:hAnsi="Arial"/>
                <w:sz w:val="16"/>
                <w:szCs w:val="16"/>
                <w:b w:val="1"/>
                <w:bCs w:val="1"/>
                <w:color w:val="auto"/>
              </w:rPr>
              <w:t>%</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335,411</w:t>
            </w:r>
          </w:p>
        </w:tc>
        <w:tc>
          <w:tcPr>
            <w:tcW w:w="1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627,834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(292,423)</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(867,044)</w:t>
            </w:r>
          </w:p>
        </w:tc>
        <w:tc>
          <w:tcPr>
            <w:tcW w:w="3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(757,935)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(109,109)</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219" w:hanging="12"/>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added approximately 362,000 net Wireless subscribers during the six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June 30, 2025 compared to the loss of approximately 97,000 net Wireless subscribers during the same period in 2024. The change in net Wireless subscribers primarily resulted from higher net Government subsidized subscribers, a lower Wireless churn rate and higher gross new Wireless subscriber activations compared to the same period in 2024. In addition, the six months ended June 30, 2024 was negatively impacted by net losses of Government subsidized subscribers as a result of the ACP program funding concluding on June 1, 2024. See “Wireless Segment – ACP Subscribers” for further information.</w:t>
      </w:r>
    </w:p>
    <w:p>
      <w:pPr>
        <w:spacing w:after="0" w:line="171" w:lineRule="exact"/>
        <w:rPr>
          <w:sz w:val="20"/>
          <w:szCs w:val="20"/>
          <w:color w:val="auto"/>
        </w:rPr>
      </w:pPr>
    </w:p>
    <w:p>
      <w:pPr>
        <w:ind w:left="60" w:right="17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2025, we activated approximately 1.291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gross new Wireless subscribers compared to approximately 1.186 million gross new Wireless subscribers during the same period in 2024, an increase of 8.9%. This increase in gross new Wireless subscribers primarily resulted from higher marketing expenditures, new subscriber offers and promotions and growth in digital channels. Our gross new Wireless subscribers continue to be negatively impacted by our emphasis on acquiring and retaining higher quality subscribers and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119"/>
        <w:spacing w:after="0" w:line="247"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six months ended June 30, 2025 was 2.75%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2.99% for the same period in 2024. Our Wireless churn rates for the six months ended June 30, 2025 and 2024 were positively impacted by our emphasis on acquiring and retaining higher quality subscribers, partially offset by competitive pressures, including deeper wireless device subsidies.</w:t>
      </w:r>
    </w:p>
    <w:p>
      <w:pPr>
        <w:spacing w:after="0" w:line="160"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$1.633 billion for the six months ended June 30, 2025,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$ 44 million or 2.8% compared to the same period in 2024. The increase in “Service revenue” compared to the same period in 2024 was primarily related to an increase in Wireless ARPU, discussed below, partially offset by a lower average Wireless subscriber base.</w:t>
      </w:r>
    </w:p>
    <w:p>
      <w:pPr>
        <w:spacing w:after="0" w:line="160" w:lineRule="exact"/>
        <w:rPr>
          <w:sz w:val="20"/>
          <w:szCs w:val="20"/>
          <w:color w:val="auto"/>
        </w:rPr>
      </w:pPr>
    </w:p>
    <w:p>
      <w:pPr>
        <w:ind w:left="60" w:right="119" w:hanging="12"/>
        <w:spacing w:after="0" w:line="247"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$37.64 during the six months ended June 30, 2025 versus $36.30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2024. The $1.34 or 3.7% increase in Wireless ARPU was primarily attributable to, among other things, a shift in subscriber plan mix to higher priced service plans and increased sales of value added services.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$274 million for the</w:t>
      </w:r>
    </w:p>
    <w:p>
      <w:pPr>
        <w:spacing w:after="0" w:line="14"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 xml:space="preserve">six months ended June 30, 2025, an increase of $57 million or 26.1% compared to the same period in 2024. The increase in “Equipment sales and other revenue” compared to the same period in 2024 was primarily related to an increase in sales of wireless devices with </w:t>
      </w:r>
      <w:r>
        <w:rPr>
          <w:rFonts w:ascii="Arial" w:cs="Arial" w:eastAsia="Arial" w:hAnsi="Arial"/>
          <w:sz w:val="18"/>
          <w:szCs w:val="18"/>
          <w:color w:val="222222"/>
        </w:rPr>
        <w:t>h</w:t>
      </w:r>
      <w:r>
        <w:rPr>
          <w:rFonts w:ascii="Arial" w:cs="Arial" w:eastAsia="Arial" w:hAnsi="Arial"/>
          <w:sz w:val="18"/>
          <w:szCs w:val="18"/>
          <w:color w:val="auto"/>
        </w:rPr>
        <w:t>igher revenue per unit, partially offset by a decrease in units shipped. During the six months ended June 30, 2025, we sold a higher percentage of devices that are compatible with our 5G Network and other devices that have a higher revenue per unit.</w:t>
      </w:r>
    </w:p>
    <w:p>
      <w:pPr>
        <w:spacing w:after="0" w:line="166" w:lineRule="exact"/>
        <w:rPr>
          <w:sz w:val="20"/>
          <w:szCs w:val="20"/>
          <w:color w:val="auto"/>
        </w:rPr>
      </w:pPr>
    </w:p>
    <w:p>
      <w:pPr>
        <w:ind w:left="60" w:right="59"/>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$1.567 billion for the six months ended June 30, 2025, an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$58 million or 3.8% compared to the same period in 2024. The increase in “Cost of services” compared to the same period in 2024 was primarily attributable to an increase in lease expense on communication towers, transport and other related costs for our 5G Network, higher monthly dealer incentive costs due to our emphasis on acquiring higher quality, long-term subscribers and higher other variable costs. These increases were partially offset by a lower average Wireless subscriber base and lower network services costs per subscriber as we grow customer traffic on our 5G Network.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$631 million for the</w:t>
      </w:r>
    </w:p>
    <w:p>
      <w:pPr>
        <w:spacing w:after="0" w:line="14"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six months ended June 30, 2025, an increase of $29 million or 4.8% compared to the same period in 2024. The increase in “Cost of sales – equipment and other” compared to the same period in 2024 primarily resulted from an increase in sales of wireless devices with higher costs per unit, partially offset by a decrease in units shipped and higher vendor rebates. During the six months ended June 30, 2025, we sold a higher percentage of devices that are compatible with our 5G Network and other devices that have a higher cost per unit.</w:t>
      </w:r>
    </w:p>
    <w:p>
      <w:pPr>
        <w:spacing w:after="0" w:line="166"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$576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2025, a $123 million or 27.2% increase compared to the same period in 2024. This increase was primarily driven by higher marketing expenditures and an increase in costs to support the Wireless segment.</w:t>
      </w:r>
    </w:p>
    <w:p>
      <w:pPr>
        <w:spacing w:after="0" w:line="160"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$628 million during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$41 million or 6.9% increase compared to the same period in 2024. This change was primarily driven by an increase in depreciation and amortization expense related to 5G Network assets being placed in service during 2024 and 2025. This increase was partially offset by a decrease in amortization expense from subscriber relationships related to the Boost Mobile acquisition in 2020, which became fully amortized during the second quarter of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 Segment</w:t>
      </w:r>
    </w:p>
    <w:p>
      <w:pPr>
        <w:spacing w:after="0" w:line="196" w:lineRule="exact"/>
        <w:rPr>
          <w:sz w:val="20"/>
          <w:szCs w:val="20"/>
          <w:color w:val="auto"/>
        </w:rPr>
      </w:pPr>
    </w:p>
    <w:p>
      <w:pPr>
        <w:ind w:left="60" w:right="199" w:hanging="7"/>
        <w:spacing w:after="0"/>
        <w:rPr>
          <w:sz w:val="20"/>
          <w:szCs w:val="20"/>
          <w:color w:val="auto"/>
        </w:rPr>
      </w:pPr>
      <w:r>
        <w:rPr>
          <w:rFonts w:ascii="Arial" w:cs="Arial" w:eastAsia="Arial" w:hAnsi="Arial"/>
          <w:sz w:val="18"/>
          <w:szCs w:val="18"/>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airlines and government entities, including civilian and defense. We have leveraged the EchoStar XXIV to deliver satellite services to unserved and underserved consumer markets in the Americas as well as enterprise, aeronautical and government markets.</w:t>
      </w:r>
    </w:p>
    <w:p>
      <w:pPr>
        <w:spacing w:after="0" w:line="171"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offer a robust suite of integrated, multi-transport solutions to enable airline and airline service providers to deliver reliable in-flight network connectivity serving both commercial and business aviation.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Backlog</w:t>
      </w:r>
    </w:p>
    <w:p>
      <w:pPr>
        <w:spacing w:after="0" w:line="198"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June 30, 2025, our Broadband and Satellite Services segment had approximately $1.6 billion of contracted revenue backlog. We define the Broadband and Satellite Services segment contracted revenue backlog as our expected future revenue under enterprise customer contracts that are non-cancelable, including lease revenue.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198" w:lineRule="exact"/>
        <w:rPr>
          <w:sz w:val="20"/>
          <w:szCs w:val="20"/>
          <w:color w:val="auto"/>
        </w:rPr>
      </w:pPr>
    </w:p>
    <w:p>
      <w:pPr>
        <w:ind w:left="60" w:right="259"/>
        <w:spacing w:after="0" w:line="253"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Broadband and Satellite Services segment competes with a large number of telecommunications and satellite internet service providers.</w:t>
      </w:r>
    </w:p>
    <w:p>
      <w:pPr>
        <w:spacing w:after="0" w:line="155"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and internet protocol-based virtual private networks (VPN), which vary by region. In the in-flight connectivity market, we compete against direct and indirect providers of in-flight WiFi services, such as ViaSat Communications, Inc., which is owned by ViaSat, Inc. (“ViaSat”) and Starlink Services LLC, which is owned by Space Exploration Technologies Corp. (“SpaceX”).</w:t>
      </w:r>
    </w:p>
    <w:p>
      <w:pPr>
        <w:spacing w:after="0" w:line="16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Our primary satellite competitors in the North American consumer market are ViaSat and SpaceX. Both ViaSat and SpaceX have also entered the South and Central American consumer markets. Our principal competitors for the supply of satellite technology platforms are Gilat Satellite Networks Ltd, ViaSat and ST Engineering iDirect, Inc.</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Broadband and Satellite Services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Variance</w:t>
            </w:r>
          </w:p>
        </w:tc>
        <w:tc>
          <w:tcPr>
            <w:tcW w:w="7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273,441</w:t>
            </w:r>
          </w:p>
        </w:tc>
        <w:tc>
          <w:tcPr>
            <w:tcW w:w="240" w:type="dxa"/>
            <w:vAlign w:val="bottom"/>
          </w:tcPr>
          <w:p>
            <w:pPr>
              <w:spacing w:after="0"/>
              <w:rPr>
                <w:sz w:val="16"/>
                <w:szCs w:val="16"/>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302,527</w:t>
            </w:r>
          </w:p>
        </w:tc>
        <w:tc>
          <w:tcPr>
            <w:tcW w:w="2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(29,086)</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66,339</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91,484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(25,145)</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339,780</w:t>
            </w:r>
          </w:p>
        </w:tc>
        <w:tc>
          <w:tcPr>
            <w:tcW w:w="2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394,011</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(54,231)</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115,232</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126,250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(11,018)</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42.1 %</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41.7 %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63,551</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78,409</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(14,858)</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Equipment sales and other revenue</w:t>
            </w: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95.8 %</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85.7 %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106,960</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(13,662)</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27.5 %</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27.1 %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104,437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116,978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(12,541)</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376,518</w:t>
            </w:r>
          </w:p>
        </w:tc>
        <w:tc>
          <w:tcPr>
            <w:tcW w:w="2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428,597</w:t>
            </w:r>
          </w:p>
        </w:tc>
        <w:tc>
          <w:tcPr>
            <w:tcW w:w="24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(52,079)</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(36,738)</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(34,586)</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(2,152)</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0.819</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(0.136)</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millions)</w:t>
            </w:r>
          </w:p>
        </w:tc>
        <w:tc>
          <w:tcPr>
            <w:tcW w:w="2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(0.034)</w:t>
            </w:r>
          </w:p>
        </w:tc>
        <w:tc>
          <w:tcPr>
            <w:tcW w:w="2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(0.023)</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(0.011)</w:t>
            </w:r>
          </w:p>
        </w:tc>
        <w:tc>
          <w:tcPr>
            <w:tcW w:w="32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Purchases of property and equipment, net of refunds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43,118</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(13,441)</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67,699</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82,392</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(14,693)</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180975</wp:posOffset>
            </wp:positionV>
            <wp:extent cx="1414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4" w:lineRule="exact"/>
        <w:rPr>
          <w:sz w:val="20"/>
          <w:szCs w:val="20"/>
          <w:color w:val="auto"/>
        </w:rPr>
      </w:pPr>
    </w:p>
    <w:p>
      <w:pPr>
        <w:ind w:left="380" w:hanging="330"/>
        <w:spacing w:after="0"/>
        <w:tabs>
          <w:tab w:leader="none" w:pos="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39" w:hanging="330"/>
        <w:spacing w:after="0" w:line="250" w:lineRule="auto"/>
        <w:tabs>
          <w:tab w:leader="none" w:pos="3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three months ended June 30, 2025 and 2024 of $13 million and $1 million, respectively.</w:t>
      </w:r>
    </w:p>
    <w:p>
      <w:pPr>
        <w:spacing w:after="0" w:line="158"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34,000 net Broadband subscribers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June 30, 2025 compared to the loss of approximately 23,000 net Broadband subscribers during the same period in 2024. </w:t>
      </w:r>
      <w:r>
        <w:rPr>
          <w:rFonts w:ascii="Arial" w:cs="Arial" w:eastAsia="Arial" w:hAnsi="Arial"/>
          <w:sz w:val="18"/>
          <w:szCs w:val="18"/>
          <w:color w:val="222222"/>
        </w:rPr>
        <w:t>The increase in net Broadband subscriber losses was primarily due to lower gross</w:t>
      </w:r>
      <w:r>
        <w:rPr>
          <w:rFonts w:ascii="Arial" w:cs="Arial" w:eastAsia="Arial" w:hAnsi="Arial"/>
          <w:sz w:val="18"/>
          <w:szCs w:val="18"/>
          <w:color w:val="auto"/>
        </w:rPr>
        <w:t xml:space="preserve"> </w:t>
      </w:r>
      <w:r>
        <w:rPr>
          <w:rFonts w:ascii="Arial" w:cs="Arial" w:eastAsia="Arial" w:hAnsi="Arial"/>
          <w:sz w:val="18"/>
          <w:szCs w:val="18"/>
          <w:color w:val="222222"/>
        </w:rPr>
        <w:t>subscriber additions, partially offset by lower subscriber disconnects due to expanded satellite capacity and increased subscriber service satisfaction. We continue to experience increased competition from satellite-based competitors and other technologies.</w:t>
      </w:r>
    </w:p>
    <w:p>
      <w:pPr>
        <w:spacing w:after="0" w:line="165"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$ 273 million for the three months ended June 30, 2025,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$29 million, or 9.6%, as compared to 2024. The decrease was primarily attributable to lower sales of broadband services to our North American and international consumer customers and our North American enterprise customers.</w:t>
      </w:r>
    </w:p>
    <w:p>
      <w:pPr>
        <w:spacing w:after="0" w:line="160" w:lineRule="exact"/>
        <w:rPr>
          <w:sz w:val="20"/>
          <w:szCs w:val="20"/>
          <w:color w:val="auto"/>
        </w:rPr>
      </w:pPr>
    </w:p>
    <w:p>
      <w:pPr>
        <w:jc w:val="both"/>
        <w:ind w:left="60" w:right="359" w:hanging="7"/>
        <w:spacing w:after="0" w:line="275" w:lineRule="auto"/>
        <w:rPr>
          <w:sz w:val="20"/>
          <w:szCs w:val="20"/>
          <w:color w:val="auto"/>
        </w:rPr>
      </w:pPr>
      <w:r>
        <w:rPr>
          <w:rFonts w:ascii="Arial" w:cs="Arial" w:eastAsia="Arial" w:hAnsi="Arial"/>
          <w:sz w:val="17"/>
          <w:szCs w:val="17"/>
          <w:b w:val="1"/>
          <w:bCs w:val="1"/>
          <w:i w:val="1"/>
          <w:iCs w:val="1"/>
          <w:color w:val="auto"/>
        </w:rPr>
        <w:t xml:space="preserve">Equipment sales and other revenue. </w:t>
      </w:r>
      <w:r>
        <w:rPr>
          <w:rFonts w:ascii="Arial" w:cs="Arial" w:eastAsia="Arial" w:hAnsi="Arial"/>
          <w:sz w:val="17"/>
          <w:szCs w:val="17"/>
          <w:color w:val="auto"/>
        </w:rPr>
        <w:t>“Equipment sales and other revenue” totaled $66 million for the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2025, a decrease of $25 million, or 27.5%, as compared to 2024. The decrease was primarily attributable to lower hardware sales to our North American and international enterprise customers.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$ 115 million for the three months ended June 30, 2025,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$11 million, or 8.7%, as compared to 2024. The decrease was primarily attributable to lower costs of broadband services to our North American and international consumer customers and our North American enterprise customers. Our “Cost of services” represented 42.1% and 41.7% of “Service revenue” during the three months ended June 30, 2025 and 2024, respectively.</w:t>
      </w:r>
    </w:p>
    <w:p>
      <w:pPr>
        <w:spacing w:after="0" w:line="163"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$64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decrease of $15 million, or 18.9%, as compared to 2024. The decrease was primarily attributable to lower costs of broadband services to our North American and international enterprise customers. Our “Cost of sales – equipment and other” represented 95.8% and 85.7% of “Equipment sales and other revenue” during the three months ended June 30, 2025 and 2024, respectively. The three months ended June 30, 2025 was negatively impacted by a one-time project charge.</w:t>
      </w:r>
    </w:p>
    <w:p>
      <w:pPr>
        <w:spacing w:after="0" w:line="165" w:lineRule="exact"/>
        <w:rPr>
          <w:sz w:val="20"/>
          <w:szCs w:val="20"/>
          <w:color w:val="auto"/>
        </w:rPr>
      </w:pPr>
    </w:p>
    <w:p>
      <w:pPr>
        <w:jc w:val="both"/>
        <w:ind w:left="60" w:right="299" w:hanging="8"/>
        <w:spacing w:after="0" w:line="253"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$93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June 30, 2025, a decrease of $14 million, or 12.8%, as compared to 2024. The decrease was primarily attributable to lower bad debt expense and lower marketing expenditures.</w:t>
      </w:r>
    </w:p>
    <w:p>
      <w:pPr>
        <w:spacing w:after="0" w:line="155"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$104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decrease of $13 million, or 10.7%, as compared to 2024. The decrease was primarily attributable to lower equipment and satellite depreciation expense.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6"/>
                <w:szCs w:val="16"/>
                <w:b w:val="1"/>
                <w:bCs w:val="1"/>
                <w:color w:val="auto"/>
              </w:rPr>
              <w:t>For the Six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579"/>
              <w:spacing w:after="0"/>
              <w:rPr>
                <w:sz w:val="20"/>
                <w:szCs w:val="20"/>
                <w:color w:val="auto"/>
              </w:rPr>
            </w:pPr>
            <w:r>
              <w:rPr>
                <w:rFonts w:ascii="Arial" w:cs="Arial" w:eastAsia="Arial" w:hAnsi="Arial"/>
                <w:sz w:val="16"/>
                <w:szCs w:val="16"/>
                <w:b w:val="1"/>
                <w:bCs w:val="1"/>
                <w:color w:val="auto"/>
                <w:w w:val="99"/>
              </w:rPr>
              <w:t>June 30,</w:t>
            </w:r>
          </w:p>
        </w:tc>
        <w:tc>
          <w:tcPr>
            <w:tcW w:w="7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4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5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42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Service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550,385</w:t>
            </w:r>
          </w:p>
        </w:tc>
        <w:tc>
          <w:tcPr>
            <w:tcW w:w="180" w:type="dxa"/>
            <w:vAlign w:val="bottom"/>
          </w:tcPr>
          <w:p>
            <w:pPr>
              <w:spacing w:after="0"/>
              <w:rPr>
                <w:sz w:val="16"/>
                <w:szCs w:val="16"/>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619,647</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(69,262)</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160,053</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156,950</w:t>
            </w:r>
          </w:p>
        </w:tc>
        <w:tc>
          <w:tcPr>
            <w:tcW w:w="2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revenue</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710,438</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776,597</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(66,159)</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228,357</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256,430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(28,073)</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41.5 %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41.4 %</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145,285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135,043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10,242</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Equipment sales and other revenue</w:t>
            </w:r>
          </w:p>
        </w:tc>
        <w:tc>
          <w:tcPr>
            <w:tcW w:w="1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90.8 %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86.0 %</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183,394</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223,445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(40,051)</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0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25.8 %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28.8 %</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209,335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235,819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(26,484)</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3"/>
        </w:trPr>
        <w:tc>
          <w:tcPr>
            <w:tcW w:w="448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766,371</w:t>
            </w: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850,737</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(84,366)</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83"/>
        </w:trPr>
        <w:tc>
          <w:tcPr>
            <w:tcW w:w="4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(55,933)</w:t>
            </w: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(74,140)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18,207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69"/>
        </w:trPr>
        <w:tc>
          <w:tcPr>
            <w:tcW w:w="42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(0.136)</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Broadband subscriber additions (losses), net (in millions)</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(0.064)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(0.049)</w:t>
            </w:r>
          </w:p>
        </w:tc>
        <w:tc>
          <w:tcPr>
            <w:tcW w:w="14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(0.015)</w:t>
            </w: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75,221</w:t>
            </w:r>
          </w:p>
        </w:tc>
        <w:tc>
          <w:tcPr>
            <w:tcW w:w="1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127,170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(51,949)</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5"/>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153,402</w:t>
            </w:r>
          </w:p>
        </w:tc>
        <w:tc>
          <w:tcPr>
            <w:tcW w:w="1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161,679</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(8,277)</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180975</wp:posOffset>
            </wp:positionV>
            <wp:extent cx="1414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4" w:lineRule="exact"/>
        <w:rPr>
          <w:sz w:val="20"/>
          <w:szCs w:val="20"/>
          <w:color w:val="auto"/>
        </w:rPr>
      </w:pPr>
    </w:p>
    <w:p>
      <w:pPr>
        <w:ind w:left="380" w:hanging="330"/>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439" w:hanging="330"/>
        <w:spacing w:after="0" w:line="250" w:lineRule="auto"/>
        <w:tabs>
          <w:tab w:leader="none" w:pos="376"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six months ended June 30, 2025 and 2024 of $14 million and $3 million, respectively.</w:t>
      </w:r>
    </w:p>
    <w:p>
      <w:pPr>
        <w:spacing w:after="0" w:line="158"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64,000 net Broadband subscribers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June 30, 2025 compared to the loss of approximately 49,000 net Broadband subscribers during the same period in 2024. </w:t>
      </w:r>
      <w:r>
        <w:rPr>
          <w:rFonts w:ascii="Arial" w:cs="Arial" w:eastAsia="Arial" w:hAnsi="Arial"/>
          <w:sz w:val="18"/>
          <w:szCs w:val="18"/>
          <w:color w:val="222222"/>
        </w:rPr>
        <w:t>The increase in net Broadband subscriber losses was primarily due to lower gross</w:t>
      </w:r>
      <w:r>
        <w:rPr>
          <w:rFonts w:ascii="Arial" w:cs="Arial" w:eastAsia="Arial" w:hAnsi="Arial"/>
          <w:sz w:val="18"/>
          <w:szCs w:val="18"/>
          <w:color w:val="auto"/>
        </w:rPr>
        <w:t xml:space="preserve"> </w:t>
      </w:r>
      <w:r>
        <w:rPr>
          <w:rFonts w:ascii="Arial" w:cs="Arial" w:eastAsia="Arial" w:hAnsi="Arial"/>
          <w:sz w:val="18"/>
          <w:szCs w:val="18"/>
          <w:color w:val="222222"/>
        </w:rPr>
        <w:t>subscriber additions, partially offset by lower subscriber disconnects due to expanded satellite capacity and increased subscriber service satisfaction. We continue to experience increased competition from satellite-based competitors and other technologies.</w:t>
      </w:r>
    </w:p>
    <w:p>
      <w:pPr>
        <w:spacing w:after="0" w:line="16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$550 million for the six months ended June 30, 2025,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$69 million, or 11.2%, as compared to 2024. The decrease was primarily attributable to lower sales of broadband services to our North American and international consumer customers and our North American enterprise customers.</w:t>
      </w:r>
    </w:p>
    <w:p>
      <w:pPr>
        <w:spacing w:after="0" w:line="160"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$160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an increase of $3 million, or 2.0%, as compared to 2024. The increase was primarily attributable to higher hardware sales to our North American enterprise customers, partially offset by a decrease in hardware sales to our international enterprise customers.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$228 million for the six months ended June 30, 2025,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$28 million, or 10.9%, as compared to 2024. The decrease was primarily attributable to lower costs of broadband services to our North American and international consumer customers and our North American enterprise customers. Our “Cost of services” represented 41.5% and 41.4% of “Service revenue” during the six months ended June 30, 2025 and 2024, respectively.</w:t>
      </w:r>
    </w:p>
    <w:p>
      <w:pPr>
        <w:spacing w:after="0" w:line="163"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$145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an increase of $10 million, or 7.6%, as compared to 2024. The increase was primarily attributable to higher costs of equipment to our North American enterprise customers, partially offset by a decrease in equipment costs to our international enterprise customers. Our “Cost of sales – equipment and other” represented 90.8% and 86.0% of “Equipment sales and other revenue” during the six months ended June 30, 2025 and 2024, respectively. The six months ended June 30, 2025 was negatively impacted by a one-time project charge.</w:t>
      </w:r>
    </w:p>
    <w:p>
      <w:pPr>
        <w:spacing w:after="0" w:line="171" w:lineRule="exact"/>
        <w:rPr>
          <w:sz w:val="20"/>
          <w:szCs w:val="20"/>
          <w:color w:val="auto"/>
        </w:rPr>
      </w:pPr>
    </w:p>
    <w:p>
      <w:pPr>
        <w:ind w:left="60" w:right="119" w:hanging="8"/>
        <w:spacing w:after="0" w:line="253"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$183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2025, a decrease of $40 million, or 17.9%, as compared to 2024. The decrease was primarily attributable to lower bad debt expense and lower marketing expenditures.</w:t>
      </w:r>
    </w:p>
    <w:p>
      <w:pPr>
        <w:spacing w:after="0" w:line="155" w:lineRule="exact"/>
        <w:rPr>
          <w:sz w:val="20"/>
          <w:szCs w:val="20"/>
          <w:color w:val="auto"/>
        </w:rPr>
      </w:pPr>
    </w:p>
    <w:p>
      <w:pPr>
        <w:ind w:left="60" w:right="379"/>
        <w:spacing w:after="0" w:line="253"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$209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2025, a decrease of $26 million, or 11.2%, as compared to 2024. The decrease was primarily attributable to lower equipment and satellite depreciation expense.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2025 Compared to the Three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74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(213,408)</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(65,369)</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(148,039)</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65,369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13,929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51,440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(279,232)</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(81,166)</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(198,066)</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35,137</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(91,498)</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126,635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(178,726)</w:t>
            </w: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(158,735)</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(19,991)</w:t>
            </w:r>
          </w:p>
        </w:tc>
        <w:tc>
          <w:tcPr>
            <w:tcW w:w="220" w:type="dxa"/>
            <w:vAlign w:val="bottom"/>
            <w:tcBorders>
              <w:top w:val="single" w:sz="8" w:color="CCEEFF"/>
            </w:tcBorders>
            <w:gridSpan w:val="2"/>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(392,134)</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(224,104)</w:t>
            </w: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(168,030)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Income tax (provision) benefit,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85,290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16,646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68,644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21.8 %</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7.4 %</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(306,844)</w:t>
            </w: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(207,458)</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(99,386)</w:t>
            </w:r>
          </w:p>
        </w:tc>
        <w:tc>
          <w:tcPr>
            <w:tcW w:w="220" w:type="dxa"/>
            <w:vAlign w:val="bottom"/>
            <w:gridSpan w:val="2"/>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(712)</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(1,867)</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(306,132)</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(205,591)</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(100,541)</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$65 million during the three months ended June 30, 2025,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$51 million compared to the same period in 2024. This increase primarily resulted from higher average cash and marketable investment securities balances during the three months ended June 30, 2025.</w:t>
      </w:r>
    </w:p>
    <w:p>
      <w:pPr>
        <w:spacing w:after="0" w:line="155"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$279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2025, an increase of $ 198 million compared to the same period in 2024. This increase primarily resulted from interest expense related to debt issuances in the third and fourth quarters of 2024, partially offset by the redemption of debt that matured in November 2024 and debt tendered for exchange and cancelled in the fourth quarter of 2024. In addition, the three months ended June 30, 2025 was positively impacted by a $43 million increase in capitalized interest compared to the same period in 2024 due to a higher capitalization rate. See Note 2 in the Notes to our Condensed Consolidated Financial Statements for further information.</w:t>
      </w:r>
    </w:p>
    <w:p>
      <w:pPr>
        <w:spacing w:after="0" w:line="167" w:lineRule="exact"/>
        <w:rPr>
          <w:sz w:val="20"/>
          <w:szCs w:val="20"/>
          <w:color w:val="auto"/>
        </w:rPr>
      </w:pPr>
    </w:p>
    <w:p>
      <w:pPr>
        <w:ind w:left="60" w:right="13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$35 million during the three months ended June 30, 2025,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$91 million during the same period in 2024. The three months ended June 30, 2025 was positively impacted by a $ 37 million gain on the sale of our Fiber business, partially offset by $8 million in net losses and impairments on marketable and non-marketable investment securities. The three months ended June 30, 2024 was negatively impacted by a $66 million loss in equity in earnings, including $63 million from our portion of Invidi’s goodwill impairment, and $25 million in net losses and impairments on marketable and non-marketable investment securities. See Note 2 in the Notes to our Condensed Consolidated Financial Statements for further information.</w:t>
      </w:r>
    </w:p>
    <w:p>
      <w:pPr>
        <w:spacing w:after="0" w:line="167" w:lineRule="exact"/>
        <w:rPr>
          <w:sz w:val="20"/>
          <w:szCs w:val="20"/>
          <w:color w:val="auto"/>
        </w:rPr>
      </w:pPr>
    </w:p>
    <w:p>
      <w:pPr>
        <w:ind w:left="60" w:right="33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$85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of $69 million compared to the same period in 2024. The change was primarily related to a decrease in “Income (loss) before income taxes” and the change in our effective tax rate. Our effective tax rate during the three months ended June 30, 2024 was impacted by federal, state and foreign valuation allowances.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2025 Compared to the Six Months Ended June 30, 2024.</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the Six Months Ended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(301,540)</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(80,613)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(220,927)</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130,898</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44,391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86,507</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(565,287)</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(180,574)</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(384,713)</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76,527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(117,608)</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194,135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(357,862)</w:t>
            </w: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(253,791)</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(104,071)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(659,402)</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(334,404)</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(324,998)</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Income tax (provision) benefit, net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149,277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18,571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130,706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22.6 %</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5.6 %</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(510,125)</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(315,833)</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(194,292)</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(61.5)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80" w:type="dxa"/>
            <w:vAlign w:val="bottom"/>
            <w:gridSpan w:val="2"/>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(1,324)</w:t>
            </w:r>
          </w:p>
        </w:tc>
        <w:tc>
          <w:tcPr>
            <w:tcW w:w="3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(2,866)</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5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(508,801)</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(312,967)</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(195,834)</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197485</wp:posOffset>
            </wp:positionV>
            <wp:extent cx="14141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599" w:hanging="7"/>
        <w:spacing w:after="0" w:line="266" w:lineRule="auto"/>
        <w:rPr>
          <w:sz w:val="20"/>
          <w:szCs w:val="20"/>
          <w:color w:val="auto"/>
        </w:rPr>
      </w:pPr>
      <w:r>
        <w:rPr>
          <w:rFonts w:ascii="Arial" w:cs="Arial" w:eastAsia="Arial" w:hAnsi="Arial"/>
          <w:sz w:val="17"/>
          <w:szCs w:val="17"/>
          <w:b w:val="1"/>
          <w:bCs w:val="1"/>
          <w:i w:val="1"/>
          <w:iCs w:val="1"/>
          <w:color w:val="auto"/>
        </w:rPr>
        <w:t xml:space="preserve">Interest income. </w:t>
      </w:r>
      <w:r>
        <w:rPr>
          <w:rFonts w:ascii="Arial" w:cs="Arial" w:eastAsia="Arial" w:hAnsi="Arial"/>
          <w:sz w:val="17"/>
          <w:szCs w:val="17"/>
          <w:color w:val="auto"/>
        </w:rPr>
        <w:t>“Interest income” totaled $131 million during the six months ended June 30, 2025,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of $87 million compared to the same period in 2024. This increase primarily resulted from higher average cash and marketable investment securities balances, partially offset by lower percentage returns earned on our cash and marketable investment securities during the six months ended June 30, 2025.</w:t>
      </w:r>
    </w:p>
    <w:p>
      <w:pPr>
        <w:spacing w:after="0" w:line="146"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$565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2025, an increase of $ 385 million compared to the same period in 2024. This increase primarily resulted from interest expense related to debt issuances in the third and fourth quarters of 2024, partially offset by the redemption of debt that matured in March and November 2024 and debt tendered for exchange and cancelled in the fourth quarter of 2024. In addition, the six months ended June 30, 2025 was positively impacted by a $101 million increase in capitalized interest compared to the same period in 2024 due to a higher capitalization rate. See Note 2 in the Notes to our Condensed Consolidated Financial Statements for further information.</w:t>
      </w:r>
    </w:p>
    <w:p>
      <w:pPr>
        <w:spacing w:after="0" w:line="167" w:lineRule="exact"/>
        <w:rPr>
          <w:sz w:val="20"/>
          <w:szCs w:val="20"/>
          <w:color w:val="auto"/>
        </w:rPr>
      </w:pPr>
    </w:p>
    <w:p>
      <w:pPr>
        <w:ind w:left="60" w:right="19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income totaled $77 million during the six months ended June 30, 2025,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$118 million during the same period in 2024. The six months ended June 30, 2025 was positively impacted by a $ 37 million gain on the sale of our Fiber business, $ 16 million in net gains on marketable and non-marketable investment securities and $11 million of early debt extinguishment gains from the repurchases of our senior secured notes. The six months ended June 30, 2024 was negatively impacted by a $69 million loss in equity in earnings, including $63 million from our portion of Invidi’s goodwill impairment, and $ 49 million in net losses and impairments on marketable and non-marketable investment securities. See Note 5 in the Notes to our Condensed Consolidated Financial Statements for further information.</w:t>
      </w:r>
    </w:p>
    <w:p>
      <w:pPr>
        <w:spacing w:after="0" w:line="167" w:lineRule="exact"/>
        <w:rPr>
          <w:sz w:val="20"/>
          <w:szCs w:val="20"/>
          <w:color w:val="auto"/>
        </w:rPr>
      </w:pPr>
    </w:p>
    <w:p>
      <w:pPr>
        <w:ind w:left="60" w:right="39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$149 million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2025, an increase of $131 million compared to the same period in 2024. The change was primarily related to a decrease in “Income (loss) before income taxes” and the change in our effective tax rate. Our effective tax rate during the six months ended June 30, 2024 was impacted by federal, state and foreign valuation allowances.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179" w:hanging="7"/>
        <w:spacing w:after="0" w:line="239" w:lineRule="auto"/>
        <w:rPr>
          <w:sz w:val="20"/>
          <w:szCs w:val="20"/>
          <w:color w:val="auto"/>
        </w:rPr>
      </w:pPr>
      <w:r>
        <w:rPr>
          <w:rFonts w:ascii="Arial" w:cs="Arial" w:eastAsia="Arial" w:hAnsi="Arial"/>
          <w:sz w:val="18"/>
          <w:szCs w:val="18"/>
          <w:color w:val="auto"/>
        </w:rPr>
        <w:t>It is management’s intent to provide non-GAAP financial information to enhance the understanding of our financial information prepared in accordance with accounting principles generally accepted in the United States (“GAAP”),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212"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11 to the Notes to our Condensed Consolidated Financial Statements for further information.</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rPr>
              <w:t>Broadband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and Satellite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Pay-TV</w:t>
            </w:r>
          </w:p>
        </w:tc>
        <w:tc>
          <w:tcPr>
            <w:tcW w:w="40" w:type="dxa"/>
            <w:vAlign w:val="bottom"/>
          </w:tcPr>
          <w:p>
            <w:pPr>
              <w:spacing w:after="0"/>
              <w:rPr>
                <w:sz w:val="17"/>
                <w:szCs w:val="17"/>
                <w:color w:val="auto"/>
              </w:rPr>
            </w:pPr>
          </w:p>
        </w:tc>
        <w:tc>
          <w:tcPr>
            <w:tcW w:w="102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rPr>
              <w:t>Wireless</w:t>
            </w:r>
          </w:p>
        </w:tc>
        <w:tc>
          <w:tcPr>
            <w:tcW w:w="140" w:type="dxa"/>
            <w:vAlign w:val="bottom"/>
          </w:tcPr>
          <w:p>
            <w:pPr>
              <w:spacing w:after="0"/>
              <w:rPr>
                <w:sz w:val="17"/>
                <w:szCs w:val="17"/>
                <w:color w:val="auto"/>
              </w:rPr>
            </w:pPr>
          </w:p>
        </w:tc>
        <w:tc>
          <w:tcPr>
            <w:tcW w:w="106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rPr>
              <w:t>Services</w:t>
            </w:r>
          </w:p>
        </w:tc>
        <w:tc>
          <w:tcPr>
            <w:tcW w:w="20" w:type="dxa"/>
            <w:vAlign w:val="bottom"/>
          </w:tcPr>
          <w:p>
            <w:pPr>
              <w:spacing w:after="0"/>
              <w:rPr>
                <w:sz w:val="17"/>
                <w:szCs w:val="17"/>
                <w:color w:val="auto"/>
              </w:rPr>
            </w:pPr>
          </w:p>
        </w:tc>
        <w:tc>
          <w:tcPr>
            <w:tcW w:w="1140" w:type="dxa"/>
            <w:vAlign w:val="bottom"/>
            <w:gridSpan w:val="4"/>
          </w:tcPr>
          <w:p>
            <w:pPr>
              <w:ind w:left="20"/>
              <w:spacing w:after="0"/>
              <w:rPr>
                <w:sz w:val="20"/>
                <w:szCs w:val="20"/>
                <w:color w:val="auto"/>
              </w:rPr>
            </w:pPr>
            <w:r>
              <w:rPr>
                <w:rFonts w:ascii="Arial" w:cs="Arial" w:eastAsia="Arial" w:hAnsi="Arial"/>
                <w:sz w:val="16"/>
                <w:szCs w:val="16"/>
                <w:b w:val="1"/>
                <w:bCs w:val="1"/>
                <w:color w:val="auto"/>
              </w:rPr>
              <w:t>Eliminations</w:t>
            </w:r>
          </w:p>
        </w:tc>
        <w:tc>
          <w:tcPr>
            <w:tcW w:w="2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3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gridSpan w:val="3"/>
          </w:tcPr>
          <w:p>
            <w:pPr>
              <w:jc w:val="center"/>
              <w:spacing w:after="0" w:line="183" w:lineRule="exact"/>
              <w:rPr>
                <w:sz w:val="20"/>
                <w:szCs w:val="20"/>
                <w:color w:val="auto"/>
              </w:rPr>
            </w:pPr>
            <w:r>
              <w:rPr>
                <w:rFonts w:ascii="Arial" w:cs="Arial" w:eastAsia="Arial" w:hAnsi="Arial"/>
                <w:sz w:val="16"/>
                <w:szCs w:val="16"/>
                <w:color w:val="auto"/>
                <w:w w:val="87"/>
              </w:rPr>
              <w:t>(In thousands)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595,552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(772,948)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(36,738)</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67,825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320,968</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104,437</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(175)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493,055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1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663,377</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(451,980)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67,699</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551</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279,647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b w:val="1"/>
                <w:bCs w:val="1"/>
                <w:color w:val="auto"/>
              </w:rPr>
              <w:t>For the Three Months Ended June 30,</w:t>
            </w: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667,752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(700,302)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(34,586)</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85,249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305,863</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116,978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6"/>
                <w:szCs w:val="16"/>
                <w:color w:val="auto"/>
              </w:rPr>
              <w:t>(565)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507,525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753,001</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(394,439)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82,392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1,202</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442,156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Broadband</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and</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Satellite</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For the Six Months Ended June 30, 2025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Pay-TV</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Wireless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rPr>
              <w:t>Services</w:t>
            </w:r>
          </w:p>
        </w:tc>
        <w:tc>
          <w:tcPr>
            <w:tcW w:w="1160" w:type="dxa"/>
            <w:vAlign w:val="bottom"/>
            <w:gridSpan w:val="5"/>
          </w:tcPr>
          <w:p>
            <w:pPr>
              <w:spacing w:after="0"/>
              <w:rPr>
                <w:sz w:val="20"/>
                <w:szCs w:val="20"/>
                <w:color w:val="auto"/>
              </w:rPr>
            </w:pPr>
            <w:r>
              <w:rPr>
                <w:rFonts w:ascii="Arial" w:cs="Arial" w:eastAsia="Arial" w:hAnsi="Arial"/>
                <w:sz w:val="16"/>
                <w:szCs w:val="16"/>
                <w:b w:val="1"/>
                <w:bCs w:val="1"/>
                <w:color w:val="auto"/>
              </w:rPr>
              <w:t>Eliminations</w:t>
            </w:r>
          </w:p>
        </w:tc>
        <w:tc>
          <w:tcPr>
            <w:tcW w:w="1080" w:type="dxa"/>
            <w:vAlign w:val="bottom"/>
            <w:gridSpan w:val="4"/>
          </w:tcPr>
          <w:p>
            <w:pPr>
              <w:ind w:left="20"/>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183"/>
        </w:trPr>
        <w:tc>
          <w:tcPr>
            <w:tcW w:w="3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top w:val="single" w:sz="8" w:color="auto"/>
            </w:tcBorders>
            <w:gridSpan w:val="2"/>
          </w:tcPr>
          <w:p>
            <w:pPr>
              <w:jc w:val="center"/>
              <w:spacing w:after="0" w:line="183" w:lineRule="exact"/>
              <w:rPr>
                <w:sz w:val="20"/>
                <w:szCs w:val="20"/>
                <w:color w:val="auto"/>
              </w:rPr>
            </w:pPr>
            <w:r>
              <w:rPr>
                <w:rFonts w:ascii="Arial" w:cs="Arial" w:eastAsia="Arial" w:hAnsi="Arial"/>
                <w:sz w:val="16"/>
                <w:szCs w:val="16"/>
                <w:color w:val="auto"/>
                <w:w w:val="84"/>
              </w:rPr>
              <w:t>(In thousands)</w:t>
            </w:r>
          </w:p>
        </w:tc>
        <w:tc>
          <w:tcPr>
            <w:tcW w:w="200" w:type="dxa"/>
            <w:vAlign w:val="bottom"/>
            <w:gridSpan w:val="2"/>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1,248,982</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(1,495,250)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(55,933)</w:t>
            </w:r>
          </w:p>
        </w:tc>
        <w:tc>
          <w:tcPr>
            <w:tcW w:w="1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144,268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628,206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209,335</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(421)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981,388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1,393,250</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(867,044)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153,402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679,848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 2024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income (loss)</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1,337,860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(1,345,470)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(74,140)</w:t>
            </w:r>
          </w:p>
        </w:tc>
        <w:tc>
          <w:tcPr>
            <w:tcW w:w="160" w:type="dxa"/>
            <w:vAlign w:val="bottom"/>
            <w:shd w:val="clear" w:color="auto" w:fill="CCEEFF"/>
          </w:tcPr>
          <w:p>
            <w:pPr>
              <w:spacing w:after="0"/>
              <w:rPr>
                <w:sz w:val="16"/>
                <w:szCs w:val="16"/>
                <w:color w:val="auto"/>
              </w:rPr>
            </w:pPr>
          </w:p>
        </w:tc>
        <w:tc>
          <w:tcPr>
            <w:tcW w:w="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(80,613)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170,651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587,535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235,819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(1,080)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992,925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OIBDA</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1,508,511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(757,935)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161,679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912,312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79" w:hanging="7"/>
        <w:spacing w:after="0" w:line="253" w:lineRule="auto"/>
        <w:rPr>
          <w:sz w:val="20"/>
          <w:szCs w:val="20"/>
          <w:color w:val="auto"/>
        </w:rPr>
      </w:pPr>
      <w:r>
        <w:rPr>
          <w:rFonts w:ascii="Arial" w:cs="Arial" w:eastAsia="Arial" w:hAnsi="Arial"/>
          <w:sz w:val="18"/>
          <w:szCs w:val="18"/>
          <w:color w:val="auto"/>
        </w:rPr>
        <w:t>The changes in OIBDA during the three and six months ended June 30, 2025, compared to the same period in 2024, were primarily a result of the factors described in connection with operating revenues and operating expenses.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GUARANTOR FINANCIAL INFORMATION</w:t>
      </w:r>
    </w:p>
    <w:p>
      <w:pPr>
        <w:spacing w:after="0" w:line="198" w:lineRule="exact"/>
        <w:rPr>
          <w:sz w:val="20"/>
          <w:szCs w:val="20"/>
          <w:color w:val="auto"/>
        </w:rPr>
      </w:pPr>
    </w:p>
    <w:p>
      <w:pPr>
        <w:ind w:left="60" w:right="399"/>
        <w:spacing w:after="0"/>
        <w:rPr>
          <w:sz w:val="20"/>
          <w:szCs w:val="20"/>
          <w:color w:val="auto"/>
        </w:rPr>
      </w:pPr>
      <w:r>
        <w:rPr>
          <w:rFonts w:ascii="Arial" w:cs="Arial" w:eastAsia="Arial" w:hAnsi="Arial"/>
          <w:sz w:val="18"/>
          <w:szCs w:val="18"/>
          <w:color w:val="auto"/>
        </w:rPr>
        <w:t>Our senior secured notes, consisting of our 10 3/4% Senior Secured Notes due 2029 and 6 3/4% Senior Secured Notes due 2030 and our 3 7/8% Convertible Secured Notes due 2030 (together, the “EchoStar Notes”), are jointly and severally guaranteed on a senior secured basis by certain of our wholly-owned subsidiaries (the “Guarantors”). The Guarantors consist of, Northstar Wireless, L.L.C., SNR Wireless LicenseCo, LLC, DBSD Corporation and Gamma Acquisition L.L.C. (the “Spectrum Assets Guarantors”) and Northstar Spectrum, LLC, SNR Wireless HoldCo, LLC, DBSD Services Limited and Gamma Acquisition HoldCo, L.L.C. the (“Equity Pledge Guarantors”).</w:t>
      </w:r>
    </w:p>
    <w:p>
      <w:pPr>
        <w:spacing w:after="0" w:line="171" w:lineRule="exact"/>
        <w:rPr>
          <w:sz w:val="20"/>
          <w:szCs w:val="20"/>
          <w:color w:val="auto"/>
        </w:rPr>
      </w:pPr>
    </w:p>
    <w:p>
      <w:pPr>
        <w:jc w:val="both"/>
        <w:ind w:left="60" w:right="279"/>
        <w:spacing w:after="0" w:line="247" w:lineRule="auto"/>
        <w:rPr>
          <w:sz w:val="20"/>
          <w:szCs w:val="20"/>
          <w:color w:val="auto"/>
        </w:rPr>
      </w:pPr>
      <w:r>
        <w:rPr>
          <w:rFonts w:ascii="Arial" w:cs="Arial" w:eastAsia="Arial" w:hAnsi="Arial"/>
          <w:sz w:val="18"/>
          <w:szCs w:val="18"/>
          <w:color w:val="auto"/>
        </w:rPr>
        <w:t>Certain of our wholly-owned subsidiaries are designated as “Unrestricted Subsidiaries” and do not guarantee the EchoStar Notes. The guarantee of the Guarantors will be discharged and released in accordance with the terms of the applicable indenture. The rights of holders of the EchoStar Notes against the Guarantors may be limited under the U.S. Bankruptcy Code or state fraudulent transfer or conveyance law.</w:t>
      </w:r>
    </w:p>
    <w:p>
      <w:pPr>
        <w:spacing w:after="0" w:line="160"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Each entity in the summarized combined financial information follows the same accounting policies as described in our condensed consolidated financial statements. Information for the non-Guarantor subsidiaries has been excluded from the combined summarized financial information of the obligated group. The accompanying summarized combined financial information does not reflect investments of the obligated group in non-Guarantor subsidiaries. The financial information of the obligated group is presented on a combined basis and is derived from EchoStar’s condensed consolidated financial statements; intercompany balances and transactions within the obligated group have been eliminated. The obligated group’s amounts due to non-Guarantor subsidiaries and related parties have been presented in separate line items.</w:t>
      </w:r>
    </w:p>
    <w:p>
      <w:pPr>
        <w:spacing w:after="0" w:line="167"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The summarized balance sheet information for the combined obligor group of the EchoStar Notes is presented in the table below.</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6"/>
                <w:szCs w:val="16"/>
                <w:b w:val="1"/>
                <w:bCs w:val="1"/>
                <w:color w:val="auto"/>
              </w:rPr>
              <w:t>As of</w:t>
            </w:r>
          </w:p>
        </w:tc>
        <w:tc>
          <w:tcPr>
            <w:tcW w:w="1800" w:type="dxa"/>
            <w:vAlign w:val="bottom"/>
            <w:tcBorders>
              <w:bottom w:val="single" w:sz="8" w:color="auto"/>
            </w:tcBorders>
          </w:tcPr>
          <w:p>
            <w:pPr>
              <w:spacing w:after="0"/>
              <w:rPr>
                <w:sz w:val="18"/>
                <w:szCs w:val="18"/>
                <w:color w:val="auto"/>
              </w:rPr>
            </w:pPr>
          </w:p>
        </w:tc>
      </w:tr>
      <w:tr>
        <w:trPr>
          <w:trHeight w:val="175"/>
        </w:trPr>
        <w:tc>
          <w:tcPr>
            <w:tcW w:w="4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Pr>
          <w:p>
            <w:pPr>
              <w:jc w:val="right"/>
              <w:ind w:right="699"/>
              <w:spacing w:after="0" w:line="175"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0" w:type="dxa"/>
            <w:vAlign w:val="bottom"/>
          </w:tcPr>
          <w:p>
            <w:pPr>
              <w:jc w:val="right"/>
              <w:ind w:right="559"/>
              <w:spacing w:after="0" w:line="175" w:lineRule="exact"/>
              <w:rPr>
                <w:sz w:val="20"/>
                <w:szCs w:val="20"/>
                <w:color w:val="auto"/>
              </w:rPr>
            </w:pPr>
            <w:r>
              <w:rPr>
                <w:rFonts w:ascii="Arial" w:cs="Arial" w:eastAsia="Arial" w:hAnsi="Arial"/>
                <w:sz w:val="16"/>
                <w:szCs w:val="16"/>
                <w:b w:val="1"/>
                <w:bCs w:val="1"/>
                <w:color w:val="auto"/>
              </w:rPr>
              <w:t>December 31,</w:t>
            </w:r>
          </w:p>
        </w:tc>
      </w:tr>
      <w:tr>
        <w:trPr>
          <w:trHeight w:val="203"/>
        </w:trPr>
        <w:tc>
          <w:tcPr>
            <w:tcW w:w="40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b w:val="1"/>
                <w:bCs w:val="1"/>
                <w:color w:val="auto"/>
              </w:rPr>
              <w:t>2024</w:t>
            </w:r>
          </w:p>
        </w:tc>
      </w:tr>
      <w:tr>
        <w:trPr>
          <w:trHeight w:val="169"/>
        </w:trPr>
        <w:tc>
          <w:tcPr>
            <w:tcW w:w="4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20" w:type="dxa"/>
            <w:vAlign w:val="bottom"/>
            <w:gridSpan w:val="4"/>
          </w:tcPr>
          <w:p>
            <w:pPr>
              <w:jc w:val="center"/>
              <w:ind w:left="1279"/>
              <w:spacing w:after="0" w:line="169" w:lineRule="exact"/>
              <w:rPr>
                <w:sz w:val="20"/>
                <w:szCs w:val="20"/>
                <w:color w:val="auto"/>
              </w:rPr>
            </w:pPr>
            <w:r>
              <w:rPr>
                <w:rFonts w:ascii="Arial" w:cs="Arial" w:eastAsia="Arial" w:hAnsi="Arial"/>
                <w:sz w:val="16"/>
                <w:szCs w:val="16"/>
                <w:color w:val="auto"/>
                <w:w w:val="99"/>
              </w:rPr>
              <w:t>(In thousands)</w:t>
            </w:r>
          </w:p>
        </w:tc>
        <w:tc>
          <w:tcPr>
            <w:tcW w:w="1800" w:type="dxa"/>
            <w:vAlign w:val="bottom"/>
          </w:tcPr>
          <w:p>
            <w:pPr>
              <w:spacing w:after="0"/>
              <w:rPr>
                <w:sz w:val="14"/>
                <w:szCs w:val="14"/>
                <w:color w:val="auto"/>
              </w:rPr>
            </w:pP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4,501,051</w:t>
            </w:r>
          </w:p>
        </w:tc>
        <w:tc>
          <w:tcPr>
            <w:tcW w:w="84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6,234,658</w:t>
            </w:r>
          </w:p>
        </w:tc>
      </w:tr>
      <w:tr>
        <w:trPr>
          <w:trHeight w:val="189"/>
        </w:trPr>
        <w:tc>
          <w:tcPr>
            <w:tcW w:w="40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4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17,650,350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17,397,691</w:t>
            </w: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4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335,512</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411,704</w:t>
            </w:r>
          </w:p>
        </w:tc>
      </w:tr>
      <w:tr>
        <w:trPr>
          <w:trHeight w:val="189"/>
        </w:trPr>
        <w:tc>
          <w:tcPr>
            <w:tcW w:w="40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4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9,516,165</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9,254,862</w:t>
            </w:r>
          </w:p>
        </w:tc>
      </w:tr>
      <w:tr>
        <w:trPr>
          <w:trHeight w:val="18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from non-guarantors</w:t>
            </w:r>
          </w:p>
        </w:tc>
        <w:tc>
          <w:tcPr>
            <w:tcW w:w="44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1,370,441</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1,470,067</w:t>
            </w:r>
          </w:p>
        </w:tc>
      </w:tr>
    </w:tbl>
    <w:p>
      <w:pPr>
        <w:spacing w:after="0" w:line="184" w:lineRule="exact"/>
        <w:rPr>
          <w:sz w:val="20"/>
          <w:szCs w:val="20"/>
          <w:color w:val="auto"/>
        </w:rPr>
      </w:pPr>
    </w:p>
    <w:p>
      <w:pPr>
        <w:ind w:left="60" w:right="539"/>
        <w:spacing w:after="0" w:line="271" w:lineRule="auto"/>
        <w:rPr>
          <w:sz w:val="20"/>
          <w:szCs w:val="20"/>
          <w:color w:val="auto"/>
        </w:rPr>
      </w:pPr>
      <w:r>
        <w:rPr>
          <w:rFonts w:ascii="Arial" w:cs="Arial" w:eastAsia="Arial" w:hAnsi="Arial"/>
          <w:sz w:val="18"/>
          <w:szCs w:val="18"/>
          <w:color w:val="auto"/>
        </w:rPr>
        <w:t>The summarized results of operations information for the combined obligor group of the EchoStar Notes is presented in the table below.</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For the Six Months Ended</w:t>
            </w:r>
          </w:p>
        </w:tc>
      </w:tr>
      <w:tr>
        <w:trPr>
          <w:trHeight w:val="203"/>
        </w:trPr>
        <w:tc>
          <w:tcPr>
            <w:tcW w:w="5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rPr>
              <w:t>June 30, 2025</w:t>
            </w:r>
          </w:p>
        </w:tc>
      </w:tr>
      <w:tr>
        <w:trPr>
          <w:trHeight w:val="183"/>
        </w:trPr>
        <w:tc>
          <w:tcPr>
            <w:tcW w:w="5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tcPr>
          <w:p>
            <w:pPr>
              <w:jc w:val="center"/>
              <w:ind w:right="399"/>
              <w:spacing w:after="0" w:line="183" w:lineRule="exact"/>
              <w:rPr>
                <w:sz w:val="20"/>
                <w:szCs w:val="20"/>
                <w:color w:val="auto"/>
              </w:rPr>
            </w:pPr>
            <w:r>
              <w:rPr>
                <w:rFonts w:ascii="Arial" w:cs="Arial" w:eastAsia="Arial" w:hAnsi="Arial"/>
                <w:sz w:val="16"/>
                <w:szCs w:val="16"/>
                <w:color w:val="auto"/>
                <w:w w:val="99"/>
              </w:rPr>
              <w:t>(In thousands)</w:t>
            </w:r>
          </w:p>
        </w:tc>
        <w:tc>
          <w:tcPr>
            <w:tcW w:w="20" w:type="dxa"/>
            <w:vAlign w:val="bottom"/>
          </w:tcPr>
          <w:p>
            <w:pPr>
              <w:spacing w:after="0"/>
              <w:rPr>
                <w:sz w:val="15"/>
                <w:szCs w:val="15"/>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480" w:type="dxa"/>
            <w:vAlign w:val="bottom"/>
            <w:shd w:val="clear" w:color="auto" w:fill="CCEEFF"/>
          </w:tcPr>
          <w:p>
            <w:pPr>
              <w:jc w:val="right"/>
              <w:ind w:right="324"/>
              <w:spacing w:after="0"/>
              <w:rPr>
                <w:sz w:val="20"/>
                <w:szCs w:val="20"/>
                <w:color w:val="auto"/>
              </w:rPr>
            </w:pPr>
            <w:r>
              <w:rPr>
                <w:rFonts w:ascii="Arial" w:cs="Arial" w:eastAsia="Arial" w:hAnsi="Arial"/>
                <w:sz w:val="15"/>
                <w:szCs w:val="15"/>
                <w:color w:val="auto"/>
                <w:w w:val="71"/>
              </w:rPr>
              <w:t>$</w:t>
            </w: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0" w:type="dxa"/>
            <w:vAlign w:val="bottom"/>
          </w:tcPr>
          <w:p>
            <w:pPr>
              <w:spacing w:after="0"/>
              <w:rPr>
                <w:sz w:val="16"/>
                <w:szCs w:val="16"/>
                <w:color w:val="auto"/>
              </w:rPr>
            </w:pPr>
          </w:p>
        </w:tc>
      </w:tr>
      <w:tr>
        <w:trPr>
          <w:trHeight w:val="189"/>
        </w:trPr>
        <w:tc>
          <w:tcPr>
            <w:tcW w:w="512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480" w:type="dxa"/>
            <w:vAlign w:val="bottom"/>
          </w:tcPr>
          <w:p>
            <w:pPr>
              <w:spacing w:after="0"/>
              <w:rPr>
                <w:sz w:val="16"/>
                <w:szCs w:val="16"/>
                <w:color w:val="auto"/>
              </w:rPr>
            </w:pPr>
          </w:p>
        </w:tc>
        <w:tc>
          <w:tcPr>
            <w:tcW w:w="3300" w:type="dxa"/>
            <w:vAlign w:val="bottom"/>
          </w:tcPr>
          <w:p>
            <w:pPr>
              <w:jc w:val="right"/>
              <w:spacing w:after="0"/>
              <w:rPr>
                <w:sz w:val="20"/>
                <w:szCs w:val="20"/>
                <w:color w:val="auto"/>
              </w:rPr>
            </w:pPr>
            <w:r>
              <w:rPr>
                <w:rFonts w:ascii="Arial" w:cs="Arial" w:eastAsia="Arial" w:hAnsi="Arial"/>
                <w:sz w:val="16"/>
                <w:szCs w:val="16"/>
                <w:color w:val="auto"/>
              </w:rPr>
              <w:t>(11,784)</w:t>
            </w:r>
          </w:p>
        </w:tc>
        <w:tc>
          <w:tcPr>
            <w:tcW w:w="20" w:type="dxa"/>
            <w:vAlign w:val="bottom"/>
          </w:tcPr>
          <w:p>
            <w:pPr>
              <w:spacing w:after="0"/>
              <w:rPr>
                <w:sz w:val="16"/>
                <w:szCs w:val="16"/>
                <w:color w:val="auto"/>
              </w:rPr>
            </w:pPr>
          </w:p>
        </w:tc>
      </w:tr>
      <w:tr>
        <w:trPr>
          <w:trHeight w:val="189"/>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480" w:type="dxa"/>
            <w:vAlign w:val="bottom"/>
            <w:shd w:val="clear" w:color="auto" w:fill="CCEEFF"/>
          </w:tcPr>
          <w:p>
            <w:pPr>
              <w:spacing w:after="0"/>
              <w:rPr>
                <w:sz w:val="16"/>
                <w:szCs w:val="16"/>
                <w:color w:val="auto"/>
              </w:rPr>
            </w:pPr>
          </w:p>
        </w:tc>
        <w:tc>
          <w:tcPr>
            <w:tcW w:w="3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(135,884)</w:t>
            </w: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right="779"/>
        <w:spacing w:after="0" w:line="278" w:lineRule="auto"/>
        <w:rPr>
          <w:sz w:val="20"/>
          <w:szCs w:val="20"/>
          <w:color w:val="auto"/>
        </w:rPr>
      </w:pPr>
      <w:r>
        <w:rPr>
          <w:rFonts w:ascii="Arial" w:cs="Arial" w:eastAsia="Arial" w:hAnsi="Arial"/>
          <w:sz w:val="18"/>
          <w:szCs w:val="18"/>
          <w:b w:val="1"/>
          <w:bCs w:val="1"/>
          <w:i w:val="1"/>
          <w:iCs w:val="1"/>
          <w:color w:val="auto"/>
        </w:rPr>
        <w:t>Cash, Cash Equivalents, Current Restricted Cash and Cash Equivalents and Current Marketable Investment Securities</w:t>
      </w:r>
    </w:p>
    <w:p>
      <w:pPr>
        <w:spacing w:after="0" w:line="139"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See Note 5 in the Notes to our Condensed Consolidated Financial Statements for further information regarding our current restricted cash and cash equivalents and marketable investment securities. As of June 30, 2025, cash, cash equivalents, current restricted cash and cash equivalents, and current marketable investment securities totaled $ 4.517 billion compared to $5.698 billion as of December 31, 2024, a decrease of $1.181 billion. This decrease in cash, cash equivalents, current restricted cash and cash equivalents and current marketable investment securities primarily resulted from capital expenditures, net of refunds, of $1.125 billion (including capitalized interest related to regulatory authorizations), redemptions of our Term Loan due 2025 of $333 million and repurchases of our 5 1/4% Senior Secured Notes due 2026 of $123 million, partially offset by cash generated from operating activities of $214 million and $150 million in proceeds from the additional issuance of our 10 3/4% Senior Secured Notes due 2029. In addition, during the three months ended March 31, 2025 and June 30, 2025, we had cash interest payments of $236 million and $777 million, respectively, which contributed to the decrease in our cash and cash equivalents.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discussion highlights our cash flow activities during the six months ended June 30, 2025.</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For the six months ended June 30, 2025, we reported “Net cash flows from operating activities” of $214 million primarily attributable to $248 million of “Net income (loss)” adjusted to exclude the non-cash items for “Depreciation and amortization” expense, “Realized and unrealized losses (gains) on investments, impairments and other,” “Non-cash, stock-based compensation” expense, and “Deferred tax expense (benefit).” In addition, “Net cash flows from operating activities” was impacted by the timing difference between book expense and cash payments, including income taxes, and other working capital changes.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6"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For the six months ended June 30, 2025, we reported outflows from “Net cash flows from investing activities” of $1.800 billion primarily related to capital expenditures, net of refunds, of $1.125 billion (including capitalized interest related to regulatory authorizations) and $721 million in net purchases of marketable investment securities, partially offset by $47 million in proceeds from the sale of our Fiber business.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ind w:left="60" w:right="119" w:hanging="7"/>
        <w:spacing w:after="0" w:line="245" w:lineRule="auto"/>
        <w:rPr>
          <w:sz w:val="20"/>
          <w:szCs w:val="20"/>
          <w:color w:val="auto"/>
        </w:rPr>
      </w:pPr>
      <w:r>
        <w:rPr>
          <w:rFonts w:ascii="Arial" w:cs="Arial" w:eastAsia="Arial" w:hAnsi="Arial"/>
          <w:sz w:val="18"/>
          <w:szCs w:val="18"/>
          <w:color w:val="auto"/>
        </w:rPr>
        <w:t>For the six months ended June 30, 2025, we reported outflows from “Net cash flows from financing activities” of $366 million primarily related to redemptions of our Term Loan due 2025 of $333 million, repurchases of our</w:t>
      </w:r>
    </w:p>
    <w:p>
      <w:pPr>
        <w:ind w:left="60" w:right="159"/>
        <w:spacing w:after="0" w:line="242" w:lineRule="auto"/>
        <w:rPr>
          <w:sz w:val="20"/>
          <w:szCs w:val="20"/>
          <w:color w:val="auto"/>
        </w:rPr>
      </w:pPr>
      <w:r>
        <w:rPr>
          <w:rFonts w:ascii="Arial" w:cs="Arial" w:eastAsia="Arial" w:hAnsi="Arial"/>
          <w:sz w:val="18"/>
          <w:szCs w:val="18"/>
          <w:color w:val="auto"/>
        </w:rPr>
        <w:t>5 1/4% Senior Secured Notes due 2026 of $123 million and repayments of long-term debt and finance lease obligations of $46 million, partially offset by and $150 million in proceeds from the additional issuance of our 10 3/4% Senior Secured Notes due 2029.</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 Cash Flow</w:t>
      </w:r>
    </w:p>
    <w:p>
      <w:pPr>
        <w:spacing w:after="0" w:line="198"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define free cash flow as “Net cash flows from operating activities” less: (i) “Purchases of property and equipment” net of “Refunds and other receipts of purchases of property and equipment,” and (ii) “Capitalized interest related to regulatory authorizations,” as shown on our Condensed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(loss),” “Net income (loss),”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172"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cash interest payments and other factors.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free cash flow to “Net cash flows from operating activities.”</w:t>
      </w:r>
    </w:p>
    <w:p>
      <w:pPr>
        <w:spacing w:after="0" w:line="216"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r>
      <w:tr>
        <w:trPr>
          <w:trHeight w:val="169"/>
        </w:trPr>
        <w:tc>
          <w:tcPr>
            <w:tcW w:w="6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61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6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operating activities</w:t>
            </w:r>
          </w:p>
        </w:tc>
        <w:tc>
          <w:tcPr>
            <w:tcW w:w="4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214,267</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930,984</w:t>
            </w:r>
          </w:p>
        </w:tc>
      </w:tr>
      <w:tr>
        <w:trPr>
          <w:trHeight w:val="175"/>
        </w:trPr>
        <w:tc>
          <w:tcPr>
            <w:tcW w:w="6260" w:type="dxa"/>
            <w:vAlign w:val="bottom"/>
          </w:tcPr>
          <w:p>
            <w:pPr>
              <w:ind w:left="140"/>
              <w:spacing w:after="0" w:line="175" w:lineRule="exact"/>
              <w:rPr>
                <w:sz w:val="20"/>
                <w:szCs w:val="20"/>
                <w:color w:val="auto"/>
              </w:rPr>
            </w:pPr>
            <w:r>
              <w:rPr>
                <w:rFonts w:ascii="Arial" w:cs="Arial" w:eastAsia="Arial" w:hAnsi="Arial"/>
                <w:sz w:val="16"/>
                <w:szCs w:val="16"/>
                <w:color w:val="auto"/>
              </w:rPr>
              <w:t>Purchases of property and equipment, net of refunds (including capitalized interest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62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related to regulatory authorizations)</w:t>
            </w: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(1,125,385)</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(1,348,729)</w:t>
            </w:r>
          </w:p>
        </w:tc>
      </w:tr>
      <w:tr>
        <w:trPr>
          <w:trHeight w:val="183"/>
        </w:trPr>
        <w:tc>
          <w:tcPr>
            <w:tcW w:w="626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Free cash flow</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(911,118)</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(417,745)</w:t>
            </w:r>
          </w:p>
        </w:tc>
      </w:tr>
      <w:tr>
        <w:trPr>
          <w:trHeight w:val="20"/>
        </w:trPr>
        <w:tc>
          <w:tcPr>
            <w:tcW w:w="6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Liquidity</w:t>
      </w:r>
    </w:p>
    <w:p>
      <w:pPr>
        <w:spacing w:after="0" w:line="198" w:lineRule="exact"/>
        <w:rPr>
          <w:sz w:val="20"/>
          <w:szCs w:val="20"/>
          <w:color w:val="auto"/>
        </w:rPr>
      </w:pPr>
    </w:p>
    <w:p>
      <w:pPr>
        <w:ind w:left="60" w:right="219"/>
        <w:spacing w:after="0" w:line="244" w:lineRule="auto"/>
        <w:rPr>
          <w:sz w:val="20"/>
          <w:szCs w:val="20"/>
          <w:color w:val="auto"/>
        </w:rPr>
      </w:pPr>
      <w:r>
        <w:rPr>
          <w:rFonts w:ascii="Arial" w:cs="Arial" w:eastAsia="Arial" w:hAnsi="Arial"/>
          <w:sz w:val="18"/>
          <w:szCs w:val="18"/>
          <w:color w:val="auto"/>
        </w:rPr>
        <w:t xml:space="preserve">We make general investments in property such as, among others, satellites, wireless devices, set-top boxes, information technology and facilities that support our Pay-TV, Wireless and Broadband and Satellite Services segments. For some of these investments, </w:t>
      </w:r>
      <w:r>
        <w:rPr>
          <w:rFonts w:ascii="Arial" w:cs="Arial" w:eastAsia="Arial" w:hAnsi="Arial"/>
          <w:sz w:val="18"/>
          <w:szCs w:val="18"/>
          <w:color w:val="222222"/>
        </w:rPr>
        <w:t>changes in trade policies, including, but not limited to, tariffs and</w:t>
      </w:r>
      <w:r>
        <w:rPr>
          <w:rFonts w:ascii="Arial" w:cs="Arial" w:eastAsia="Arial" w:hAnsi="Arial"/>
          <w:sz w:val="18"/>
          <w:szCs w:val="18"/>
          <w:color w:val="auto"/>
        </w:rPr>
        <w:t xml:space="preserve"> </w:t>
      </w:r>
      <w:r>
        <w:rPr>
          <w:rFonts w:ascii="Arial" w:cs="Arial" w:eastAsia="Arial" w:hAnsi="Arial"/>
          <w:sz w:val="18"/>
          <w:szCs w:val="18"/>
          <w:color w:val="222222"/>
        </w:rPr>
        <w:t>other restrictions, could increase, among other things, our costs, disrupt our supply chain and negatively affect our business, operations and financial condition.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5" w:name="page106"/>
    <w:bookmarkEnd w:id="10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Wireless service margins are impacted by, among other things, our MNSA agreement with T-Mobile and our NSA agreement with AT&amp;T and the speed with which we are able to migrate Wireless subscribers onto our 5G Network. The third factor is the rate at which we acquire new Pay-TV, Wireless and Broadband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167" w:lineRule="exact"/>
        <w:rPr>
          <w:sz w:val="20"/>
          <w:szCs w:val="20"/>
          <w:color w:val="auto"/>
        </w:rPr>
      </w:pPr>
    </w:p>
    <w:p>
      <w:pPr>
        <w:ind w:left="60" w:right="99" w:hanging="6"/>
        <w:spacing w:after="0" w:line="238" w:lineRule="auto"/>
        <w:rPr>
          <w:sz w:val="20"/>
          <w:szCs w:val="20"/>
          <w:color w:val="auto"/>
        </w:rPr>
      </w:pPr>
      <w:r>
        <w:rPr>
          <w:rFonts w:ascii="Arial" w:cs="Arial" w:eastAsia="Arial" w:hAnsi="Arial"/>
          <w:sz w:val="18"/>
          <w:szCs w:val="18"/>
          <w:color w:val="auto"/>
        </w:rPr>
        <w:t>Finally, our future cash flow is impacted by, among other things, the rate at which we complete our 5G Network, incur litigation expense, make cash interest payments, participate in FCC wireless spectrum auctions and any cash flow from financing activities. We anticipate operating expenditures for our 5G Network to increase for 2025 as we continue to, among other things, deploy cell sites and communication towers to continue to commercialize our 5G Network. We expect our capital expenditures (excluding capitalized interest) may decrease in the near term. However, as we prepare for our next build-out requirement deadlines, we expect our capital expenditures to increase as we approach these deadlines. As a result, our historical cash flow is not necessarily indicative of our future cash flows. As of June 30, 2025, we experienced negative free cash flow. We expect that this trend will continue in 2025 and in future periods. In addition, declines in our subscriber base and any decrease in subscriber-related margins negatively impact our cash flow, and there can be no assurance that our subscriber declines for some if not all of our segments will not continue.</w:t>
      </w:r>
    </w:p>
    <w:p>
      <w:pPr>
        <w:spacing w:after="0" w:line="172" w:lineRule="exact"/>
        <w:rPr>
          <w:sz w:val="20"/>
          <w:szCs w:val="20"/>
          <w:color w:val="auto"/>
        </w:rPr>
      </w:pPr>
    </w:p>
    <w:p>
      <w:pPr>
        <w:ind w:left="60" w:right="1739"/>
        <w:spacing w:after="0" w:line="469" w:lineRule="auto"/>
        <w:rPr>
          <w:sz w:val="20"/>
          <w:szCs w:val="20"/>
          <w:color w:val="auto"/>
        </w:rPr>
      </w:pPr>
      <w:r>
        <w:rPr>
          <w:rFonts w:ascii="Arial" w:cs="Arial" w:eastAsia="Arial" w:hAnsi="Arial"/>
          <w:sz w:val="18"/>
          <w:szCs w:val="18"/>
          <w:b w:val="1"/>
          <w:bCs w:val="1"/>
          <w:color w:val="auto"/>
        </w:rPr>
        <w:t xml:space="preserve">Subscriber Base – Pay TV, Wireless and Broadband and Satellite Services Segments </w:t>
      </w:r>
      <w:r>
        <w:rPr>
          <w:rFonts w:ascii="Arial" w:cs="Arial" w:eastAsia="Arial" w:hAnsi="Arial"/>
          <w:sz w:val="18"/>
          <w:szCs w:val="18"/>
          <w:color w:val="auto"/>
        </w:rPr>
        <w:t xml:space="preserve">See “Results of Operations” above for further information. </w:t>
      </w:r>
      <w:r>
        <w:rPr>
          <w:rFonts w:ascii="Arial" w:cs="Arial" w:eastAsia="Arial" w:hAnsi="Arial"/>
          <w:sz w:val="18"/>
          <w:szCs w:val="18"/>
          <w:b w:val="1"/>
          <w:bCs w:val="1"/>
          <w:color w:val="auto"/>
        </w:rPr>
        <w:t>Subscriber Acquisition and Retention Costs</w:t>
      </w:r>
    </w:p>
    <w:p>
      <w:pPr>
        <w:spacing w:after="0" w:line="2" w:lineRule="exact"/>
        <w:rPr>
          <w:sz w:val="20"/>
          <w:szCs w:val="20"/>
          <w:color w:val="auto"/>
        </w:rPr>
      </w:pPr>
    </w:p>
    <w:p>
      <w:pPr>
        <w:ind w:left="60" w:right="199"/>
        <w:spacing w:after="0"/>
        <w:rPr>
          <w:sz w:val="20"/>
          <w:szCs w:val="20"/>
          <w:color w:val="auto"/>
        </w:rPr>
      </w:pPr>
      <w:r>
        <w:rPr>
          <w:rFonts w:ascii="Arial" w:cs="Arial" w:eastAsia="Arial" w:hAnsi="Arial"/>
          <w:sz w:val="18"/>
          <w:szCs w:val="18"/>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We employ certain business rules for acquiring subscribers, including, but not limited to, minimum credit requirements, identity verification and contractual commitments. We strive to provide outstanding customer service to increase the likelihood of customers keeping their service over longer periods of time. Our subscriber acquisition costs may vary significantly from period to period.</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6" w:name="page107"/>
    <w:bookmarkEnd w:id="10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and promotional credits. Our DISH TV and Wireless subscriber retention costs may vary significantly from period to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16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85" w:lineRule="exact"/>
        <w:rPr>
          <w:sz w:val="20"/>
          <w:szCs w:val="20"/>
          <w:color w:val="auto"/>
        </w:rPr>
      </w:pPr>
    </w:p>
    <w:p>
      <w:pPr>
        <w:ind w:left="60" w:right="319"/>
        <w:spacing w:after="0" w:line="251" w:lineRule="auto"/>
        <w:rPr>
          <w:sz w:val="20"/>
          <w:szCs w:val="20"/>
          <w:color w:val="auto"/>
        </w:rPr>
      </w:pPr>
      <w:r>
        <w:rPr>
          <w:rFonts w:ascii="Arial" w:cs="Arial" w:eastAsia="Arial" w:hAnsi="Arial"/>
          <w:sz w:val="17"/>
          <w:szCs w:val="17"/>
          <w:b w:val="1"/>
          <w:bCs w:val="1"/>
          <w:i w:val="1"/>
          <w:iCs w:val="1"/>
          <w:color w:val="auto"/>
        </w:rPr>
        <w:t xml:space="preserve">Pay-TV Segment. </w:t>
      </w:r>
      <w:r>
        <w:rPr>
          <w:rFonts w:ascii="Arial" w:cs="Arial" w:eastAsia="Arial" w:hAnsi="Arial"/>
          <w:sz w:val="17"/>
          <w:szCs w:val="17"/>
          <w:color w:val="auto"/>
        </w:rPr>
        <w:t>Operation of our DISH TV services requires that we have adequate satellite transmission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capacity for the programming that we offer. Moreover, competitive conditions may require that we expand our</w:t>
      </w:r>
    </w:p>
    <w:p>
      <w:pPr>
        <w:ind w:left="60"/>
        <w:spacing w:after="0" w:line="235" w:lineRule="auto"/>
        <w:rPr>
          <w:sz w:val="20"/>
          <w:szCs w:val="20"/>
          <w:color w:val="auto"/>
        </w:rPr>
      </w:pPr>
      <w:r>
        <w:rPr>
          <w:rFonts w:ascii="Arial" w:cs="Arial" w:eastAsia="Arial" w:hAnsi="Arial"/>
          <w:sz w:val="18"/>
          <w:szCs w:val="18"/>
          <w:color w:val="auto"/>
        </w:rPr>
        <w:t>offering of new programming. While we generally have had in-orbit satellite capacity sufficient to transmit our</w:t>
      </w:r>
    </w:p>
    <w:p>
      <w:pPr>
        <w:ind w:left="60" w:right="79"/>
        <w:spacing w:after="0"/>
        <w:rPr>
          <w:sz w:val="20"/>
          <w:szCs w:val="20"/>
          <w:color w:val="auto"/>
        </w:rPr>
      </w:pPr>
      <w:r>
        <w:rPr>
          <w:rFonts w:ascii="Arial" w:cs="Arial" w:eastAsia="Arial" w:hAnsi="Arial"/>
          <w:sz w:val="17"/>
          <w:szCs w:val="17"/>
          <w:color w:val="auto"/>
        </w:rPr>
        <w:t>existing channels and some backup capacity to recover the transmission of certain critical programming, our backup capacity is limited. In the event of a failure or loss of any of our owned or leased satellites, we may need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 acquire or lease additional satellite capacity or relocate one of our other satellites and use it as a replacement</w:t>
      </w:r>
    </w:p>
    <w:p>
      <w:pPr>
        <w:spacing w:after="0" w:line="7" w:lineRule="exact"/>
        <w:rPr>
          <w:sz w:val="20"/>
          <w:szCs w:val="20"/>
          <w:color w:val="auto"/>
        </w:rPr>
      </w:pPr>
    </w:p>
    <w:p>
      <w:pPr>
        <w:ind w:left="60" w:right="559"/>
        <w:spacing w:after="0"/>
        <w:rPr>
          <w:sz w:val="20"/>
          <w:szCs w:val="20"/>
          <w:color w:val="auto"/>
        </w:rPr>
      </w:pPr>
      <w:r>
        <w:rPr>
          <w:rFonts w:ascii="Arial" w:cs="Arial" w:eastAsia="Arial" w:hAnsi="Arial"/>
          <w:sz w:val="17"/>
          <w:szCs w:val="17"/>
          <w:color w:val="auto"/>
        </w:rPr>
        <w:t>for the failed or lost satellite. Such a failure could result in a prolonged loss of critical programming or a significant delay in our plans to expand programming as necessary to remain competitive and cause us to</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expend a significant portion of our cash to acquire or lease additional satellite capacity.</w:t>
      </w:r>
    </w:p>
    <w:p>
      <w:pPr>
        <w:spacing w:after="0" w:line="194" w:lineRule="exact"/>
        <w:rPr>
          <w:sz w:val="20"/>
          <w:szCs w:val="20"/>
          <w:color w:val="auto"/>
        </w:rPr>
      </w:pPr>
    </w:p>
    <w:p>
      <w:pPr>
        <w:ind w:left="60" w:right="79"/>
        <w:spacing w:after="0" w:line="244" w:lineRule="auto"/>
        <w:rPr>
          <w:sz w:val="20"/>
          <w:szCs w:val="20"/>
          <w:color w:val="auto"/>
        </w:rPr>
      </w:pPr>
      <w:r>
        <w:rPr>
          <w:rFonts w:ascii="Arial" w:cs="Arial" w:eastAsia="Arial" w:hAnsi="Arial"/>
          <w:sz w:val="18"/>
          <w:szCs w:val="18"/>
          <w:b w:val="1"/>
          <w:bCs w:val="1"/>
          <w:i w:val="1"/>
          <w:iCs w:val="1"/>
          <w:color w:val="auto"/>
        </w:rPr>
        <w:t xml:space="preserve">Broadband and Satellite Services Segment. </w:t>
      </w:r>
      <w:r>
        <w:rPr>
          <w:rFonts w:ascii="Arial" w:cs="Arial" w:eastAsia="Arial" w:hAnsi="Arial"/>
          <w:sz w:val="18"/>
          <w:szCs w:val="18"/>
          <w:color w:val="auto"/>
        </w:rPr>
        <w:t>Operation of our Broadband and Satellite Services segment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requires adequate satellite transmission capacity for the services that we offer.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7" w:name="page108"/>
    <w:bookmarkEnd w:id="10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the covenants and restrictions set forth in the indentures related to our long-term debt.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EchoStar Corporation</w:t>
      </w:r>
    </w:p>
    <w:p>
      <w:pPr>
        <w:spacing w:after="0" w:line="196"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The indentures related to our outstanding EchoStar senior secured notes and convertible senior secured notes contain restrictive covenants that, among other things, impose limitations on our and certain of our subsidiaries’ ability to: (i) incur or guarantee additional indebtedness; (ii) make certain investments and other restricted payments; (iii) create liens; (iv) enter into certain transactions with affiliates; (v) merge or consolidate with another company; (vi) transfer or sell assets; (vii) allow to exist certain restrictions on paying dividends or other payments; and (viii) guarantor engagement in new activities. Should we fail to comply with these covenants, all or a portion of the debt under the senior secured notes could become immediately payable. The senior secured notes also provide that the debt may be required to be prepaid if certain change-in-control events occur. In addition, the convertible senior secured notes provide that, if a “fundamental change” (as defined in the related indenture) occurs, holders may require us to repurchase for cash all or part of their convertible notes. As of the date of filing of this Quarterly Report on Form 10-Q, we were in compliance with the covenants and restrictions related to our long-term debt.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Network and DISH DBS Corporation</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DISH Network and DISH DBS were in compliance with the covenants and restrictions related to our respective long-term debt.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Satellite Systems Corporation</w:t>
      </w:r>
    </w:p>
    <w:p>
      <w:pPr>
        <w:spacing w:after="0" w:line="196" w:lineRule="exact"/>
        <w:rPr>
          <w:sz w:val="20"/>
          <w:szCs w:val="20"/>
          <w:color w:val="auto"/>
        </w:rPr>
      </w:pPr>
    </w:p>
    <w:p>
      <w:pPr>
        <w:ind w:left="60" w:right="59" w:hanging="7"/>
        <w:spacing w:after="0" w:line="256" w:lineRule="auto"/>
        <w:rPr>
          <w:sz w:val="20"/>
          <w:szCs w:val="20"/>
          <w:color w:val="auto"/>
        </w:rPr>
      </w:pPr>
      <w:r>
        <w:rPr>
          <w:rFonts w:ascii="Arial" w:cs="Arial" w:eastAsia="Arial" w:hAnsi="Arial"/>
          <w:sz w:val="17"/>
          <w:szCs w:val="17"/>
          <w:color w:val="auto"/>
        </w:rPr>
        <w:t>The indentures related to our outstanding senior notes issued by Hughes Satellite Systems Corporation (“HSSC”) contain restrictive covenants that, among other things, impose limitations on the ability of HSSC and its restricted subsidiaries to: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8" w:name="page109"/>
    <w:bookmarkEnd w:id="10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We are also vulnerable to fraud, particularly in the acquisition of new subscribers, which includes the sale of wireless devices. While we are addressing the impact of subscriber fraud through a number of actions, there can be no assurance that we will not continue to experience fraud or that any fraud we have experienced does not accelerate, which could impact our subscriber growth and churn. Economic weakness may create greater incentive for signal theft, piracy and subscriber fraud, which could lead to higher subscriber churn and reduced revenue.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 xml:space="preserve">We expect to fund our future working capital, capital expenditures, other investments and debt service requirements for the next twelve months from cash generated from operations, existing restricted and unrestricted cash, cash equivalents and marketable investment securities balances and cash generated through raising additional capital. We do not currently have cash, cash equivalents, marketable investment securities balances and/or projected future cash flows to fully fund our 2026 debt maturities. We will need to obtain new financing and/or refinance or restructure all or a portion of such obligations prior to maturity. Furthermore, because </w:t>
      </w:r>
      <w:r>
        <w:rPr>
          <w:rFonts w:ascii="Arial" w:cs="Arial" w:eastAsia="Arial" w:hAnsi="Arial"/>
          <w:sz w:val="18"/>
          <w:szCs w:val="18"/>
          <w:color w:val="222222"/>
        </w:rPr>
        <w:t>reaching an acceptable resolution of the FCC inquiries is not assured, we must continue to evaluate</w:t>
      </w:r>
      <w:r>
        <w:rPr>
          <w:rFonts w:ascii="Arial" w:cs="Arial" w:eastAsia="Arial" w:hAnsi="Arial"/>
          <w:sz w:val="18"/>
          <w:szCs w:val="18"/>
          <w:color w:val="auto"/>
        </w:rPr>
        <w:t xml:space="preserve"> </w:t>
      </w:r>
      <w:r>
        <w:rPr>
          <w:rFonts w:ascii="Arial" w:cs="Arial" w:eastAsia="Arial" w:hAnsi="Arial"/>
          <w:sz w:val="18"/>
          <w:szCs w:val="18"/>
          <w:color w:val="222222"/>
        </w:rPr>
        <w:t xml:space="preserve">the deployment of our resources. </w:t>
      </w:r>
      <w:r>
        <w:rPr>
          <w:rFonts w:ascii="Arial" w:cs="Arial" w:eastAsia="Arial" w:hAnsi="Arial"/>
          <w:sz w:val="18"/>
          <w:szCs w:val="18"/>
          <w:color w:val="000000"/>
        </w:rPr>
        <w:t>In light of this continued uncertainty, we elected not to make interest</w:t>
      </w:r>
      <w:r>
        <w:rPr>
          <w:rFonts w:ascii="Arial" w:cs="Arial" w:eastAsia="Arial" w:hAnsi="Arial"/>
          <w:sz w:val="18"/>
          <w:szCs w:val="18"/>
          <w:color w:val="222222"/>
        </w:rPr>
        <w:t xml:space="preserve"> </w:t>
      </w:r>
      <w:r>
        <w:rPr>
          <w:rFonts w:ascii="Arial" w:cs="Arial" w:eastAsia="Arial" w:hAnsi="Arial"/>
          <w:sz w:val="18"/>
          <w:szCs w:val="18"/>
          <w:color w:val="000000"/>
        </w:rPr>
        <w:t>payments on a certain portion of our long-term senior notes on their respective scheduled due dates. We subsequently made such payments, including interest on the defaulted interest, within the applicable 30-day grace periods to make such interest payments.</w:t>
      </w:r>
    </w:p>
    <w:p>
      <w:pPr>
        <w:spacing w:after="0" w:line="172"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will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and we will need to raise additional capital, depending on, among other things, the rate at which we complete our 5G Network, the potential purchase of additional wireless spectrum licenses and the rate at which we acquire new subscribers and the cost of subscriber acquisition and retention. Certain of our capital expenditures for 2025 are expected to be driven by the rate of our 5G Network deployment as well as costs associated with subscriber premises equipment. These expenditures are necessary for our 5G Network deployment as well as to operate and maintain our DISH TV services. Consequently, we consider certain of them to be non-discretionary.</w:t>
      </w:r>
    </w:p>
    <w:p>
      <w:pPr>
        <w:spacing w:after="0" w:line="139" w:lineRule="exact"/>
        <w:rPr>
          <w:sz w:val="20"/>
          <w:szCs w:val="20"/>
          <w:color w:val="auto"/>
        </w:rPr>
      </w:pPr>
    </w:p>
    <w:p>
      <w:pPr>
        <w:ind w:left="60" w:right="279"/>
        <w:spacing w:after="0" w:line="259" w:lineRule="auto"/>
        <w:rPr>
          <w:sz w:val="20"/>
          <w:szCs w:val="20"/>
          <w:color w:val="auto"/>
        </w:rPr>
      </w:pPr>
      <w:r>
        <w:rPr>
          <w:rFonts w:ascii="Arial" w:cs="Arial" w:eastAsia="Arial" w:hAnsi="Arial"/>
          <w:sz w:val="17"/>
          <w:szCs w:val="17"/>
          <w:color w:val="auto"/>
        </w:rPr>
        <w:t>Our capital expenditures vary depending on, among other things, the number of satellites leased or under construction at any point in time and could increase materially as a result of increased competition, significant</w:t>
      </w:r>
    </w:p>
    <w:p>
      <w:pPr>
        <w:spacing w:after="0" w:line="1" w:lineRule="exact"/>
        <w:rPr>
          <w:sz w:val="20"/>
          <w:szCs w:val="20"/>
          <w:color w:val="auto"/>
        </w:rPr>
      </w:pPr>
    </w:p>
    <w:p>
      <w:pPr>
        <w:ind w:left="60" w:right="259"/>
        <w:spacing w:after="0"/>
        <w:rPr>
          <w:sz w:val="20"/>
          <w:szCs w:val="20"/>
          <w:color w:val="auto"/>
        </w:rPr>
      </w:pPr>
      <w:r>
        <w:rPr>
          <w:rFonts w:ascii="Arial" w:cs="Arial" w:eastAsia="Arial" w:hAnsi="Arial"/>
          <w:sz w:val="17"/>
          <w:szCs w:val="17"/>
          <w:color w:val="auto"/>
        </w:rPr>
        <w:t>satellite failures or economic weakness and uncertainty. Our DISH TV and Broadband subscriber bases have been declining and there can be no assurance that both subscriber bases will not continue to decline and that</w:t>
      </w:r>
    </w:p>
    <w:p>
      <w:pPr>
        <w:spacing w:after="0" w:line="1" w:lineRule="exact"/>
        <w:rPr>
          <w:sz w:val="20"/>
          <w:szCs w:val="20"/>
          <w:color w:val="auto"/>
        </w:rPr>
      </w:pPr>
    </w:p>
    <w:p>
      <w:pPr>
        <w:ind w:left="60" w:right="399"/>
        <w:spacing w:after="0" w:line="250" w:lineRule="auto"/>
        <w:rPr>
          <w:sz w:val="20"/>
          <w:szCs w:val="20"/>
          <w:color w:val="auto"/>
        </w:rPr>
      </w:pPr>
      <w:r>
        <w:rPr>
          <w:rFonts w:ascii="Arial" w:cs="Arial" w:eastAsia="Arial" w:hAnsi="Arial"/>
          <w:sz w:val="18"/>
          <w:szCs w:val="18"/>
          <w:color w:val="auto"/>
        </w:rPr>
        <w:t>the pace of such decline will not accelerate. In the event that our DISH TV and Broadband subscriber bases continues to decline, it will have a material adverse long-term effect on our cash flow.</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9" w:name="page110"/>
    <w:bookmarkEnd w:id="10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98" w:lineRule="exact"/>
        <w:rPr>
          <w:sz w:val="20"/>
          <w:szCs w:val="20"/>
          <w:color w:val="auto"/>
        </w:rPr>
      </w:pPr>
    </w:p>
    <w:p>
      <w:pPr>
        <w:ind w:left="60" w:right="139"/>
        <w:spacing w:after="0" w:line="245" w:lineRule="auto"/>
        <w:rPr>
          <w:sz w:val="20"/>
          <w:szCs w:val="20"/>
          <w:color w:val="auto"/>
        </w:rPr>
      </w:pPr>
      <w:r>
        <w:rPr>
          <w:rFonts w:ascii="Arial" w:cs="Arial" w:eastAsia="Arial" w:hAnsi="Arial"/>
          <w:sz w:val="18"/>
          <w:szCs w:val="18"/>
          <w:color w:val="auto"/>
        </w:rPr>
        <w:t>We have and expect to continue to incur expenditures related to our 5G Network deployment, including, but not limited to, capital expenditures associated with our 5G Network deployment and the potential purchase of</w:t>
      </w:r>
    </w:p>
    <w:p>
      <w:pPr>
        <w:ind w:left="60" w:right="199"/>
        <w:spacing w:after="0"/>
        <w:rPr>
          <w:sz w:val="20"/>
          <w:szCs w:val="20"/>
          <w:color w:val="auto"/>
        </w:rPr>
      </w:pPr>
      <w:r>
        <w:rPr>
          <w:rFonts w:ascii="Arial" w:cs="Arial" w:eastAsia="Arial" w:hAnsi="Arial"/>
          <w:sz w:val="17"/>
          <w:szCs w:val="17"/>
          <w:color w:val="auto"/>
        </w:rPr>
        <w:t>additional wireless spectrum licenses, including any potential Northstar Re-Auction Payment and SNR Re-Auction Payment for the AWS-3 licenses retained by the FCC. The amount of capital required will also depend</w:t>
      </w:r>
    </w:p>
    <w:p>
      <w:pPr>
        <w:ind w:left="60"/>
        <w:spacing w:after="0" w:line="235" w:lineRule="auto"/>
        <w:rPr>
          <w:sz w:val="20"/>
          <w:szCs w:val="20"/>
          <w:color w:val="auto"/>
        </w:rPr>
      </w:pPr>
      <w:r>
        <w:rPr>
          <w:rFonts w:ascii="Arial" w:cs="Arial" w:eastAsia="Arial" w:hAnsi="Arial"/>
          <w:sz w:val="18"/>
          <w:szCs w:val="18"/>
          <w:color w:val="auto"/>
        </w:rPr>
        <w:t>on, among other things, our available liquidity, the growth of our Wireless segment and the levels of investment</w:t>
      </w:r>
    </w:p>
    <w:p>
      <w:pPr>
        <w:ind w:left="60" w:right="119"/>
        <w:spacing w:after="0" w:line="226" w:lineRule="auto"/>
        <w:rPr>
          <w:sz w:val="20"/>
          <w:szCs w:val="20"/>
          <w:color w:val="auto"/>
        </w:rPr>
      </w:pPr>
      <w:r>
        <w:rPr>
          <w:rFonts w:ascii="Arial" w:cs="Arial" w:eastAsia="Arial" w:hAnsi="Arial"/>
          <w:sz w:val="18"/>
          <w:szCs w:val="18"/>
          <w:color w:val="auto"/>
        </w:rPr>
        <w:t>necessary to support potential strategic initiatives that may arise from time to time. These factors, including, but not limited to, a reduction in our available future cash flows as a result of our 5G Network deployment, will</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require us to raise additional capital in the future, which may not be available on favorable terms or at all.</w:t>
      </w:r>
    </w:p>
    <w:p>
      <w:pPr>
        <w:spacing w:after="0" w:line="167"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or at all. These developments may have a significant effect on our cost of financing and our liquidity position.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Segment – 5G Network</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196"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The ability to raise capital has generally existed for us despite economic weakness and uncertainty. However,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 Although cured, this could negatively impact our ability to raise capital on favorable terms or at all. While modest fluctuations in the cost of capital will not likely impact our current operational plans, significant fluctuations could have a material adverse effect on our business, results of operations and financial condition.</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10 3/4% Senior Secured Notes due 2029</w:t>
      </w:r>
    </w:p>
    <w:p>
      <w:pPr>
        <w:spacing w:after="0" w:line="196"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On May 8, 2025, we issued $ 150 million aggregate principal amount of our 10 3/4% Senior Secured Notes due November 30, 2029. Interest accrues at an annual rate of 10 3/4% and is payable semi-annually in cash, in arrears on May 30 and November 30 of each year, which commenced on May 30, 2025.</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 Loan Due 2025</w:t>
      </w:r>
    </w:p>
    <w:p>
      <w:pPr>
        <w:spacing w:after="0" w:line="196"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During the three and six months ended June 30, 2025, we redeemed approximately $166 million and $ 333 million, respectively, of our Term Loan Due 2025. The remaining balance of approximately $167 million is paid monthly and the final payment is due September 30, 2025. We expect to fund this obligation from our current restricted and unrestricted cash, cash equivalents and marketable investment securities balances on hand and/or projected future cash flows.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0" w:name="page111"/>
    <w:bookmarkEnd w:id="1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5 1/4% Senior Secured Notes due 2026</w:t>
      </w:r>
    </w:p>
    <w:p>
      <w:pPr>
        <w:spacing w:after="0" w:line="196"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During the six months ended June 30, 2025, we repurchased approximately $123 million of our 5 1/4% Senior Secured Notes due 2026 in open market trades. The remaining balance of approximately $627 million matures on August 1, 2026. We do not currently have cash, cash equivalents, marketable investment securities balances and/or projected future cash flows to fully fund our 2026 debt maturities. We will need to refinance or restructure all or a portion of such obligations prior to maturity.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1" w:name="page112"/>
    <w:bookmarkEnd w:id="1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right="159" w:hanging="7"/>
        <w:spacing w:after="0" w:line="253" w:lineRule="auto"/>
        <w:rPr>
          <w:sz w:val="20"/>
          <w:szCs w:val="20"/>
          <w:color w:val="auto"/>
        </w:rPr>
      </w:pPr>
      <w:r>
        <w:rPr>
          <w:rFonts w:ascii="Arial" w:cs="Arial" w:eastAsia="Arial" w:hAnsi="Arial"/>
          <w:sz w:val="18"/>
          <w:szCs w:val="18"/>
          <w:color w:val="auto"/>
        </w:rPr>
        <w:t>There have been no material changes in our market risk during the six months ended June 30, 2025. For additional information, see Item 7A. Quantitative and Qualitative Disclosures About Market Risk in Part II of our Annual Report on Form 10-K for the year ended December 31, 2024.</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0"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 – Contingencies –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98"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Item 1A, “Risk Factors,” of our Annual Report on Form 10-K for the year ended December 31, 2024 includes a detailed discussion of our risk factors. The information presented below updates, and should be read in conjunction with, the risk factors and information disclosed in our Annual Report on Form 10-K for the year ended December 31, 2024.</w:t>
      </w:r>
    </w:p>
    <w:p>
      <w:pPr>
        <w:spacing w:after="0" w:line="162" w:lineRule="exact"/>
        <w:rPr>
          <w:sz w:val="20"/>
          <w:szCs w:val="20"/>
          <w:color w:val="auto"/>
        </w:rPr>
      </w:pPr>
    </w:p>
    <w:p>
      <w:pPr>
        <w:ind w:left="60" w:right="239"/>
        <w:spacing w:after="0" w:line="256" w:lineRule="auto"/>
        <w:rPr>
          <w:sz w:val="20"/>
          <w:szCs w:val="20"/>
          <w:color w:val="auto"/>
        </w:rPr>
      </w:pPr>
      <w:r>
        <w:rPr>
          <w:rFonts w:ascii="Arial" w:cs="Arial" w:eastAsia="Arial" w:hAnsi="Arial"/>
          <w:sz w:val="18"/>
          <w:szCs w:val="18"/>
          <w:b w:val="1"/>
          <w:bCs w:val="1"/>
          <w:i w:val="1"/>
          <w:iCs w:val="1"/>
          <w:color w:val="auto"/>
        </w:rPr>
        <w:t>In response to the uncertainty created by the FCC inquiries, we may take one or more significant actions in order to protect our interest in our Wireless Licenses and other assets, which actions could negatively impact your investment.</w:t>
      </w:r>
    </w:p>
    <w:p>
      <w:pPr>
        <w:spacing w:after="0" w:line="14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In order to protect our interest in our Wireless Licenses and other assets we may take one or more actions that may negatively impact the value of your investment in our securities, including, under certain circumstances, filing for relief under Chapter 11 of the United States Bankruptcy Code, if we determine that such an action is in the best interests of the Company and our stakeholders. Such a decision could be driven by a range of strategic considerations, including, but not limited to, the uncertainty created by the FCC inquiries and effective deployment of capital.</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2" w:name="page113"/>
    <w:bookmarkEnd w:id="1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Certain actions that we may take, including a potential voluntary Chapter 11 bankruptcy filing could have material adverse consequences, including, but not limited to: (i) disruption of our relationships with vendors, suppliers, employees and customers; (ii) limitations on our ability to access capital markets or otherwise obtain financing on favorable terms or at all; (iii) limitations on our ability to take advantage of business opportunities;</w:t>
      </w:r>
    </w:p>
    <w:p>
      <w:pPr>
        <w:ind w:left="60" w:right="99" w:hanging="10"/>
        <w:spacing w:after="0" w:line="239"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reputational harm; (v) potential delisting of our securities from trading exchanges; and (vi) significant administrative costs and diversion of management attention. Furthermore, the outcome of any of the actions that we may take, including a filing for relief under Chapter 11, is inherently uncertain and may result in a loss of control by our principal stockholder or a material reduction in the value or change in the relative priority of existing equity or debt securities.</w:t>
      </w:r>
    </w:p>
    <w:p>
      <w:pPr>
        <w:spacing w:after="0" w:line="166"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There can be no assurance that any protective actions we may take, including a restructuring or reorganization process, whether pursued in or outside of bankruptcy, would be successful or would not materially adversely affect our business, financial condition, results of operations, liquidity or the market value of our securities.</w:t>
      </w:r>
    </w:p>
    <w:p>
      <w:pPr>
        <w:spacing w:after="0" w:line="140" w:lineRule="exact"/>
        <w:rPr>
          <w:sz w:val="20"/>
          <w:szCs w:val="20"/>
          <w:color w:val="auto"/>
        </w:rPr>
      </w:pPr>
    </w:p>
    <w:p>
      <w:pPr>
        <w:ind w:left="60" w:right="599"/>
        <w:spacing w:after="0" w:line="278" w:lineRule="auto"/>
        <w:rPr>
          <w:sz w:val="20"/>
          <w:szCs w:val="20"/>
          <w:color w:val="auto"/>
        </w:rPr>
      </w:pPr>
      <w:r>
        <w:rPr>
          <w:rFonts w:ascii="Arial" w:cs="Arial" w:eastAsia="Arial" w:hAnsi="Arial"/>
          <w:sz w:val="18"/>
          <w:szCs w:val="18"/>
          <w:b w:val="1"/>
          <w:bCs w:val="1"/>
          <w:i w:val="1"/>
          <w:iCs w:val="1"/>
          <w:color w:val="auto"/>
        </w:rPr>
        <w:t>The FCC’s review of our compliance with network build-out requirements could lead to the loss or impairment of certain of our existing spectrum licenses.</w:t>
      </w:r>
    </w:p>
    <w:p>
      <w:pPr>
        <w:spacing w:after="0" w:line="126" w:lineRule="exact"/>
        <w:rPr>
          <w:sz w:val="20"/>
          <w:szCs w:val="20"/>
          <w:color w:val="auto"/>
        </w:rPr>
      </w:pPr>
    </w:p>
    <w:p>
      <w:pPr>
        <w:jc w:val="both"/>
        <w:ind w:left="60" w:right="319"/>
        <w:spacing w:after="0" w:line="244" w:lineRule="auto"/>
        <w:rPr>
          <w:sz w:val="20"/>
          <w:szCs w:val="20"/>
          <w:color w:val="auto"/>
        </w:rPr>
      </w:pPr>
      <w:r>
        <w:rPr>
          <w:rFonts w:ascii="Arial" w:cs="Arial" w:eastAsia="Arial" w:hAnsi="Arial"/>
          <w:sz w:val="18"/>
          <w:szCs w:val="18"/>
          <w:color w:val="auto"/>
        </w:rPr>
        <w:t>As previously disclosed, on May 9, 2025, the FCC informed us that it had begun a review of our compliance with certain of our federal obligations to provide 5G service in the United States and raising certain questions regarding our September 2024 build-out extension and mobile-satellite service utilization in the 2 GHz band. While we are currently working to address the concerns raised by the FCC in a way that is acceptable to us, there can be no assurance that such a resolution will be reached.</w:t>
      </w:r>
    </w:p>
    <w:p>
      <w:pPr>
        <w:spacing w:after="0" w:line="16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FCC review has introduced the possibility of reversing prior FCC grants of authority to us. This uncertainty over our spectrum rights has effectively frozen our ability to make decisions regarding our 5G network build-out, has materially adversely impacted our ability to implement and adjust our overall business plan and has required us to re-evaluate the deployment of our resources. In light of the continued uncertainty related to the FCC inquiries, we elected not to make interest payments on a certain portion of our long-term senior notes on their respective scheduled due dates. We subsequently made such payments, including interest on the defaulted interest, within the applicable 30-day grace periods to make such interest payments.</w:t>
      </w:r>
    </w:p>
    <w:p>
      <w:pPr>
        <w:spacing w:after="0" w:line="17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If we fail to reach an acceptable resolution with the FCC, one or more of our wireless spectrum licenses could be cancelled or modified and/or our build-out requirements could be accelerated, any of which would have a material adverse effect on our business, results of operations and financial condition. During the pendency of the FCC review, our ability to make decisions with respect to our 5G network build-out and implement our business plans will continue to be materially adversely impacted, the attention of our management will continue to be diverted to this matter, and we will continue to evaluate the deployment of our resources and consider all strategic options.</w:t>
      </w:r>
    </w:p>
    <w:p>
      <w:pPr>
        <w:spacing w:after="0" w:line="173" w:lineRule="exact"/>
        <w:rPr>
          <w:sz w:val="20"/>
          <w:szCs w:val="20"/>
          <w:color w:val="auto"/>
        </w:rPr>
      </w:pPr>
    </w:p>
    <w:p>
      <w:pPr>
        <w:ind w:left="60" w:right="159"/>
        <w:spacing w:after="0" w:line="256" w:lineRule="auto"/>
        <w:rPr>
          <w:sz w:val="20"/>
          <w:szCs w:val="20"/>
          <w:color w:val="auto"/>
        </w:rPr>
      </w:pPr>
      <w:r>
        <w:rPr>
          <w:rFonts w:ascii="Arial" w:cs="Arial" w:eastAsia="Arial" w:hAnsi="Arial"/>
          <w:sz w:val="18"/>
          <w:szCs w:val="18"/>
          <w:b w:val="1"/>
          <w:bCs w:val="1"/>
          <w:i w:val="1"/>
          <w:iCs w:val="1"/>
          <w:color w:val="222222"/>
        </w:rPr>
        <w:t>Changes in trade policies, including, but not limited to, tariffs and other restrictions, could increase, among other things, our costs, disrupt our supply chain and negatively affect our business, operations and financial condition.</w:t>
      </w:r>
    </w:p>
    <w:p>
      <w:pPr>
        <w:spacing w:after="0" w:line="146"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222222"/>
        </w:rPr>
        <w:t>We depend on suppliers, including suppliers with manufacturing in China and other countries, for various materials in our 5G Network, satellite and related infrastructure, Pay-TV and Wireless businesses. Changes in U.S. or foreign trade policies, including, but not limited to, new or increased tariffs, export controls, trade restrictions or sanctions, have resulted, and may continue to result, in higher costs for the wireless devices and other equipment we procure.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3" w:name="page114"/>
    <w:bookmarkEnd w:id="1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222222"/>
        </w:rPr>
        <w:t>Supply chain disruptions, customs delays, new compliance requirements and other challenges may cause delays in deploying network infrastructure and customer equipment, increase our operational expenses, and impact our ability to meet customer demand. Although we attempt to mitigate these risks through alternative sourcing and operational efficiencies, these efforts may not be successful or sufficient.</w:t>
      </w:r>
    </w:p>
    <w:p>
      <w:pPr>
        <w:spacing w:after="0" w:line="160" w:lineRule="exact"/>
        <w:rPr>
          <w:sz w:val="20"/>
          <w:szCs w:val="20"/>
          <w:color w:val="auto"/>
        </w:rPr>
      </w:pPr>
    </w:p>
    <w:p>
      <w:pPr>
        <w:ind w:left="60" w:right="479"/>
        <w:spacing w:after="0" w:line="253" w:lineRule="auto"/>
        <w:rPr>
          <w:sz w:val="20"/>
          <w:szCs w:val="20"/>
          <w:color w:val="auto"/>
        </w:rPr>
      </w:pPr>
      <w:r>
        <w:rPr>
          <w:rFonts w:ascii="Arial" w:cs="Arial" w:eastAsia="Arial" w:hAnsi="Arial"/>
          <w:sz w:val="18"/>
          <w:szCs w:val="18"/>
          <w:color w:val="222222"/>
        </w:rPr>
        <w:t>If we are unable to pass increased costs to customers without negatively impacting demand, or offset them through other measures, our business, financial condition and results of operations could be materially adversely affected.</w:t>
      </w:r>
    </w:p>
    <w:p>
      <w:pPr>
        <w:spacing w:after="0" w:line="157" w:lineRule="exact"/>
        <w:rPr>
          <w:sz w:val="20"/>
          <w:szCs w:val="20"/>
          <w:color w:val="auto"/>
        </w:rPr>
      </w:pPr>
    </w:p>
    <w:p>
      <w:pPr>
        <w:ind w:left="60" w:right="79"/>
        <w:spacing w:after="0" w:line="256" w:lineRule="auto"/>
        <w:rPr>
          <w:sz w:val="20"/>
          <w:szCs w:val="20"/>
          <w:color w:val="auto"/>
        </w:rPr>
      </w:pPr>
      <w:r>
        <w:rPr>
          <w:rFonts w:ascii="Arial" w:cs="Arial" w:eastAsia="Arial" w:hAnsi="Arial"/>
          <w:sz w:val="18"/>
          <w:szCs w:val="18"/>
          <w:b w:val="1"/>
          <w:bCs w:val="1"/>
          <w:i w:val="1"/>
          <w:iCs w:val="1"/>
          <w:color w:val="auto"/>
        </w:rPr>
        <w:t>We currently do not have the necessary cash on hand, projected future cash flows or committed financing to fund our obligations over the next twelve months, which raises substantial doubt about our ability to continue as a going concern.</w:t>
      </w:r>
    </w:p>
    <w:p>
      <w:pPr>
        <w:spacing w:after="0" w:line="14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As of the date of this report, we currently do not have the necessary cash on hand, projected future cash flows or committed financing to fund our anticipated working capital needs, capital expenditures, interest payments and other contractual obligations over the next twelve months. These conditions raise substantial doubt about our ability to continue as a going concern and, as a result, a ‘going concern’ disclosure appears in the Notes to our Condensed Consolidated Financial Statements in this Quarterly Report on Form 10-Q.</w:t>
      </w:r>
    </w:p>
    <w:p>
      <w:pPr>
        <w:spacing w:after="0" w:line="163" w:lineRule="exact"/>
        <w:rPr>
          <w:sz w:val="20"/>
          <w:szCs w:val="20"/>
          <w:color w:val="auto"/>
        </w:rPr>
      </w:pPr>
    </w:p>
    <w:p>
      <w:pPr>
        <w:ind w:left="60" w:right="159"/>
        <w:spacing w:after="0" w:line="261" w:lineRule="auto"/>
        <w:rPr>
          <w:sz w:val="20"/>
          <w:szCs w:val="20"/>
          <w:color w:val="auto"/>
        </w:rPr>
      </w:pPr>
      <w:r>
        <w:rPr>
          <w:rFonts w:ascii="Arial" w:cs="Arial" w:eastAsia="Arial" w:hAnsi="Arial"/>
          <w:sz w:val="17"/>
          <w:szCs w:val="17"/>
          <w:color w:val="auto"/>
        </w:rPr>
        <w:t>Among other things, our business and financial condition is negatively impacted by upcoming debt maturities and interest payments which may further constrain available liquidity. In addition, our cash flow from operations is negative and may continue and/or accelerate. If we are unable to improve our operating performance, raise additional capital, negotiate with debt holders or otherwise secure adequate sources of liquidity, we may be unable to achieve our business objectives and may be forced to delay, curtail or forego strategic initiatives.</w:t>
      </w:r>
    </w:p>
    <w:p>
      <w:pPr>
        <w:spacing w:after="0" w:line="152"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The presence of a going concern uncertainty may also adversely impact the price of our securities, harm our current, future and potential relationships with suppliers, vendors, customers, employees and creditors, and may limit our ability to access additional financing on acceptable terms or at all. There can be no assurance that management’s plans to mitigate these risks will be successful on a timely basis or at all. If we are unable to secure adequate liquidity on an acceptable timeline or at all, we may not be able to continue as a going concern, which could result in a total loss of your investment. In addition, as our cash and cash equivalents balance declines, the risks described above may continue, increase or accelerate at any time and with or without notice. We cannot guarantee the timing or outcome of any resolution and any resolution we may negotiate may materially adversely impact our business, financial condition and/or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4" w:name="page115"/>
    <w:bookmarkEnd w:id="1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96" w:lineRule="exact"/>
        <w:rPr>
          <w:sz w:val="20"/>
          <w:szCs w:val="20"/>
          <w:color w:val="auto"/>
        </w:rPr>
      </w:pPr>
    </w:p>
    <w:p>
      <w:pPr>
        <w:ind w:left="60" w:right="99"/>
        <w:spacing w:after="0" w:line="271" w:lineRule="auto"/>
        <w:rPr>
          <w:sz w:val="20"/>
          <w:szCs w:val="20"/>
          <w:color w:val="auto"/>
        </w:rPr>
      </w:pPr>
      <w:r>
        <w:rPr>
          <w:rFonts w:ascii="Arial" w:cs="Arial" w:eastAsia="Arial" w:hAnsi="Arial"/>
          <w:sz w:val="18"/>
          <w:szCs w:val="18"/>
          <w:color w:val="auto"/>
        </w:rPr>
        <w:t>The following table provides information regarding repurchases of our Class A common stock from April 1, 2025 through June 30, 2025:</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Total Number of</w:t>
            </w: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Approximate</w:t>
            </w: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Shares Purchased</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Dollar Value of Shares</w:t>
            </w: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left="168"/>
              <w:spacing w:after="0"/>
              <w:rPr>
                <w:sz w:val="20"/>
                <w:szCs w:val="20"/>
                <w:color w:val="auto"/>
              </w:rPr>
            </w:pPr>
            <w:r>
              <w:rPr>
                <w:rFonts w:ascii="Arial" w:cs="Arial" w:eastAsia="Arial" w:hAnsi="Arial"/>
                <w:sz w:val="14"/>
                <w:szCs w:val="14"/>
                <w:b w:val="1"/>
                <w:bCs w:val="1"/>
                <w:color w:val="auto"/>
                <w:w w:val="99"/>
              </w:rPr>
              <w:t>Number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as Part of Publicly</w:t>
            </w:r>
          </w:p>
        </w:tc>
        <w:tc>
          <w:tcPr>
            <w:tcW w:w="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rPr>
              <w:t>that May Yet be</w:t>
            </w:r>
          </w:p>
        </w:tc>
      </w:tr>
      <w:tr>
        <w:trPr>
          <w:trHeight w:val="162"/>
        </w:trPr>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Price Paid</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Announced</w:t>
            </w:r>
          </w:p>
        </w:tc>
        <w:tc>
          <w:tcPr>
            <w:tcW w:w="80" w:type="dxa"/>
            <w:vAlign w:val="bottom"/>
          </w:tcPr>
          <w:p>
            <w:pPr>
              <w:spacing w:after="0"/>
              <w:rPr>
                <w:sz w:val="14"/>
                <w:szCs w:val="14"/>
                <w:color w:val="auto"/>
              </w:rPr>
            </w:pPr>
          </w:p>
        </w:tc>
        <w:tc>
          <w:tcPr>
            <w:tcW w:w="1540" w:type="dxa"/>
            <w:vAlign w:val="bottom"/>
          </w:tcPr>
          <w:p>
            <w:pPr>
              <w:jc w:val="center"/>
              <w:ind w:right="8"/>
              <w:spacing w:after="0"/>
              <w:rPr>
                <w:sz w:val="20"/>
                <w:szCs w:val="20"/>
                <w:color w:val="auto"/>
              </w:rPr>
            </w:pPr>
            <w:r>
              <w:rPr>
                <w:rFonts w:ascii="Arial" w:cs="Arial" w:eastAsia="Arial" w:hAnsi="Arial"/>
                <w:sz w:val="14"/>
                <w:szCs w:val="14"/>
                <w:b w:val="1"/>
                <w:bCs w:val="1"/>
                <w:color w:val="auto"/>
              </w:rPr>
              <w:t>Purchased Under the</w:t>
            </w:r>
          </w:p>
        </w:tc>
      </w:tr>
      <w:tr>
        <w:trPr>
          <w:trHeight w:val="171"/>
        </w:trPr>
        <w:tc>
          <w:tcPr>
            <w:tcW w:w="2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rPr>
              <w:t>Purchased</w:t>
            </w: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Programs (1)</w:t>
            </w:r>
          </w:p>
        </w:tc>
      </w:tr>
      <w:tr>
        <w:trPr>
          <w:trHeight w:val="156"/>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760" w:type="dxa"/>
            <w:vAlign w:val="bottom"/>
            <w:gridSpan w:val="3"/>
          </w:tcPr>
          <w:p>
            <w:pPr>
              <w:jc w:val="right"/>
              <w:ind w:right="208"/>
              <w:spacing w:after="0" w:line="155" w:lineRule="exact"/>
              <w:rPr>
                <w:sz w:val="20"/>
                <w:szCs w:val="20"/>
                <w:color w:val="auto"/>
              </w:rPr>
            </w:pPr>
            <w:r>
              <w:rPr>
                <w:rFonts w:ascii="Arial" w:cs="Arial" w:eastAsia="Arial" w:hAnsi="Arial"/>
                <w:sz w:val="14"/>
                <w:szCs w:val="14"/>
                <w:color w:val="auto"/>
              </w:rPr>
              <w:t>(In thousands, except share data)</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2"/>
        </w:trPr>
        <w:tc>
          <w:tcPr>
            <w:tcW w:w="25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April 1, 2025 - April 30, 2025</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62"/>
        </w:trPr>
        <w:tc>
          <w:tcPr>
            <w:tcW w:w="2560" w:type="dxa"/>
            <w:vAlign w:val="bottom"/>
            <w:gridSpan w:val="3"/>
          </w:tcPr>
          <w:p>
            <w:pPr>
              <w:ind w:left="20"/>
              <w:spacing w:after="0"/>
              <w:rPr>
                <w:sz w:val="20"/>
                <w:szCs w:val="20"/>
                <w:color w:val="auto"/>
              </w:rPr>
            </w:pPr>
            <w:r>
              <w:rPr>
                <w:rFonts w:ascii="Arial" w:cs="Arial" w:eastAsia="Arial" w:hAnsi="Arial"/>
                <w:sz w:val="14"/>
                <w:szCs w:val="14"/>
                <w:color w:val="auto"/>
              </w:rPr>
              <w:t>May 1, 2025 - May 31, 2025</w:t>
            </w:r>
          </w:p>
        </w:tc>
        <w:tc>
          <w:tcPr>
            <w:tcW w:w="110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1,000,000</w:t>
            </w:r>
          </w:p>
        </w:tc>
      </w:tr>
      <w:tr>
        <w:trPr>
          <w:trHeight w:val="162"/>
        </w:trPr>
        <w:tc>
          <w:tcPr>
            <w:tcW w:w="25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June 1, 2025 - June 30, 2025</w:t>
            </w:r>
          </w:p>
        </w:tc>
        <w:tc>
          <w:tcPr>
            <w:tcW w:w="1100" w:type="dxa"/>
            <w:vAlign w:val="bottom"/>
            <w:shd w:val="clear" w:color="auto" w:fill="CCEEFF"/>
          </w:tcPr>
          <w:p>
            <w:pPr>
              <w:spacing w:after="0"/>
              <w:rPr>
                <w:sz w:val="14"/>
                <w:szCs w:val="14"/>
                <w:color w:val="auto"/>
              </w:rPr>
            </w:pP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w:t>
            </w:r>
          </w:p>
        </w:tc>
      </w:tr>
      <w:tr>
        <w:trPr>
          <w:trHeight w:val="156"/>
        </w:trPr>
        <w:tc>
          <w:tcPr>
            <w:tcW w:w="256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1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ind w:left="1040"/>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1,000,000</w:t>
            </w: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r>
    </w:tbl>
    <w:p>
      <w:pPr>
        <w:spacing w:after="0" w:line="49" w:lineRule="exact"/>
        <w:rPr>
          <w:sz w:val="20"/>
          <w:szCs w:val="20"/>
          <w:color w:val="auto"/>
        </w:rPr>
      </w:pPr>
    </w:p>
    <w:p>
      <w:pPr>
        <w:ind w:left="380" w:right="239" w:hanging="330"/>
        <w:spacing w:after="0" w:line="239"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On October 25, 2024, our Board of Directors authorized stock repurchases of up to $1.0 billion of our outstanding Class A common stock through and including December 31, 2025. Purchases under our repurchase program may be made through open market purchases, privately negotiated transactions, or Rule 10b5-1 trading plans, subject to market conditions and other factors. We may elect not to purchase the maximum amount of shares allowable under this program and we may also enter into additional share repurchase programs authorized by our Board of Directors.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10b5-1 Trading Arrangements</w:t>
      </w:r>
    </w:p>
    <w:p>
      <w:pPr>
        <w:spacing w:after="0" w:line="196"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None of the Company’s directors or Section 16 officers adopted, modified or terminated a Rule 10b5-1 trading arrangement or a non-Rule 10b5-1 trading arrangement during the Company’s fiscal quarter ended June 30, 2025, as such terms are defined under Item 408(a) of Regulation S-K.</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5" w:name="page116"/>
    <w:bookmarkEnd w:id="1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Exhibits.</w:t>
      </w:r>
    </w:p>
    <w:p>
      <w:pPr>
        <w:sectPr>
          <w:pgSz w:w="11900" w:h="16838" w:orient="portrait"/>
          <w:cols w:equalWidth="0" w:num="1">
            <w:col w:w="9019"/>
          </w:cols>
          <w:pgMar w:left="1440" w:top="512" w:right="1440" w:bottom="1440" w:gutter="0" w:footer="0" w:header="0"/>
        </w:sectPr>
      </w:pPr>
    </w:p>
    <w:p>
      <w:pPr>
        <w:spacing w:after="0" w:line="183"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22</w:t>
      </w:r>
      <w:r>
        <w:rPr>
          <w:rFonts w:ascii="MS PGothic" w:cs="MS PGothic" w:eastAsia="MS PGothic" w:hAnsi="MS PGothic"/>
          <w:sz w:val="18"/>
          <w:szCs w:val="18"/>
          <w:color w:val="auto"/>
        </w:rPr>
        <w:t>☐</w:t>
      </w:r>
    </w:p>
    <w:p>
      <w:pPr>
        <w:spacing w:after="0" w:line="212"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99.1*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List of Subsidiary Guarantors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Financial Officer.</w:t>
      </w:r>
    </w:p>
    <w:p>
      <w:pPr>
        <w:spacing w:after="0" w:line="198" w:lineRule="exact"/>
        <w:rPr>
          <w:sz w:val="20"/>
          <w:szCs w:val="20"/>
          <w:color w:val="auto"/>
        </w:rPr>
      </w:pPr>
    </w:p>
    <w:p>
      <w:pPr>
        <w:ind w:right="339"/>
        <w:spacing w:after="0" w:line="253" w:lineRule="auto"/>
        <w:rPr>
          <w:rFonts w:ascii="Arial" w:cs="Arial" w:eastAsia="Arial" w:hAnsi="Arial"/>
          <w:sz w:val="18"/>
          <w:szCs w:val="18"/>
          <w:u w:val="single" w:color="auto"/>
          <w:color w:val="0000EE"/>
        </w:rPr>
      </w:pPr>
      <w:hyperlink r:id="rId139">
        <w:r>
          <w:rPr>
            <w:rFonts w:ascii="Arial" w:cs="Arial" w:eastAsia="Arial" w:hAnsi="Arial"/>
            <w:sz w:val="18"/>
            <w:szCs w:val="18"/>
            <w:u w:val="single" w:color="auto"/>
            <w:color w:val="0000EE"/>
          </w:rPr>
          <w:t>Letter to EchoStar regarding review of compliance with its federal obligations to provide 5G service</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throughout the United States, dated May 9, 2025 (incorporated by reference from Exhibit 99.1 to</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EchoStar Corporation’s Current Report on Form 8-K filed May 13, 2025).</w:t>
        </w:r>
      </w:hyperlink>
    </w:p>
    <w:p>
      <w:pPr>
        <w:spacing w:after="0" w:line="115" w:lineRule="exact"/>
        <w:rPr>
          <w:rFonts w:ascii="Arial" w:cs="Arial" w:eastAsia="Arial" w:hAnsi="Arial"/>
          <w:sz w:val="18"/>
          <w:szCs w:val="18"/>
          <w:u w:val="single" w:color="auto"/>
          <w:color w:val="0000EE"/>
        </w:rPr>
      </w:pPr>
    </w:p>
    <w:p>
      <w:pPr>
        <w:sectPr>
          <w:pgSz w:w="11900" w:h="16838" w:orient="portrait"/>
          <w:cols w:equalWidth="0" w:num="2">
            <w:col w:w="560" w:space="280"/>
            <w:col w:w="8179"/>
          </w:cols>
          <w:pgMar w:left="1440" w:top="512" w:right="1440" w:bottom="1440" w:gutter="0" w:footer="0" w:header="0"/>
          <w:type w:val="continuous"/>
        </w:sectPr>
      </w:pPr>
    </w:p>
    <w:p>
      <w:pPr>
        <w:ind w:left="840" w:right="239" w:hanging="782"/>
        <w:spacing w:after="0" w:line="208" w:lineRule="exact"/>
        <w:tabs>
          <w:tab w:leader="none" w:pos="820" w:val="left"/>
        </w:tabs>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r>
        <w:rPr>
          <w:rFonts w:ascii="Arial" w:cs="Arial" w:eastAsia="Arial" w:hAnsi="Arial"/>
          <w:sz w:val="18"/>
          <w:szCs w:val="18"/>
          <w:color w:val="auto"/>
        </w:rPr>
        <w:tab/>
        <w:t>The following materials from the Quarterly Report on Form 10-Q of EchoStar Corporation for the quarter ended June 30, 2025 filed on August 1, 2025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170" w:lineRule="exact"/>
        <w:rPr>
          <w:rFonts w:ascii="Arial" w:cs="Arial" w:eastAsia="Arial" w:hAnsi="Arial"/>
          <w:sz w:val="18"/>
          <w:szCs w:val="18"/>
          <w:u w:val="single" w:color="auto"/>
          <w:color w:val="0000EE"/>
        </w:rPr>
      </w:pPr>
    </w:p>
    <w:p>
      <w:pPr>
        <w:ind w:left="840" w:right="679" w:hanging="782"/>
        <w:spacing w:after="0" w:line="220" w:lineRule="exact"/>
        <w:tabs>
          <w:tab w:leader="none" w:pos="820" w:val="left"/>
        </w:tabs>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r>
        <w:rPr>
          <w:rFonts w:ascii="Arial" w:cs="Arial" w:eastAsia="Arial" w:hAnsi="Arial"/>
          <w:sz w:val="18"/>
          <w:szCs w:val="18"/>
          <w:color w:val="auto"/>
        </w:rPr>
        <w:tab/>
        <w:t>Cover Page Interactive Data File (the cover page XBRL tags are embedded in the Inline XBRL document).</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83820</wp:posOffset>
            </wp:positionV>
            <wp:extent cx="141414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1" w:lineRule="exact"/>
        <w:rPr>
          <w:rFonts w:ascii="Arial" w:cs="Arial" w:eastAsia="Arial" w:hAnsi="Arial"/>
          <w:sz w:val="18"/>
          <w:szCs w:val="18"/>
          <w:u w:val="single" w:color="auto"/>
          <w:color w:val="0000EE"/>
        </w:rPr>
      </w:pPr>
    </w:p>
    <w:p>
      <w:pPr>
        <w:ind w:left="380" w:hanging="330"/>
        <w:spacing w:after="0"/>
        <w:tabs>
          <w:tab w:leader="none" w:pos="380" w:val="left"/>
        </w:tabs>
        <w:numPr>
          <w:ilvl w:val="0"/>
          <w:numId w:val="62"/>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185" w:lineRule="exact"/>
        <w:rPr>
          <w:rFonts w:ascii="Arial" w:cs="Arial" w:eastAsia="Arial" w:hAnsi="Arial"/>
          <w:sz w:val="18"/>
          <w:szCs w:val="18"/>
          <w:u w:val="single" w:color="auto"/>
          <w:color w:val="0000EE"/>
        </w:rPr>
      </w:pPr>
    </w:p>
    <w:p>
      <w:pPr>
        <w:ind w:left="620" w:hanging="570"/>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3"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6" w:name="page117"/>
    <w:bookmarkEnd w:id="1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Hamid Akhavan</w:t>
      </w:r>
    </w:p>
    <w:p>
      <w:pPr>
        <w:ind w:left="3880"/>
        <w:spacing w:after="0" w:line="234" w:lineRule="auto"/>
        <w:rPr>
          <w:sz w:val="20"/>
          <w:szCs w:val="20"/>
          <w:color w:val="auto"/>
        </w:rPr>
      </w:pPr>
      <w:r>
        <w:rPr>
          <w:rFonts w:ascii="Arial" w:cs="Arial" w:eastAsia="Arial" w:hAnsi="Arial"/>
          <w:sz w:val="18"/>
          <w:szCs w:val="18"/>
          <w:color w:val="auto"/>
        </w:rPr>
        <w:t>President and Chief Executive Officer and</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Paul W. Orban</w:t>
      </w:r>
    </w:p>
    <w:p>
      <w:pPr>
        <w:ind w:left="3880"/>
        <w:spacing w:after="0" w:line="234" w:lineRule="auto"/>
        <w:rPr>
          <w:sz w:val="20"/>
          <w:szCs w:val="20"/>
          <w:color w:val="auto"/>
        </w:rPr>
      </w:pPr>
      <w:r>
        <w:rPr>
          <w:rFonts w:ascii="Arial" w:cs="Arial" w:eastAsia="Arial" w:hAnsi="Arial"/>
          <w:sz w:val="18"/>
          <w:szCs w:val="18"/>
          <w:color w:val="auto"/>
        </w:rPr>
        <w:t>Executive Vice President and Chief Financial</w:t>
      </w:r>
    </w:p>
    <w:p>
      <w:pPr>
        <w:ind w:left="3880"/>
        <w:spacing w:after="0" w:line="235" w:lineRule="auto"/>
        <w:rPr>
          <w:sz w:val="20"/>
          <w:szCs w:val="20"/>
          <w:color w:val="auto"/>
        </w:rPr>
      </w:pPr>
      <w:r>
        <w:rPr>
          <w:rFonts w:ascii="Arial" w:cs="Arial" w:eastAsia="Arial" w:hAnsi="Arial"/>
          <w:sz w:val="18"/>
          <w:szCs w:val="18"/>
          <w:color w:val="auto"/>
        </w:rPr>
        <w:t xml:space="preserve">Officer, DISH </w:t>
      </w:r>
      <w:r>
        <w:rPr>
          <w:rFonts w:ascii="Arial" w:cs="Arial" w:eastAsia="Arial" w:hAnsi="Arial"/>
          <w:sz w:val="18"/>
          <w:szCs w:val="18"/>
          <w:i w:val="1"/>
          <w:iCs w:val="1"/>
          <w:color w:val="auto"/>
        </w:rPr>
        <w:t>(Principal Financial Officer and</w:t>
      </w:r>
    </w:p>
    <w:p>
      <w:pPr>
        <w:ind w:left="3880"/>
        <w:spacing w:after="0" w:line="235" w:lineRule="auto"/>
        <w:rPr>
          <w:sz w:val="20"/>
          <w:szCs w:val="20"/>
          <w:color w:val="auto"/>
        </w:rPr>
      </w:pPr>
      <w:r>
        <w:rPr>
          <w:rFonts w:ascii="Arial" w:cs="Arial" w:eastAsia="Arial" w:hAnsi="Arial"/>
          <w:sz w:val="18"/>
          <w:szCs w:val="18"/>
          <w:i w:val="1"/>
          <w:iCs w:val="1"/>
          <w:color w:val="auto"/>
        </w:rPr>
        <w:t>Principal Accounting Officer)</w:t>
      </w:r>
    </w:p>
    <w:p>
      <w:pPr>
        <w:ind w:left="60"/>
        <w:spacing w:after="0"/>
        <w:rPr>
          <w:sz w:val="20"/>
          <w:szCs w:val="20"/>
          <w:color w:val="auto"/>
        </w:rPr>
      </w:pPr>
      <w:r>
        <w:rPr>
          <w:rFonts w:ascii="Arial" w:cs="Arial" w:eastAsia="Arial" w:hAnsi="Arial"/>
          <w:sz w:val="18"/>
          <w:szCs w:val="18"/>
          <w:color w:val="auto"/>
        </w:rPr>
        <w:t>Date: August 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Subsidiary Guarantors</w:t>
      </w:r>
    </w:p>
    <w:p>
      <w:pPr>
        <w:spacing w:after="0" w:line="256" w:lineRule="exact"/>
        <w:rPr>
          <w:sz w:val="20"/>
          <w:szCs w:val="20"/>
          <w:color w:val="auto"/>
        </w:rPr>
      </w:pPr>
    </w:p>
    <w:p>
      <w:pPr>
        <w:ind w:left="200" w:right="339"/>
        <w:spacing w:after="0" w:line="266" w:lineRule="auto"/>
        <w:rPr>
          <w:sz w:val="20"/>
          <w:szCs w:val="20"/>
          <w:color w:val="auto"/>
        </w:rPr>
      </w:pPr>
      <w:r>
        <w:rPr>
          <w:rFonts w:ascii="Times New Roman" w:cs="Times New Roman" w:eastAsia="Times New Roman" w:hAnsi="Times New Roman"/>
          <w:sz w:val="18"/>
          <w:szCs w:val="18"/>
          <w:color w:val="auto"/>
        </w:rPr>
        <w:t>The following subsidiaries of EchoStar Corporation are the guarantors of the 10.75% Senior Spectrum Secured Notes due 2029, 6.75% Senior Spectrum Secured Exchange Notes due 2030 and the 3.875% Convertible Senior Secured Notes due 2030. The notes are unconditionally guaranteed on a senior secured basis.</w:t>
      </w:r>
    </w:p>
    <w:p>
      <w:pPr>
        <w:spacing w:after="0" w:line="239"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4880" w:type="dxa"/>
            <w:vAlign w:val="bottom"/>
          </w:tcPr>
          <w:p>
            <w:pPr>
              <w:spacing w:after="0"/>
              <w:rPr>
                <w:sz w:val="18"/>
                <w:szCs w:val="18"/>
                <w:color w:val="auto"/>
              </w:rPr>
            </w:pP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Wireless,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Corporation</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231F20"/>
                <w:w w:val="98"/>
              </w:rPr>
              <w:t>Colorado</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Northstar Spectrum LLC</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SNR Wireless LicenseCo,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rPr>
              <w:t>Delaware</w:t>
            </w:r>
          </w:p>
        </w:tc>
      </w:tr>
      <w:tr>
        <w:trPr>
          <w:trHeight w:val="27"/>
        </w:trPr>
        <w:tc>
          <w:tcPr>
            <w:tcW w:w="488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DBSD Services Limited</w:t>
            </w:r>
          </w:p>
        </w:tc>
        <w:tc>
          <w:tcPr>
            <w:tcW w:w="3700" w:type="dxa"/>
            <w:vAlign w:val="bottom"/>
            <w:tcBorders>
              <w:bottom w:val="single" w:sz="8" w:color="CCEEFF"/>
            </w:tcBorders>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231F20"/>
              </w:rPr>
              <w:t>United Kingdom</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Gamma Acquisition HoldCo, L.L.C.</w:t>
            </w:r>
          </w:p>
        </w:tc>
        <w:tc>
          <w:tcPr>
            <w:tcW w:w="370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8"/>
              </w:rPr>
              <w:t>Colorado</w:t>
            </w:r>
          </w:p>
        </w:tc>
      </w:tr>
      <w:tr>
        <w:trPr>
          <w:trHeight w:val="830"/>
        </w:trPr>
        <w:tc>
          <w:tcPr>
            <w:tcW w:w="48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18" w:name="page119"/>
    <w:bookmarkEnd w:id="11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198" w:lineRule="exact"/>
        <w:rPr>
          <w:sz w:val="20"/>
          <w:szCs w:val="20"/>
          <w:color w:val="auto"/>
        </w:rPr>
      </w:pPr>
    </w:p>
    <w:p>
      <w:pPr>
        <w:ind w:left="360" w:hanging="316"/>
        <w:spacing w:after="0"/>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2025</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9" w:name="page120"/>
    <w:bookmarkEnd w:id="11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98" w:lineRule="exact"/>
        <w:rPr>
          <w:sz w:val="20"/>
          <w:szCs w:val="20"/>
          <w:color w:val="auto"/>
        </w:rPr>
      </w:pPr>
    </w:p>
    <w:p>
      <w:pPr>
        <w:ind w:left="360" w:hanging="316"/>
        <w:spacing w:after="0"/>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1, 2025</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0" w:name="page121"/>
    <w:bookmarkEnd w:id="12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 and Chief Executive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1" w:name="page122"/>
    <w:bookmarkEnd w:id="121"/>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June 30, 2025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August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Principal Financial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2"/>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1."/>
      <w:numFmt w:val="decimal"/>
      <w:start w:val="3"/>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4"/>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5"/>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7"/>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8"/>
    </w:lvl>
  </w:abstractNum>
  <w:abstractNum w:abstractNumId="25">
    <w:nsid w:val="7A6D8D3C"/>
    <w:multiLevelType w:val="hybridMultilevel"/>
    <w:lvl w:ilvl="0">
      <w:lvlJc w:val="left"/>
      <w:lvlText w:val="%1."/>
      <w:numFmt w:val="decimal"/>
      <w:start w:val="9"/>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0"/>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3"/>
    </w:lvl>
  </w:abstractNum>
  <w:abstractNum w:abstractNumId="34">
    <w:nsid w:val="749ABB43"/>
    <w:multiLevelType w:val="hybridMultilevel"/>
    <w:lvl w:ilvl="0">
      <w:lvlJc w:val="left"/>
      <w:lvlText w:val="(%1)"/>
      <w:numFmt w:val="decimal"/>
      <w:start w:val="6"/>
    </w:lvl>
  </w:abstractNum>
  <w:abstractNum w:abstractNumId="35">
    <w:nsid w:val="3DC240FB"/>
    <w:multiLevelType w:val="hybridMultilevel"/>
    <w:lvl w:ilvl="0">
      <w:lvlJc w:val="left"/>
      <w:lvlText w:val="(%1)"/>
      <w:numFmt w:val="decimal"/>
      <w:start w:val="11"/>
    </w:lvl>
  </w:abstractNum>
  <w:abstractNum w:abstractNumId="36">
    <w:nsid w:val="1BA026FA"/>
    <w:multiLevelType w:val="hybridMultilevel"/>
    <w:lvl w:ilvl="0">
      <w:lvlJc w:val="left"/>
      <w:lvlText w:val="%1."/>
      <w:numFmt w:val="decimal"/>
      <w:start w:val="1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12"/>
    </w:lvl>
  </w:abstractNum>
  <w:abstractNum w:abstractNumId="39">
    <w:nsid w:val="12E685FB"/>
    <w:multiLevelType w:val="hybridMultilevel"/>
    <w:lvl w:ilvl="0">
      <w:lvlJc w:val="left"/>
      <w:lvlText w:val="%1."/>
      <w:numFmt w:val="decimal"/>
      <w:start w:val="13"/>
    </w:lvl>
  </w:abstractNum>
  <w:abstractNum w:abstractNumId="40">
    <w:nsid w:val="70C6A529"/>
    <w:multiLevelType w:val="hybridMultilevel"/>
    <w:lvl w:ilvl="0">
      <w:lvlJc w:val="left"/>
      <w:lvlText w:val="(%1)"/>
      <w:numFmt w:val="lowerRoman"/>
      <w:start w:val="2"/>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1)"/>
      <w:numFmt w:val="decimal"/>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lowerRoman"/>
      <w:start w:val="4"/>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39" Type="http://schemas.openxmlformats.org/officeDocument/2006/relationships/hyperlink" Target="https://www.sec.gov/Archives/edgar/data/1001082/000141540425000010/tmb-20250509x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2025-08-01T05:25:56Z</dcterms:created>
  <dcterms:modified xsi:type="dcterms:W3CDTF">2025-08-01T05:25:56Z</dcterms:modified>
</cp:coreProperties>
</file>