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81"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62"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QUARTERLY PERIOD ENDED MARCH 31, 2016.</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ind w:left="960" w:hanging="925"/>
        <w:spacing w:after="0" w:line="183" w:lineRule="auto"/>
        <w:tabs>
          <w:tab w:leader="none" w:pos="960"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5340" w:type="dxa"/>
            <w:vAlign w:val="bottom"/>
          </w:tcPr>
          <w:p>
            <w:pPr>
              <w:ind w:left="2140"/>
              <w:spacing w:after="0"/>
              <w:rPr>
                <w:sz w:val="20"/>
                <w:szCs w:val="20"/>
                <w:color w:val="auto"/>
              </w:rPr>
            </w:pPr>
            <w:r>
              <w:rPr>
                <w:rFonts w:ascii="Arial" w:cs="Arial" w:eastAsia="Arial" w:hAnsi="Arial"/>
                <w:sz w:val="16"/>
                <w:szCs w:val="16"/>
                <w:b w:val="1"/>
                <w:bCs w:val="1"/>
                <w:color w:val="auto"/>
              </w:rPr>
              <w:t>FOR THE TRANSITION PERIOD FROM</w:t>
            </w:r>
          </w:p>
        </w:tc>
        <w:tc>
          <w:tcPr>
            <w:tcW w:w="13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393"/>
        </w:trPr>
        <w:tc>
          <w:tcPr>
            <w:tcW w:w="6720" w:type="dxa"/>
            <w:vAlign w:val="bottom"/>
            <w:gridSpan w:val="3"/>
          </w:tcPr>
          <w:p>
            <w:pPr>
              <w:jc w:val="center"/>
              <w:ind w:left="3091"/>
              <w:spacing w:after="0"/>
              <w:rPr>
                <w:sz w:val="20"/>
                <w:szCs w:val="20"/>
                <w:color w:val="auto"/>
              </w:rPr>
            </w:pPr>
            <w:r>
              <w:rPr>
                <w:rFonts w:ascii="Arial" w:cs="Arial" w:eastAsia="Arial" w:hAnsi="Arial"/>
                <w:sz w:val="16"/>
                <w:szCs w:val="16"/>
                <w:b w:val="1"/>
                <w:bCs w:val="1"/>
                <w:color w:val="auto"/>
                <w:w w:val="93"/>
              </w:rPr>
              <w:t>Commission File Number: 333-179121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9"/>
        </w:trPr>
        <w:tc>
          <w:tcPr>
            <w:tcW w:w="7400" w:type="dxa"/>
            <w:vAlign w:val="bottom"/>
            <w:gridSpan w:val="5"/>
          </w:tcPr>
          <w:p>
            <w:pPr>
              <w:jc w:val="center"/>
              <w:ind w:left="2411"/>
              <w:spacing w:after="0"/>
              <w:rPr>
                <w:sz w:val="20"/>
                <w:szCs w:val="20"/>
                <w:color w:val="auto"/>
              </w:rPr>
            </w:pPr>
            <w:r>
              <w:rPr>
                <w:rFonts w:ascii="Arial" w:cs="Arial" w:eastAsia="Arial" w:hAnsi="Arial"/>
                <w:sz w:val="29"/>
                <w:szCs w:val="29"/>
                <w:b w:val="1"/>
                <w:bCs w:val="1"/>
                <w:color w:val="auto"/>
                <w:w w:val="88"/>
              </w:rPr>
              <w:t>Hughes Satellite Systems Corporation</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6"/>
        </w:trPr>
        <w:tc>
          <w:tcPr>
            <w:tcW w:w="6720" w:type="dxa"/>
            <w:vAlign w:val="bottom"/>
            <w:gridSpan w:val="3"/>
          </w:tcPr>
          <w:p>
            <w:pPr>
              <w:jc w:val="center"/>
              <w:ind w:left="3091"/>
              <w:spacing w:after="0"/>
              <w:rPr>
                <w:sz w:val="20"/>
                <w:szCs w:val="20"/>
                <w:color w:val="auto"/>
              </w:rPr>
            </w:pPr>
            <w:r>
              <w:rPr>
                <w:rFonts w:ascii="Arial" w:cs="Arial" w:eastAsia="Arial" w:hAnsi="Arial"/>
                <w:sz w:val="16"/>
                <w:szCs w:val="16"/>
                <w:color w:val="auto"/>
                <w:w w:val="91"/>
              </w:rPr>
              <w:t>(Exact Name of Registrant as Specified in Its Charter)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51"/>
        </w:trPr>
        <w:tc>
          <w:tcPr>
            <w:tcW w:w="6720" w:type="dxa"/>
            <w:vAlign w:val="bottom"/>
            <w:gridSpan w:val="3"/>
          </w:tcPr>
          <w:p>
            <w:pPr>
              <w:jc w:val="center"/>
              <w:ind w:right="2740"/>
              <w:spacing w:after="0"/>
              <w:rPr>
                <w:sz w:val="20"/>
                <w:szCs w:val="20"/>
                <w:color w:val="auto"/>
              </w:rPr>
            </w:pPr>
            <w:r>
              <w:rPr>
                <w:rFonts w:ascii="Arial" w:cs="Arial" w:eastAsia="Arial" w:hAnsi="Arial"/>
                <w:sz w:val="16"/>
                <w:szCs w:val="16"/>
                <w:b w:val="1"/>
                <w:bCs w:val="1"/>
                <w:color w:val="auto"/>
                <w:w w:val="93"/>
              </w:rPr>
              <w:t>Colorado</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45-0897865</w:t>
            </w:r>
          </w:p>
        </w:tc>
        <w:tc>
          <w:tcPr>
            <w:tcW w:w="580" w:type="dxa"/>
            <w:vAlign w:val="bottom"/>
          </w:tcPr>
          <w:p>
            <w:pPr>
              <w:spacing w:after="0"/>
              <w:rPr>
                <w:sz w:val="24"/>
                <w:szCs w:val="24"/>
                <w:color w:val="auto"/>
              </w:rPr>
            </w:pPr>
          </w:p>
        </w:tc>
      </w:tr>
      <w:tr>
        <w:trPr>
          <w:trHeight w:val="257"/>
        </w:trPr>
        <w:tc>
          <w:tcPr>
            <w:tcW w:w="6720" w:type="dxa"/>
            <w:vAlign w:val="bottom"/>
            <w:gridSpan w:val="3"/>
          </w:tcPr>
          <w:p>
            <w:pPr>
              <w:jc w:val="center"/>
              <w:ind w:right="274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360" w:type="dxa"/>
            <w:vAlign w:val="bottom"/>
            <w:gridSpan w:val="4"/>
          </w:tcPr>
          <w:p>
            <w:pPr>
              <w:jc w:val="center"/>
              <w:spacing w:after="0"/>
              <w:rPr>
                <w:sz w:val="20"/>
                <w:szCs w:val="20"/>
                <w:color w:val="auto"/>
              </w:rPr>
            </w:pPr>
            <w:r>
              <w:rPr>
                <w:rFonts w:ascii="Arial" w:cs="Arial" w:eastAsia="Arial" w:hAnsi="Arial"/>
                <w:sz w:val="16"/>
                <w:szCs w:val="16"/>
                <w:color w:val="auto"/>
                <w:w w:val="94"/>
              </w:rPr>
              <w:t>(I.R.S. Employer Identification No.)</w:t>
            </w:r>
          </w:p>
        </w:tc>
      </w:tr>
      <w:tr>
        <w:trPr>
          <w:trHeight w:val="608"/>
        </w:trPr>
        <w:tc>
          <w:tcPr>
            <w:tcW w:w="6720" w:type="dxa"/>
            <w:vAlign w:val="bottom"/>
            <w:gridSpan w:val="3"/>
          </w:tcPr>
          <w:p>
            <w:pPr>
              <w:jc w:val="center"/>
              <w:ind w:right="2740"/>
              <w:spacing w:after="0"/>
              <w:rPr>
                <w:sz w:val="20"/>
                <w:szCs w:val="20"/>
                <w:color w:val="auto"/>
              </w:rPr>
            </w:pPr>
            <w:r>
              <w:rPr>
                <w:rFonts w:ascii="Arial" w:cs="Arial" w:eastAsia="Arial" w:hAnsi="Arial"/>
                <w:sz w:val="16"/>
                <w:szCs w:val="16"/>
                <w:b w:val="1"/>
                <w:bCs w:val="1"/>
                <w:color w:val="auto"/>
                <w:w w:val="91"/>
              </w:rPr>
              <w:t>100 Inverness Terrace East, Englewood, Colorado</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80112-5308</w:t>
            </w:r>
          </w:p>
        </w:tc>
        <w:tc>
          <w:tcPr>
            <w:tcW w:w="580" w:type="dxa"/>
            <w:vAlign w:val="bottom"/>
          </w:tcPr>
          <w:p>
            <w:pPr>
              <w:spacing w:after="0"/>
              <w:rPr>
                <w:sz w:val="24"/>
                <w:szCs w:val="24"/>
                <w:color w:val="auto"/>
              </w:rPr>
            </w:pPr>
          </w:p>
        </w:tc>
      </w:tr>
      <w:tr>
        <w:trPr>
          <w:trHeight w:val="257"/>
        </w:trPr>
        <w:tc>
          <w:tcPr>
            <w:tcW w:w="6720" w:type="dxa"/>
            <w:vAlign w:val="bottom"/>
            <w:gridSpan w:val="3"/>
          </w:tcPr>
          <w:p>
            <w:pPr>
              <w:jc w:val="center"/>
              <w:ind w:right="2740"/>
              <w:spacing w:after="0"/>
              <w:rPr>
                <w:sz w:val="20"/>
                <w:szCs w:val="20"/>
                <w:color w:val="auto"/>
              </w:rPr>
            </w:pPr>
            <w:r>
              <w:rPr>
                <w:rFonts w:ascii="Arial" w:cs="Arial" w:eastAsia="Arial" w:hAnsi="Arial"/>
                <w:sz w:val="16"/>
                <w:szCs w:val="16"/>
                <w:color w:val="auto"/>
                <w:w w:val="94"/>
              </w:rPr>
              <w:t>(Address of Principal Executive Offices)</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80" w:type="dxa"/>
            <w:vAlign w:val="bottom"/>
            <w:gridSpan w:val="2"/>
          </w:tcPr>
          <w:p>
            <w:pPr>
              <w:jc w:val="center"/>
              <w:ind w:right="579"/>
              <w:spacing w:after="0"/>
              <w:rPr>
                <w:sz w:val="20"/>
                <w:szCs w:val="20"/>
                <w:color w:val="auto"/>
              </w:rPr>
            </w:pPr>
            <w:r>
              <w:rPr>
                <w:rFonts w:ascii="Arial" w:cs="Arial" w:eastAsia="Arial" w:hAnsi="Arial"/>
                <w:sz w:val="16"/>
                <w:szCs w:val="16"/>
                <w:color w:val="auto"/>
                <w:w w:val="92"/>
              </w:rPr>
              <w:t>(Zip Code)</w:t>
            </w:r>
          </w:p>
        </w:tc>
      </w:tr>
    </w:tbl>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(303) 706-4000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jc w:val="both"/>
        <w:ind w:right="10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5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6" w:lineRule="exact"/>
        <w:rPr>
          <w:sz w:val="24"/>
          <w:szCs w:val="24"/>
          <w:color w:val="auto"/>
        </w:rPr>
      </w:pPr>
    </w:p>
    <w:p>
      <w:pPr>
        <w:ind w:right="26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p>
      <w:pPr>
        <w:ind w:left="2900" w:right="680" w:hanging="5590"/>
        <w:spacing w:after="0" w:line="301" w:lineRule="auto"/>
        <w:tabs>
          <w:tab w:leader="none" w:pos="288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o Non-accelerated filer x Smaller reporting company o (Do not check if a smaller</w:t>
      </w:r>
    </w:p>
    <w:p>
      <w:pPr>
        <w:spacing w:after="0" w:line="282"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reporting company)</w:t>
      </w:r>
    </w:p>
    <w:p>
      <w:pPr>
        <w:spacing w:after="0" w:line="20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color w:val="auto"/>
        </w:rPr>
        <w:t>As of May 3, 2016, the registrant’s outstanding common stock consisted of 1,000 shares of common stock, $0.01 par value per share.</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The registrant meets the conditions set forth in General Instructions (H)(1)(a) and (b) of Form 10-Q and is therefore filing this Form 10-Q with the reduced disclosure format.</w:t>
      </w:r>
    </w:p>
    <w:p>
      <w:pPr>
        <w:spacing w:after="0" w:line="206" w:lineRule="exact"/>
        <w:rPr>
          <w:sz w:val="24"/>
          <w:szCs w:val="24"/>
          <w:color w:val="auto"/>
        </w:rPr>
      </w:pPr>
    </w:p>
    <w:p>
      <w:pPr>
        <w:ind w:left="420" w:right="400" w:hanging="412"/>
        <w:spacing w:after="0" w:line="261" w:lineRule="auto"/>
        <w:tabs>
          <w:tab w:leader="none" w:pos="37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the entirety of such period.</w:t>
      </w:r>
    </w:p>
    <w:p>
      <w:pPr>
        <w:sectPr>
          <w:pgSz w:w="11900" w:h="16838" w:orient="portrait"/>
          <w:cols w:equalWidth="0" w:num="1">
            <w:col w:w="11380"/>
          </w:cols>
          <w:pgMar w:left="240" w:top="233" w:right="279" w:bottom="1440" w:gutter="0" w:footer="0" w:header="0"/>
        </w:sectPr>
      </w:pPr>
    </w:p>
    <w:bookmarkStart w:id="1" w:name="page2"/>
    <w:bookmarkEnd w:id="1"/>
    <w:tbl>
      <w:tblPr>
        <w:tblLayout w:type="fixed"/>
        <w:tblInd w:w="32"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20" w:type="dxa"/>
            <w:vAlign w:val="bottom"/>
            <w:gridSpan w:val="8"/>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11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60" w:type="dxa"/>
            <w:vAlign w:val="bottom"/>
            <w:gridSpan w:val="10"/>
          </w:tcPr>
          <w:p>
            <w:pPr>
              <w:jc w:val="center"/>
              <w:ind w:right="35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12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6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20" w:type="dxa"/>
            <w:vAlign w:val="bottom"/>
            <w:tcBorders>
              <w:top w:val="single" w:sz="8" w:color="0000EE"/>
            </w:tcBorders>
            <w:gridSpan w:val="5"/>
          </w:tcPr>
          <w:p>
            <w:pPr>
              <w:spacing w:after="0"/>
              <w:rPr>
                <w:sz w:val="24"/>
                <w:szCs w:val="24"/>
                <w:color w:val="auto"/>
              </w:rPr>
            </w:pPr>
          </w:p>
        </w:tc>
        <w:tc>
          <w:tcPr>
            <w:tcW w:w="394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2016 and December 31,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Income (Loss) for the Three Months Ended March</w:t>
              </w:r>
            </w:hyperlink>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2016 and 2015 (Unaudited)</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2016 and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3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490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Narrative Analysis of Results of Operations</w:t>
              </w:r>
            </w:hyperlink>
          </w:p>
        </w:tc>
        <w:tc>
          <w:tcPr>
            <w:tcW w:w="5020" w:type="dxa"/>
            <w:vAlign w:val="bottom"/>
            <w:gridSpan w:val="6"/>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91"/>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9"/>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992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8"/>
          </w:tcPr>
          <w:p>
            <w:pPr>
              <w:jc w:val="center"/>
              <w:ind w:right="4100"/>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 OTHER INFORMATION</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126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w:t>
              </w:r>
            </w:hyperlink>
          </w:p>
        </w:tc>
        <w:tc>
          <w:tcPr>
            <w:tcW w:w="300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2820" w:type="dxa"/>
            <w:vAlign w:val="bottom"/>
            <w:tcBorders>
              <w:top w:val="single" w:sz="8" w:color="0000EE"/>
            </w:tcBorders>
            <w:gridSpan w:val="3"/>
          </w:tcPr>
          <w:p>
            <w:pPr>
              <w:spacing w:after="0"/>
              <w:rPr>
                <w:sz w:val="24"/>
                <w:szCs w:val="24"/>
                <w:color w:val="auto"/>
              </w:rPr>
            </w:pPr>
          </w:p>
        </w:tc>
        <w:tc>
          <w:tcPr>
            <w:tcW w:w="410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tcBorders>
              <w:left w:val="single" w:sz="8" w:color="0000EE"/>
            </w:tcBorders>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62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Risk Factors</w:t>
              </w:r>
            </w:hyperlink>
          </w:p>
        </w:tc>
        <w:tc>
          <w:tcPr>
            <w:tcW w:w="902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91"/>
        </w:trPr>
        <w:tc>
          <w:tcPr>
            <w:tcW w:w="12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9"/>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9"/>
          </w:tcPr>
          <w:p>
            <w:pPr>
              <w:spacing w:after="0"/>
              <w:rPr>
                <w:sz w:val="20"/>
                <w:szCs w:val="20"/>
                <w:color w:val="auto"/>
              </w:rPr>
            </w:pPr>
            <w:r>
              <w:rPr>
                <w:rFonts w:ascii="Arial" w:cs="Arial" w:eastAsia="Arial" w:hAnsi="Arial"/>
                <w:sz w:val="18"/>
                <w:szCs w:val="18"/>
                <w:color w:val="auto"/>
              </w:rPr>
              <w:t>Defaults Upon Senior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992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5.</w:t>
              </w:r>
            </w:hyperlink>
          </w:p>
        </w:tc>
        <w:tc>
          <w:tcPr>
            <w:tcW w:w="992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2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992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6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Signatures</w:t>
              </w:r>
            </w:hyperlink>
          </w:p>
        </w:tc>
        <w:tc>
          <w:tcPr>
            <w:tcW w:w="916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bl>
    <w:p>
      <w:pPr>
        <w:spacing w:after="0" w:line="252" w:lineRule="exact"/>
        <w:rPr>
          <w:sz w:val="20"/>
          <w:szCs w:val="20"/>
          <w:color w:val="auto"/>
        </w:rPr>
      </w:pPr>
    </w:p>
    <w:p>
      <w:pPr>
        <w:ind w:left="132" w:hanging="132"/>
        <w:spacing w:after="0"/>
        <w:tabs>
          <w:tab w:leader="none" w:pos="1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This item has been omitted pursuant to the reduced disclosure format as set forth in General Instructions (H)(2) of Form 10-Q</w:t>
      </w:r>
    </w:p>
    <w:p>
      <w:pPr>
        <w:sectPr>
          <w:pgSz w:w="11900" w:h="16838" w:orient="portrait"/>
          <w:cols w:equalWidth="0" w:num="1">
            <w:col w:w="11392"/>
          </w:cols>
          <w:pgMar w:left="248" w:top="58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420" w:hanging="169"/>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reliance on our primary customer, DISH Network Corporation and its subsidiaries (“DISH Network”), for a significant portion of our revenue;</w:t>
      </w:r>
    </w:p>
    <w:p>
      <w:pPr>
        <w:spacing w:after="0" w:line="236" w:lineRule="exact"/>
        <w:rPr>
          <w:rFonts w:ascii="Arial" w:cs="Arial" w:eastAsia="Arial" w:hAnsi="Arial"/>
          <w:sz w:val="17"/>
          <w:szCs w:val="17"/>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225" w:lineRule="exact"/>
        <w:rPr>
          <w:rFonts w:ascii="Arial" w:cs="Arial" w:eastAsia="Arial" w:hAnsi="Arial"/>
          <w:sz w:val="18"/>
          <w:szCs w:val="18"/>
          <w:color w:val="auto"/>
        </w:rPr>
      </w:pPr>
    </w:p>
    <w:p>
      <w:pPr>
        <w:ind w:left="420" w:right="100" w:hanging="169"/>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70" w:lineRule="exact"/>
        <w:rPr>
          <w:rFonts w:ascii="Arial" w:cs="Arial" w:eastAsia="Arial" w:hAnsi="Arial"/>
          <w:sz w:val="18"/>
          <w:szCs w:val="18"/>
          <w:color w:val="auto"/>
        </w:rPr>
      </w:pPr>
    </w:p>
    <w:p>
      <w:pPr>
        <w:jc w:val="both"/>
        <w:ind w:left="420" w:right="620" w:hanging="169"/>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changes in the space weather environment that could interfere with the operation of our satellites, and our general lack of commercial insurance coverage on our satellites;</w:t>
      </w:r>
    </w:p>
    <w:p>
      <w:pPr>
        <w:spacing w:after="0" w:line="181" w:lineRule="exact"/>
        <w:rPr>
          <w:rFonts w:ascii="Arial" w:cs="Arial" w:eastAsia="Arial" w:hAnsi="Arial"/>
          <w:sz w:val="18"/>
          <w:szCs w:val="18"/>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adequately anticipate the need for satellite capacity or the inability to obtain satellite capacity for our Hughes segment; and</w:t>
      </w:r>
    </w:p>
    <w:p>
      <w:pPr>
        <w:spacing w:after="0" w:line="225" w:lineRule="exact"/>
        <w:rPr>
          <w:rFonts w:ascii="Arial" w:cs="Arial" w:eastAsia="Arial" w:hAnsi="Arial"/>
          <w:sz w:val="18"/>
          <w:szCs w:val="18"/>
          <w:color w:val="auto"/>
        </w:rPr>
      </w:pPr>
    </w:p>
    <w:p>
      <w:pPr>
        <w:ind w:left="420" w:right="540" w:hanging="169"/>
        <w:spacing w:after="0" w:line="324" w:lineRule="auto"/>
        <w:tabs>
          <w:tab w:leader="none" w:pos="4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Narrative Analysis of Results of Operations” herein and in our Form 10-K, and those discussed in other documents we file with the SEC.</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tab/>
        <w:t>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4"/>
              </w:rPr>
              <w:t>As of</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 2016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700" w:type="dxa"/>
            <w:vAlign w:val="bottom"/>
            <w:shd w:val="clear" w:color="auto" w:fill="CCEEFF"/>
          </w:tcPr>
          <w:p>
            <w:pPr>
              <w:ind w:left="408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420,928</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382,990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Marketable investment securities, at fair value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235,661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253,343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accounts receivable, net of allowance for doubtful accounts of $12,974 and $11,447,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139,510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Trade accounts receivable - DISH Network, net of allowance for doubtful accounts of zero</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21,258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48,797</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Prepaids and deposits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38,222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to affiliates, net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47,387</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13,273</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967,726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944,780</w:t>
            </w:r>
          </w:p>
        </w:tc>
        <w:tc>
          <w:tcPr>
            <w:tcW w:w="0" w:type="dxa"/>
            <w:vAlign w:val="bottom"/>
          </w:tcPr>
          <w:p>
            <w:pPr>
              <w:spacing w:after="0"/>
              <w:rPr>
                <w:sz w:val="1"/>
                <w:szCs w:val="1"/>
                <w:color w:val="auto"/>
              </w:rPr>
            </w:pPr>
          </w:p>
        </w:tc>
      </w:tr>
      <w:tr>
        <w:trPr>
          <w:trHeight w:val="20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20,140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Property and equipment, net of accumulated depreciation of $2,229,836 and $2,138,642, respectively</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2,310,837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2,265,402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authorizations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471,658</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504,173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504,173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115,420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43,340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41,481</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293,788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208,225</w:t>
            </w:r>
          </w:p>
        </w:tc>
        <w:tc>
          <w:tcPr>
            <w:tcW w:w="0" w:type="dxa"/>
            <w:vAlign w:val="bottom"/>
          </w:tcPr>
          <w:p>
            <w:pPr>
              <w:spacing w:after="0"/>
              <w:rPr>
                <w:sz w:val="1"/>
                <w:szCs w:val="1"/>
                <w:color w:val="auto"/>
              </w:rPr>
            </w:pP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Total noncurrent assets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3,751,346</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3,626,499</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4,719,072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4,571,279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304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Trade 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97,854</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97,648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accounts payable - DISH Network</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Current portion of long-term debt and capital lease obligations, net of unamortized debt issuance costs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1,891,286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30,284</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affiliates, net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3,773</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Deferred revenue and prepayments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58,819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57,493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18,932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71,533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96,501</w:t>
            </w:r>
          </w:p>
        </w:tc>
        <w:tc>
          <w:tcPr>
            <w:tcW w:w="0" w:type="dxa"/>
            <w:vAlign w:val="bottom"/>
          </w:tcPr>
          <w:p>
            <w:pPr>
              <w:spacing w:after="0"/>
              <w:rPr>
                <w:sz w:val="1"/>
                <w:szCs w:val="1"/>
                <w:color w:val="auto"/>
              </w:rPr>
            </w:pP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2,180,983</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312,960</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Long-term debt and capital lease obligations, net of unamortized debt issuance costs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288,465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2,154,988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452,350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Advances from affiliates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25,283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83,621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84,058</w:t>
            </w:r>
          </w:p>
        </w:tc>
        <w:tc>
          <w:tcPr>
            <w:tcW w:w="0" w:type="dxa"/>
            <w:vAlign w:val="bottom"/>
          </w:tcPr>
          <w:p>
            <w:pPr>
              <w:spacing w:after="0"/>
              <w:rPr>
                <w:sz w:val="1"/>
                <w:szCs w:val="1"/>
                <w:color w:val="auto"/>
              </w:rPr>
            </w:pP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871,880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2,716,679</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3,052,863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3,029,639</w:t>
            </w:r>
          </w:p>
        </w:tc>
        <w:tc>
          <w:tcPr>
            <w:tcW w:w="0" w:type="dxa"/>
            <w:vAlign w:val="bottom"/>
          </w:tcPr>
          <w:p>
            <w:pPr>
              <w:spacing w:after="0"/>
              <w:rPr>
                <w:sz w:val="1"/>
                <w:szCs w:val="1"/>
                <w:color w:val="auto"/>
              </w:rPr>
            </w:pPr>
          </w:p>
        </w:tc>
      </w:tr>
      <w:tr>
        <w:trPr>
          <w:trHeight w:val="204"/>
        </w:trPr>
        <w:tc>
          <w:tcPr>
            <w:tcW w:w="8700" w:type="dxa"/>
            <w:vAlign w:val="bottom"/>
          </w:tcPr>
          <w:p>
            <w:pPr>
              <w:ind w:left="40"/>
              <w:spacing w:after="0"/>
              <w:rPr>
                <w:sz w:val="20"/>
                <w:szCs w:val="20"/>
                <w:color w:val="auto"/>
              </w:rPr>
            </w:pPr>
            <w:r>
              <w:rPr>
                <w:rFonts w:ascii="Arial" w:cs="Arial" w:eastAsia="Arial" w:hAnsi="Arial"/>
                <w:sz w:val="16"/>
                <w:szCs w:val="16"/>
                <w:color w:val="auto"/>
              </w:rPr>
              <w:t>Commitments and Contingencies (Note 12)</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$0.001 par value; 1,000,000 shares authorized:</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700" w:type="dxa"/>
            <w:vAlign w:val="bottom"/>
          </w:tcPr>
          <w:p>
            <w:pPr>
              <w:ind w:left="280"/>
              <w:spacing w:after="0"/>
              <w:rPr>
                <w:sz w:val="20"/>
                <w:szCs w:val="20"/>
                <w:color w:val="auto"/>
              </w:rPr>
            </w:pPr>
            <w:r>
              <w:rPr>
                <w:rFonts w:ascii="Arial" w:cs="Arial" w:eastAsia="Arial" w:hAnsi="Arial"/>
                <w:sz w:val="16"/>
                <w:szCs w:val="16"/>
                <w:color w:val="auto"/>
                <w:w w:val="91"/>
              </w:rPr>
              <w:t>Hughes Retail Preferred Tracking Stock, $0.001 par value; 300 shares authorized, 81.128 shares issued and outstanding at each</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00" w:type="dxa"/>
            <w:vAlign w:val="bottom"/>
          </w:tcPr>
          <w:p>
            <w:pPr>
              <w:ind w:left="440"/>
              <w:spacing w:after="0"/>
              <w:rPr>
                <w:sz w:val="20"/>
                <w:szCs w:val="20"/>
                <w:color w:val="auto"/>
              </w:rPr>
            </w:pPr>
            <w:r>
              <w:rPr>
                <w:rFonts w:ascii="Arial" w:cs="Arial" w:eastAsia="Arial" w:hAnsi="Arial"/>
                <w:sz w:val="16"/>
                <w:szCs w:val="16"/>
                <w:color w:val="auto"/>
              </w:rPr>
              <w:t>of March 31, 2016 and December 31, 2015</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Common stock, $0.01 par value; 1,000,000 shares authorized, 1,000 shares issued and outstanding at each of March 31, 2016 and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December 31, 2015</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1,500,952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1,417,748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(54,116)</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Accumulated earnings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200,617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166,698</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
        </w:trPr>
        <w:tc>
          <w:tcPr>
            <w:tcW w:w="8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HSS shareholders’ equity</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1,654,788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1,530,330</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11,310</w:t>
            </w: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1,666,209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1,541,640</w:t>
            </w:r>
          </w:p>
        </w:tc>
      </w:tr>
      <w:tr>
        <w:trPr>
          <w:trHeight w:val="217"/>
        </w:trPr>
        <w:tc>
          <w:tcPr>
            <w:tcW w:w="8700" w:type="dxa"/>
            <w:vAlign w:val="bottom"/>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4,719,072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4,571,279</w:t>
            </w:r>
          </w:p>
        </w:tc>
      </w:tr>
      <w:tr>
        <w:trPr>
          <w:trHeight w:val="73"/>
        </w:trPr>
        <w:tc>
          <w:tcPr>
            <w:tcW w:w="87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16"/>
        </w:trPr>
        <w:tc>
          <w:tcPr>
            <w:tcW w:w="8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bl>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HUGHES SATELLITE SYSTEMS CORPORATION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180" w:type="dxa"/>
            <w:vAlign w:val="bottom"/>
          </w:tcPr>
          <w:p>
            <w:pPr>
              <w:jc w:val="center"/>
              <w:ind w:left="1610"/>
              <w:spacing w:after="0"/>
              <w:rPr>
                <w:sz w:val="20"/>
                <w:szCs w:val="20"/>
                <w:color w:val="auto"/>
              </w:rPr>
            </w:pPr>
            <w:r>
              <w:rPr>
                <w:rFonts w:ascii="Arial" w:cs="Arial" w:eastAsia="Arial" w:hAnsi="Arial"/>
                <w:sz w:val="18"/>
                <w:szCs w:val="18"/>
                <w:b w:val="1"/>
                <w:bCs w:val="1"/>
                <w:color w:val="auto"/>
              </w:rPr>
              <w:t>AND COMPREHENSIVE INCOME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180" w:type="dxa"/>
            <w:vAlign w:val="bottom"/>
          </w:tcPr>
          <w:p>
            <w:pPr>
              <w:jc w:val="center"/>
              <w:ind w:left="161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0"/>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40" w:type="dxa"/>
            <w:vAlign w:val="bottom"/>
            <w:gridSpan w:val="6"/>
          </w:tcPr>
          <w:p>
            <w:pPr>
              <w:ind w:left="100"/>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34"/>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Services and other revenue -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270,423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269,679</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Equipment revenue - other</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42,859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48,051</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Equipment revenue - DISH Network</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40" w:type="dxa"/>
            <w:vAlign w:val="bottom"/>
          </w:tcPr>
          <w:p>
            <w:pPr>
              <w:spacing w:after="0"/>
              <w:rPr>
                <w:sz w:val="20"/>
                <w:szCs w:val="20"/>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429,126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450,234</w:t>
            </w:r>
          </w:p>
        </w:tc>
        <w:tc>
          <w:tcPr>
            <w:tcW w:w="1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124,577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129,918</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70,915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70,545</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108,014</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440" w:type="dxa"/>
            <w:vAlign w:val="bottom"/>
          </w:tcPr>
          <w:p>
            <w:pPr>
              <w:spacing w:after="0"/>
              <w:rPr>
                <w:sz w:val="22"/>
                <w:szCs w:val="22"/>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347,901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359,242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440" w:type="dxa"/>
            <w:vAlign w:val="bottom"/>
          </w:tcPr>
          <w:p>
            <w:pPr>
              <w:spacing w:after="0"/>
              <w:rPr>
                <w:sz w:val="20"/>
                <w:szCs w:val="20"/>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81,225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90,992</w:t>
            </w:r>
          </w:p>
        </w:tc>
        <w:tc>
          <w:tcPr>
            <w:tcW w:w="1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440" w:type="dxa"/>
            <w:vAlign w:val="bottom"/>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(45,086)</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Gains on marketable investment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Equity in earnings of unconsolidated affiliate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40" w:type="dxa"/>
            <w:vAlign w:val="bottom"/>
          </w:tcPr>
          <w:p>
            <w:pPr>
              <w:spacing w:after="0"/>
              <w:rPr>
                <w:sz w:val="20"/>
                <w:szCs w:val="20"/>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(43,643)</w:t>
            </w:r>
          </w:p>
        </w:tc>
        <w:tc>
          <w:tcPr>
            <w:tcW w:w="1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Income tax provision,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(17,973)</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440" w:type="dxa"/>
            <w:vAlign w:val="bottom"/>
          </w:tcPr>
          <w:p>
            <w:pPr>
              <w:spacing w:after="0"/>
              <w:rPr>
                <w:sz w:val="22"/>
                <w:szCs w:val="22"/>
                <w:color w:val="auto"/>
              </w:rPr>
            </w:pPr>
          </w:p>
        </w:tc>
        <w:tc>
          <w:tcPr>
            <w:tcW w:w="8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HSS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34,030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29,376</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gains (losses) on available-for-sale securities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40" w:type="dxa"/>
            <w:vAlign w:val="bottom"/>
          </w:tcPr>
          <w:p>
            <w:pPr>
              <w:spacing w:after="0"/>
              <w:rPr>
                <w:sz w:val="20"/>
                <w:szCs w:val="20"/>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440" w:type="dxa"/>
            <w:vAlign w:val="bottom"/>
          </w:tcPr>
          <w:p>
            <w:pPr>
              <w:spacing w:after="0"/>
              <w:rPr>
                <w:sz w:val="22"/>
                <w:szCs w:val="22"/>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HSS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000"/>
          </w:cols>
          <w:pgMar w:left="240" w:top="108" w:right="659" w:bottom="354" w:gutter="0" w:footer="0" w:header="0"/>
        </w:sectPr>
      </w:pP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00"/>
          </w:cols>
          <w:pgMar w:left="240" w:top="108" w:right="659" w:bottom="354"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726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HUGHES SATELLITE SYSTEMS CORPORATION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26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7260" w:type="dxa"/>
            <w:vAlign w:val="bottom"/>
          </w:tcPr>
          <w:p>
            <w:pPr>
              <w:jc w:val="center"/>
              <w:ind w:left="153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7260" w:type="dxa"/>
            <w:vAlign w:val="bottom"/>
          </w:tcPr>
          <w:p>
            <w:pPr>
              <w:jc w:val="center"/>
              <w:ind w:left="147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30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128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29,376</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102,369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108,014</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in earnings of unconsolidated affiliate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1,521</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Gains on marketable 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1,220</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 provision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17,035</w:t>
            </w: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Changes in current assets and current liabilities, net</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(9,568)</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noncurrent assets and noncurrent liabilities, net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w:t>
            </w: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5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146,881</w:t>
            </w:r>
          </w:p>
        </w:tc>
      </w:tr>
      <w:tr>
        <w:trPr>
          <w:trHeight w:val="22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41"/>
        </w:trPr>
        <w:tc>
          <w:tcPr>
            <w:tcW w:w="12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(90,594)</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Sales and maturities of marketable investment securities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146,814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52,683</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(92,310)</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Payment for EchoStar XXI launch services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cash flows from investing activities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(136,220)</w:t>
            </w: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Repayment of other debt and capital lease obligations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(15,038)</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Advances from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Capital contribution from EchoStar</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(14,259)</w:t>
            </w: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r>
      <w:tr>
        <w:trPr>
          <w:trHeight w:val="20"/>
        </w:trPr>
        <w:tc>
          <w:tcPr>
            <w:tcW w:w="12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840"/>
          </w:cols>
          <w:pgMar w:left="240" w:top="108" w:right="819" w:bottom="0" w:gutter="0" w:footer="0" w:header="0"/>
        </w:sectPr>
      </w:pPr>
    </w:p>
    <w:p>
      <w:pPr>
        <w:ind w:left="4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687768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877685"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60"/>
        <w:spacing w:after="0"/>
        <w:tabs>
          <w:tab w:leader="none" w:pos="1660" w:val="left"/>
        </w:tabs>
        <w:rPr>
          <w:sz w:val="20"/>
          <w:szCs w:val="20"/>
          <w:color w:val="auto"/>
        </w:rPr>
      </w:pPr>
      <w:r>
        <w:rPr>
          <w:rFonts w:ascii="Arial" w:cs="Arial" w:eastAsia="Arial" w:hAnsi="Arial"/>
          <w:sz w:val="18"/>
          <w:szCs w:val="18"/>
          <w:color w:val="auto"/>
        </w:rPr>
        <w:t>37,938</w:t>
      </w:r>
      <w:r>
        <w:rPr>
          <w:sz w:val="20"/>
          <w:szCs w:val="20"/>
          <w:color w:val="auto"/>
        </w:rPr>
        <w:tab/>
      </w:r>
      <w:r>
        <w:rPr>
          <w:rFonts w:ascii="Arial" w:cs="Arial" w:eastAsia="Arial" w:hAnsi="Arial"/>
          <w:sz w:val="18"/>
          <w:szCs w:val="18"/>
          <w:color w:val="auto"/>
        </w:rPr>
        <w:t>(6,164)</w:t>
      </w:r>
    </w:p>
    <w:p>
      <w:pPr>
        <w:spacing w:after="0" w:line="63"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382,990</w:t>
      </w:r>
      <w:r>
        <w:rPr>
          <w:sz w:val="20"/>
          <w:szCs w:val="20"/>
          <w:color w:val="auto"/>
        </w:rPr>
        <w:tab/>
      </w:r>
      <w:r>
        <w:rPr>
          <w:rFonts w:ascii="Arial" w:cs="Arial" w:eastAsia="Arial" w:hAnsi="Arial"/>
          <w:sz w:val="18"/>
          <w:szCs w:val="18"/>
          <w:color w:val="auto"/>
        </w:rPr>
        <w:t>225,557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457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57" w:lineRule="exact"/>
        <w:rPr>
          <w:sz w:val="20"/>
          <w:szCs w:val="20"/>
          <w:color w:val="auto"/>
        </w:rPr>
      </w:pPr>
    </w:p>
    <w:p>
      <w:pPr>
        <w:spacing w:after="0"/>
        <w:tabs>
          <w:tab w:leader="none" w:pos="340" w:val="left"/>
          <w:tab w:leader="none" w:pos="1180" w:val="left"/>
          <w:tab w:leader="none" w:pos="1540" w:val="left"/>
        </w:tabs>
        <w:rPr>
          <w:sz w:val="20"/>
          <w:szCs w:val="20"/>
          <w:color w:val="auto"/>
        </w:rPr>
      </w:pPr>
      <w:r>
        <w:rPr>
          <w:rFonts w:ascii="Arial" w:cs="Arial" w:eastAsia="Arial" w:hAnsi="Arial"/>
          <w:sz w:val="18"/>
          <w:szCs w:val="18"/>
          <w:color w:val="auto"/>
        </w:rPr>
        <w:t>$</w:t>
        <w:tab/>
        <w:t>420,928</w:t>
        <w:tab/>
        <w:t>$</w:t>
      </w:r>
      <w:r>
        <w:rPr>
          <w:sz w:val="20"/>
          <w:szCs w:val="20"/>
          <w:color w:val="auto"/>
        </w:rPr>
        <w:tab/>
      </w:r>
      <w:r>
        <w:rPr>
          <w:rFonts w:ascii="Arial" w:cs="Arial" w:eastAsia="Arial" w:hAnsi="Arial"/>
          <w:sz w:val="16"/>
          <w:szCs w:val="16"/>
          <w:color w:val="auto"/>
        </w:rPr>
        <w:t>219,393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457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260"/>
          </w:cols>
          <w:pgMar w:left="240" w:top="108" w:right="819" w:bottom="0" w:gutter="0" w:footer="0" w:header="0"/>
          <w:type w:val="continuous"/>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interest (including capitalized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Capitalized interest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67"/>
        </w:trPr>
        <w:tc>
          <w:tcPr>
            <w:tcW w:w="85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Satellites and other assets financed under capital lease obligations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67"/>
        </w:trPr>
        <w:tc>
          <w:tcPr>
            <w:tcW w:w="85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Reduction of capital lease obligation for AMC-15 and AMC-16 satellites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67"/>
        </w:trPr>
        <w:tc>
          <w:tcPr>
            <w:tcW w:w="85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Transfer of EchoStar XXIII launch contract from EchoStar to HNS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840"/>
          </w:cols>
          <w:pgMar w:left="240" w:top="108" w:right="819" w:bottom="0" w:gutter="0" w:footer="0" w:header="0"/>
          <w:type w:val="continuous"/>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40"/>
          </w:cols>
          <w:pgMar w:left="240" w:top="108" w:right="819" w:bottom="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w:t>
      </w:r>
      <w:r>
        <w:rPr>
          <w:rFonts w:ascii="Arial" w:cs="Arial" w:eastAsia="Arial" w:hAnsi="Arial"/>
          <w:sz w:val="18"/>
          <w:szCs w:val="18"/>
          <w:color w:val="auto"/>
        </w:rPr>
        <w:t>(Unaudited)</w:t>
      </w:r>
    </w:p>
    <w:p>
      <w:pPr>
        <w:spacing w:after="0" w:line="1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Hughes Satellite Systems Corporation (which, together with its subsidiaries, is referred to as “HSS,” the “Company,” “we,” “us” and/or “our”) is a holding company and a direct subsidiary of EchoStar Corporation (“EchoStar”). We are a global provider of satellite operations, video delivery solutions, and broadband satellite technologies and services for home and office, delivering innovative network technologies, managed services, and solutions for enterprises and governments.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225" w:lineRule="exact"/>
        <w:rPr>
          <w:sz w:val="20"/>
          <w:szCs w:val="20"/>
          <w:color w:val="auto"/>
        </w:rPr>
      </w:pPr>
    </w:p>
    <w:p>
      <w:pPr>
        <w:ind w:left="500" w:hanging="168"/>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satellite broadband internet access to North American consumers and broadband network services and equipment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enterprise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500" w:right="100" w:hanging="168"/>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 full-time and occasional-use basis primarily to DISH Network Corporation and its subsidiaries (“DISH Network”), Dish Mexico, S. de R.L. de C.V. (“Dish Mexico”), a joint venture that EchoStar entered into in 2008, United States (“U.S.”) government service providers, internet service providers, broadcast news organizations, programmers, and private enterprise customers.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were formed as a Colorado corporation in March 2011 to facilitate the acquisition (the “Hughes Acquisition”) of Hughes Communications, Inc. and its subsidiaries (“Hughes Communications”) and related financing transactions. In connection with our formation, EchoStar contributed the assets and liabilities of its satellite services business, including its principal operating subsidiary of its satellite services business, EchoStar Satellite Services L.L.C., to us. In addition, as a result of the Satellite and Tracking Stock Transaction described in Note 3 below and in our most recent Annual Report on Form 10-K, DISH Network owns shares of our preferred tracking stock representing a 28.11% economic interest in the residential retail satellite broadband business of our Hughes segment including certain operations, assets and liabilities attributed to such business.</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accordance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shareholders’ equity for the portion of the entity’s equity attributed to the noncontrolling ownership interests. All significant intercompany balances and transactions have been eliminated in consolidation.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00" w:right="222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condensed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EchoStar’s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25" w:lineRule="exact"/>
        <w:rPr>
          <w:rFonts w:ascii="Arial" w:cs="Arial" w:eastAsia="Arial" w:hAnsi="Arial"/>
          <w:sz w:val="18"/>
          <w:szCs w:val="18"/>
          <w:color w:val="auto"/>
        </w:rPr>
      </w:pPr>
    </w:p>
    <w:p>
      <w:pPr>
        <w:ind w:left="500" w:right="60" w:hanging="168"/>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181" w:lineRule="exact"/>
        <w:rPr>
          <w:rFonts w:ascii="Arial" w:cs="Arial" w:eastAsia="Arial" w:hAnsi="Arial"/>
          <w:sz w:val="18"/>
          <w:szCs w:val="18"/>
          <w:color w:val="auto"/>
        </w:rPr>
      </w:pPr>
    </w:p>
    <w:p>
      <w:pPr>
        <w:ind w:left="500" w:right="20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three months ended March 31, 2016 or 2015.</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of March 31, 2016 and December 31, 2015,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Fair values of our current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Fair values for our publicly traded debt are based on quoted market prices in less active markets and are categorized as Level 2 measurements. The fair values of our privately held debt are Level 2 measurements and are estimated to approximate their carrying amounts based on the proximity of their interest rates to current market rates. As of March 31, 2016 and December 31, 2015, the fair values of our in-orbit incentive obligations, based on measurements categorized within Level 2 of the fair value hierarchy, approximated their carrying amounts of $78.5 million and $79.3 million, respectively. We use fair value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measurements from time to time in connection with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 of sales includes research and development costs of approximately $2.8 million and $5.7 million for the three months ended March 31, 2016 and 2015, respectively. In addition, we incurred $6.9 million and $5.6 million for the three months ended March 31, 2016 and 2015, respectively, for other research and development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condensed consolidated balance sheets. Externally marketed software is generally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March 31, 2016 and December 31, 2015, the net carrying amount of externally marketed software was $66.4 million and $62.8 million, respectively. We capitalized costs related to the development of externally marketed software of $5.9 million and $5.0 million for the three months ended March 31, 2016 and 2015, respectively. We recorded amortization expense relating to the development of externally marketed software of $2.3 million and $1.9 million for the three months ended March 31, 2016 and 2015, respectively. The weighted average useful life of our externally marketed software was approximately three years as of March 31,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No. 2014-09, Revenue from Contracts with Customers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Accounting Standards Update No. 2015-14, which deferred by one year the mandatory effective date of ASU 2014-09.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 Early adoption is permitted, but not before annual periods beginning after December 15, 2016. In March 2016, the FASB issued Accounting Standards Update No. 2016-08, Principal versus Agent Considerations, which clarifies the implementation guidance on principal versus agent considerations. In April 2016, the FASB issued Accounting Standards Update No. 2016-10, Identifying Performance Obligations and Licensing, which amends guidance on identifying performance obligations and accounting for licenses of intellectual property. We have not determined when we will adopt the new revenue standard or selected the transition method that we will apply upon adoption. We are assessing the impact of adopting this new accounting standard on our consolidated financial statements and related disclosures.</w:t>
      </w:r>
    </w:p>
    <w:p>
      <w:pPr>
        <w:spacing w:after="0" w:line="17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February 2015, the FASB issued Accounting Standards Update No. 2015-02, Consolidation (Topic 810): Amendments to the Consolidation Analysis (“ASU 2015-02”). This standard amends the consolidation guidance for variable interest entities and general partners’ investments in limited partnerships and similar entities. ASU 2015-02 is effective for annual periods beginning after December 15, 2015 and interim periods within those annual periods, and requires either a retrospective or a modified retrospective approach as of the beginning of the fiscal year of adoption. We adopted ASU 2015-02 in the first quarter of 2016. The adoption of the standard did not impact our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April 2015, the FASB issued Accounting Standards Update No. 2015-03, Simplifying the Presentation of Debt Issuance Costs (“ASU 2015-03”). This standard requires that debt issuance costs related to a recognized debt liability be presented in the balance sheet as a direct deduction from the carrying amount of debt liability, consistent with debt discounts or premiums. ASU 2015-03 is effective for annual periods beginning after December 15, 2015 and interim periods within those annual periods, and requires a retrospective approach to adoption. Early adoption is permitted. We adopted ASU 2015-03 in the first quarter of 2016. Upon adoption, we presented unamortized debt issuance cost previously reported in “Other noncurrent assets, net” with a carrying amount of $31.3 million as of December 31, 2015, as a reduction of our “Long-term debt and capital lease obligations, net of unamortized debt issuance costs” (see Note 10 for further discussion).</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including requiring all equity investments to be measured at fair value with changes in the fair value recognized through net income. It also amends certain disclosure requirements associated with the fair value of financial instruments. ASU 2016-01 is effective for annual periods beginning after December 15, 2017, including interim periods within those annual periods, with early adoption permitted for certain requirements. We are assessing the impact of adopting this new accounting standard on our consolidated financial statements and related disclosures.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annual periods beginning after December 15, 2018 and interim periods within those periods. Early adoption is permitted. We are assessing the impact of adopting this new accounting standard on our consolidated financial statements and related disclosures.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2016, the FASB issued Accounting Standards Update No. 2016-09, Improvements to Employee Share-Based Payment Accounting (“ASU 2016-09”), which simplifies the accounting for share-based payment awards. This update requires all excess tax benefits and deficiencies to be recognized as income tax expense or benefit and permits an entity to make an entity-wide policy election to either estimate forfeitures or recognize forfeitures as they occur. ASU 2016-09 is effective for annual periods beginning after December 15, 2016 and interim periods within those periods. The update specifies requirements for retrospective, modified retrospective or prospective application for the various amendments contained in the update. We are assessing the impact of adopting this new accounting standard on our consolidated financial statements and related disclosures.</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Hughes Retail Preferred Tracking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and Tracking Stock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2014, HSS and EchoStar entered into agreements with certain subsidiaries of DISH Network pursuant to which, effective March 1, 2014,</w:t>
      </w:r>
    </w:p>
    <w:p>
      <w:pPr>
        <w:spacing w:after="0" w:line="35" w:lineRule="exact"/>
        <w:rPr>
          <w:sz w:val="20"/>
          <w:szCs w:val="20"/>
          <w:color w:val="auto"/>
        </w:rPr>
      </w:pPr>
    </w:p>
    <w:p>
      <w:pPr>
        <w:ind w:firstLine="8"/>
        <w:spacing w:after="0" w:line="267"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EchoStar issued shares of its newly authorized Hughes Retail Preferred Tracking Stock (the “EchoStar Tracking Stock”) and HSS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 certain satellite services on these five satellites from us (the “Satellite and Tracking Stock Transaction”). Immediately upon receipt of net assets (consisting of two of the five satellites and related in-orbit incentive obligations) from DISH Network in exchange for EchoStar Tracking Stock, EchoStar transferred such net assets to us. The Tracking Stock tracks the economic performance of the residential retail satellite broadband business of our Hughes segment, including certain operations, assets and liabilities attributed to such business (collectively, the “Hughes Retail Group” or “HRG”). The shares of the Tracking Stock issued to DISH Network represent an aggregate 80.0% economic interest in the Hughes Retail Group (the shares issued as HSS Tracking Stock represent a 28.11% economic interest in the Hughes Retail Group and the shares issued as EchoStar Tracking Stock represent a 51.89% economic interest in the Hughes Retail Group). In addition to the remaining 20.0% economic interest in the Hughes Retail Group, HSS retains all economic interest in the wholesale satellite broadband business and other businesses of HSS. The Satellite and Tracking Stock Transaction was consistent with the long-term strategy of the Company to increase the scale of its satellite services business, which provides high-margin revenues, while continuing to benefit from the growth of the satellite broadband business. As a result of the additional satellites received in the Satellite and Tracking Stock Transaction, HSS has increased short-term cash flow that it believes will better position it to achieve its strategic objectives.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HSS has adopted a policy statement (the “Policy Statement”) setting forth management and allocation policies for purposes of attributing all of the business and operations of HSS to either the Hughes Retail Group or the “HSSC Group,” which is defined as all other operations of HSS, including all existing and future businesses, other than the Hughes Retail Group. Among other things, the Policy Statement governs how assets, liabilities, revenue and expenses are attributed or allocated between HRG and the HSSC Group. Such attributions and allocations generally do not affect the amounts reported in our consolidated financial statements, except for the attribution of shareholders’ equity and net income or loss between the holders of Tracking Stock and common stock. The Policy Statement also does not significantly affect the way that management assesses operating performance and allocates resources within our Hughes segment.</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unaudited attributed financial information for HRG and the HSSC Group in an exhibit to our periodic reports on Form 10-Q and Form 10-K. For a description of the Tracking Stock and the initial recording of the Satellite and Tracking Stock Transaction in our consolidated financial statements, as well as the purpose and effect of the transaction on the Company and holders of shares of HSS common stock, see Note 3 to the consolidated financial statements in our most recent Annual Report on Form 10-K.</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not recognized any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66"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Accumulated other comprehensive loss includes cumulative foreign currency translation losses of $46.1 million and $53.8 million as of March 31, 2016 and December 31, 2015,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7420" w:type="dxa"/>
            <w:vAlign w:val="bottom"/>
          </w:tcPr>
          <w:p>
            <w:pPr>
              <w:ind w:left="140"/>
              <w:spacing w:after="0"/>
              <w:rPr>
                <w:sz w:val="20"/>
                <w:szCs w:val="20"/>
                <w:color w:val="auto"/>
              </w:rPr>
            </w:pPr>
            <w:r>
              <w:rPr>
                <w:rFonts w:ascii="Arial" w:cs="Arial" w:eastAsia="Arial" w:hAnsi="Arial"/>
                <w:sz w:val="18"/>
                <w:szCs w:val="18"/>
                <w:b w:val="1"/>
                <w:bCs w:val="1"/>
                <w:color w:val="auto"/>
              </w:rPr>
              <w:t>Investment Securities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73"/>
        </w:trPr>
        <w:tc>
          <w:tcPr>
            <w:tcW w:w="8120" w:type="dxa"/>
            <w:vAlign w:val="bottom"/>
            <w:gridSpan w:val="2"/>
          </w:tcPr>
          <w:p>
            <w:pPr>
              <w:spacing w:after="0"/>
              <w:rPr>
                <w:sz w:val="20"/>
                <w:szCs w:val="20"/>
                <w:color w:val="auto"/>
              </w:rPr>
            </w:pPr>
            <w:r>
              <w:rPr>
                <w:rFonts w:ascii="Arial" w:cs="Arial" w:eastAsia="Arial" w:hAnsi="Arial"/>
                <w:sz w:val="18"/>
                <w:szCs w:val="18"/>
                <w:color w:val="auto"/>
                <w:w w:val="95"/>
              </w:rPr>
              <w:t>Our marketable investment securities and investments in unconsolidated entities consisted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94"/>
        </w:trPr>
        <w:tc>
          <w:tcPr>
            <w:tcW w:w="7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24"/>
                <w:szCs w:val="24"/>
                <w:color w:val="auto"/>
              </w:rPr>
            </w:pPr>
          </w:p>
        </w:tc>
      </w:tr>
      <w:tr>
        <w:trPr>
          <w:trHeight w:val="27"/>
        </w:trPr>
        <w:tc>
          <w:tcPr>
            <w:tcW w:w="7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7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3"/>
          </w:tcPr>
          <w:p>
            <w:pPr>
              <w:jc w:val="right"/>
              <w:ind w:right="130"/>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0"/>
                <w:szCs w:val="20"/>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205,960</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228,770</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18,297</w:t>
            </w:r>
          </w:p>
        </w:tc>
      </w:tr>
      <w:tr>
        <w:trPr>
          <w:trHeight w:val="243"/>
        </w:trPr>
        <w:tc>
          <w:tcPr>
            <w:tcW w:w="700" w:type="dxa"/>
            <w:vAlign w:val="bottom"/>
          </w:tcPr>
          <w:p>
            <w:pPr>
              <w:ind w:left="40"/>
              <w:spacing w:after="0"/>
              <w:rPr>
                <w:sz w:val="20"/>
                <w:szCs w:val="20"/>
                <w:color w:val="auto"/>
              </w:rPr>
            </w:pPr>
            <w:r>
              <w:rPr>
                <w:rFonts w:ascii="Arial" w:cs="Arial" w:eastAsia="Arial" w:hAnsi="Arial"/>
                <w:sz w:val="18"/>
                <w:szCs w:val="18"/>
                <w:color w:val="auto"/>
              </w:rPr>
              <w:t>Other</w:t>
            </w: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6,276</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235,661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253,343</w:t>
            </w:r>
          </w:p>
        </w:tc>
      </w:tr>
      <w:tr>
        <w:trPr>
          <w:trHeight w:val="22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method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Equity method</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27,902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26,043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investments in unconsolidated entities—noncurrent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marketable investment securities and investments in unconsolidated entities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279,001</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294,824</w:t>
            </w:r>
          </w:p>
        </w:tc>
      </w:tr>
      <w:tr>
        <w:trPr>
          <w:trHeight w:val="27"/>
        </w:trPr>
        <w:tc>
          <w:tcPr>
            <w:tcW w:w="7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strategic investment portfolio consists of investments in shares of common stock of public companies, which are highly speculative and have experienced and continue to experience volatility. We did not receive any dividend income for the three months ended March 31, 2016 or 2015.</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March 31, 2016 and December 31, 2015, our strategic equity securities included shares of common stock of one of our customers that we received in satisfaction of certain milestone payments that were required to be paid to us under an existing long-term contract. For the three months ended March 31, 2016 and 2015, “Gains on marketable investment securities” includes $0.2 million and zero on such common stock in our trading securities portfolio, respectively, which had a fair value of $10.6 million as of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other current marketable investment securities portfolio includes investments in various debt instruments, including U.S. government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investments are summarized in the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300" w:type="dxa"/>
            <w:vAlign w:val="bottom"/>
          </w:tcPr>
          <w:p>
            <w:pPr>
              <w:spacing w:after="0"/>
              <w:rPr>
                <w:sz w:val="20"/>
                <w:szCs w:val="20"/>
                <w:color w:val="auto"/>
              </w:rPr>
            </w:pPr>
          </w:p>
        </w:tc>
        <w:tc>
          <w:tcPr>
            <w:tcW w:w="22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Unrealized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Estimated</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right"/>
              <w:ind w:right="410"/>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205,960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11,772</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7,372</w:t>
            </w: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225,829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225,104</w:t>
            </w:r>
          </w:p>
        </w:tc>
      </w:tr>
      <w:tr>
        <w:trPr>
          <w:trHeight w:val="67"/>
        </w:trPr>
        <w:tc>
          <w:tcPr>
            <w:tcW w:w="49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228,770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6,276</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7,955</w:t>
            </w: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243,320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243,001</w:t>
            </w: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March 31, 2016, restricted and non-restricted marketable investment securities included debt securities of $185.9 million with contractual maturities of one year or less and $31.8 million with contractual maturities greater than one year. We may realize proceeds from certain investments prior to their contractual maturity as a result of our ability to sell these securities prior to their contractual maturity.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00" w:right="222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 as of March 31,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5"/>
          </w:tcPr>
          <w:p>
            <w:pPr>
              <w:ind w:left="740"/>
              <w:spacing w:after="0"/>
              <w:rPr>
                <w:sz w:val="20"/>
                <w:szCs w:val="20"/>
                <w:color w:val="auto"/>
              </w:rPr>
            </w:pPr>
            <w:r>
              <w:rPr>
                <w:rFonts w:ascii="Arial" w:cs="Arial" w:eastAsia="Arial" w:hAnsi="Arial"/>
                <w:sz w:val="18"/>
                <w:szCs w:val="18"/>
                <w:b w:val="1"/>
                <w:bCs w:val="1"/>
                <w:color w:val="auto"/>
              </w:rPr>
              <w:t>March 31, 2016</w:t>
            </w:r>
          </w:p>
        </w:tc>
        <w:tc>
          <w:tcPr>
            <w:tcW w:w="540" w:type="dxa"/>
            <w:vAlign w:val="bottom"/>
          </w:tcPr>
          <w:p>
            <w:pPr>
              <w:spacing w:after="0"/>
              <w:rPr>
                <w:sz w:val="20"/>
                <w:szCs w:val="20"/>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540" w:type="dxa"/>
            <w:vAlign w:val="bottom"/>
          </w:tcPr>
          <w:p>
            <w:pPr>
              <w:spacing w:after="0"/>
              <w:rPr>
                <w:sz w:val="18"/>
                <w:szCs w:val="18"/>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540" w:type="dxa"/>
            <w:vAlign w:val="bottom"/>
          </w:tcPr>
          <w:p>
            <w:pPr>
              <w:spacing w:after="0"/>
              <w:rPr>
                <w:sz w:val="20"/>
                <w:szCs w:val="20"/>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Losses</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recognized de minimis gains and losses from the sales of our available-for-sale securities for each of the three months ended March 31, 2016 and 2015.</w:t>
      </w:r>
    </w:p>
    <w:p>
      <w:pPr>
        <w:spacing w:after="0" w:line="24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Proceeds from sales of our available-for-sale securities totaled $2.3 million and $7.5 million for the three months ended March 31,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March 31, 2016 and December 31, 2015, we did not have investments that were categorized within Level 3 of the fair value hierarchy.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2016</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2015</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Level 1</w:t>
            </w: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Level 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4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357,376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303,152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302,939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228,770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228,770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235,661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217,732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253,343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18,297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Unconsolidated Entities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Noncurrent</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several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6740" w:type="dxa"/>
            <w:vAlign w:val="bottom"/>
          </w:tcPr>
          <w:p>
            <w:pPr>
              <w:ind w:left="1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73"/>
        </w:trPr>
        <w:tc>
          <w:tcPr>
            <w:tcW w:w="7440" w:type="dxa"/>
            <w:vAlign w:val="bottom"/>
            <w:gridSpan w:val="2"/>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02"/>
        </w:trPr>
        <w:tc>
          <w:tcPr>
            <w:tcW w:w="7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7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2016</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7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Contracts in process, net</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23,011</w:t>
            </w:r>
          </w:p>
        </w:tc>
      </w:tr>
      <w:tr>
        <w:trPr>
          <w:trHeight w:val="27"/>
        </w:trPr>
        <w:tc>
          <w:tcPr>
            <w:tcW w:w="74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150,957</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(11,447)</w:t>
            </w:r>
          </w:p>
        </w:tc>
      </w:tr>
      <w:tr>
        <w:trPr>
          <w:trHeight w:val="27"/>
        </w:trPr>
        <w:tc>
          <w:tcPr>
            <w:tcW w:w="7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Total trade accounts receivable,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148,660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160,768</w:t>
            </w:r>
          </w:p>
        </w:tc>
      </w:tr>
      <w:tr>
        <w:trPr>
          <w:trHeight w:val="27"/>
        </w:trPr>
        <w:tc>
          <w:tcPr>
            <w:tcW w:w="7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2016 and December 31, 2015, progress billings offset against contracts in process amounted to $4.9 million and $2.9 million, respectively.</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Inventory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inventory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March 31, 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6"/>
          </w:tcPr>
          <w:p>
            <w:pPr>
              <w:jc w:val="right"/>
              <w:ind w:right="14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Raw materials</w:t>
            </w: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Work-in process</w:t>
            </w:r>
          </w:p>
        </w:tc>
        <w:tc>
          <w:tcPr>
            <w:tcW w:w="17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Total inventory</w:t>
            </w:r>
          </w:p>
        </w:tc>
        <w:tc>
          <w:tcPr>
            <w:tcW w:w="17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53,358</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48,797</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Note 8.</w:t>
            </w:r>
          </w:p>
        </w:tc>
        <w:tc>
          <w:tcPr>
            <w:tcW w:w="4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Property and Equipment</w:t>
            </w: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480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50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84"/>
              </w:rPr>
              <w:t>As of</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0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2"/>
              </w:rPr>
              <w:t>Depreciable Life</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(In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March 31, 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6"/>
          </w:tcPr>
          <w:p>
            <w:pPr>
              <w:jc w:val="center"/>
              <w:ind w:right="30"/>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13,377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Buildings and improvements</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91"/>
              </w:rPr>
              <w:t>1 - 30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79,152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73,949</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7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1 - 12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379,123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371,889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Customer rental equipment</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88"/>
              </w:rPr>
              <w:t>2 - 4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611,939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588,430</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7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2 - 15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2,381,120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92"/>
              </w:rPr>
              <w:t>10 - 15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665,518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665,518</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7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410,444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311,083</w:t>
            </w:r>
          </w:p>
        </w:tc>
        <w:tc>
          <w:tcPr>
            <w:tcW w:w="0" w:type="dxa"/>
            <w:vAlign w:val="bottom"/>
          </w:tcPr>
          <w:p>
            <w:pPr>
              <w:spacing w:after="0"/>
              <w:rPr>
                <w:sz w:val="1"/>
                <w:szCs w:val="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4,540,673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4,404,044</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(2,229,836)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(2,138,642)</w:t>
            </w:r>
          </w:p>
        </w:tc>
        <w:tc>
          <w:tcPr>
            <w:tcW w:w="0" w:type="dxa"/>
            <w:vAlign w:val="bottom"/>
          </w:tcPr>
          <w:p>
            <w:pPr>
              <w:spacing w:after="0"/>
              <w:rPr>
                <w:sz w:val="1"/>
                <w:szCs w:val="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2,310,837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2,265,402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Construction in progress consisted of the following:</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Pr>
          <w:p>
            <w:pPr>
              <w:spacing w:after="0"/>
              <w:rPr>
                <w:sz w:val="24"/>
                <w:szCs w:val="24"/>
                <w:color w:val="auto"/>
              </w:rPr>
            </w:pP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right"/>
              <w:ind w:right="1030"/>
              <w:spacing w:after="0"/>
              <w:rPr>
                <w:sz w:val="20"/>
                <w:szCs w:val="20"/>
                <w:color w:val="auto"/>
              </w:rPr>
            </w:pPr>
            <w:r>
              <w:rPr>
                <w:rFonts w:ascii="Arial" w:cs="Arial" w:eastAsia="Arial" w:hAnsi="Arial"/>
                <w:sz w:val="18"/>
                <w:szCs w:val="18"/>
                <w:color w:val="auto"/>
              </w:rPr>
              <w:t>(In thousands)</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Progress amounts for satellite construction, including prepayments under capital leases and launch services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187,253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121,164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104,566</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19,264</w:t>
            </w:r>
          </w:p>
        </w:tc>
      </w:tr>
      <w:tr>
        <w:trPr>
          <w:trHeight w:val="237"/>
        </w:trPr>
        <w:tc>
          <w:tcPr>
            <w:tcW w:w="810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410,444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311,083</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includes the following owned and leased satellites under construction or undergoing in orbit testing as of March 31, 2016.</w:t>
      </w:r>
    </w:p>
    <w:p>
      <w:pPr>
        <w:spacing w:after="0" w:line="39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040" w:type="dxa"/>
            <w:vAlign w:val="bottom"/>
            <w:gridSpan w:val="2"/>
          </w:tcPr>
          <w:p>
            <w:pPr>
              <w:ind w:left="1120"/>
              <w:spacing w:after="0"/>
              <w:rPr>
                <w:sz w:val="20"/>
                <w:szCs w:val="20"/>
                <w:color w:val="auto"/>
              </w:rPr>
            </w:pPr>
            <w:r>
              <w:rPr>
                <w:rFonts w:ascii="Arial" w:cs="Arial" w:eastAsia="Arial" w:hAnsi="Arial"/>
                <w:sz w:val="18"/>
                <w:szCs w:val="18"/>
                <w:b w:val="1"/>
                <w:bCs w:val="1"/>
                <w:color w:val="auto"/>
              </w:rPr>
              <w:t>Satellites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Segment</w:t>
            </w:r>
          </w:p>
        </w:tc>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Eutelsat 65 West A (2)</w:t>
            </w:r>
          </w:p>
        </w:tc>
        <w:tc>
          <w:tcPr>
            <w:tcW w:w="2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Hughes</w:t>
            </w:r>
          </w:p>
        </w:tc>
        <w:tc>
          <w:tcPr>
            <w:tcW w:w="2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March 2016 (1)</w:t>
            </w: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EchoStar 105/SES-11</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ESS</w:t>
            </w: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Fourth quarter of 2016</w:t>
            </w: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Telesat T19V (“63 West”) (2)</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Hughes</w:t>
            </w:r>
          </w:p>
        </w:tc>
        <w:tc>
          <w:tcPr>
            <w:tcW w:w="2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Second quarter of 2018</w:t>
            </w:r>
          </w:p>
        </w:tc>
      </w:tr>
      <w:tr>
        <w:trPr>
          <w:trHeight w:val="27"/>
        </w:trPr>
        <w:tc>
          <w:tcPr>
            <w:tcW w:w="2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left="1960" w:hanging="574"/>
        <w:spacing w:after="0"/>
        <w:tabs>
          <w:tab w:leader="none" w:pos="1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satellite was launched in March 2016 and is expected to be placed into service during the second quarter of 2016.</w:t>
      </w:r>
    </w:p>
    <w:p>
      <w:pPr>
        <w:spacing w:after="0" w:line="13" w:lineRule="exact"/>
        <w:rPr>
          <w:rFonts w:ascii="Arial" w:cs="Arial" w:eastAsia="Arial" w:hAnsi="Arial"/>
          <w:sz w:val="14"/>
          <w:szCs w:val="14"/>
          <w:color w:val="auto"/>
        </w:rPr>
      </w:pPr>
    </w:p>
    <w:p>
      <w:pPr>
        <w:ind w:left="1960" w:right="320" w:hanging="574"/>
        <w:spacing w:after="0" w:line="255" w:lineRule="auto"/>
        <w:tabs>
          <w:tab w:leader="none" w:pos="1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a satellite services agreement and made prepayments for certain capacity on this satellite once launched, but are not a party to the construction contract.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1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020" w:type="dxa"/>
            <w:vAlign w:val="bottom"/>
            <w:gridSpan w:val="7"/>
          </w:tcPr>
          <w:p>
            <w:pPr>
              <w:ind w:left="80"/>
              <w:spacing w:after="0"/>
              <w:rPr>
                <w:sz w:val="20"/>
                <w:szCs w:val="20"/>
                <w:color w:val="auto"/>
              </w:rPr>
            </w:pPr>
            <w:r>
              <w:rPr>
                <w:rFonts w:ascii="Arial" w:cs="Arial" w:eastAsia="Arial" w:hAnsi="Arial"/>
                <w:sz w:val="18"/>
                <w:szCs w:val="18"/>
                <w:b w:val="1"/>
                <w:bCs w:val="1"/>
                <w:color w:val="auto"/>
                <w:w w:val="96"/>
              </w:rPr>
              <w:t>For the Three Months Ended March</w:t>
            </w:r>
          </w:p>
        </w:tc>
      </w:tr>
      <w:tr>
        <w:trPr>
          <w:trHeight w:val="234"/>
        </w:trPr>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6"/>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6"/>
          </w:tcPr>
          <w:p>
            <w:pPr>
              <w:ind w:left="700"/>
              <w:spacing w:after="0"/>
              <w:rPr>
                <w:sz w:val="20"/>
                <w:szCs w:val="20"/>
                <w:color w:val="auto"/>
              </w:rPr>
            </w:pPr>
            <w:r>
              <w:rPr>
                <w:rFonts w:ascii="Arial" w:cs="Arial" w:eastAsia="Arial" w:hAnsi="Arial"/>
                <w:sz w:val="18"/>
                <w:szCs w:val="18"/>
                <w:color w:val="auto"/>
              </w:rPr>
              <w:t>(In thousands)</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Satellites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Furniture, fixtures, equipment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rental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depreciation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91,205</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2016, we utilized in support of our operations, 16 of our owned and leased satellites in geosynchronous orbit, approximately 22,300 miles above the equator. We depreciate our owned satellites on a straight-line basis over the estimated useful life of each satellite. Two of our satellites are accounted for as capital leases and are depreciated on a straight-line basis over their respective lease terms. We utilized one satellite that is accounted for as an operating lease and not included in property and equipment as of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three months ended March 31, 2016. There can be no assurance, however, that anomalies will not have any such adverse impacts in the future. In addition, there can be no assurance that we can recover critical transmission capacity in the event one or more of our in-orbit satellites were to fail.</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80" w:right="224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 and Other 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our reporting units of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March 31, 2016 and December 31, 2015, all of our goodwill was assigned to reporting units of our Hughes segment. We test this goodwill for impairment annually in the second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4"/>
              </w:rPr>
              <w:t>As of</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0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March 31, 2016</w:t>
            </w: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Pr>
          <w:p>
            <w:pPr>
              <w:spacing w:after="0"/>
              <w:rPr>
                <w:sz w:val="14"/>
                <w:szCs w:val="14"/>
                <w:color w:val="auto"/>
              </w:rPr>
            </w:pPr>
          </w:p>
        </w:tc>
        <w:tc>
          <w:tcPr>
            <w:tcW w:w="1240" w:type="dxa"/>
            <w:vAlign w:val="bottom"/>
            <w:gridSpan w:val="2"/>
            <w:vMerge w:val="restart"/>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Useful Life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Years)</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80,390</w:t>
            </w: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Contract-based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Trademark portfolio</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60" w:type="dxa"/>
            <w:vAlign w:val="bottom"/>
          </w:tcPr>
          <w:p>
            <w:pPr>
              <w:ind w:left="180"/>
              <w:spacing w:after="0"/>
              <w:rPr>
                <w:sz w:val="20"/>
                <w:szCs w:val="20"/>
                <w:color w:val="auto"/>
              </w:rPr>
            </w:pPr>
            <w:r>
              <w:rPr>
                <w:rFonts w:ascii="Arial" w:cs="Arial" w:eastAsia="Arial" w:hAnsi="Arial"/>
                <w:sz w:val="18"/>
                <w:szCs w:val="18"/>
                <w:color w:val="auto"/>
              </w:rPr>
              <w:t>Total other intangible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420,924</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(314,176)</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106,748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420,924</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(305,504)</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115,420</w:t>
            </w:r>
          </w:p>
        </w:tc>
        <w:tc>
          <w:tcPr>
            <w:tcW w:w="0" w:type="dxa"/>
            <w:vAlign w:val="bottom"/>
          </w:tcPr>
          <w:p>
            <w:pPr>
              <w:spacing w:after="0"/>
              <w:rPr>
                <w:sz w:val="1"/>
                <w:szCs w:val="1"/>
                <w:color w:val="auto"/>
              </w:rPr>
            </w:pPr>
          </w:p>
        </w:tc>
      </w:tr>
      <w:tr>
        <w:trPr>
          <w:trHeight w:val="242"/>
        </w:trPr>
        <w:tc>
          <w:tcPr>
            <w:tcW w:w="2060" w:type="dxa"/>
            <w:vAlign w:val="bottom"/>
          </w:tcPr>
          <w:p>
            <w:pPr>
              <w:ind w:left="180"/>
              <w:spacing w:after="0"/>
              <w:rPr>
                <w:sz w:val="20"/>
                <w:szCs w:val="20"/>
                <w:color w:val="auto"/>
              </w:rPr>
            </w:pPr>
            <w:r>
              <w:rPr>
                <w:rFonts w:ascii="Arial" w:cs="Arial" w:eastAsia="Arial" w:hAnsi="Arial"/>
                <w:sz w:val="18"/>
                <w:szCs w:val="18"/>
                <w:color w:val="auto"/>
              </w:rPr>
              <w:t>assets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regulatory authorizations with finite lives and externally marketed capitalized software, was $11.2 million and $15.2 million for the three months ended March 31, 2016 and 2015, respectively.</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Debt and Capital Lease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4"/>
              </w:rPr>
              <w:t>As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March 31,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Effective Interest</w:t>
            </w:r>
          </w:p>
        </w:tc>
        <w:tc>
          <w:tcPr>
            <w:tcW w:w="1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Rates</w:t>
            </w: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jc w:val="right"/>
              <w:ind w:right="599"/>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 1/2% Senior Secured Notes due 2019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990,000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1,093,950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990,000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1,071,675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7 5/8% Senior Notes due 2021</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8.062%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1,001,250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12.1% - 14.3%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Less: Unamortized debt issuance costs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1,861,040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2,095,978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1,859,527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2,026,478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Capital lease obligations</w:t>
            </w: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16"/>
                <w:szCs w:val="16"/>
                <w:color w:val="auto"/>
              </w:rPr>
              <w:t>318,711</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325,745</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debt and capital lease obligations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2,179,751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2,185,272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(1,891,286)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Long-term debt and capital lease obligations, net of unamortized</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288,465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2,154,988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debt issuance costs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Prior to our adoption of ASU 2015-03 in the first quarter of 2016 (see Note 2), we presented unamortized debt issuance costs in “Other noncurrent assets, net.”</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May 6, 2016, we announced that we are offering to repurchase for cash all or any part of our outstanding 6 1/2% Senior Secured Notes due 2019 (the “Senior Secured Notes”) and our outstanding 7 5/8% Senior Notes due 2021 (the “Unsecured Notes” and, together with the “Senior Secured Notes,” the “Notes”) at a purchase price equal to 101% of the aggregate principal amount thereof, together with accrued and unpaid interest thereon to the date of repurchase.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previously disclosed and as discussed in Note 3 herein and in our most recently filed Annual Report on Form 10-K, we and EchoStar, entered into the Satellite and Tracking Stock Transaction and issued the HSS Tracking Stock to DISH Network.</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recently became aware of a possible interpretation under which the Satellite and Tracking Stock Transaction may be considered to have constituted a Change of Control as defined under the respective indentures governing the Notes (the “Indentures”). Under the Indentures, a Change of Control occurs when EchoStar shall cease to beneficially own 100% of the Equity Interests (as defined in the respective Indentures) of HSS. The Indentures provide that, upon the occurrence of a Change of Control, we are required, within 30 days, to make an offer to each Holder (as defined in the respective Indentures) of the respective Notes to repurchase all or any part (equal to $2,000 or an integral multiple of $1,000 in excess thereof) of such Holder’s Notes at a purchase price equal to 101% of the aggregate principal amount thereof, together with accrued and unpaid interest thereon to the date of repurchase.</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Notes have traded at prices well above 101% of their respective principal amounts at all times since the issuance of the HSS Tracking Stock. In addition, both prior to and following the Satellite and Tracking Stock Transaction, Mr. Charles W. Ergen held and exercised, and continues to hold and exercise, voting control over both DISH Network and EchoStar and therefore, the ultimate voting control as to all matters regarding the Equity Interests of HSS was not affected by the Satellite and Tracking Stock Transaction. Although we believe that a Change of Control or related default may not have occurred, we have nevertheless determined that it was prudent for us to make a Change of Control Offer as defined under each of the Indentures. Upon commencement of the Change of Control Offers on May 6, 2016, we do not believe there was any such continuing default under the Indentures.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Change of Control Offers, we will repurchase any Notes surrendered by the Holders thereof at a purchase price of 101% of the principal amount of the Notes plus accrued and unpaid interest, notwithstanding that the Notes have traded at a significantly higher price during the entire period since the issuance of the HSS Tracking Stock as part of the Satellite and Tracking Stock Transaction. Following the launch of the Change of Control Offers, in accordance with GAAP, the Notes are reported in “Current portion of long-term debt and capital lease obligations, net of unamortized debt issuance costs” on our consolidated balance sheets as of March 31, 2016 as the Holders may require us to repurchase the Notes under the Change of Control Offers. Following the completion of the Change of Control Offers, which is currently expected to occur on or about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June 8, 2016, but which we may extend to a date no later than July 5, 2016, any outstanding Notes are expected to again be reported in “Long-term debt and capital lease obligations, net of unamortized debt issuance costs” on our consolidated balance sheets. We expect that the Senior Secured Notes and the Unsecured Notes will remain outstanding until their maturity in 2019 and 2021, respectively.</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any Notes are tendered for purchase in the Change of Control Offers, we expect to fund such purchases with available cash and external sources of financing that we believe are available to us. Any such financing is subject to prevailing market conditions.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Income Taxes</w:t>
      </w:r>
    </w:p>
    <w:p>
      <w:pPr>
        <w:spacing w:after="0" w:line="2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quarterly tax provision, and our quarterly estimate of our annual effective tax rate, is subject to significant volatility due to several factors, including income and losses from investments for which we have a full valuation allowance, changes in tax laws and relative changes in unrecognized tax benefits. Additionally, our effective tax rate can be more or less volatile based on the amount of pre-tax income. For example, the impact of discrete items and non-deductible expenses on our effective tax rate is greater when our pre-tax income is lower.</w:t>
      </w:r>
    </w:p>
    <w:p>
      <w:pPr>
        <w:spacing w:after="0" w:line="17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Income tax expense was approximately $20.0 million and $18.0 million for the three months ended March 31, 2016 and 2015, respectively. Our estimated effective income tax rate was 37.1% and 38.0% for the three months ended March 31, 2016 and 2015, respectively. The variations in our effective tax rate from the U.S. federal statutory rate for the three months ended March 31, 2016 and 2015 was primarily due to state taxes.</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March 31, 2016, our satellite-related obligations were approximately $922.8 million. Our satellite-related obligations primarily include payments pursuant to agreements for the construction of the EchoStar XIX, EchoStar XXI, EchoStar XXIII, EchoStar 105/SES-11, and 63 West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components within our direct broadcast satellite (“DBS”)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2008, DISH Network Corporation contributed its digital set-top box business and certain infrastructure and other assets, including certain of its satellites, uplink and satellite transmission assets, real estate, and other assets and related liabilities to EchoStar (the “Spin-off”). In connection with the Spin-off, EchoStar entered into a separation agreement with DISH Network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right="220" w:firstLine="8"/>
        <w:spacing w:after="0" w:line="290"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damages are unsupported, indeterminate and/or exaggerated in management’s opinion;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6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intend to vigorously defend the proceedings against us. In the event that a court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In addition, adverse decisions against DISH Network in the proceedings described below could decrease the number of products and components we sell to DISH Network, which could have a material adverse effect on our business operations and our financial condition, results of operation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Institute of Technology</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On October 1, 2013, the California Institute of Technology (“Caltech”) filed suit against two of our subsidiaries, Hughes Communications, Inc. and Hughes Network Systems, LLC (“HNS”),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In the operative Amended Complaint, served on March 6, 2014, Caltech claims that the Hopper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set-top box that we design and sell to DISH Network, as well as certain of our Hughes segment’s satellite broadband products and services, infringe the asserted patents by implementing the DVB-S2 standard. On September 26, 2014, Caltech requested leave to amend its Amended Complaint to add EchoStar Corporation and EchoStar Technologies L.L.C. as defendants, as well as to allege that a number of additional set-top boxes infringe the asserted patents. On November 7, 2014, the Court rejected that request. Additionally, on November 4, 2014, the Court ruled that the patent claims at issue in the suit are directed to patentable subject matter. On February 17, 2015, Caltech filed a second complaint in the same district against the same defendants alleging that HNS’ Gen4 HT1000 and HT1100 products infringe the same patents asserted in the first case. We answered that second complaint on March 24, 2015. The trial for the first case which was scheduled to commence on April 20, 2015, was vacated by the Court on March 16, 2015 and a new trial date has yet to be set. On May 5, 2015, the Court granted summary judgment for us on a number of issues, finding that Caltech’s damages theory improperly apportioned alleged damages, that allegations of infringement against DISH Network, DISH Network L.L.C., and dishNET Satellite Broadband L.L.C. should be dismissed from the case, and affirming that Caltech could not assert infringement under the doctrine of equivalents. The Court also granted motions by Caltech seeking findings that certain of 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patents were not indefinite or subject to equitable estoppel. The Court otherwise denied motions for summary judgment, including a motion by Caltech seeking summary judgment of infringement. On May 14, 2015, the judge assigned to the case passed away. A new judge has not yet been formally assigned. The parties are discussing resolving these cases without further litigation. There can be no assurance that a settlement agreement will be reached. If a settlement agreement is not reached, we cannot predict with any degree of certainty the outcome of the suit or determine the extent of any potential liability or damages and we intend to vigorously defend these cases.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Elbit</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Over November 3 and 4, 2015, and January 22, 2016, the defendants filed petitions before the United States Patent and Trademark Office challenging the validity of the patents in suit and on April 13, 2016, the defendants answered Elbit’s complaint. By April 29, 2016, three of the four petitions were denied, with a decision regarding one petition still pending.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Realtime Data LLC</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 and Methods for Accelerated Data Storage and Retrieval”; and 8,643,513, entitled “Data Compression System and Methods.” On September 14, 2015, Realtime amended its complaint, additionally alleging infringement of United States Patent No. 9,116,908,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challenging the validity of the asserted patents. Realtime is an entity that seeks to license an acquired patent portfolio without itself practicing any of the claims recited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TQ Beta LLC</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June 30, 2014, TQ Beta LLC (“TQ Beta”) filed suit against DISH Network, DISH DBS Corporation, DISH Network L.L.C., as well as HSS, EchoStar Corporation, EchoStar Technologies, L.L.C, and Sling Media, Inc., a subsidiary of EchoStar,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but has not specified the amount of damages that it seeks. TQ Beta is an entity that seeks to license an acquired patent portfolio without itself practicing any of the claims recited therein. During August 2015, EchoStar Corporation and DISH Network L.L.C. filed petitions before the United States Patent and Trademark Office challenging the validity of the 456 patent, and in February 2016, the United States Patent and Trademark Office agreed to institute proceedings on our petitions. On February 25, 2016, the case was stayed pending resolution of these proceedings before the United States Patent and Trademark Office, and the Court vacated all pending court dates and deadlines.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80" w:right="224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Two-Way Media Ltd</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February 17, 2016, Two-Way Media Ltd (“TWM”) filed a complaint against EchoStar Corporation and its subsidiaries, EchoStar Technologies L.L.C., EchoStar Satellite Services L.L.C., and Sling Media, Inc., as well as against DISH Network Corporation, DISH DBS Corporation, DISH Network L.L.C., DISH Network Service L.L.C., Sling TV Holding L.L.C., Sling TV L.L.C., and Sling TV Purchasing L.L.C. TWM brought the suit in the United States District Court for the District of Colorado, alleging infringement of United States Patent Nos. 5,778,187; 5,983,005; 6,434,622; and 7,266,686, each entitled “Multicasting Method and Apparatus”; and 9,124,607, entitled “Methods and Systems for Playing Media.” TWM alleges that the SlingTV, Sling International, DISH Anywhere, and DISHWorld services, as well as the Slingbox units and DISH DVRs incorporating Slingbox technology, infringe the asserted patents. TWM is an entity that seeks to license a patent portfolio without itself practicing any of the claims recited therein.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Reporting</w:t>
      </w:r>
    </w:p>
    <w:p>
      <w:pPr>
        <w:spacing w:after="0" w:line="2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Operating segments are business components of an enterprise for which separate financial information is available and regularly evaluated by the chief operating decision maker (“CODM”), who for HSS, is the Company’s Chief Executive Officer. Under this definition, we operate in two primary business segments, Hughes and EchoStar Satellite Services as described in Note 1 of these condensed consolidated financial statements.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primary measure of segment profitability that is reported regularly to our CODM is earnings before interest, taxes, depreciation and amortization, or EBITDA. 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separate HRG financial information only to the extent such information is included in our periodic filings with the SEC. Therefore, we do not consider HRG to be a separate operating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were not significant for the three months ended March 31, 2016 or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capital expenditures, and EBITDA for each of our operating segments: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EchoStar</w:t>
            </w:r>
          </w:p>
        </w:tc>
        <w:tc>
          <w:tcPr>
            <w:tcW w:w="2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rPr>
              <w:t>All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Satellite</w:t>
            </w:r>
          </w:p>
        </w:tc>
        <w:tc>
          <w:tcPr>
            <w:tcW w:w="2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Other and</w:t>
            </w:r>
          </w:p>
        </w:tc>
        <w:tc>
          <w:tcPr>
            <w:tcW w:w="24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Services</w:t>
            </w:r>
          </w:p>
        </w:tc>
        <w:tc>
          <w:tcPr>
            <w:tcW w:w="28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Eliminations</w:t>
            </w:r>
          </w:p>
        </w:tc>
        <w:tc>
          <w:tcPr>
            <w:tcW w:w="2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3"/>
          </w:tcPr>
          <w:p>
            <w:pPr>
              <w:jc w:val="right"/>
              <w:ind w:right="97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2016</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325,539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102,815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429,126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326,238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102,989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429,126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104,237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128,957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99,468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88,186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4,792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192,446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2015</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324,950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125,198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450,234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325,280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125,398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450,234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64,527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91,273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106,419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198,981</w:t>
            </w:r>
          </w:p>
        </w:tc>
      </w:tr>
    </w:tbl>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before income taxes” in our condensed consolidated statements of operations and comprehensive income (loss):</w:t>
      </w:r>
    </w:p>
    <w:p>
      <w:pPr>
        <w:spacing w:after="0" w:line="329"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22860</wp:posOffset>
            </wp:positionV>
            <wp:extent cx="1783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8"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5"/>
          </w:tcPr>
          <w:p>
            <w:pPr>
              <w:ind w:left="660"/>
              <w:spacing w:after="0"/>
              <w:rPr>
                <w:sz w:val="20"/>
                <w:szCs w:val="20"/>
                <w:color w:val="auto"/>
              </w:rPr>
            </w:pPr>
            <w:r>
              <w:rPr>
                <w:rFonts w:ascii="Arial" w:cs="Arial" w:eastAsia="Arial" w:hAnsi="Arial"/>
                <w:sz w:val="18"/>
                <w:szCs w:val="18"/>
                <w:color w:val="auto"/>
              </w:rPr>
              <w:t>(In thousands)</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(43,987)</w:t>
            </w:r>
          </w:p>
        </w:tc>
        <w:tc>
          <w:tcPr>
            <w:tcW w:w="1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Related Party Transactions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and EchoStar have agreed that we shall have the right, but not the obligation, to receive from EchoStar certain corporate services, including among other things: treasury, tax, accounting and reporting, risk management, legal, internal audit, human resources, and information technology. These services are provided at cost. We may terminate a particular service we receive from EchoStar for any reason upon at least 30 days’ notice. We recorded expenses for services received from EchoStar of $2.5 million and $3.4 million for the three months ended March 31, 2016 and 2015, respectively. In addition, we occupy certain office space in buildings owned or leased by EchoStar and pay a portion of the taxes, insurance, utilities and maintenance of the premises in accordance with the percentage of the space we occupy.</w:t>
      </w:r>
    </w:p>
    <w:p>
      <w:pPr>
        <w:spacing w:after="0" w:line="19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participate in certain of EchoStar’s shared services arrangements for its subsidiaries in the ordinary course of business, including arrangements for payroll, accounts payable and cash management. From time to time in connection with the processing of transactions under these arrangements, we may pay or receive amounts attributable to other domestic subsidiaries of EchoStar. We report net payments on behalf of other subsidiaries in “Advances to affiliates, net” within current assets and we report net receipts on behalf of other subsidiaries in “Advances from affiliates, net” within current liabilities in our consolidated balance sheets. No repayment schedule for these net advances has been determined.</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EchoStar and certain of its subsidiaries have provided cash advances to certain of our foreign subsidiaries to fund certain expenditures pursuant to loan agreements that mature in 2017 and 2018. Advances under these agreements bear interest at</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25" w:right="2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rates ranging from one to three percent, subject to periodic adjustment based on the one-year U.S. LIBOR rate. We report amounts payable under these agreements in “Advances from affiliates” within noncurrent liabilities in our consolidated balance sheets.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EchoStar XXI and EchoStar XXIII Launch Facilitation and Operational Control Agreement. </w:t>
      </w:r>
      <w:r>
        <w:rPr>
          <w:rFonts w:ascii="Arial" w:cs="Arial" w:eastAsia="Arial" w:hAnsi="Arial"/>
          <w:sz w:val="16"/>
          <w:szCs w:val="16"/>
          <w:color w:val="auto"/>
        </w:rPr>
        <w:t>As part of applying for our launch license for EchoStar XXI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XXIII through the UK Space Agency, our subsidiary, Hughes Network Systems, Ltd. (“HNS Ltd.”) and a subsidiary of EchoStar, EchoStar Operating L.L.C. (“EOC”), entered into agreements in June 2015 and March 2016 to transfer to HNS Ltd., EOC’s launch service contract for the EchoStar XXI and EchoStar XXIII satellites, respectively and to grant HNS Ltd. certain rights to control the in-orbit operations of these satellites. EOC retained ownership of the satellites, which are currently under construction and scheduled to be launched later in 2016. In March 2016, we recorded a $70.3 million addition to “Other noncurrent assets, net” and a corresponding increase in “Additional paid-in capital” in our consolidated balance sheet to reflect EOC’s cumulative payments under the EchoStar XXIII launch service contract prior to the transfer date. EOC also contracted to make future payments to HNS Ltd. for amounts that HNS Ltd. is required to pay under both launch service contracts. In March 2016, HNS Ltd. received $11.9 million in cash from EOC to fund a required payment under the EchoStar XXI launch service contract. We recorded the cash receipt as an increase in “Additional paid-in capital.” HNS Ltd.’s future payments under the launch service contract are included in our disclosure of satellite-related obligations in Note 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Following the Spin-off, EchoStar and DISH Network have operated as separate publicly-traded companies. However, pursuant to the Satellite and Tracking Stock Transaction, described in Note 3 and below, DISH Network owns Hughes Retail Preferred Tracking Stock representing an aggregate 80.0% economic interest in the residential retail satellite broadband business of our Hughes segment, including certain operations, assets and liabilities attributed to such business. In addition, a substantial majority of the voting power of the shares of EchoStar and DISH Network is owned beneficially by Charles W. Ergen, our Chairman, and by certain trusts established by Mr. Ergen for the benefit of his family.</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and following the Spin-off, EchoStar and DISH Network have entered into certain agreements pursuant to which we and EchoStar obtain certain products, services and rights from DISH Network; DISH Network obtains certain products, services and rights from us and EchoStar; and we and DISH Network have indemnified each other against certain liabilities arising from our respective businesses. We and/or EchoStar also may enter into additional agreements with DISH Network in the future. Generally, the amounts DISH Network pays for products and services provided under the agreements are based on our cost plus a fixed margin (unless noted differently below), which varies depending on the nature of the products and services provided.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Satellite Services Provided to DISH Network. </w:t>
      </w:r>
      <w:r>
        <w:rPr>
          <w:rFonts w:ascii="Arial" w:cs="Arial" w:eastAsia="Arial" w:hAnsi="Arial"/>
          <w:sz w:val="17"/>
          <w:szCs w:val="17"/>
          <w:color w:val="auto"/>
        </w:rPr>
        <w:t>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right="120"/>
        <w:spacing w:after="0" w:line="290" w:lineRule="auto"/>
        <w:rPr>
          <w:sz w:val="20"/>
          <w:szCs w:val="20"/>
          <w:color w:val="auto"/>
        </w:rPr>
      </w:pPr>
      <w:r>
        <w:rPr>
          <w:rFonts w:ascii="Arial" w:cs="Arial" w:eastAsia="Arial" w:hAnsi="Arial"/>
          <w:sz w:val="16"/>
          <w:szCs w:val="16"/>
          <w:i w:val="1"/>
          <w:iCs w:val="1"/>
          <w:color w:val="auto"/>
        </w:rPr>
        <w:t xml:space="preserve">EchoStar I, EchoStar VII, EchoStar X, EchoStar XI and EchoStar XIV. </w:t>
      </w:r>
      <w:r>
        <w:rPr>
          <w:rFonts w:ascii="Arial" w:cs="Arial" w:eastAsia="Arial" w:hAnsi="Arial"/>
          <w:sz w:val="16"/>
          <w:szCs w:val="16"/>
          <w:color w:val="auto"/>
        </w:rPr>
        <w:t>As part of the Satellite and Tracking Stock Transaction discussed in Note 3,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2014, we began providing certain satellite services to DISH Network on the EchoStar I,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DISH Network elected not to renew the satellite services agreement relative to the EchoStar I satellite. The agreement for the EchoStar I satellite expired pursuant to its terms effective November 2015. In December 2015, DISH Network renewed the satellite services agreement relative to the EchoStar VII satellite for one year to June 2017.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i w:val="1"/>
          <w:iCs w:val="1"/>
          <w:color w:val="auto"/>
        </w:rPr>
        <w:t xml:space="preserve">EchoStar VIII. </w:t>
      </w:r>
      <w:r>
        <w:rPr>
          <w:rFonts w:ascii="Arial" w:cs="Arial" w:eastAsia="Arial" w:hAnsi="Arial"/>
          <w:sz w:val="18"/>
          <w:szCs w:val="18"/>
          <w:color w:val="auto"/>
        </w:rPr>
        <w:t>In May 2013, DISH Network began receiving satellite services from us on the EchoStar VIII satellite as an in-orbit spare.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2014, this satellite services arrangement converted to a month-to-month service agreement with both parties having the right to terminate upon 30 days’ notice. The agreement terminated in accordance with its terms effective November 2015.</w:t>
      </w:r>
    </w:p>
    <w:p>
      <w:pPr>
        <w:spacing w:after="0" w:line="181" w:lineRule="exact"/>
        <w:rPr>
          <w:sz w:val="20"/>
          <w:szCs w:val="20"/>
          <w:color w:val="auto"/>
        </w:rPr>
      </w:pPr>
    </w:p>
    <w:p>
      <w:pPr>
        <w:ind w:left="340" w:right="420"/>
        <w:spacing w:after="0" w:line="342" w:lineRule="auto"/>
        <w:rPr>
          <w:sz w:val="20"/>
          <w:szCs w:val="20"/>
          <w:color w:val="auto"/>
        </w:rPr>
      </w:pPr>
      <w:r>
        <w:rPr>
          <w:rFonts w:ascii="Arial" w:cs="Arial" w:eastAsia="Arial" w:hAnsi="Arial"/>
          <w:sz w:val="16"/>
          <w:szCs w:val="16"/>
          <w:i w:val="1"/>
          <w:iCs w:val="1"/>
          <w:color w:val="auto"/>
        </w:rPr>
        <w:t>EchoStar IX</w:t>
      </w:r>
      <w:r>
        <w:rPr>
          <w:rFonts w:ascii="Arial" w:cs="Arial" w:eastAsia="Arial" w:hAnsi="Arial"/>
          <w:sz w:val="16"/>
          <w:szCs w:val="16"/>
          <w:color w:val="auto"/>
        </w:rPr>
        <w:t>. Effective January 2008, DISH Network began receiving satellite services from us on the EchoStar IX satellite. Subject to availability,</w:t>
      </w:r>
      <w:r>
        <w:rPr>
          <w:rFonts w:ascii="Arial" w:cs="Arial" w:eastAsia="Arial" w:hAnsi="Arial"/>
          <w:sz w:val="16"/>
          <w:szCs w:val="16"/>
          <w:i w:val="1"/>
          <w:iCs w:val="1"/>
          <w:color w:val="auto"/>
        </w:rPr>
        <w:t xml:space="preserve"> </w:t>
      </w:r>
      <w:r>
        <w:rPr>
          <w:rFonts w:ascii="Arial" w:cs="Arial" w:eastAsia="Arial" w:hAnsi="Arial"/>
          <w:sz w:val="16"/>
          <w:szCs w:val="16"/>
          <w:color w:val="auto"/>
        </w:rPr>
        <w:t>DISH Network generally has the right to continue to receive satellite services from us on the EchoStar IX satellite on a month-to-month basis.</w:t>
      </w:r>
    </w:p>
    <w:p>
      <w:pPr>
        <w:spacing w:after="0" w:line="124"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i w:val="1"/>
          <w:iCs w:val="1"/>
          <w:color w:val="auto"/>
        </w:rPr>
        <w:t>EchoStar XII</w:t>
      </w:r>
      <w:r>
        <w:rPr>
          <w:rFonts w:ascii="Arial" w:cs="Arial" w:eastAsia="Arial" w:hAnsi="Arial"/>
          <w:sz w:val="17"/>
          <w:szCs w:val="17"/>
          <w:color w:val="auto"/>
        </w:rPr>
        <w:t>. DISH Network receives satellite services from us on the EchoStar XII satellite. The term of the satellite services agreement terminates</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earlier of: (i) the end of life of the satellite; (ii) the date the satellite fails or the date the transponder(s) on which the service was being provided under the agreement fails; or (iii) September 2017. DISH Network generally has the option to renew the agreement on a year-to-year basis through the end of the satellite’s life. There can be no assurance that any options to renew this agreement will be exercised.</w:t>
      </w:r>
    </w:p>
    <w:p>
      <w:pPr>
        <w:spacing w:after="0" w:line="171" w:lineRule="exact"/>
        <w:rPr>
          <w:sz w:val="20"/>
          <w:szCs w:val="20"/>
          <w:color w:val="auto"/>
        </w:rPr>
      </w:pPr>
    </w:p>
    <w:p>
      <w:pPr>
        <w:ind w:left="340" w:right="60"/>
        <w:spacing w:after="0" w:line="287" w:lineRule="auto"/>
        <w:rPr>
          <w:sz w:val="20"/>
          <w:szCs w:val="20"/>
          <w:color w:val="auto"/>
        </w:rPr>
      </w:pPr>
      <w:r>
        <w:rPr>
          <w:rFonts w:ascii="Arial" w:cs="Arial" w:eastAsia="Arial" w:hAnsi="Arial"/>
          <w:sz w:val="16"/>
          <w:szCs w:val="16"/>
          <w:i w:val="1"/>
          <w:iCs w:val="1"/>
          <w:color w:val="auto"/>
        </w:rPr>
        <w:t xml:space="preserve">EchoStar XVI. </w:t>
      </w:r>
      <w:r>
        <w:rPr>
          <w:rFonts w:ascii="Arial" w:cs="Arial" w:eastAsia="Arial" w:hAnsi="Arial"/>
          <w:sz w:val="16"/>
          <w:szCs w:val="16"/>
          <w:color w:val="auto"/>
        </w:rPr>
        <w:t>In December 2009, we entered into an initial ten-year transponder service agreement with DISH Network, pursuant to which DISH</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Prior to expiration of the initial term, we, upon certain conditions, and DISH Network have the option to renew for an additional six-year period. If either we or DISH Network exercise our respective six-year renewal options, DISH Network has the option to renew for an additional five-year period prior to expiration of the then-current term. There can be no assurance that any option to renew this agreement will be exercised. In the event that we or DISH Network does not exercise the six-year renewal option or DISH Network does not exercise the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73"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b w:val="1"/>
          <w:bCs w:val="1"/>
          <w:i w:val="1"/>
          <w:iCs w:val="1"/>
          <w:color w:val="auto"/>
        </w:rPr>
        <w:t xml:space="preserve">Nimiq 5 Agreement. </w:t>
      </w:r>
      <w:r>
        <w:rPr>
          <w:rFonts w:ascii="Arial" w:cs="Arial" w:eastAsia="Arial" w:hAnsi="Arial"/>
          <w:sz w:val="17"/>
          <w:szCs w:val="17"/>
          <w:color w:val="auto"/>
        </w:rPr>
        <w:t>In September 2009, we entered into a fifteen-year satellite service agreement with Telesat Canada (“Telesat”) to receive service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71"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the Nimiq 5 satellite was placed into service.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78"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b w:val="1"/>
          <w:bCs w:val="1"/>
          <w:i w:val="1"/>
          <w:iCs w:val="1"/>
          <w:color w:val="auto"/>
        </w:rPr>
        <w:t xml:space="preserve">QuetzSat-1 Agreement. </w:t>
      </w:r>
      <w:r>
        <w:rPr>
          <w:rFonts w:ascii="Arial" w:cs="Arial" w:eastAsia="Arial" w:hAnsi="Arial"/>
          <w:sz w:val="16"/>
          <w:szCs w:val="16"/>
          <w:color w:val="auto"/>
        </w:rPr>
        <w:t>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20"/>
        <w:spacing w:after="0" w:line="276" w:lineRule="auto"/>
        <w:rPr>
          <w:sz w:val="20"/>
          <w:szCs w:val="20"/>
          <w:color w:val="auto"/>
        </w:rPr>
      </w:pPr>
      <w:r>
        <w:rPr>
          <w:rFonts w:ascii="Arial" w:cs="Arial" w:eastAsia="Arial" w:hAnsi="Arial"/>
          <w:sz w:val="17"/>
          <w:szCs w:val="17"/>
          <w:b w:val="1"/>
          <w:bCs w:val="1"/>
          <w:i w:val="1"/>
          <w:iCs w:val="1"/>
          <w:color w:val="auto"/>
        </w:rPr>
        <w:t xml:space="preserve">103 Degree Orbital Location/SES-3. </w:t>
      </w:r>
      <w:r>
        <w:rPr>
          <w:rFonts w:ascii="Arial" w:cs="Arial" w:eastAsia="Arial" w:hAnsi="Arial"/>
          <w:sz w:val="17"/>
          <w:szCs w:val="17"/>
          <w:color w:val="auto"/>
        </w:rPr>
        <w:t>In May 2012, we entered into a spectrum development agreement (the “103 Spectrum Development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73"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Satellite and Tracking Stock Transaction. </w:t>
      </w:r>
      <w:r>
        <w:rPr>
          <w:rFonts w:ascii="Arial" w:cs="Arial" w:eastAsia="Arial" w:hAnsi="Arial"/>
          <w:sz w:val="18"/>
          <w:szCs w:val="18"/>
          <w:color w:val="auto"/>
        </w:rPr>
        <w:t>In February 2014, we entered into agreements with DISH Network to implement a transaction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on these five satellites from us. See Note 3 herein and in our most recent Form 10-K for further information.</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telemetry, tracking and control (“TT&amp;C”) agreement pursuant to which we provide TT&amp;C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DISH Network for a period ending in December 2016 (the “2012 TT&amp;C Agreement”).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DISH Network’s D-1 satellite.</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hosting, operations and maintenance services for TerreStar’s satellite gateway and associated ground infrastructure. These agreements generally may be terminated by DISH Network at any time for convenience.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Hughes Broadband Distribution Agreement. </w:t>
      </w:r>
      <w:r>
        <w:rPr>
          <w:rFonts w:ascii="Arial" w:cs="Arial" w:eastAsia="Arial" w:hAnsi="Arial"/>
          <w:sz w:val="17"/>
          <w:szCs w:val="17"/>
          <w:color w:val="auto"/>
        </w:rPr>
        <w:t>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b w:val="1"/>
          <w:bCs w:val="1"/>
          <w:i w:val="1"/>
          <w:iCs w:val="1"/>
          <w:color w:val="auto"/>
        </w:rPr>
        <w:t xml:space="preserve">DBSD North America Agreement. </w:t>
      </w:r>
      <w:r>
        <w:rPr>
          <w:rFonts w:ascii="Arial" w:cs="Arial" w:eastAsia="Arial" w:hAnsi="Arial"/>
          <w:sz w:val="16"/>
          <w:szCs w:val="16"/>
          <w:color w:val="auto"/>
        </w:rPr>
        <w:t>In March 2012, DISH Network completed its acquisition of 100% of the equity of reorganized DBSD North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 Inc. (“DBSD North America”). Prior to DISH Network’s acquisition of DBSD North America and our completion of the Hughes Acquisition, DBSD North America and HNS entered into an agreement pursuant to which our Hughes segment provides, among other things, hosting, operations and maintenance services of DBSD North America’s satellite gateway and associated ground infrastructure. This agreement will expire in February 2017.</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RUS Implementation Agreement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2010, DISH Broadband L.L.C. (“DISH Broadband”), DISH Network’s indirect, wholly-owned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Professional Services Agreement. </w:t>
      </w:r>
      <w:r>
        <w:rPr>
          <w:rFonts w:ascii="Arial" w:cs="Arial" w:eastAsia="Arial" w:hAnsi="Arial"/>
          <w:sz w:val="16"/>
          <w:szCs w:val="16"/>
          <w:color w:val="auto"/>
        </w:rPr>
        <w:t>In connection with the Spin-off, EchoStar entered into various agreements with DISH Network including the Transition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Agreement, Satellite Procurement Agreement and Services Agreement, which all expired in January 2010 and were replaced by a Professional Services Agreement. In January 2010, EchoStar and DISH Network agreed that EchoStar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EchoStar (previously provided under the Services Agreement) and other support services. A portion of these costs and expenses have been allocated to us in the manner described above under the caption “EchoStar.” The Professional Services Agreement automatically renewed in January 2016 for an additional one-year period until January 2017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As a subsidiary of EchoStar, we are an indirect party to EchoStar’s tax sharing agreement with DISH Network that was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Spin-off. This agreement governs EchoStar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EchoStar’s stock,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options or assets; (ii) any action that EchoStar takes or fails to take; or (iii) any action that EchoStar takes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7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light of the tax sharing agreement, among other things, and in connection with EchoStar’s consolidated federal income tax returns for certain tax years prior to and for the year of the Spin-off, in September 2013, EchoStar and DISH Network agreed upon a supplemental allocation of the tax benefits arising from certain tax items resolved in the course of the IRS’s examination of EchoStar’s consolidated tax returns. As a result, DISH Network agreed to pay EchoStar an amount that includes $93.1 million of the federal tax benefit they received as a result of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contract with Hughes Systique for software development services. In 2008, Hughes Communications agreed to make available to Hughes Systique a term loan facility of up to $1.5 million and it funded an initial $0.5 million to Hughes Systique pursuant to the term loan facility. In 2009, Hughes Communications funded the remaining $1.0 million of its $1.5 million commitment under the term loan facility. The initial interest rate on the outstanding loans was 6%, payable annually, and the accrued and unpaid interest is added to the principal amount outstanding under the loan facility in certain circumstances. The loans are convertible into shares of Hughes Systique upon non-payment or an event of default. In May 2014, we amended the term loan facility to increase the interest rate from 6% to 8%, payable annually, to reflect then-current market conditions and extend the maturity date of the loans to May 1, 2015, and in April 2015, we extended the maturity date of the loans to May 1, 2016 on the same terms. In 2015, Hughes Systique repaid $1.5 million of the outstanding principal of the loan facility. In February 2016, Hughes Systique repaid $0.3 million of the outstanding principal of the loan facility. As of March 31, 2016, the principal outstanding amount of the loan facility was $0.3 million. In April 2016, Hughes Systique repaid in full the outstanding principal of the loan facility. In addition to our 44.0% ownership in Hughes Systique, Mr. Pradman Kaul, the President of Hughes Communications and a member of EchoStar’s board of directors, and his brother, who is the CEO and President of Hughes Systique, in the aggregate, own approximately 25.8%, on an undiluted basis, of Hughes Systique’s outstanding shares as of March 31, 2016.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EchoStar owns 49.0% of an entity that provides direct-to-home satellite services in Mexico known as Dish Mexico, and we provide certain satellite services to Dish Mexico. We recognized satellite services revenue from Dish Mexico of approximately $5.8 million for each of the three months ended March 31, 2016 and 2015. As of March 31, 2016 and December 31, 2015, we had trade accounts receivable from Dish Mexico of approximately $10.7 million and $10.6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$0.7 million for each of the three months ended March 31, 2016 and 2015. As of March 31, 2016 and December 31, 2015, we had trade accounts receivable from Deluxe of approximately $0.3 million and $0.1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20" w:right="220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Supplemental Guarantor and Non-Guarantor Financial Information</w:t>
      </w:r>
    </w:p>
    <w:p>
      <w:pPr>
        <w:spacing w:after="0" w:line="2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of our wholly-owned subsidiaries (together, the “Guarantor Subsidiaries”) have fully and unconditionally guaranteed, on a joint and several basis, the obligations of our 6 1/2% Senior Secured Notes due 2019 and 7 5/8 % Senior Unsecured Notes due 2021 (collectively, the “Notes”), which were issued on June 1, 2011. See Note 10 for further information on the Notes.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lieu of separate financial statements of the Guarantor Subsidiaries, condensed consolidating financial information prepared in accordance with Rule 3-10(f) of Regulation S-X is presented below, including the condensed balance sheet information, the condensed statement of operations and comprehensive income (loss) information and the condensed statement of cash flows information of HSS, the Guarantor Subsidiaries on a combined basis and the non-guarantor subsidiaries of HSS on a combined basis and the eliminations necessary to arrive at the corresponding information of HSS on a consolidated basis.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indentures governing the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or enter into transactions with affiliates.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condensed consolidating financial information presented below should be read in conjunction with our condensed consolidated financial statements and notes thereto included herein.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25"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March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HSS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354,565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50,577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420,928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investment securities,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235,661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128,954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62,416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46,703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967,726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2,180,818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2,310,837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Regulatory authorizations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471,658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106,748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3,508,611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272,544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(3,781,155)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264,129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(264,129)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293,788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4,361,631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4,852,694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374,734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(4,869,987)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4,719,072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97,854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Trade accounts payable - DISH Network</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and capital lease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 net of debt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1,860,262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1,891,286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Advances from affiliates,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795,625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(823,659)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188,208</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2,706,843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234,229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63,570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(823,659)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2,180,983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 net of</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287,343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288,465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Advances from affiliates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555,317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Total HSS shareholders’ equity (deficit)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1,654,788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3,511,729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269,426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(3,781,155)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1,654,788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257"/>
        </w:trPr>
        <w:tc>
          <w:tcPr>
            <w:tcW w:w="45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4,361,631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4,852,694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374,734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(4,869,987)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4,719,072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HSS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300,634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55,767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26,589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382,990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investment securities,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139,510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Advances to affiliates,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807,341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(766,208)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51,495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2,265,402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Regulatory authorizations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115,420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3,350,914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(3,517,653)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254,486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208,225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4,157,018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(4,539,725)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4,571,279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Trade accounts payable - DISH Network</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Current portion of long-term debt and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Advances from affiliates,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739,810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(766,207)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181,236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767,964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251,164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(766,207)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312,960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 net of</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1,858,724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2,154,988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Advances from affiliates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536,408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HSS shareholders’ equity (deficit)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1,530,330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3,353,943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(3,517,653)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1,530,330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4,157,018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4,691,010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262,976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(4,539,725)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4,571,279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left="260" w:right="240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March 31, 2016 </w:t>
      </w:r>
      <w:r>
        <w:rPr>
          <w:rFonts w:ascii="Arial" w:cs="Arial" w:eastAsia="Arial" w:hAnsi="Arial"/>
          <w:sz w:val="18"/>
          <w:szCs w:val="18"/>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HSS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Services and other revenue -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246,078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29,778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270,423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113,075</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Equipment revenue - other</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42,859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405,819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429,126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w w:val="95"/>
              </w:rPr>
              <w:t>Costs of sales - services and other (exclusive of depreciation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and amortization)</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108,448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124,577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 (exclusive of depreciation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43,108</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70,915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102,369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322,574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347,901</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83,245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81,225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(38,031)</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Gains on marketable investment securities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51,079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(27,154)</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54,071</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(20,041)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HSS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33,919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34,030</w:t>
            </w:r>
          </w:p>
        </w:tc>
        <w:tc>
          <w:tcPr>
            <w:tcW w:w="0" w:type="dxa"/>
            <w:vAlign w:val="bottom"/>
          </w:tcPr>
          <w:p>
            <w:pPr>
              <w:spacing w:after="0"/>
              <w:rPr>
                <w:sz w:val="1"/>
                <w:szCs w:val="1"/>
                <w:color w:val="auto"/>
              </w:rPr>
            </w:pPr>
          </w:p>
        </w:tc>
      </w:tr>
      <w:tr>
        <w:trPr>
          <w:trHeight w:val="223"/>
        </w:trPr>
        <w:tc>
          <w:tcPr>
            <w:tcW w:w="48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w w:val="95"/>
              </w:rPr>
              <w:t>Unrealized gains (losses) on available-for-sale securities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Equity in other comprehensive income (loss) of subsidiaries,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41,365</w:t>
            </w: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w w:val="98"/>
              </w:rPr>
              <w:t>Less: Comprehensive income attributable to noncontrolling</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HSS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left="260" w:right="240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March 31, 2015 </w:t>
      </w:r>
      <w:r>
        <w:rPr>
          <w:rFonts w:ascii="Arial" w:cs="Arial" w:eastAsia="Arial" w:hAnsi="Arial"/>
          <w:sz w:val="18"/>
          <w:szCs w:val="18"/>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Non-Guarantor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HSS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Services and other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246,411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36,531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269,679</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131,441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48,051</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423,590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450,234</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rPr>
              <w:t>Costs of sales - services and other (exclusive of</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118,087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129,918</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Cost of sales - equipment (exclusive of depreciation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45,211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70,545</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5,554</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108,014</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335,983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359,242</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90,992</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(45,086)</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(43,643)</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85,720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47,349</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(17,973)</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54,276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29,376</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Net income (loss) attributable to HSS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54,276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29,007</w:t>
            </w:r>
          </w:p>
        </w:tc>
      </w:tr>
      <w:tr>
        <w:trPr>
          <w:trHeight w:val="67"/>
        </w:trPr>
        <w:tc>
          <w:tcPr>
            <w:tcW w:w="4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29,007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54,276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(55,221)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29,376</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(10,234)</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Unrealized gains on available-for-sale securities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rPr>
              <w:t>Equity in other comprehensive income (loss) of</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subsidiaries,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20,468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44,042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20,699</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HSS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44,042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20,330</w:t>
            </w:r>
          </w:p>
        </w:tc>
      </w:tr>
      <w:tr>
        <w:trPr>
          <w:trHeight w:val="27"/>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HSS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33,919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51,168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(50,633)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34,030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Adjustments to reconcile net income (loss) to net cash flows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102,369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34,354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11,098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166,728</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(134,572)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9"/>
              </w:rPr>
              <w:t>Sales and maturities of marketable investment securities</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146,814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146,814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(128,957)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Payment for EchoStar XXI launch services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(135,211)</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capital contribution from parent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Capital contribution from EchoStar</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11,875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other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Advances from affiliates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2,504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cash flows from financing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11,875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Effect of exchange rates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37,938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382,990</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354,565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15,786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420,928</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HSS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29,007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54,276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(55,221)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29,376</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flows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from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106,392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108,014</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provision (benefit)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17,035</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49,902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(113,995)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(7,544)</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146,881</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1"/>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(90,594)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Sales and maturities of marketable investment securities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52,683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52,683</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flows from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(84,834)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(136,220)</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capital contributions from parent</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 and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(15,038)</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142,762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225,557</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219,393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w:t>
      </w:r>
    </w:p>
    <w:p>
      <w:pPr>
        <w:spacing w:after="0" w:line="2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“HSS,” the “Company” and “our” refer to Hughes Satellite Systems Corporation and its subsidiaries. References to “$” are to United States dollars. The following management’s narrative analysis of results of operations should be read in conjunction with the condensed consolidated financial statements and notes to our financial statements included elsewhere in this Quarterly Report on Form 10-Q.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 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Part I, Item 1A of our Annual Report on Form 10-K for the year ended December 31, 2015. Further, such forward-looking statements speak only as of the date of this Quarterly Report on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holding company and a subsidiary of EchoStar Corporation (“EchoStar”). We were formed as a Colorado corporation in March 2011. We are a global provider of satellite operations, video delivery solutions, and broadband satellite technologies and services for the home and office, delivering innovative network technologies, managed services, and solutions for enterprises and governments. We currently operate in two business segments, which are differentiated primarily by their operational focus: Hughes and EchoStar Satellite Services. These segments are consistent with the way decisions regarding the allocation of resources are made, as well as how operating results are reviewed by our chief operating decision maker (“CODM”), who for HSS, is the Company’s Chief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March 31, 2016</w:t>
      </w:r>
    </w:p>
    <w:p>
      <w:pPr>
        <w:spacing w:after="0" w:line="229" w:lineRule="exact"/>
        <w:rPr>
          <w:sz w:val="20"/>
          <w:szCs w:val="20"/>
          <w:color w:val="auto"/>
        </w:rPr>
      </w:pPr>
    </w:p>
    <w:p>
      <w:pPr>
        <w:ind w:left="500" w:hanging="168"/>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of $429.1 million</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of $81.2 million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attributable to HSS of $33.9 million</w:t>
      </w:r>
    </w:p>
    <w:p>
      <w:pPr>
        <w:spacing w:after="0" w:line="35" w:lineRule="exact"/>
        <w:rPr>
          <w:rFonts w:ascii="Arial" w:cs="Arial" w:eastAsia="Arial" w:hAnsi="Arial"/>
          <w:sz w:val="18"/>
          <w:szCs w:val="18"/>
          <w:color w:val="auto"/>
        </w:rPr>
      </w:pPr>
    </w:p>
    <w:p>
      <w:pPr>
        <w:ind w:left="500" w:hanging="168"/>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of $192.4 million (see reconciliation of this non-GAAP measure in Note 13 to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2016</w:t>
      </w:r>
    </w:p>
    <w:p>
      <w:pPr>
        <w:spacing w:after="0" w:line="229"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assets of $4.72 billion</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liabilities of $3.05 billion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shareholders’ equity of $1.67 billion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$656.6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Our Hughes segment is a global provider of broadband satellite technologies and services for the home and office, delivering innovative network technologies, managed services, and solutions for consumers, enterprises and governments.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continue our efforts in growing our consumer revenue, which depends on our success in adding new subscribers on our Hughes segment’s satellite networks. The addition of new subscribers and the performance of our consumer service offering are the primary drivers of revenue growth in our consumer business. Service costs related to ongoing support of our direct and indirect customers and partners are typically impacted most significantly by our growth. Long-term trends continue to be influenced primarily by the subscriber growth in our consumer business.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 satellite launches are expected to provide additional capacity for subscriber growth while we manage subscriber growth across our existing satellite platform. In March 2013, EchoStar entered into a contract for the design and construction of the EchoStar XIX satellite, which is expected to be launched in the fourth quarter of 2016. The EchoStar XIX satellite is a next-generation, high throughput geostationary satellite that will employ a multi-spot beam, bent pipe Ka-band architecture and will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provide additional capacity for the Hughes broadband services to the consumer market in North America, as well as new capacity covering Mexico and other Latin American countries.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Hughes segment also provides managed services, hardware, and satellite services to large enterprises. In addition, we provide gateway and terminal equipment to customers for mobile satellite systems. The fixed priced nature of our long-term enterprise contracts minimizes significant quarter to quarter fluctuations; however, the growth of our enterprise business relies heavily on global economic conditions. We continue to monitor the competitive landscape for pricing in relation to our competitors and alternative technologies.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our efforts in growing our consumer satellite services business outside of the U.S. In April 2014, we entered into a satellite services agreement pursuant to which Eutelsat do Brasil will provide to us fixed broadband service using the Ka-band capacity into Brazil on the EUTELSAT 65 West A satellite for a 15-year term. The satellite launched in March 2016, and we expect to begin delivering consumer satellite broadband services in Brazil in the second half of 2016. In addition, in September 2015, we entered into satellite services agreements pursuant to which affiliates of Telesat Canada (“Telesat”) will provide to us fixed broadband service into South America using the Ka-band capacity on a satellite to be located at the 63 degree west longitude orbital location for a 15-year term. We expect the satellite to be launched in the second quarter of 2018.</w:t>
      </w:r>
    </w:p>
    <w:p>
      <w:pPr>
        <w:spacing w:after="0" w:line="17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June 2015, EchoStar made an equity investment in WorldVu Satellites Limited (“OneWeb”), a low-earth orbit satellite company, and we entered into an agreement with OneWeb to provide certain equipment and services in connection with the ground system for OneWeb’s low-earth orbit satellites.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March 31, 2016 and December 31, 2015, our Hughes segment had approximately 1,038,000 and 1,035,000 broadband subscribers, respectively. These broadband subscribers include customers that subscribe to our HughesNet broadband services through retail, wholesale and small/medium enterprise service channels. Gross subscriber additions decreased in the first quarter of 2016 compared to the same period in 2015 primarily due to satellite beams servicing certain areas reaching capacity. Our average monthly subscriber churn for the first quarter of 2016 increased as compared to the same period in 2015. As a result, for the quarter ended March 31, 2016, net subscriber additions of approximately 3,300 were lower than for the same period in 2015 primarily due to decreased available capacity and the increase in churn on the larger base of subscribers. Subscriber additions excludes small/medium enterprise service channels.</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March 31, 2016 and December 31, 2015, our Hughes segment had approximately $1.40 billion and $1.44 billion, respectively, of contracted revenue backlog. We define Hughes contracted revenue backlog as our expected future revenue under customer contracts that are non-cancelable, excluding agreements with customers in our consumer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EchoStar Satellite Services segment operates its business using its owned and leased in-orbit satellites. We provide satellite services on a full-time and occasional-use basis primarily to DISH Network Corporation and its subsidiaries (“DISH Network”), Dish Mexico, S. de R.L. de C.V. (“Dish Mexico”), a joint venture that EchoStar entered into in 2008, U.S. government service providers, internet service providers, broadcast news organizations, programmers and private enterprise customers.</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depend on DISH Network for a significant portion of the revenue for our EchoStar Satellite Services segment, and we expect that DISH Network will continue to be the primary source of revenue for our EchoStar Satellite Services segment. Therefore, the results of operations of our EchoStar Satellite Services segment are linked to long-term changes in DISH Network’s satellite capacity requirements. We continue to pursue expanding our business offerings by providing value added services such as telemetry, tracking and control services to third parties.</w:t>
      </w:r>
    </w:p>
    <w:p>
      <w:pPr>
        <w:spacing w:after="0" w:line="17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ind w:right="20" w:firstLine="8"/>
        <w:spacing w:after="0" w:line="254"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agreement with SES Americom Inc. (“SES”) pursuant to which we will transfer the title to the C-band and Ka-band payloads to SES Satellite Leasing Limited at launch and transfer the title to the Ku-band payload to SES following in-orbit testing of the satellite. Simultaneously, SES will provide to us satellite service on the entire Ku-band payload on the EchoStar 105/SES-11 satellite for an initial ten-year term, with an option for us to renew the agreement on a year-to-year basis.</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553"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Revenue growth in our EchoStar Satellite Services segment is a function of available satellite capacity to sell. Our EchoStar 105/SES-11 satellite is currently under construction and will replace the capacity currently leased on the AMC-15 satellite. Once launched, which is expected in the fourth quarter of 2016, and placed into operation, we expect revenue from the satellite to exceed the revenue currently serviced by the AMC-15 satellite. Any factors that interfere with the construction and launch schedule of the EchoStar 105/SES-11 satellite could impact our expected revenue. In addition, any disruption in planned renewals of our service arrangements could impact customer commitments and have an impact on our revenue and financial performance. Technical issues, regulatory and licensing issues, manufacturer performance/stability and availability of capital to continue to fund our programs also are factors in achieving our business plans for this segment.</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2016 and December 31, 2015, our EchoStar Satellite Services segment had contracted revenue backlog attributable to satellites currently in orbit of approximately $1.32 billion and $1.41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industry is evolving with the increase in worldwide demand for broadband internet access for information, entertainment and commerce. In addition to fiber and wireless systems, other technologies such as geostationary high throughput satellites, low-earth orbit networks, balloons, and High Altitude Platform Systems (“HAPS”) will likely play significant roles in enabling global broadband access, networks and services. We intend to use our expertise, technologies, capital, investments, global presence, relationships and other capabilities to continue to provide broadband internet systems, networks and services for information, entertainment and commerce in North America and internationally for consumers, enterprises and governments.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selectively exploring opportunities to pursue partnerships, joint ventures and strategic acquisition opportunities, domestically and internationally, that we believe may allow us to increase our existing market share, expand into new markets, broaden our portfolio of products and intellectual property, and strengthen our relationships with our customers. We may allocate significant resources for long-term initiatives that may not have a short or medium term or any positive impact on our revenue, results of operations, or cash flow.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to the Three Months Ended March 31,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For the Three Months Ended March</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b w:val="1"/>
                <w:bCs w:val="1"/>
                <w:color w:val="auto"/>
              </w:rPr>
              <w:t>Variance</w:t>
            </w:r>
          </w:p>
        </w:tc>
        <w:tc>
          <w:tcPr>
            <w:tcW w:w="800" w:type="dxa"/>
            <w:vAlign w:val="bottom"/>
          </w:tcPr>
          <w:p>
            <w:pPr>
              <w:spacing w:after="0"/>
              <w:rPr>
                <w:sz w:val="20"/>
                <w:szCs w:val="20"/>
                <w:color w:val="auto"/>
              </w:rPr>
            </w:pPr>
          </w:p>
        </w:tc>
      </w:tr>
      <w:tr>
        <w:trPr>
          <w:trHeight w:val="27"/>
        </w:trPr>
        <w:tc>
          <w:tcPr>
            <w:tcW w:w="49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4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180"/>
              <w:spacing w:after="0"/>
              <w:rPr>
                <w:sz w:val="20"/>
                <w:szCs w:val="20"/>
                <w:color w:val="auto"/>
              </w:rPr>
            </w:pPr>
            <w:r>
              <w:rPr>
                <w:rFonts w:ascii="Arial" w:cs="Arial" w:eastAsia="Arial" w:hAnsi="Arial"/>
                <w:sz w:val="18"/>
                <w:szCs w:val="18"/>
                <w:color w:val="auto"/>
              </w:rPr>
              <w:t>(Dollars in thousands)</w:t>
            </w:r>
          </w:p>
        </w:tc>
        <w:tc>
          <w:tcPr>
            <w:tcW w:w="80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270,423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269,679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113,075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Equipment revenue - other</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48,051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(5,192)</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429,126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450,234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(21,108)</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124,577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129,918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(5,341)</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45,211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(2,103)</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70,915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70,545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1,378</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102,369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108,014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(5,645)</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6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347,901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359,242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81,225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90,992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(9,767)</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7,055</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Gains on marketable investment securities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8,404</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(27,154)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(43,643)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16,489</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6,722</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Income tax provision, net</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(20,041)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(2,068)</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HSS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33,919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29,007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EBITDA (2)</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192,446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198,981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5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w:t>
            </w:r>
          </w:p>
        </w:tc>
      </w:tr>
      <w:tr>
        <w:trPr>
          <w:trHeight w:val="251"/>
        </w:trPr>
        <w:tc>
          <w:tcPr>
            <w:tcW w:w="49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Subscribers, end of period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1,038,000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b w:val="1"/>
          <w:bCs w:val="1"/>
          <w:color w:val="auto"/>
        </w:rPr>
        <w:t>___________________________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 Percentage is not meaningful.</w:t>
      </w:r>
    </w:p>
    <w:p>
      <w:pPr>
        <w:spacing w:after="0" w:line="1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39 and 40 under the heading “Explanation of Key Metrics and Other Items.”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reconciliation of EBITDA to “Income before income taxes,” the most directly comparable GAAP measure in the accompanying financial statements, is included on page 37.</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$270.4 million for the three months ended March 31, 2016,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$0.7 million, or 0.3%, compared to the same period in 2015.</w:t>
      </w:r>
    </w:p>
    <w:p>
      <w:pPr>
        <w:spacing w:after="0" w:line="170" w:lineRule="exact"/>
        <w:rPr>
          <w:sz w:val="20"/>
          <w:szCs w:val="20"/>
          <w:color w:val="auto"/>
        </w:rPr>
      </w:pPr>
    </w:p>
    <w:p>
      <w:pPr>
        <w:ind w:left="500" w:right="60"/>
        <w:spacing w:after="0" w:line="279" w:lineRule="auto"/>
        <w:rPr>
          <w:sz w:val="20"/>
          <w:szCs w:val="20"/>
          <w:color w:val="auto"/>
        </w:rPr>
      </w:pPr>
      <w:r>
        <w:rPr>
          <w:rFonts w:ascii="Arial" w:cs="Arial" w:eastAsia="Arial" w:hAnsi="Arial"/>
          <w:sz w:val="17"/>
          <w:szCs w:val="17"/>
          <w:color w:val="auto"/>
        </w:rPr>
        <w:t>Services and other revenue — other from our Hughes segment for the three months ended March 31, 2016 increased by $1.9 million, or 0.8%, to $255.4 million compared to the same period in 2015. The increase was primarily attributable to an increase of $12.8 million in sales of broadband services to our domestic consumer markets, partially offset by a decrease of $7.5 million of broadband services to our international customers, and a decrease of $3.4 million in sales of broadband services to our domestic enterprise markets.</w:t>
      </w:r>
    </w:p>
    <w:p>
      <w:pPr>
        <w:sectPr>
          <w:pgSz w:w="11900" w:h="16838" w:orient="portrait"/>
          <w:cols w:equalWidth="0" w:num="1">
            <w:col w:w="11240"/>
          </w:cols>
          <w:pgMar w:left="240" w:top="553" w:right="419" w:bottom="919"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240" w:top="553" w:right="419" w:bottom="919"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Services and other revenue — other from our EchoStar Satellite Services segment for the three months ended March 31, 2016 decreased by</w:t>
      </w:r>
    </w:p>
    <w:p>
      <w:pPr>
        <w:spacing w:after="0" w:line="35" w:lineRule="exact"/>
        <w:rPr>
          <w:sz w:val="20"/>
          <w:szCs w:val="20"/>
          <w:color w:val="auto"/>
        </w:rPr>
      </w:pPr>
    </w:p>
    <w:p>
      <w:pPr>
        <w:ind w:left="500" w:right="700"/>
        <w:spacing w:after="0" w:line="323" w:lineRule="auto"/>
        <w:rPr>
          <w:sz w:val="20"/>
          <w:szCs w:val="20"/>
          <w:color w:val="auto"/>
        </w:rPr>
      </w:pPr>
      <w:r>
        <w:rPr>
          <w:rFonts w:ascii="Arial" w:cs="Arial" w:eastAsia="Arial" w:hAnsi="Arial"/>
          <w:sz w:val="16"/>
          <w:szCs w:val="16"/>
          <w:color w:val="auto"/>
        </w:rPr>
        <w:t>$1.2 million, or 6.9%, to $15.6 million compared to the same period in 2015. The decrease was primarily attributable to a decrease in sales of transponder services in 2016 compared to the same period in 2015 due to a decrease in the number of transponders available for sale.</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$113.1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 decrease of $18.4 million or 14.0%, compared to the same period in 2015.</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Services and other revenue — DISH Network from our Hughes segment for the three months ended March 31, 2016 increased by $2.5 million, or</w:t>
      </w:r>
    </w:p>
    <w:p>
      <w:pPr>
        <w:spacing w:after="0" w:line="35"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11.0%, to $25.3 million compared to the same period in 2015. The increase was primarily attributable to an increase in wholesale subscribers receiving services pursuant to our Distribution Agreement with dishNET Satellite Broadband L.L.C. (“dishNET”).</w:t>
      </w:r>
    </w:p>
    <w:p>
      <w:pPr>
        <w:spacing w:after="0" w:line="184"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Services and other revenue — DISH Network from our EchoStar Satellite Services segment for the three months ended March 31, 2016 decreased by $21.3 million, or 19.6%, to $87.4 million compared to the same period in 2015. The decrease was mainly due to a decrease of $20.8 million in revenue as a result of the termination of the satellite services arrangement for services provided to DISH Network from the EchoStar I and EchoStar VIII satellites effective in November 2015.</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$42.9 million for the three months ended March 31, 2016, a decrease of $5.2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10.8%, compared to the same period in 2015. The decrease was mainly due to a decrease of $12.3 million in revenue from our international and telecom systems customers. These decreases were partially offset by an increase of $6.7 million in sales of broadband equipment to our domestic consumer and enterprise markets.</w:t>
      </w:r>
    </w:p>
    <w:p>
      <w:pPr>
        <w:spacing w:after="0" w:line="18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$2.8 million for the three months ended March 31, 2016,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$1.7 million compared to the same period in 2015. The increase was primarily due to the increase in the volume of unit sales of broadband equipment to dishNET.</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$124.6 million for the three months ended March 31, 2016,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 million, or 4.1%, compared to the same period in 2015. The decrease was primarily attributable to a decrease in costs of our broadband services provided to our international customers and our domestic consumer and enterprise markets of $3.0 million and $1.3 million, respectively in our Hughes segment and a decrease of $1.2 million in our EchoStar Satellite Services segment.</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$43.1 million for the three months ended March 31, 2016, a decrease of $2.1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4.7%, compared to the same period in 2015. The decrease was primarily attributable to a decrease of $8.3 million in equipment costs related to the decrease in sales to our international and telecom systems customers. This decrease was partially offset by an increase of $5.4 million in equipment costs related to the increase in sales volume of broadband equipment to DISH Network related to our Distribution Agreement with dishNET and to our domestic consumer and enterprise markets.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totaled $6.9 million for the three months ended March 31, 2016,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 million or 24.8%, compared to the same period in 2015. The increase was primarily related to an increase in research and development expense of $1.4 million in our Hughes segment. The Company’s research and development activities vary based on the activity level and scope of other engineering and customer related development contracts.</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expenses totaled $102.4 million for the three months ended March 31, 2016, a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$5.6 million or 5.2%, compared to the same period in 2015. The decrease was primarily attributable to a decrease in depreciation expense of $2.7 million relating to the fully depreciated EchoStar IX satellite as of October 2015, a decrease in amortization expense of $2.1 million from certain of our fully amortized other intangible assets, and a decrease in depreciation expense of $1.1 million on customer rental equipment in our Hughes segment.</w:t>
      </w:r>
    </w:p>
    <w:p>
      <w:pPr>
        <w:spacing w:after="0" w:line="15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$38.0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 decrease of $7.1 million or 15.6%, compared to the same period in 2015. The decrease was primarily due to higher capitalized interest of</w:t>
      </w:r>
    </w:p>
    <w:p>
      <w:pPr>
        <w:ind w:right="280"/>
        <w:spacing w:after="0" w:line="261" w:lineRule="auto"/>
        <w:rPr>
          <w:sz w:val="20"/>
          <w:szCs w:val="20"/>
          <w:color w:val="auto"/>
        </w:rPr>
      </w:pPr>
      <w:r>
        <w:rPr>
          <w:rFonts w:ascii="Arial" w:cs="Arial" w:eastAsia="Arial" w:hAnsi="Arial"/>
          <w:sz w:val="18"/>
          <w:szCs w:val="18"/>
          <w:color w:val="auto"/>
        </w:rPr>
        <w:t>$4.7 million related to the construction of the EchoStar XIX, EchoStar XXI, and EchoStar 105/SES-11 satellites, and payments for satellite services on the EUTELSAT 65 West A and Telesat T19V (“63 West”)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satellites, and a decrease in interest expense of $1.8 million relating to the partial redemption of the outstanding principal amount of our 6 1/2% Senior Secured Notes due 2019 (the “Senior Secured Notes”) in the second quarter of 2015.</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$8.7 million in income for the three months ended March 31, 2016, an increase of $8.4 million compared to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2015. The increase was primarily related to $10.5 million for a 2015 provision recorded in connection with Federal Communications Commission (“FCC”) regulatory fees reversed in 2016 and an increase of $2.2 million in foreign exchange gains. The increase was partially offset by a $4.5 million non-recurring reduction of the capital lease obligation for the AMC-15 and AMC-16 satellites recorded in the first quarter of 2015 as a result of anomalies that previously affected the operation of these satellites.</w:t>
      </w:r>
    </w:p>
    <w:p>
      <w:pPr>
        <w:spacing w:after="0" w:line="18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 (</w:t>
      </w:r>
      <w:r>
        <w:rPr>
          <w:rFonts w:ascii="Arial" w:cs="Arial" w:eastAsia="Arial" w:hAnsi="Arial"/>
          <w:sz w:val="16"/>
          <w:szCs w:val="16"/>
          <w:color w:val="auto"/>
        </w:rPr>
        <w:t>“</w:t>
      </w:r>
      <w:r>
        <w:rPr>
          <w:rFonts w:ascii="Arial" w:cs="Arial" w:eastAsia="Arial" w:hAnsi="Arial"/>
          <w:sz w:val="16"/>
          <w:szCs w:val="16"/>
          <w:b w:val="1"/>
          <w:bCs w:val="1"/>
          <w:i w:val="1"/>
          <w:iCs w:val="1"/>
          <w:color w:val="auto"/>
        </w:rPr>
        <w:t>EBITDA</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EBITDA was $192.4 million for the three months ended March 31, 2016,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$6.5 million or 3.3%, compared to the same period in 2015 primarily due to a decrease of $13.7 million in gross margin, which we define as total revenue less total cost of sales and a decrease of $4.5 million as a result of a non-recurring reduction of the capital lease obligation for the AMC-15 and AMC-16 satellites recorded in the first quarter of 2015 as a result of anomalies that previously affected the operation of these satellites. These decreases were partially offset by $10.5 million attributable to a 2015 provision recorded in connection with FCC regulatory fees reversed in 2016 and an increase of</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$2.2 million in foreign exchange gains. EBITDA is a non-GAAP financial measure and is described under Explanation of Key Metrics and Other Items below. The following table reconciles EBITDA to Income before income taxes, the most directly comparable GAAP measure in the accompanying financial statements.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7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5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192,446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7,870</w:t>
            </w:r>
          </w:p>
        </w:tc>
        <w:tc>
          <w:tcPr>
            <w:tcW w:w="5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(17.9)</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(108,014)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5,645</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c>
          <w:tcPr>
            <w:tcW w:w="5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(69.9)</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54,071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6,722</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Income tax provision, net</w:t>
      </w:r>
      <w:r>
        <w:rPr>
          <w:rFonts w:ascii="Arial" w:cs="Arial" w:eastAsia="Arial" w:hAnsi="Arial"/>
          <w:sz w:val="17"/>
          <w:szCs w:val="17"/>
          <w:color w:val="auto"/>
        </w:rPr>
        <w:t>. Income tax expense was $20.0 million for the three months ended March 31, 2016, compared to $18.0 million for the same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2015. Our effective income tax rate was 37.1% for the three months ended March 31, 2016 compared to 38.0% for the same period in 2015. The variations in our effective tax rate from the U.S. federal statutory rate for both 2015 and 2016 was primarily due to state taxes.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Net income attributable to HSS</w:t>
      </w:r>
      <w:r>
        <w:rPr>
          <w:rFonts w:ascii="Arial" w:cs="Arial" w:eastAsia="Arial" w:hAnsi="Arial"/>
          <w:sz w:val="16"/>
          <w:szCs w:val="16"/>
          <w:color w:val="auto"/>
        </w:rPr>
        <w:t>. “Net income attributable to HSS” was $33.9 million for the three months ended March 31, 2016, an increase of $4.9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16.9%, compared to the same period in 2015. The increase was primarily related to an increase of $10.5 million attributable to a 2015 provision recorded in connection with FCC regulatory fees reversed in 2016, higher capitalized interest of $4.7 million related to the construction of the EchoStar XIX, EchoStar XXI, and EchoStar 105/SES-11 satellites, and payments for satellite services on the EUTELSAT 65 West A and 63 West satellites, and a decrease in interest expense of $1.8 million relating to the partial redemption of the Senior Secured Notes in the second quarter of 2015. The increase was partially offset by a $9.8 million decrease in operating income and a $4.5 million non-recurring reduction of the capital lease obligation for the AMC-15 and AMC-16 satellites recorded in the first quarter of 2015 as a result of anomalies that previously affected the operation of these satellites.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53"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to the Three Months Ended March 31,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EchoStar</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rPr>
              <w:t>All</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Satellite</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Other and</w:t>
            </w:r>
          </w:p>
        </w:tc>
        <w:tc>
          <w:tcPr>
            <w:tcW w:w="22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r>
      <w:tr>
        <w:trPr>
          <w:trHeight w:val="234"/>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Services</w:t>
            </w:r>
          </w:p>
        </w:tc>
        <w:tc>
          <w:tcPr>
            <w:tcW w:w="28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Eliminations</w:t>
            </w:r>
          </w:p>
        </w:tc>
        <w:tc>
          <w:tcPr>
            <w:tcW w:w="2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3"/>
          </w:tcPr>
          <w:p>
            <w:pPr>
              <w:jc w:val="right"/>
              <w:ind w:right="97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3"/>
        </w:trPr>
        <w:tc>
          <w:tcPr>
            <w:tcW w:w="43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For the Three Months Ended March 31, 2016</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8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326,238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102,989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429,126</w:t>
            </w:r>
          </w:p>
        </w:tc>
      </w:tr>
      <w:tr>
        <w:trPr>
          <w:trHeight w:val="27"/>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104,237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128,957</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99,468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88,186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4,792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192,446</w:t>
            </w:r>
          </w:p>
        </w:tc>
      </w:tr>
      <w:tr>
        <w:trPr>
          <w:trHeight w:val="27"/>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3"/>
        </w:trPr>
        <w:tc>
          <w:tcPr>
            <w:tcW w:w="43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For the Three Months Ended March 31, 2015</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8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325,280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125,398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450,234</w:t>
            </w:r>
          </w:p>
        </w:tc>
      </w:tr>
      <w:tr>
        <w:trPr>
          <w:trHeight w:val="27"/>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64,527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92,310</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91,273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106,419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198,981</w:t>
            </w:r>
          </w:p>
        </w:tc>
      </w:tr>
      <w:tr>
        <w:trPr>
          <w:trHeight w:val="459"/>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Hughes Segment</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b w:val="1"/>
                <w:bCs w:val="1"/>
                <w:color w:val="auto"/>
                <w:w w:val="96"/>
              </w:rPr>
              <w:t>For the Three Months Ended March</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326,238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958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104,237</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64,527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39,710</w:t>
            </w:r>
          </w:p>
        </w:tc>
        <w:tc>
          <w:tcPr>
            <w:tcW w:w="9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99,468</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8,195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3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Hughes segment total revenue for the three months ended March 31, 2016 increased by $1.0 million, or 0.3%, compared to the same period in 2015. The increase was primarily due to an increase of $17.7 million in revenue related to sales of broadband equipment and services to our consumer markets and dishNET and an increase of $6.5 million in revenue related to sales of broadband equipment to our domestic enterprise market. These increases were partially offset by a decrease in revenue of broadband equipment and services to our international and telecom systems customers of $19.8 million, and a decrease of $3.4 million in revenue related to sales of broadband services to our domestic enterprise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Hughes segment capital expenditures for the three months ended March 31, 2016 increased by $39.7 million, or 61.5%, compared to the same period in 2015, primarily as a result of an increase in expenditures on the 63 West and EUTELSAT 65 West A satellites, and satellite ground infrastructures related to the EchoStar XIX and EchoStar XXI satellites.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Hughes segment EBITDA for the three months ended March 31, 2016 was $99.5 million, an increase of $8.2 million, or 9.0%, compared to the same period in 2015. The increase was primarily attributable to a $7.6 million increase in gross margin and an increase of $2.2 million in foreign exchange gains.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553"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00" w:lineRule="exact"/>
        <w:rPr>
          <w:sz w:val="20"/>
          <w:szCs w:val="20"/>
          <w:color w:val="auto"/>
        </w:rPr>
      </w:pPr>
    </w:p>
    <w:p>
      <w:pPr>
        <w:spacing w:after="0" w:line="24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For the Three Months Ended March</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31,</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8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b w:val="1"/>
                <w:bCs w:val="1"/>
                <w:color w:val="auto"/>
              </w:rPr>
              <w:t>Amount</w:t>
            </w:r>
          </w:p>
        </w:tc>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gridSpan w:val="4"/>
          </w:tcPr>
          <w:p>
            <w:pPr>
              <w:jc w:val="right"/>
              <w:ind w:right="1090"/>
              <w:spacing w:after="0"/>
              <w:rPr>
                <w:sz w:val="20"/>
                <w:szCs w:val="20"/>
                <w:color w:val="auto"/>
              </w:rPr>
            </w:pPr>
            <w:r>
              <w:rPr>
                <w:rFonts w:ascii="Arial" w:cs="Arial" w:eastAsia="Arial" w:hAnsi="Arial"/>
                <w:sz w:val="18"/>
                <w:szCs w:val="18"/>
                <w:color w:val="auto"/>
              </w:rPr>
              <w:t>(Dollars in thousands)</w:t>
            </w:r>
          </w:p>
        </w:tc>
        <w:tc>
          <w:tcPr>
            <w:tcW w:w="98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102,989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(22,409)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27,783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(3,063)</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88,186</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(18,233)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3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EchoStar Satellite Services segment total revenue for the three months ended March 31, 2016 decreased by $22.4 million, or 17.9%, compared to the same period in 2015, primarily due to a decrease of $20.8 million in service revenue from DISH Network as a result of the termination of the satellite services arrangement for services provided to DISH Network from the EchoStar I and EchoStar VIII satellites effective in November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EchoStar Satellite Services segment capital expenditures for the three months ended March 31, 2016 decreased by $3.1 million, or 11.0%, compared to the same period in 2015,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EchoStar Satellite Services segment EBITDA for the three months ended March 31, 2016 was $88.2 million, a decrease of $18.2 million, or 17.1%, compared to the same period in 2015. The decrease in EBITDA for our EchoStar Satellite Services segment was primarily due to a decrease of $21.3 million in gross margin primarily driven by the decrease in service revenue as a result of the termination of the satellite services arrangement for services provided to DISH Network from the EchoStar I and EchoStar VIII satellites effective in November 2015 and a $4.5 million non-recurring reduction of the capital lease obligation for the AMC-15 and AMC-16 satellites recorded in the first quarter of 2015 as a result of prior anomalies affecting these satellites. The decrease in EBITDA was partially offset by a 2015 provision of $3.75 million recorded in connection with FCC regulatory fees reversed in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primarily includes the sales of enterprise and consumer broadband services,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well as maintenance and other contracted services. “Services and other revenue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 services, satellite uplinking/downlinking, signal processing, conditional access management,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to DISH Network, as well as the cost of providing maintenance and other contracted services. “Cost of sales — services and other” also includes the costs associated with satellite and transponder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53"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services, satellite uplinking/downlinking, signal processing, conditional access management, telemetry, tracking and control, professional services, facilities rental costs, and other services provided to our customers, including DISH Network.</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markets.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EchoStar, DISH Network and other third parties.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Gains on marketable investment securities. </w:t>
      </w:r>
      <w:r>
        <w:rPr>
          <w:rFonts w:ascii="Arial" w:cs="Arial" w:eastAsia="Arial" w:hAnsi="Arial"/>
          <w:sz w:val="18"/>
          <w:szCs w:val="18"/>
          <w:color w:val="auto"/>
        </w:rPr>
        <w:t>“Gains on marketable investment securities primarily includes gains, net of any losses, on the sale or exchange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other-than-temporary impairment on certain of our marketable investment securities.</w:t>
      </w:r>
    </w:p>
    <w:p>
      <w:pPr>
        <w:spacing w:after="0" w:line="17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equity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of unconsolidated affiliate, and other non-operating income or expense items that are not appropriately classified elsewhere in our condensed consolidated statements of operations and comprehensive income (loss).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Earnings before interest, taxes, depreciation and amortization. </w:t>
      </w:r>
      <w:r>
        <w:rPr>
          <w:rFonts w:ascii="Arial" w:cs="Arial" w:eastAsia="Arial" w:hAnsi="Arial"/>
          <w:sz w:val="17"/>
          <w:szCs w:val="17"/>
          <w:color w:val="auto"/>
        </w:rPr>
        <w:t>“EBITDA” is defined as “Net income attributable to HSS” excluding “Interest expense,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amounts capitalized,” “Interest income,” “Income tax provision, net,” and “Depreciation and amortization.” EBITDA is not a measure determined in accordance with GAAP. This non-GAAP measure is reconciled to “Income before income taxes” in our discussion of “Results of Operations” above. EBITDA should not be considered in isolation or as a substitute for operating income, net income or any other measure determined in accordance with GAAP. Conceptually, EBITDA measures the amount of income generated each period that could be used to service debt, pay taxes and fund capital expenditures. EBITDA is used by our management as a measure of operating efficiency and overall financial performance for benchmarking against our peers and competitors. Management believes EBITDA provides meaningful supplemental information regarding liquidity and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8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Securities Exchange Act of 1934, as amended) that occurred during the first quarter of 2016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tab/>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12 “Commitments and Contingencies — Litigation” in this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Item 1A, “Risk Factors,” of our Form 10-K for the year ended December 31, 2015 includes a detailed discussion of our risk factors. Except as provided below, for the three months ended March 31, 2016, there were no material changes in our risk factors as previously disclosed.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of adverse government regulation.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is subject to varying degrees of regulation in the U.S. by the FCC, and other federal, state and local entities, and in foreign countries by similar entities and internationally by the International Telecommunications Union. For instance, under its Spectrum Frontiers proceeding, the FCC is considering enabling the use of a portion of frequency bands we operate, including without limitation, the Ka-band, on a shared basis with 5G services, which could have a material adverse effect on our operations. These regulations are subject to the administrative and political process and do change, for political and other reasons, from time to time. Moreover,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tab/>
        <w:t>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00" w:type="dxa"/>
            <w:vAlign w:val="bottom"/>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525"/>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10.1*</w:t>
            </w:r>
          </w:p>
        </w:tc>
        <w:tc>
          <w:tcPr>
            <w:tcW w:w="460" w:type="dxa"/>
            <w:vAlign w:val="bottom"/>
          </w:tcPr>
          <w:p>
            <w:pPr>
              <w:spacing w:after="0"/>
              <w:rPr>
                <w:sz w:val="24"/>
                <w:szCs w:val="24"/>
                <w:color w:val="auto"/>
              </w:rPr>
            </w:pPr>
          </w:p>
        </w:tc>
        <w:tc>
          <w:tcPr>
            <w:tcW w:w="9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Amendment to Employment Agreement, dated as of April 1, 2016, between Hughes Communications, Inc. and Pradman Kaul</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(incorporated by reference to Exhibit 10.1 to the Current Report on Form 8-K of EchoStar Corporation, filed April 6, 2016,</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Commission File No. 001-33807).**</w:t>
            </w: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46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Echostar Corporation Executive Officer Bonus Incentive Plan, dated as of May 4, 2016 (incorporated by reference to Exhibit 10.1 to</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the Current Report on Form 8-K of Hughes Satellite Systems Corporation, filed May 5, 2016, Commission File No. 333-179121).**</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31.1(H)</w:t>
            </w:r>
          </w:p>
        </w:tc>
        <w:tc>
          <w:tcPr>
            <w:tcW w:w="9700" w:type="dxa"/>
            <w:vAlign w:val="bottom"/>
          </w:tcPr>
          <w:p>
            <w:pPr>
              <w:ind w:left="40"/>
              <w:spacing w:after="0"/>
              <w:rPr>
                <w:sz w:val="20"/>
                <w:szCs w:val="20"/>
                <w:color w:val="auto"/>
              </w:rPr>
            </w:pPr>
            <w:r>
              <w:rPr>
                <w:rFonts w:ascii="Arial" w:cs="Arial" w:eastAsia="Arial" w:hAnsi="Arial"/>
                <w:sz w:val="18"/>
                <w:szCs w:val="18"/>
                <w:color w:val="auto"/>
              </w:rPr>
              <w:t>Section 302 Certification of Chief Executive Officer.</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31.2(H)</w:t>
            </w:r>
          </w:p>
        </w:tc>
        <w:tc>
          <w:tcPr>
            <w:tcW w:w="9700" w:type="dxa"/>
            <w:vAlign w:val="bottom"/>
          </w:tcPr>
          <w:p>
            <w:pPr>
              <w:ind w:left="40"/>
              <w:spacing w:after="0"/>
              <w:rPr>
                <w:sz w:val="20"/>
                <w:szCs w:val="20"/>
                <w:color w:val="auto"/>
              </w:rPr>
            </w:pPr>
            <w:r>
              <w:rPr>
                <w:rFonts w:ascii="Arial" w:cs="Arial" w:eastAsia="Arial" w:hAnsi="Arial"/>
                <w:sz w:val="18"/>
                <w:szCs w:val="18"/>
                <w:color w:val="auto"/>
              </w:rPr>
              <w:t>Section 302 Certification of Chief Financial Officer.</w:t>
            </w:r>
          </w:p>
        </w:tc>
      </w:tr>
      <w:tr>
        <w:trPr>
          <w:trHeight w:val="270"/>
        </w:trPr>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32.1(I)</w:t>
            </w:r>
          </w:p>
        </w:tc>
        <w:tc>
          <w:tcPr>
            <w:tcW w:w="9700" w:type="dxa"/>
            <w:vAlign w:val="bottom"/>
          </w:tcPr>
          <w:p>
            <w:pPr>
              <w:ind w:left="40"/>
              <w:spacing w:after="0"/>
              <w:rPr>
                <w:sz w:val="20"/>
                <w:szCs w:val="20"/>
                <w:color w:val="auto"/>
              </w:rPr>
            </w:pPr>
            <w:r>
              <w:rPr>
                <w:rFonts w:ascii="Arial" w:cs="Arial" w:eastAsia="Arial" w:hAnsi="Arial"/>
                <w:sz w:val="18"/>
                <w:szCs w:val="18"/>
                <w:color w:val="auto"/>
              </w:rPr>
              <w:t>Section 906 Certifications of Chief Executive Officer and Chief Financial Officer.</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99.1(H)</w:t>
            </w:r>
          </w:p>
        </w:tc>
        <w:tc>
          <w:tcPr>
            <w:tcW w:w="9700" w:type="dxa"/>
            <w:vAlign w:val="bottom"/>
          </w:tcPr>
          <w:p>
            <w:pPr>
              <w:ind w:left="40"/>
              <w:spacing w:after="0"/>
              <w:rPr>
                <w:sz w:val="20"/>
                <w:szCs w:val="20"/>
                <w:color w:val="auto"/>
              </w:rPr>
            </w:pPr>
            <w:r>
              <w:rPr>
                <w:rFonts w:ascii="Arial" w:cs="Arial" w:eastAsia="Arial" w:hAnsi="Arial"/>
                <w:sz w:val="18"/>
                <w:szCs w:val="18"/>
                <w:color w:val="auto"/>
              </w:rPr>
              <w:t>Unaudited Condensed Attributed Financial Information and Notes for Hughes Retail Group.</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101.INS</w:t>
            </w: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101.SCH</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101.CAL</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101.DEF</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101.LAB</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101.PRE</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5160" w:val="left"/>
          <w:tab w:leader="none" w:pos="586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T. Dugan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President and Director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160" w:val="left"/>
          <w:tab w:leader="none" w:pos="586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J. Rayner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125"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408"/>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408"/>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408"/>
        <w:spacing w:after="0" w:line="342" w:lineRule="auto"/>
        <w:tabs>
          <w:tab w:leader="none" w:pos="7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408"/>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408"/>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408"/>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2016</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7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2016</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7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for the quarter ended March 31, 2016 on Form 10-Q (the “Quarterly Report”) of Hughes Satellite Systems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900" w:right="380" w:hanging="487"/>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900" w:right="180" w:hanging="487"/>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7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7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Attributed Financial Information for Hughes Retail Group</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 2014, EchoStar Corporation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is comprised of all existing and future businesses of Hughes Satellite Systems Corporation and its subsidiaries, excluding the Hughes Retail Group.</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Holders of the Tracking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 Notwithstanding the following attribution of assets, liabilities, revenue, expenses and cash flows to the Hughes Retail Group and the HSSC Group, our tracking stock structure does not affect the ownership of or the legal title to our assets or responsibility for our liabilities.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accompanying condensed attributed financial information as of, and for, the three months ended March 31, 2016 and 2015 and the year ended December 31, 2015 are unaudited. The Company’s management is solely responsible for this financial information and believes that it has been prepared in conformity with accounting principles generally accepted in the United States.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tables present our consolidated assets and liabilities as of March 31, 2016 and December 31, 2015 and our consolidated revenue, expenses and cash flows for the three months ended March 31, 2016 and 2015. The tables further present our assets, liabilities, revenue, expenses and cash flows that are attributed to the Hughes Retail Group as if that business and its assets had been attributed to that group at the beginning of each period. The financial information in this Exhibit should be read in conjunction with our unaudited condensed consolidated financial statements for the period ended March 31, 2016 included in our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20"/>
        <w:spacing w:after="0"/>
        <w:rPr>
          <w:sz w:val="20"/>
          <w:szCs w:val="20"/>
          <w:color w:val="auto"/>
        </w:rPr>
      </w:pPr>
      <w:r>
        <w:rPr>
          <w:rFonts w:ascii="Arial" w:cs="Arial" w:eastAsia="Arial" w:hAnsi="Arial"/>
          <w:sz w:val="13"/>
          <w:szCs w:val="13"/>
          <w:b w:val="1"/>
          <w:bCs w:val="1"/>
          <w:color w:val="auto"/>
        </w:rPr>
        <w:t>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Cash, cash equivalents and marketable investment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receivable - DISH Network,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Prepaids and deposits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Regulatory authorizations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Economic interest in Hughes Retail Group</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unconsolidated entities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noncurrent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assets</w:t>
      </w:r>
    </w:p>
    <w:p>
      <w:pPr>
        <w:spacing w:after="0" w:line="117" w:lineRule="exact"/>
        <w:rPr>
          <w:sz w:val="20"/>
          <w:szCs w:val="20"/>
          <w:color w:val="auto"/>
        </w:rPr>
      </w:pPr>
    </w:p>
    <w:p>
      <w:pPr>
        <w:ind w:right="620" w:firstLine="946"/>
        <w:spacing w:after="0" w:line="436" w:lineRule="auto"/>
        <w:rPr>
          <w:sz w:val="20"/>
          <w:szCs w:val="20"/>
          <w:color w:val="auto"/>
        </w:rPr>
      </w:pPr>
      <w:r>
        <w:rPr>
          <w:rFonts w:ascii="Arial" w:cs="Arial" w:eastAsia="Arial" w:hAnsi="Arial"/>
          <w:sz w:val="13"/>
          <w:szCs w:val="13"/>
          <w:b w:val="1"/>
          <w:bCs w:val="1"/>
          <w:color w:val="auto"/>
        </w:rPr>
        <w:t>Liabilities and Stockholders’ Equity Current Liabilities: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payable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payable - DISH Network</w:t>
      </w:r>
    </w:p>
    <w:p>
      <w:pPr>
        <w:spacing w:after="0" w:line="121" w:lineRule="exact"/>
        <w:rPr>
          <w:sz w:val="20"/>
          <w:szCs w:val="20"/>
          <w:color w:val="auto"/>
        </w:rPr>
      </w:pPr>
    </w:p>
    <w:p>
      <w:pPr>
        <w:ind w:left="160" w:hanging="161"/>
        <w:spacing w:after="0" w:line="237" w:lineRule="auto"/>
        <w:rPr>
          <w:sz w:val="20"/>
          <w:szCs w:val="20"/>
          <w:color w:val="auto"/>
        </w:rPr>
      </w:pPr>
      <w:r>
        <w:rPr>
          <w:rFonts w:ascii="Arial" w:cs="Arial" w:eastAsia="Arial" w:hAnsi="Arial"/>
          <w:sz w:val="13"/>
          <w:szCs w:val="13"/>
          <w:color w:val="auto"/>
        </w:rPr>
        <w:t>Current portion of long-term debt and capital lease obligations, net of unamortized debt issuance costs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Deferred revenue and prepayments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Advances from affiliates,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Accrued interest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Accrued expenses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Long-term debt and capital lease obligations, net of unamortized debt issuance costs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Deferred tax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Advances from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Equity/ Attributed net assets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Noncontrolling interests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shareholders’ equity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Total liabilities and equity/attributed net assets (liabilities)</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7"/>
          <w:szCs w:val="17"/>
          <w:b w:val="1"/>
          <w:bCs w:val="1"/>
          <w:color w:val="auto"/>
        </w:rPr>
        <w:t>CONDENSED ATTRIBUTED BALANCE SHEETS</w:t>
      </w:r>
    </w:p>
    <w:p>
      <w:pPr>
        <w:spacing w:after="0" w:line="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3"/>
              </w:rPr>
              <w:t>Attributed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3"/>
              </w:rPr>
              <w:t>Attributed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4"/>
        </w:trPr>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88"/>
              </w:rPr>
              <w:t>As of March 31, 2016</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7"/>
              </w:rPr>
              <w:t>As of December 31, 2015</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8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Hughes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3"/>
              </w:rPr>
              <w:t>Hughes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Retail</w:t>
            </w:r>
          </w:p>
        </w:tc>
        <w:tc>
          <w:tcPr>
            <w:tcW w:w="1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HSSC</w:t>
            </w:r>
          </w:p>
        </w:tc>
        <w:tc>
          <w:tcPr>
            <w:tcW w:w="9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Inter-Group</w:t>
            </w:r>
          </w:p>
        </w:tc>
        <w:tc>
          <w:tcPr>
            <w:tcW w:w="80" w:type="dxa"/>
            <w:vAlign w:val="bottom"/>
          </w:tcPr>
          <w:p>
            <w:pPr>
              <w:spacing w:after="0"/>
              <w:rPr>
                <w:sz w:val="11"/>
                <w:szCs w:val="11"/>
                <w:color w:val="auto"/>
              </w:rPr>
            </w:pPr>
          </w:p>
        </w:tc>
        <w:tc>
          <w:tcPr>
            <w:tcW w:w="92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HSS</w:t>
            </w: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Retail</w:t>
            </w:r>
          </w:p>
        </w:tc>
        <w:tc>
          <w:tcPr>
            <w:tcW w:w="140" w:type="dxa"/>
            <w:vAlign w:val="bottom"/>
          </w:tcPr>
          <w:p>
            <w:pPr>
              <w:spacing w:after="0"/>
              <w:rPr>
                <w:sz w:val="11"/>
                <w:szCs w:val="11"/>
                <w:color w:val="auto"/>
              </w:rPr>
            </w:pPr>
          </w:p>
        </w:tc>
        <w:tc>
          <w:tcPr>
            <w:tcW w:w="7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HSSC</w:t>
            </w:r>
          </w:p>
        </w:tc>
        <w:tc>
          <w:tcPr>
            <w:tcW w:w="8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Inter-Group</w:t>
            </w:r>
          </w:p>
        </w:tc>
        <w:tc>
          <w:tcPr>
            <w:tcW w:w="100" w:type="dxa"/>
            <w:vAlign w:val="bottom"/>
          </w:tcPr>
          <w:p>
            <w:pPr>
              <w:spacing w:after="0"/>
              <w:rPr>
                <w:sz w:val="11"/>
                <w:szCs w:val="11"/>
                <w:color w:val="auto"/>
              </w:rPr>
            </w:pPr>
          </w:p>
        </w:tc>
        <w:tc>
          <w:tcPr>
            <w:tcW w:w="8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HSS</w:t>
            </w:r>
          </w:p>
        </w:tc>
      </w:tr>
      <w:tr>
        <w:trPr>
          <w:trHeight w:val="174"/>
        </w:trPr>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Group</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5"/>
              </w:rPr>
              <w:t>Eliminations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Consolidated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Group</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Consolidated</w:t>
            </w:r>
          </w:p>
        </w:tc>
      </w:tr>
      <w:tr>
        <w:trPr>
          <w:trHeight w:val="781"/>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656,589</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656,589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636,333</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636,333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26,097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102,857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128,954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27,094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112,416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139,510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19,706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19,706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21,258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21,258</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6,531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48,354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(1,527)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53,358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6,699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43,665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48,797</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33,967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34,367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37,232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38,222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20,700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(20,700)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74,752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74,752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60,660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60,660</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33,028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956,925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(22,227)</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967,726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34,783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941,962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(31,965)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944,780</w:t>
            </w:r>
          </w:p>
        </w:tc>
      </w:tr>
      <w:tr>
        <w:trPr>
          <w:trHeight w:val="511"/>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20,802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20,802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20,140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20,140</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158,738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2,168,773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(16,674)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2,310,837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162,497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2,118,727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(15,822)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2,265,402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471,658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471,658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471,658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471,658</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244,173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504,173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244,173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504,173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27,466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79,282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106,748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31,488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83,932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115,420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318,307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(318,307)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320,412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(320,412)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43,340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43,340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41,481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41,481</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23,631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3,816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(23,631)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3,816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3,816</w:t>
            </w:r>
          </w:p>
        </w:tc>
      </w:tr>
      <w:tr>
        <w:trPr>
          <w:trHeight w:val="280"/>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33,855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256,784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(667)</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289,972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35,277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169,799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204,409</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503,690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3,606,935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(359,279)</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3,751,346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508,947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3,474,138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(356,586)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3,626,499</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536,718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4,563,860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(381,506)</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4,719,072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543,730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4,416,100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(388,551)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4,571,279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4"/>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14,920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82,940</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97,860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12,023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85,644</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97,667</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1,891,286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1,891,286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30,284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30,284</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26,818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32,001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58,819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26,636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30,857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57,493</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16,507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16,507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18,932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18,932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3,629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3,773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(20,700)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41,349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41,349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8,310</w:t>
            </w:r>
          </w:p>
        </w:tc>
      </w:tr>
      <w:tr>
        <w:trPr>
          <w:trHeight w:val="280"/>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28,339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43,194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71,533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26,399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70,102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96,501</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90,777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2,110,906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(20,700)</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2,180,983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95,456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247,902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312,960</w:t>
            </w:r>
          </w:p>
        </w:tc>
      </w:tr>
      <w:tr>
        <w:trPr>
          <w:trHeight w:val="565"/>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288,465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288,465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2,154,988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2,154,988</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495,327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(23,631)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471,696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472,035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452,350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28,098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28,098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25,283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25,283</w:t>
            </w:r>
          </w:p>
        </w:tc>
      </w:tr>
      <w:tr>
        <w:trPr>
          <w:trHeight w:val="280"/>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80,449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83,621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81,482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84,058</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3,172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892,339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(23,631)</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871,880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2,733,788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2,716,679</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93,949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3,003,245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(44,331)</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3,052,863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98,032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2,981,690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(50,083)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3,029,639</w:t>
            </w:r>
          </w:p>
        </w:tc>
      </w:tr>
      <w:tr>
        <w:trPr>
          <w:trHeight w:val="511"/>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442,769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1,549,194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(337,175)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1,654,788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445,698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1,423,100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(338,468)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1,530,330</w:t>
            </w:r>
          </w:p>
        </w:tc>
      </w:tr>
      <w:tr>
        <w:trPr>
          <w:trHeight w:val="280"/>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11,421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11,421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11,310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11,310</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442,769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1,560,615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(337,175)</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1,666,209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445,698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1,434,410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(338,468)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1,541,640</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536,718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4,563,860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(381,506)</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4,719,072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543,730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4,416,100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(388,551)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4,571,279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-7974965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-7632065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-7288530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-6945630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-6602730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-6259830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-5916930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-5573395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-5230495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-4887595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-4544695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-4201795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-3858260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-3515360</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-3138170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-2795270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-2451735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-2108835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-1731645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-1388745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-1045845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-702310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-359410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160"/>
            <w:col w:w="7720"/>
          </w:cols>
          <w:pgMar w:left="280" w:top="364" w:right="239" w:bottom="1110" w:gutter="0" w:footer="0" w:header="0"/>
        </w:sect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364" w:right="239" w:bottom="111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CONDENSED ATTRIBUTED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Attributed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Attributed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11"/>
          </w:tcPr>
          <w:p>
            <w:pPr>
              <w:jc w:val="center"/>
              <w:ind w:right="200"/>
              <w:spacing w:after="0"/>
              <w:rPr>
                <w:sz w:val="20"/>
                <w:szCs w:val="20"/>
                <w:color w:val="auto"/>
              </w:rPr>
            </w:pPr>
            <w:r>
              <w:rPr>
                <w:rFonts w:ascii="Arial" w:cs="Arial" w:eastAsia="Arial" w:hAnsi="Arial"/>
                <w:sz w:val="18"/>
                <w:szCs w:val="18"/>
                <w:b w:val="1"/>
                <w:bCs w:val="1"/>
                <w:color w:val="auto"/>
                <w:w w:val="92"/>
              </w:rPr>
              <w:t>For the Three Months Ended March 31, 2016</w:t>
            </w:r>
          </w:p>
        </w:tc>
        <w:tc>
          <w:tcPr>
            <w:tcW w:w="120" w:type="dxa"/>
            <w:vAlign w:val="bottom"/>
          </w:tcPr>
          <w:p>
            <w:pPr>
              <w:spacing w:after="0"/>
              <w:rPr>
                <w:sz w:val="20"/>
                <w:szCs w:val="20"/>
                <w:color w:val="auto"/>
              </w:rPr>
            </w:pPr>
          </w:p>
        </w:tc>
        <w:tc>
          <w:tcPr>
            <w:tcW w:w="3940" w:type="dxa"/>
            <w:vAlign w:val="bottom"/>
            <w:gridSpan w:val="10"/>
          </w:tcPr>
          <w:p>
            <w:pPr>
              <w:jc w:val="center"/>
              <w:ind w:right="10"/>
              <w:spacing w:after="0"/>
              <w:rPr>
                <w:sz w:val="20"/>
                <w:szCs w:val="20"/>
                <w:color w:val="auto"/>
              </w:rPr>
            </w:pPr>
            <w:r>
              <w:rPr>
                <w:rFonts w:ascii="Arial" w:cs="Arial" w:eastAsia="Arial" w:hAnsi="Arial"/>
                <w:sz w:val="18"/>
                <w:szCs w:val="18"/>
                <w:b w:val="1"/>
                <w:bCs w:val="1"/>
                <w:color w:val="auto"/>
                <w:w w:val="92"/>
              </w:rPr>
              <w:t>For the Three Months Ended March 31, 2015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Hughes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Hughes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Retail</w:t>
            </w: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HSSC</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Inter-Group</w:t>
            </w:r>
          </w:p>
        </w:tc>
        <w:tc>
          <w:tcPr>
            <w:tcW w:w="2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HSS</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Retail</w:t>
            </w: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HSSC</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Inter-Group</w:t>
            </w:r>
          </w:p>
        </w:tc>
        <w:tc>
          <w:tcPr>
            <w:tcW w:w="24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HSS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Group</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Group</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Consolidated</w:t>
            </w: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Group</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Group</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3"/>
              </w:rPr>
              <w:t>Services and equipment revenue - other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158,806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236,760</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(82,284)</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313,282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146,161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253,700</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(82,131)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317,730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equipment revenue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DISH Network</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115,844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132,504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132,504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158,806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352,604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429,126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146,161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386,204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450,234</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w w:val="96"/>
              </w:rPr>
              <w:t>Cost of sales (exclusive of depreciation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and amortization)</w:t>
            </w: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91,594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155,700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(79,609)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167,685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86,008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167,120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175,129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70,545</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9"/>
              </w:rPr>
              <w:t>Research and development expenses</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108,014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163,626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265,748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347,901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158,893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279,348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359,242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(12,732)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106,856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90,992</w:t>
            </w:r>
          </w:p>
        </w:tc>
        <w:tc>
          <w:tcPr>
            <w:tcW w:w="0" w:type="dxa"/>
            <w:vAlign w:val="bottom"/>
          </w:tcPr>
          <w:p>
            <w:pPr>
              <w:spacing w:after="0"/>
              <w:rPr>
                <w:sz w:val="1"/>
                <w:szCs w:val="1"/>
                <w:color w:val="auto"/>
              </w:rPr>
            </w:pPr>
          </w:p>
        </w:tc>
      </w:tr>
      <w:tr>
        <w:trPr>
          <w:trHeight w:val="22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Interest expense, net of amounts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capitalized</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(38,031)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(45,086)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(45,086)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marketable investment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affiliate</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interest in earnings (loss) of</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Hughes Retail Group</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(29,233)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(49,152)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(43,643)</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(21,959)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(23,027)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(17,973)</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35,664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29,376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9"/>
        </w:trPr>
        <w:tc>
          <w:tcPr>
            <w:tcW w:w="3200" w:type="dxa"/>
            <w:vAlign w:val="bottom"/>
          </w:tcPr>
          <w:p>
            <w:pPr>
              <w:ind w:left="380"/>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35,553</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33,919</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34,308</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29,007</w:t>
            </w:r>
          </w:p>
        </w:tc>
        <w:tc>
          <w:tcPr>
            <w:tcW w:w="0" w:type="dxa"/>
            <w:vAlign w:val="bottom"/>
          </w:tcPr>
          <w:p>
            <w:pPr>
              <w:spacing w:after="0"/>
              <w:rPr>
                <w:sz w:val="1"/>
                <w:szCs w:val="1"/>
                <w:color w:val="auto"/>
              </w:rPr>
            </w:pPr>
          </w:p>
        </w:tc>
      </w:tr>
      <w:tr>
        <w:trPr>
          <w:trHeight w:val="242"/>
        </w:trPr>
        <w:tc>
          <w:tcPr>
            <w:tcW w:w="3200" w:type="dxa"/>
            <w:vAlign w:val="bottom"/>
          </w:tcPr>
          <w:p>
            <w:pPr>
              <w:ind w:left="380"/>
              <w:spacing w:after="0"/>
              <w:rPr>
                <w:sz w:val="20"/>
                <w:szCs w:val="20"/>
                <w:color w:val="auto"/>
              </w:rPr>
            </w:pPr>
            <w:r>
              <w:rPr>
                <w:rFonts w:ascii="Arial" w:cs="Arial" w:eastAsia="Arial" w:hAnsi="Arial"/>
                <w:sz w:val="18"/>
                <w:szCs w:val="18"/>
                <w:color w:val="auto"/>
              </w:rPr>
              <w:t>HSS</w:t>
            </w:r>
          </w:p>
        </w:tc>
        <w:tc>
          <w:tcPr>
            <w:tcW w:w="1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CONDENSED ATTRIBUTED STATEMENTS OF CASH FLOWS</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6"/>
              </w:rPr>
              <w:t>Attributed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6"/>
              </w:rPr>
              <w:t>Attributed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4000" w:type="dxa"/>
            <w:vAlign w:val="bottom"/>
          </w:tcPr>
          <w:p>
            <w:pPr>
              <w:spacing w:after="0"/>
              <w:rPr>
                <w:sz w:val="18"/>
                <w:szCs w:val="18"/>
                <w:color w:val="auto"/>
              </w:rPr>
            </w:pPr>
          </w:p>
        </w:tc>
        <w:tc>
          <w:tcPr>
            <w:tcW w:w="3760" w:type="dxa"/>
            <w:vAlign w:val="bottom"/>
            <w:gridSpan w:val="11"/>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 March 31, 2016</w:t>
            </w:r>
          </w:p>
        </w:tc>
        <w:tc>
          <w:tcPr>
            <w:tcW w:w="3660" w:type="dxa"/>
            <w:vAlign w:val="bottom"/>
            <w:gridSpan w:val="10"/>
          </w:tcPr>
          <w:p>
            <w:pPr>
              <w:jc w:val="center"/>
              <w:spacing w:after="0"/>
              <w:rPr>
                <w:sz w:val="20"/>
                <w:szCs w:val="20"/>
                <w:color w:val="auto"/>
              </w:rPr>
            </w:pPr>
            <w:r>
              <w:rPr>
                <w:rFonts w:ascii="Arial" w:cs="Arial" w:eastAsia="Arial" w:hAnsi="Arial"/>
                <w:sz w:val="16"/>
                <w:szCs w:val="16"/>
                <w:b w:val="1"/>
                <w:bCs w:val="1"/>
                <w:color w:val="auto"/>
                <w:w w:val="93"/>
              </w:rPr>
              <w:t>For the Three Months Ended March 31, 2015</w:t>
            </w:r>
          </w:p>
        </w:tc>
      </w:tr>
      <w:tr>
        <w:trPr>
          <w:trHeight w:val="33"/>
        </w:trPr>
        <w:tc>
          <w:tcPr>
            <w:tcW w:w="400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Hughes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Hughes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Retail</w:t>
            </w:r>
          </w:p>
        </w:tc>
        <w:tc>
          <w:tcPr>
            <w:tcW w:w="700" w:type="dxa"/>
            <w:vAlign w:val="bottom"/>
          </w:tcPr>
          <w:p>
            <w:pPr>
              <w:ind w:left="180"/>
              <w:spacing w:after="0"/>
              <w:rPr>
                <w:sz w:val="20"/>
                <w:szCs w:val="20"/>
                <w:color w:val="auto"/>
              </w:rPr>
            </w:pPr>
            <w:r>
              <w:rPr>
                <w:rFonts w:ascii="Arial" w:cs="Arial" w:eastAsia="Arial" w:hAnsi="Arial"/>
                <w:sz w:val="16"/>
                <w:szCs w:val="16"/>
                <w:b w:val="1"/>
                <w:bCs w:val="1"/>
                <w:color w:val="auto"/>
              </w:rPr>
              <w:t>HSSC</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Inter-Group</w:t>
            </w:r>
          </w:p>
        </w:tc>
        <w:tc>
          <w:tcPr>
            <w:tcW w:w="22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HSS</w:t>
            </w: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Retail</w:t>
            </w:r>
          </w:p>
        </w:tc>
        <w:tc>
          <w:tcPr>
            <w:tcW w:w="700" w:type="dxa"/>
            <w:vAlign w:val="bottom"/>
          </w:tcPr>
          <w:p>
            <w:pPr>
              <w:ind w:left="180"/>
              <w:spacing w:after="0"/>
              <w:rPr>
                <w:sz w:val="20"/>
                <w:szCs w:val="20"/>
                <w:color w:val="auto"/>
              </w:rPr>
            </w:pPr>
            <w:r>
              <w:rPr>
                <w:rFonts w:ascii="Arial" w:cs="Arial" w:eastAsia="Arial" w:hAnsi="Arial"/>
                <w:sz w:val="16"/>
                <w:szCs w:val="16"/>
                <w:b w:val="1"/>
                <w:bCs w:val="1"/>
                <w:color w:val="auto"/>
              </w:rPr>
              <w:t>HSSC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Inter-Group</w:t>
            </w:r>
          </w:p>
        </w:tc>
        <w:tc>
          <w:tcPr>
            <w:tcW w:w="220" w:type="dxa"/>
            <w:vAlign w:val="bottom"/>
          </w:tcPr>
          <w:p>
            <w:pPr>
              <w:spacing w:after="0"/>
              <w:rPr>
                <w:sz w:val="17"/>
                <w:szCs w:val="17"/>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HSS</w:t>
            </w:r>
          </w:p>
        </w:tc>
      </w:tr>
      <w:tr>
        <w:trPr>
          <w:trHeight w:val="210"/>
        </w:trPr>
        <w:tc>
          <w:tcPr>
            <w:tcW w:w="40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Group</w:t>
            </w:r>
          </w:p>
        </w:tc>
        <w:tc>
          <w:tcPr>
            <w:tcW w:w="700" w:type="dxa"/>
            <w:vAlign w:val="bottom"/>
          </w:tcPr>
          <w:p>
            <w:pPr>
              <w:ind w:left="160"/>
              <w:spacing w:after="0"/>
              <w:rPr>
                <w:sz w:val="20"/>
                <w:szCs w:val="20"/>
                <w:color w:val="auto"/>
              </w:rPr>
            </w:pPr>
            <w:r>
              <w:rPr>
                <w:rFonts w:ascii="Arial" w:cs="Arial" w:eastAsia="Arial" w:hAnsi="Arial"/>
                <w:sz w:val="16"/>
                <w:szCs w:val="16"/>
                <w:b w:val="1"/>
                <w:bCs w:val="1"/>
                <w:color w:val="auto"/>
              </w:rPr>
              <w:t>Group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Consolidated</w:t>
            </w: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Group</w:t>
            </w:r>
          </w:p>
        </w:tc>
        <w:tc>
          <w:tcPr>
            <w:tcW w:w="700" w:type="dxa"/>
            <w:vAlign w:val="bottom"/>
          </w:tcPr>
          <w:p>
            <w:pPr>
              <w:ind w:left="180"/>
              <w:spacing w:after="0"/>
              <w:rPr>
                <w:sz w:val="20"/>
                <w:szCs w:val="20"/>
                <w:color w:val="auto"/>
              </w:rPr>
            </w:pPr>
            <w:r>
              <w:rPr>
                <w:rFonts w:ascii="Arial" w:cs="Arial" w:eastAsia="Arial" w:hAnsi="Arial"/>
                <w:sz w:val="16"/>
                <w:szCs w:val="16"/>
                <w:b w:val="1"/>
                <w:bCs w:val="1"/>
                <w:color w:val="auto"/>
              </w:rPr>
              <w:t>Group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0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660" w:type="dxa"/>
            <w:vAlign w:val="bottom"/>
          </w:tcPr>
          <w:p>
            <w:pPr>
              <w:jc w:val="center"/>
              <w:spacing w:after="0"/>
              <w:rPr>
                <w:sz w:val="20"/>
                <w:szCs w:val="20"/>
                <w:color w:val="auto"/>
              </w:rPr>
            </w:pPr>
            <w:r>
              <w:rPr>
                <w:rFonts w:ascii="Arial" w:cs="Arial" w:eastAsia="Arial" w:hAnsi="Arial"/>
                <w:sz w:val="16"/>
                <w:szCs w:val="16"/>
                <w:color w:val="auto"/>
                <w:w w:val="90"/>
              </w:rPr>
              <w:t>$ (2,929)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8"/>
              </w:rPr>
              <w:t>$  35,664</w:t>
            </w:r>
          </w:p>
        </w:tc>
        <w:tc>
          <w:tcPr>
            <w:tcW w:w="48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34,030</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0"/>
              </w:rPr>
              <w:t>$ (7,716)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8"/>
              </w:rPr>
              <w:t>$  34,677</w:t>
            </w:r>
          </w:p>
        </w:tc>
        <w:tc>
          <w:tcPr>
            <w:tcW w:w="48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2,415</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50"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Adjustments to reconcile net income (loss) to net cash flows from operating activities:</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Equity in earnings of unconsolidated affiliate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jc w:val="right"/>
              <w:ind w:right="139"/>
              <w:spacing w:after="0"/>
              <w:rPr>
                <w:sz w:val="20"/>
                <w:szCs w:val="20"/>
                <w:color w:val="auto"/>
              </w:rPr>
            </w:pPr>
            <w:r>
              <w:rPr>
                <w:rFonts w:ascii="Arial" w:cs="Arial" w:eastAsia="Arial" w:hAnsi="Arial"/>
                <w:sz w:val="16"/>
                <w:szCs w:val="16"/>
                <w:color w:val="auto"/>
                <w:w w:val="85"/>
              </w:rPr>
              <w:t>33,402</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70,831</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(1,864)</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102,369</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34,251</w:t>
            </w: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74,763</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(1,000)</w:t>
            </w:r>
          </w:p>
        </w:tc>
        <w:tc>
          <w:tcPr>
            <w:tcW w:w="840" w:type="dxa"/>
            <w:vAlign w:val="bottom"/>
          </w:tcPr>
          <w:p>
            <w:pPr>
              <w:jc w:val="right"/>
              <w:spacing w:after="0"/>
              <w:rPr>
                <w:sz w:val="20"/>
                <w:szCs w:val="20"/>
                <w:color w:val="auto"/>
              </w:rPr>
            </w:pPr>
            <w:r>
              <w:rPr>
                <w:rFonts w:ascii="Arial" w:cs="Arial" w:eastAsia="Arial" w:hAnsi="Arial"/>
                <w:sz w:val="16"/>
                <w:szCs w:val="16"/>
                <w:color w:val="auto"/>
              </w:rPr>
              <w:t>108,014</w:t>
            </w: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(1,859)</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(1,859)</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(1,397)</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-149860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3680" w:space="420"/>
            <w:col w:w="732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000" w:type="dxa"/>
            <w:vAlign w:val="bottom"/>
          </w:tcPr>
          <w:p>
            <w:pPr>
              <w:ind w:left="380"/>
              <w:spacing w:after="0"/>
              <w:rPr>
                <w:sz w:val="20"/>
                <w:szCs w:val="20"/>
                <w:color w:val="auto"/>
              </w:rPr>
            </w:pPr>
            <w:r>
              <w:rPr>
                <w:rFonts w:ascii="Arial" w:cs="Arial" w:eastAsia="Arial" w:hAnsi="Arial"/>
                <w:sz w:val="16"/>
                <w:szCs w:val="16"/>
                <w:color w:val="auto"/>
                <w:w w:val="97"/>
              </w:rPr>
              <w:t>Retained interest in loss (earnings) of Hughes Retail</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00" w:type="dxa"/>
            <w:vAlign w:val="bottom"/>
          </w:tcPr>
          <w:p>
            <w:pPr>
              <w:ind w:left="380"/>
              <w:spacing w:after="0"/>
              <w:rPr>
                <w:sz w:val="20"/>
                <w:szCs w:val="20"/>
                <w:color w:val="auto"/>
              </w:rPr>
            </w:pPr>
            <w:r>
              <w:rPr>
                <w:rFonts w:ascii="Arial" w:cs="Arial" w:eastAsia="Arial" w:hAnsi="Arial"/>
                <w:sz w:val="16"/>
                <w:szCs w:val="16"/>
                <w:color w:val="auto"/>
              </w:rPr>
              <w:t>Group</w:t>
            </w:r>
          </w:p>
        </w:tc>
        <w:tc>
          <w:tcPr>
            <w:tcW w:w="1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(5,547)</w:t>
            </w:r>
          </w:p>
        </w:tc>
        <w:tc>
          <w:tcPr>
            <w:tcW w:w="1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w:t>
            </w: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Gains on marketable investment securities</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Deferred tax provision (benefit)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(3,946)</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19,231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(5,054)</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22,089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17,035</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Changes in current assets and current liabilities, net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(9,568)</w:t>
            </w:r>
          </w:p>
        </w:tc>
      </w:tr>
      <w:tr>
        <w:trPr>
          <w:trHeight w:val="220"/>
        </w:trPr>
        <w:tc>
          <w:tcPr>
            <w:tcW w:w="4000" w:type="dxa"/>
            <w:vAlign w:val="bottom"/>
          </w:tcPr>
          <w:p>
            <w:pPr>
              <w:ind w:left="380"/>
              <w:spacing w:after="0"/>
              <w:rPr>
                <w:sz w:val="20"/>
                <w:szCs w:val="20"/>
                <w:color w:val="auto"/>
              </w:rPr>
            </w:pPr>
            <w:r>
              <w:rPr>
                <w:rFonts w:ascii="Arial" w:cs="Arial" w:eastAsia="Arial" w:hAnsi="Arial"/>
                <w:sz w:val="16"/>
                <w:szCs w:val="16"/>
                <w:color w:val="auto"/>
              </w:rPr>
              <w:t>Changes in noncurrent assets and noncurrent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4000" w:type="dxa"/>
            <w:vAlign w:val="bottom"/>
          </w:tcPr>
          <w:p>
            <w:pPr>
              <w:ind w:left="380"/>
              <w:spacing w:after="0"/>
              <w:rPr>
                <w:sz w:val="20"/>
                <w:szCs w:val="20"/>
                <w:color w:val="auto"/>
              </w:rPr>
            </w:pPr>
            <w:r>
              <w:rPr>
                <w:rFonts w:ascii="Arial" w:cs="Arial" w:eastAsia="Arial" w:hAnsi="Arial"/>
                <w:sz w:val="16"/>
                <w:szCs w:val="16"/>
                <w:color w:val="auto"/>
              </w:rPr>
              <w:t>liabilities, net</w:t>
            </w:r>
          </w:p>
        </w:tc>
        <w:tc>
          <w:tcPr>
            <w:tcW w:w="10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(1,213)</w:t>
            </w:r>
          </w:p>
        </w:tc>
        <w:tc>
          <w:tcPr>
            <w:tcW w:w="1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2,504</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r>
      <w:tr>
        <w:trPr>
          <w:trHeight w:val="217"/>
        </w:trPr>
        <w:tc>
          <w:tcPr>
            <w:tcW w:w="4000" w:type="dxa"/>
            <w:vAlign w:val="bottom"/>
          </w:tcPr>
          <w:p>
            <w:pPr>
              <w:ind w:left="600"/>
              <w:spacing w:after="0"/>
              <w:rPr>
                <w:sz w:val="20"/>
                <w:szCs w:val="20"/>
                <w:color w:val="auto"/>
              </w:rPr>
            </w:pPr>
            <w:r>
              <w:rPr>
                <w:rFonts w:ascii="Arial" w:cs="Arial" w:eastAsia="Arial" w:hAnsi="Arial"/>
                <w:sz w:val="16"/>
                <w:szCs w:val="16"/>
                <w:color w:val="auto"/>
              </w:rPr>
              <w:t>Net cash flows from operating activities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5"/>
              </w:rPr>
              <w:t>35,321</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134,122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166,728</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19,192</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131,495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(3,806)</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146,881</w:t>
            </w:r>
          </w:p>
        </w:tc>
      </w:tr>
      <w:tr>
        <w:trPr>
          <w:trHeight w:val="33"/>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Purchases of marketable investment securities</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(134,572)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(134,572)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(90,594)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(90,594)</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Sales and maturities of marketable investment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52,683</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7"/>
              </w:rPr>
              <w:t>(25,623)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(106,049)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(128,957)</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7"/>
              </w:rPr>
              <w:t>(31,423)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3,806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(92,310)</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Expenditures for externally marketed software</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(4,944)</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Change in restricted cash and cash equivalents</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for EchoStar XXI launch services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Inter-group advances</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(9,698)</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12,231</w:t>
            </w:r>
          </w:p>
        </w:tc>
        <w:tc>
          <w:tcPr>
            <w:tcW w:w="1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4000" w:type="dxa"/>
            <w:vAlign w:val="bottom"/>
          </w:tcPr>
          <w:p>
            <w:pPr>
              <w:ind w:left="600"/>
              <w:spacing w:after="0"/>
              <w:rPr>
                <w:sz w:val="20"/>
                <w:szCs w:val="20"/>
                <w:color w:val="auto"/>
              </w:rPr>
            </w:pPr>
            <w:r>
              <w:rPr>
                <w:rFonts w:ascii="Arial" w:cs="Arial" w:eastAsia="Arial" w:hAnsi="Arial"/>
                <w:sz w:val="16"/>
                <w:szCs w:val="16"/>
                <w:color w:val="auto"/>
              </w:rPr>
              <w:t>Net cash flows from investing activities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7"/>
              </w:rPr>
              <w:t>(25,623)</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(102,605)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(6,983)</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(135,211)</w:t>
            </w:r>
          </w:p>
        </w:tc>
        <w:tc>
          <w:tcPr>
            <w:tcW w:w="10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7"/>
              </w:rPr>
              <w:t>(31,423)</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(120,834)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16,037</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(136,220)</w:t>
            </w:r>
          </w:p>
        </w:tc>
      </w:tr>
      <w:tr>
        <w:trPr>
          <w:trHeight w:val="33"/>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0"/>
        </w:trPr>
        <w:tc>
          <w:tcPr>
            <w:tcW w:w="4000" w:type="dxa"/>
            <w:vAlign w:val="bottom"/>
          </w:tcPr>
          <w:p>
            <w:pPr>
              <w:ind w:left="180"/>
              <w:spacing w:after="0"/>
              <w:rPr>
                <w:sz w:val="20"/>
                <w:szCs w:val="20"/>
                <w:color w:val="auto"/>
              </w:rPr>
            </w:pPr>
            <w:r>
              <w:rPr>
                <w:rFonts w:ascii="Arial" w:cs="Arial" w:eastAsia="Arial" w:hAnsi="Arial"/>
                <w:sz w:val="16"/>
                <w:szCs w:val="16"/>
                <w:color w:val="auto"/>
              </w:rPr>
              <w:t>Repayment of other long-term debt and capital lease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4000" w:type="dxa"/>
            <w:vAlign w:val="bottom"/>
          </w:tcPr>
          <w:p>
            <w:pPr>
              <w:ind w:left="180"/>
              <w:spacing w:after="0"/>
              <w:rPr>
                <w:sz w:val="20"/>
                <w:szCs w:val="20"/>
                <w:color w:val="auto"/>
              </w:rPr>
            </w:pPr>
            <w:r>
              <w:rPr>
                <w:rFonts w:ascii="Arial" w:cs="Arial" w:eastAsia="Arial" w:hAnsi="Arial"/>
                <w:sz w:val="16"/>
                <w:szCs w:val="16"/>
                <w:color w:val="auto"/>
              </w:rPr>
              <w:t>obligations</w:t>
            </w:r>
          </w:p>
        </w:tc>
        <w:tc>
          <w:tcPr>
            <w:tcW w:w="1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(8,214)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(15,038)</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affiliates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Inter-group advances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(9,698)</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9,698</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12,231</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(12,231)</w:t>
            </w:r>
          </w:p>
        </w:tc>
        <w:tc>
          <w:tcPr>
            <w:tcW w:w="1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contributions from EchoStar</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779</w:t>
            </w:r>
          </w:p>
        </w:tc>
      </w:tr>
      <w:tr>
        <w:trPr>
          <w:trHeight w:val="33"/>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flows from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(9,698)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12,231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(14,259)</w:t>
            </w:r>
          </w:p>
        </w:tc>
      </w:tr>
      <w:tr>
        <w:trPr>
          <w:trHeight w:val="200"/>
        </w:trPr>
        <w:tc>
          <w:tcPr>
            <w:tcW w:w="4000" w:type="dxa"/>
            <w:vAlign w:val="bottom"/>
          </w:tcPr>
          <w:p>
            <w:pPr>
              <w:ind w:left="600"/>
              <w:spacing w:after="0"/>
              <w:rPr>
                <w:sz w:val="20"/>
                <w:szCs w:val="20"/>
                <w:color w:val="auto"/>
              </w:rPr>
            </w:pPr>
            <w:r>
              <w:rPr>
                <w:rFonts w:ascii="Arial" w:cs="Arial" w:eastAsia="Arial" w:hAnsi="Arial"/>
                <w:sz w:val="16"/>
                <w:szCs w:val="16"/>
                <w:color w:val="auto"/>
              </w:rPr>
              <w:t>Effect of exchange rates on cash and cash</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06"/>
        </w:trPr>
        <w:tc>
          <w:tcPr>
            <w:tcW w:w="4000" w:type="dxa"/>
            <w:vAlign w:val="bottom"/>
          </w:tcPr>
          <w:p>
            <w:pPr>
              <w:ind w:left="600"/>
              <w:spacing w:after="0"/>
              <w:rPr>
                <w:sz w:val="20"/>
                <w:szCs w:val="20"/>
                <w:color w:val="auto"/>
              </w:rPr>
            </w:pPr>
            <w:r>
              <w:rPr>
                <w:rFonts w:ascii="Arial" w:cs="Arial" w:eastAsia="Arial" w:hAnsi="Arial"/>
                <w:sz w:val="16"/>
                <w:szCs w:val="16"/>
                <w:color w:val="auto"/>
              </w:rPr>
              <w:t>equivalents</w:t>
            </w:r>
          </w:p>
        </w:tc>
        <w:tc>
          <w:tcPr>
            <w:tcW w:w="1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(2,566)</w:t>
            </w:r>
          </w:p>
        </w:tc>
      </w:tr>
      <w:tr>
        <w:trPr>
          <w:trHeight w:val="33"/>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37,938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382,990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382,990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225,557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225,557</w:t>
            </w:r>
          </w:p>
        </w:tc>
      </w:tr>
      <w:tr>
        <w:trPr>
          <w:trHeight w:val="33"/>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 end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$ 420,928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420,928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$ 219,393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219,393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Hughes Retail Group is generally comprised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consists of all other operations of HSS, including all existing and future businesses other than the Hughes Retail Group. HSS has adopted a policy statement (the “Policy Statement”) as described in Note 2 below, which sets forth management and allocation policies for purposes of attributing all of the business and operations of HSS to either the Hughes Retail Group or the HSSC Group (each as fully defined in the Policy Statement and collectively, the “Groups”).</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w:t>
      </w:r>
    </w:p>
    <w:p>
      <w:pPr>
        <w:spacing w:after="0" w:line="2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overall objective of the attributed financial information is to present HSS’ attributed amounts reported in its condensed consolidated financial statements to the Hughes Retail Group and the HSSC Group. The Policy Statement contains specific provisions that determine how certain assets, liabilities, revenue and expenses are attributed to the Groups. The Policy Statement does not explicitly address the attribution of all amounts reported in our condensed consolidated financial statements; accordingly, management applies judgment in attributing certain amounts based on its assessment of the activities of the Groups and the guiding principles set forth in the Policy Statement.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Set forth below is an overview of the Policy Statement and additional discussion about how we have attributed amounts in our condensed consolidated financial statements to the Groups.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Statement</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accordance with the Policy Statement, all existing and future retail subscribers, including related customer contracts, are attributed to the Hughes Retail Group. Assets and liabilities that are directly related to the Hughes Retail Group are attributed to the Hughes Retail Group, including certain accounts receivable, inventory, property and equipment, deferred subscriber acquisition costs, intangible assets and tax related assets and liabilities. To the extent practicable, costs and expenses are attributed without markup to the Hughes Retail Group or the HSSC Group based on specific identification. Common or shared costs, including corporate overhead, are allocated between the Hughes Retail Group and the HSSC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shareholders.</w:t>
      </w:r>
    </w:p>
    <w:p>
      <w:pPr>
        <w:spacing w:after="0" w:line="18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Hughes Retail Group utilizes broadband satellite capacity that is operated and maintained by the HSSC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HSSC Group based on cost plus a fixed margin percentage. Income taxes incurred by HSS and its subsidiaries that include operations of the Hughes Retail Group are allocated between the HSSC Group and the Hughes Retail Group based primarily on the relative amounts of earnings or loss attributable to each Group.</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various attributions, allocations and inter-group charges provided for in the Policy Statement generally do not affect the amounts reported in HSS’ condensed consolidated financial statements, except for effects on the attribution of equity and net income or loss between the holders of Tracking Stock and HSS’ common shareholders. The Policy Statement also does not significantly affect the way that the Hughes segment management assesses operating performance and allocates resources. In addition, our chief operating decision maker reviews the Hughes Retail Group financial information only to the extent such information is included in our periodic filings with the SEC. Therefore we do not consider the Hughes Retail Group to be a separate operating segment.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Attributions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attribution to the Hughes Retail Group has been made for certain significant assets that it shares with the HSSC Group, including regulatory authorizations and property and equipment (such as satellites and related terrestrial facilities), because those assets are operated and maintained by the HSSC Group and it is not practicable to allocate the asset carrying amounts between the Groups. However, the Hughes Retail Group has the right to use such assets and is charged for its use of such assets in accordance with the Policy Statement.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HSSC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Attributions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Hughes Retail Group revenue relates to services and equipment provided to retail broadband subscribers and is readily identifiable based on specific identification.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the Hughes Retail Group cost of sales is based on the specific inter-group pricing provisions of the Policy Statement, including a monthly charge per retail subscriber and charges for customer rental equipment at cost plus a fixed margin percentage. The Hughes Retail Group operating expenses also reflect allocations of corporate overhead and other expenses incurred by HSS.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Attributions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Hughes Retail Group participates in HSS’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HSS on its cash and marketable investment securities portfolio. There is no allocation of HSS’ long-term debt or related interest costs to the Hughes Retail Group.</w:t>
      </w:r>
    </w:p>
    <w:p>
      <w:pPr>
        <w:spacing w:after="0" w:line="18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Cash receipts from retail broadband subscribers and payments of certain expenses attributed to the Hughes Retail Group on a specific identification basis generally are reflected in the attributed statements of cash flows in the 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HSSC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Property and Equipment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for the Hughes Retail Group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Depreciable</w:t>
            </w:r>
          </w:p>
        </w:tc>
        <w:tc>
          <w:tcPr>
            <w:tcW w:w="24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 Years)</w:t>
            </w:r>
          </w:p>
        </w:tc>
        <w:tc>
          <w:tcPr>
            <w:tcW w:w="240" w:type="dxa"/>
            <w:vAlign w:val="bottom"/>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2016</w:t>
            </w:r>
          </w:p>
        </w:tc>
        <w:tc>
          <w:tcPr>
            <w:tcW w:w="20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 2015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gridSpan w:val="4"/>
          </w:tcPr>
          <w:p>
            <w:pPr>
              <w:jc w:val="right"/>
              <w:ind w:right="133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584,086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(450,970)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(421,589)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162,497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expense associated with the Hughes Retail Group property and equipment, net of retirements, was $29.4 million for each of the three months ended March 31, 2016 and 2015.</w:t>
      </w:r>
    </w:p>
    <w:p>
      <w:pPr>
        <w:spacing w:after="0" w:line="16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Goodwill and Other Intangible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for the Hughes Retail Group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As of</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2016</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3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15,440</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5,549</w:t>
            </w:r>
          </w:p>
        </w:tc>
      </w:tr>
      <w:tr>
        <w:trPr>
          <w:trHeight w:val="27"/>
        </w:trPr>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10,499</w:t>
            </w:r>
          </w:p>
        </w:tc>
      </w:tr>
      <w:tr>
        <w:trPr>
          <w:trHeight w:val="237"/>
        </w:trPr>
        <w:tc>
          <w:tcPr>
            <w:tcW w:w="286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27,466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31,488</w:t>
            </w: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was $4.0 million and $4.9 million for the three months ended March 31, 2016 and 2015, respectively.</w:t>
      </w:r>
    </w:p>
    <w:p>
      <w:pPr>
        <w:spacing w:after="0" w:line="1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Income Taxes</w:t>
      </w:r>
    </w:p>
    <w:p>
      <w:pPr>
        <w:spacing w:after="0" w:line="2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 tax bases of assets and liabilities. Deferred tax assets are offset by valuation allowances when we determine it is more likely than not that such deferred tax assets will not be realized in the foreseeable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Equity/ Attributed Net Assets</w:t>
      </w: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reported amounts of equity/attributed net assets for the Hughes Retail Group and the HSSC Group represent the excess of attributed assets over attributed liabilities for the respective Groups. The HSSC Group equity reflects EchoStar’s aggregate 71.89% economic interest in the net assets of the Hughes Retail Group, which comprises DISH Network’s 51.89% economic interest in the Hughes Retail Group represented by EchoStar Tracking Stock and EchoStar’s 20.0% retained interest in the Hughes Retail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Hughes Retail Group equity/attributed net assets consisted of attributed paid-in capital and accumulated earnings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Attributed paid-in-capital</w:t>
            </w:r>
          </w:p>
        </w:tc>
        <w:tc>
          <w:tcPr>
            <w:tcW w:w="30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456,122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Attributed accumulated earnings (deficit):</w:t>
            </w:r>
          </w:p>
        </w:tc>
        <w:tc>
          <w:tcPr>
            <w:tcW w:w="2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Periods prior to March 1, 2014</w:t>
            </w:r>
          </w:p>
        </w:tc>
        <w:tc>
          <w:tcPr>
            <w:tcW w:w="2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Periods beginning March 1, 2014</w:t>
            </w:r>
          </w:p>
        </w:tc>
        <w:tc>
          <w:tcPr>
            <w:tcW w:w="2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(46,748)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(43,819)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equity/ attributed net assets</w:t>
            </w:r>
          </w:p>
        </w:tc>
        <w:tc>
          <w:tcPr>
            <w:tcW w:w="27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442,769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445,698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vMerge w:val="restart"/>
          </w:tcPr>
          <w:p>
            <w:pPr>
              <w:jc w:val="right"/>
              <w:ind w:right="123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lowerRoman"/>
      <w:start w:val="3"/>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Roman"/>
      <w:start w:val="3"/>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upperLetter"/>
      <w:start w:val="8"/>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2019-12-29T12:02:36Z</dcterms:created>
  <dcterms:modified xsi:type="dcterms:W3CDTF">2019-12-29T12:02:36Z</dcterms:modified>
</cp:coreProperties>
</file>