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June 27,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280" w:type="dxa"/>
            <w:vAlign w:val="bottom"/>
            <w:gridSpan w:val="3"/>
          </w:tcPr>
          <w:p>
            <w:pPr>
              <w:jc w:val="center"/>
              <w:ind w:right="14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1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7"/>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22"/>
                <w:szCs w:val="22"/>
                <w:b w:val="1"/>
                <w:bCs w:val="1"/>
                <w:color w:val="auto"/>
              </w:rPr>
              <w:t>DISH NETWORK CORPORATION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001-39144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88-0336997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2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333-179121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gridSpan w:val="3"/>
            <w:vMerge w:val="restart"/>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333-31929</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0"/>
          <w:szCs w:val="20"/>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On June 26, 2025, EchoStar Corporation (“EchoStar” and, together with its subsidiaries, the “Company”) notified the trustee for its</w:t>
      </w:r>
    </w:p>
    <w:p>
      <w:pPr>
        <w:spacing w:after="0" w:line="2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222222"/>
        </w:rPr>
        <w:t>10.75% senior spectrum secured notes due 2029 (the “2029 Spectrum Notes”) and the trustee for the 5.25% secured notes due 2026 (the “2026 Notes”), 5.75% secured notes due 2028 (the “2028 Notes”) and 5.125% unsecured notes due 2029 (the “2029 Notes, and collectively with the 2026 Notes and the 2028 Notes, the “DBS Notes”) issued by EchoStar’s subsidiary, DISH DBS Corporation (“DDBS”), that, on June 27, 2025, EchoStar would make the scheduled interest payment originally due on May 30, 2025 on the 2029 Spectrum Notes and that DDBS would make the scheduled interest payments originally due on June 2, 2025 on the DBS Notes, in each case including interest on the defaulted interest. Such payments are being made on June 27, 2025, within the applicable 30-day grace periods to make such interest payments before such non-payments would constitute an Event of Default (as defined in the relevant indentures governing such notes).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22222"/>
        </w:rPr>
        <w:t>As previously disclosed, in light of the regulatory uncertainty created by the inquiries commenced in May 2025 by the Federal Communications Commission (“FCC”), EchoStar had elected not to make interest payments on the 2029 Spectrum Notes and DDBS had elected not to make interest payments on the DBS Notes. These elections allowed time for EchoStar to gather information and assess its alternatives on a more informed basis. During the ensuing weeks, EchoStar gathered initial relevant information, including through discussions with the FCC, regarding potential pathways to resolve the FCC’s stated concerns. On June 11, 2025, EchoStar’s Chairman met with FCC Chairman Brendan Carr; during this meeting EchoStar explained that any reconsideration of the September 2024 grant of EchoStar’s construction deadline extensions, any after-the-fact change to the criteria upon which EchoStar’s buildout is judged, or any decision to upend the 2 GHz band’s sharing rules would threaten the viability of EchoStar’s current operations and future plans. The President of the United States subsequently encouraged the parties involved to reach an amicable resolution. Although no such resolution has been achieved, and it is possible that no such resolution will ultimately be achieved, EchoStar and DDBS have determined, based on the current discussions, that they should in good faith cure the non-payment defaults under the indentures by making the interest payments. These actions will further extend the timeline for EchoStar to explore an acceptable resolution of the FCC’s stated concerns in a manner that minimizes disruption to the Company’s businesses and lifts the regulatory uncertainty created by the inquiries.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222222"/>
        </w:rPr>
        <w:t>Item 2.04. Triggering Events That Accelerate or Increase a Direct Financial Obligation or an Obligation under an Off-Balance Sheet Arrangement.</w:t>
      </w:r>
    </w:p>
    <w:p>
      <w:pPr>
        <w:spacing w:after="0" w:line="21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22222"/>
        </w:rPr>
        <w:t>Because reaching an acceptable resolution of the FCC inquiries is not assured, the Company must continue to evaluate the deployment of its resources. In light of this continued uncertainty, DDBS has elected not to make a $77.5 million cash interest payment due on July 1, 2025 with respect to the 7.75% senior notes due 2026 (the “2026 Notes”) and a $36.875 million cash interest payment due on July 1, 2025 with respect to the 7.375% senior notes due 2028 (the “2028 Notes” and, together with the 2026 Notes, the “Senior Notes”). Under the indentures governing the Senior Notes (the “Indentures”), such non-payment is a default, and DDBS has a 30-day grace period to make the interest payments before such non-payment constitutes an Event of Default (as such term is defined in the Indentures) with respect to the Senior Notes. All of the Company’s strategic options remain under consideration as it continues to explore potential resolution pathways.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8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43"/>
        </w:trPr>
        <w:tc>
          <w:tcPr>
            <w:tcW w:w="6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104</w:t>
            </w: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16"/>
        </w:trPr>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DISH NETWORK CORPORATION</w:t>
            </w:r>
          </w:p>
        </w:tc>
      </w:t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238"/>
        </w:trPr>
        <w:tc>
          <w:tcPr>
            <w:tcW w:w="3480" w:type="dxa"/>
            <w:vAlign w:val="bottom"/>
          </w:tcPr>
          <w:p>
            <w:pPr>
              <w:spacing w:after="0"/>
              <w:rPr>
                <w:sz w:val="20"/>
                <w:szCs w:val="20"/>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DISH DBS CORPORATION</w:t>
            </w:r>
          </w:p>
        </w:tc>
      </w:tr>
      <w:tr>
        <w:trPr>
          <w:trHeight w:val="432"/>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27, 2025</w:t>
            </w: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02"/>
        </w:trPr>
        <w:tc>
          <w:tcPr>
            <w:tcW w:w="34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2025-06-27T07:22:31Z</dcterms:created>
  <dcterms:modified xsi:type="dcterms:W3CDTF">2025-06-27T07:22:31Z</dcterms:modified>
</cp:coreProperties>
</file>