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June 1,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color w:val="auto"/>
              </w:rPr>
              <w:t>(Commission File Number)</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0" w:type="dxa"/>
            <w:vAlign w:val="bottom"/>
            <w:vMerge w:val="restart"/>
          </w:tcPr>
          <w:p>
            <w:pPr>
              <w:jc w:val="right"/>
              <w:ind w:right="244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Pr>
          <w:p>
            <w:pPr>
              <w:jc w:val="center"/>
              <w:ind w:right="21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right"/>
              <w:ind w:right="908"/>
              <w:spacing w:after="0"/>
              <w:rPr>
                <w:sz w:val="20"/>
                <w:szCs w:val="20"/>
                <w:color w:val="auto"/>
              </w:rPr>
            </w:pPr>
            <w:r>
              <w:rPr>
                <w:rFonts w:ascii="Times New Roman" w:cs="Times New Roman" w:eastAsia="Times New Roman" w:hAnsi="Times New Roman"/>
                <w:sz w:val="14"/>
                <w:szCs w:val="14"/>
                <w:color w:val="auto"/>
              </w:rPr>
              <w:t>(303) 723-1000</w:t>
            </w:r>
          </w:p>
        </w:tc>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180" w:type="dxa"/>
            <w:vAlign w:val="bottom"/>
            <w:gridSpan w:val="3"/>
          </w:tcPr>
          <w:p>
            <w:pPr>
              <w:jc w:val="center"/>
              <w:ind w:right="13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20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333-179121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4"/>
          <w:szCs w:val="24"/>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575945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732155</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97790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114935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320" w:right="320" w:hanging="1309"/>
        <w:spacing w:after="0" w:line="286"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2.04.</w:t>
      </w:r>
      <w:r>
        <w:rPr>
          <w:sz w:val="20"/>
          <w:szCs w:val="20"/>
          <w:color w:val="auto"/>
        </w:rPr>
        <w:tab/>
      </w:r>
      <w:r>
        <w:rPr>
          <w:rFonts w:ascii="Times New Roman" w:cs="Times New Roman" w:eastAsia="Times New Roman" w:hAnsi="Times New Roman"/>
          <w:sz w:val="18"/>
          <w:szCs w:val="18"/>
          <w:b w:val="1"/>
          <w:bCs w:val="1"/>
          <w:color w:val="auto"/>
        </w:rPr>
        <w:t>Triggering Events That Accelerate or Increase a Direct Financial Obligation or an Obligation under an Off-Balance Sheet Arrangement.</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22222"/>
        </w:rPr>
        <w:t>EchoStar Corporation (“EchoStar”) has elected not to make approximately $183 million in cash interest payments due on June 1, 2026 (the “Interest Payments”) with respect to its DISH DBS Corporation (“DDBS”) subsidiary’s 5.25% secured notes due 2026 (the “2026 Notes”), 5.75% secured notes due 2028 (the “2028 Notes”) and 5.125% unsecured notes due 2029 (the “2029 Notes, and collectively with the 2026 Notes and the 2028 Notes, the “DBS Notes”) comprised of approximately $72.2 million under the 2026 Notes, $71.9 million under the 2028 Notes and $38.4 million under the 2029 Notes. Under each of the indentures governing the DBS Notes (the “DBS Notes Indentures”), such non-payment is a default and we have a 30-day grace period to make the Interest Payments before such non-payment constitutes an Event of Default (as such term is defined in the DBS Notes Indenture) with respect to the DBS Notes.</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222222"/>
        </w:rPr>
        <w:t>EchoStar elected not to make the Interest Payments on the due date to defer liquidity utilization pending the receipt of net closing proceeds of $20.25 billion from the AT&amp;T Transactions (as defined in EchoStar’s SEC filings). The AT&amp;T Transactions have received regulatory approvals from both the Federal Communications Commission (FCC) and the Department of Justice (DOJ); however, the FCC’s approval remains subject to the FCC’s order becoming final. Consummation of the AT&amp;T Transactions remains subject to the satisfaction or waiver of certain other closing conditions as described in EchoStar’s Current Report on Form 8-K filed on August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1056640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347" w:right="10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43"/>
        </w:trPr>
        <w:tc>
          <w:tcPr>
            <w:tcW w:w="6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104</w:t>
            </w: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24"/>
        </w:trPr>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58"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648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38"/>
        </w:trPr>
        <w:tc>
          <w:tcPr>
            <w:tcW w:w="3440" w:type="dxa"/>
            <w:vAlign w:val="bottom"/>
          </w:tcPr>
          <w:p>
            <w:pPr>
              <w:spacing w:after="0"/>
              <w:rPr>
                <w:sz w:val="20"/>
                <w:szCs w:val="20"/>
                <w:color w:val="auto"/>
              </w:rPr>
            </w:pPr>
          </w:p>
        </w:tc>
        <w:tc>
          <w:tcPr>
            <w:tcW w:w="648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43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 2026</w:t>
            </w:r>
          </w:p>
        </w:tc>
        <w:tc>
          <w:tcPr>
            <w:tcW w:w="64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4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2026-06-01T07:26:46Z</dcterms:created>
  <dcterms:modified xsi:type="dcterms:W3CDTF">2026-06-01T07:26:46Z</dcterms:modified>
</cp:coreProperties>
</file>